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sz w:val="40"/>
          <w:szCs w:val="44"/>
          <w:lang w:val="en-US" w:eastAsia="zh-CN"/>
        </w:rPr>
      </w:pPr>
      <w:r>
        <w:rPr>
          <w:rFonts w:hint="eastAsia" w:ascii="方正小标宋简体" w:hAnsi="Times New Roman" w:eastAsia="方正小标宋简体" w:cs="Times New Roman"/>
          <w:sz w:val="40"/>
          <w:szCs w:val="44"/>
          <w:lang w:val="en-US" w:eastAsia="zh-CN"/>
        </w:rPr>
        <w:t>金寨县水利局</w:t>
      </w:r>
      <w:bookmarkStart w:id="0" w:name="_GoBack"/>
      <w:r>
        <w:rPr>
          <w:rFonts w:hint="eastAsia" w:ascii="方正小标宋简体" w:hAnsi="Times New Roman" w:eastAsia="方正小标宋简体" w:cs="Times New Roman"/>
          <w:sz w:val="40"/>
          <w:szCs w:val="44"/>
          <w:lang w:val="en-US" w:eastAsia="zh-CN"/>
        </w:rPr>
        <w:t>2022年政府信息公开工作</w:t>
      </w:r>
    </w:p>
    <w:p>
      <w:pPr>
        <w:jc w:val="center"/>
        <w:rPr>
          <w:rFonts w:hint="eastAsia" w:ascii="方正小标宋简体" w:hAnsi="Times New Roman" w:eastAsia="方正小标宋简体" w:cs="Times New Roman"/>
          <w:sz w:val="40"/>
          <w:szCs w:val="44"/>
          <w:lang w:val="en-US" w:eastAsia="zh-CN"/>
        </w:rPr>
      </w:pPr>
      <w:r>
        <w:rPr>
          <w:rFonts w:hint="eastAsia" w:ascii="方正小标宋简体" w:hAnsi="Times New Roman" w:eastAsia="方正小标宋简体" w:cs="Times New Roman"/>
          <w:sz w:val="40"/>
          <w:szCs w:val="44"/>
          <w:lang w:val="en-US" w:eastAsia="zh-CN"/>
        </w:rPr>
        <w:t>年度报</w:t>
      </w:r>
      <w:bookmarkEnd w:id="0"/>
      <w:r>
        <w:rPr>
          <w:rFonts w:hint="eastAsia" w:ascii="方正小标宋简体" w:hAnsi="Times New Roman" w:eastAsia="方正小标宋简体" w:cs="Times New Roman"/>
          <w:sz w:val="40"/>
          <w:szCs w:val="44"/>
          <w:lang w:val="en-US" w:eastAsia="zh-CN"/>
        </w:rPr>
        <w:t>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left"/>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left"/>
        <w:rPr>
          <w:rFonts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根据《中华人民共和国政府信息公开条例》（国务院令第</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711号）规定和《六安市政务公开办公室关于做好政府信息公开年度报告编制和发布工作的通知》(六政务公开办〔2021〕64号)、《金寨县政务公开办公室关于做好政府信息公开年度报告编制和发布工作的通知》要求，现发布《金寨县水利局2022年政府信息公开工作年度报告》。本报告中所列数据的统计期限自2022年1月1日至2022年12月31日，报告的电子版可在金寨县信息公开网（</w:t>
      </w:r>
      <w:r>
        <w:rPr>
          <w:rFonts w:hint="eastAsia" w:ascii="仿宋_GB2312" w:hAnsi="微软雅黑"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begin"/>
      </w:r>
      <w:r>
        <w:rPr>
          <w:rFonts w:hint="eastAsia" w:ascii="仿宋_GB2312" w:hAnsi="微软雅黑" w:eastAsia="仿宋_GB2312" w:cs="仿宋_GB2312"/>
          <w:i w:val="0"/>
          <w:iCs w:val="0"/>
          <w:caps w:val="0"/>
          <w:color w:val="333333"/>
          <w:spacing w:val="0"/>
          <w:kern w:val="0"/>
          <w:sz w:val="32"/>
          <w:szCs w:val="32"/>
          <w:u w:val="none"/>
          <w:bdr w:val="none" w:color="auto" w:sz="0" w:space="0"/>
          <w:shd w:val="clear" w:fill="FFFFFF"/>
          <w:lang w:val="en-US" w:eastAsia="zh-CN" w:bidi="ar"/>
        </w:rPr>
        <w:instrText xml:space="preserve"> HYPERLINK "https://www.ahjinzhai.gov.cn/public/column/6596441?type=4&amp;action=list" </w:instrText>
      </w:r>
      <w:r>
        <w:rPr>
          <w:rFonts w:hint="eastAsia" w:ascii="仿宋_GB2312" w:hAnsi="微软雅黑"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separate"/>
      </w:r>
      <w:r>
        <w:rPr>
          <w:rStyle w:val="5"/>
          <w:rFonts w:hint="eastAsia" w:ascii="仿宋_GB2312" w:hAnsi="微软雅黑" w:eastAsia="仿宋_GB2312" w:cs="仿宋_GB2312"/>
          <w:i w:val="0"/>
          <w:iCs w:val="0"/>
          <w:caps w:val="0"/>
          <w:color w:val="333333"/>
          <w:spacing w:val="0"/>
          <w:sz w:val="32"/>
          <w:szCs w:val="32"/>
          <w:u w:val="none"/>
          <w:bdr w:val="none" w:color="auto" w:sz="0" w:space="0"/>
          <w:shd w:val="clear" w:fill="FFFFFF"/>
        </w:rPr>
        <w:t>https://www.ahjinzhai.gov.cn/public/column/6596441?type=4&amp;action=list</w:t>
      </w:r>
      <w:r>
        <w:rPr>
          <w:rFonts w:hint="eastAsia" w:ascii="仿宋_GB2312" w:hAnsi="微软雅黑"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end"/>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）下载。如对本年度报告有疑问或有好的意见建议，请与金寨县水利局办公室联系（联系地址：金寨县新城区江环北路水利局301室，邮编:237300；联系电话：0564-7356956；电子邮箱：jzxslj@126.com）。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2022年，金寨县水利局紧紧围绕水利中心工作和社会关切，深入推进水利政府信息公开，全局政务公开工作取得了新成效，全年主动公开政府信息527条。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（一）主动公开情况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一是强化政策和解读发布。</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全面公开规范性文件清理结果和文件目录，规范公开有效的代起草规范性文件4件，并统一对规范性文件格式进行调整。积极转载上级重要政策文件解读7条。精心制作部门文件文字解读4篇，图片解读2篇，视频解读2篇，切实提升解读质量和效果。</w:t>
      </w: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二是强化重点领域信息公开。</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围绕水利重点领域信息，收集整理并公开各类水利专项规划，展现金寨水利建设规划情况；主动公开河湖长制部署及落实信息23条；发布水旱灾害预警及应对情况信息40条；全面公示重大水利工程建设及相关信息22条，按月通报全县水利工程进度。</w:t>
      </w: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三是强化回应关切。</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规范留言办理答复机制，今年办理答复网上留言10条。强化舆情监测，密切关注农村饮水、河道采砂、水旱灾害防御等社会关注的热点，及时发布部门相关动态，主动公开部门经费使用情况信息15条、行政权力运行类信息146条，召开新闻发布会1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照《金寨县水利局依申请公开制度》，规范办理流程，由联络员及时受理登记，转呈领导批办，交办负责科室，经科室负责同志和领导逐级审核把关后按时答复。通过依申请公开系统实现线上线下办件统一归集，全年收到依申请公开1件，结转上年0件，办结1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（三）政府信息管理情况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进一步明确政务公开工作责任，针对县水利局行政权力运行、河湖长制、农村饮水、重点区域排涝能力建设等方面内容，我局于2022年5月26日召开了政务公开专题会议，安排部署局信息公开工作，将每项信息收集工作具体到人。及时完善了《金寨县水利局信息公开指南》《金寨县水利局信息发布审核管理制度》等制度，规范政府信息公开源头机制，加强平台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（四）政府信息公开平台建设情况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一是</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定期做好网站平台的维护、更新，配合做好上级安全评估和审查。</w:t>
      </w: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二是</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及时调整政务公开目录。按照金寨县政务公开办公室要求，对照政府信息主动公开基本目录规范要求，及时调整、规范完善主动公开目录，充实内容，做好信息转移等工作。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（五）监督保障情况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一是</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严格贯彻落实政府信息公开监督考核制度，针对每季度考核内容及时召开测评整改会议，对反馈的问题认真分析，逐项整改。</w:t>
      </w: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二是</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严格落实信息公开“三审”制度，本着“涉密信息不上网，上网信息不涉密”的原则，各股室、单位起草的信息按照“谁起草谁负责”、“谁审核谁负责”、“谁签发谁负责”的要求，严禁出现错字、漏字或者不规范的词语，确保发布信息的安全性、真实性和准确性。发布内容发生错误时，第一时间主动予以更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二、主动公开政府信息情况</w:t>
      </w:r>
    </w:p>
    <w:tbl>
      <w:tblPr>
        <w:tblW w:w="8101" w:type="dxa"/>
        <w:jc w:val="center"/>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1599"/>
        <w:gridCol w:w="2310"/>
        <w:gridCol w:w="2130"/>
        <w:gridCol w:w="2062"/>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8101" w:type="dxa"/>
            <w:gridSpan w:val="4"/>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第二十条第（一）项</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信息内容</w:t>
            </w:r>
          </w:p>
        </w:tc>
        <w:tc>
          <w:tcPr>
            <w:tcW w:w="23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本年制发件数</w:t>
            </w:r>
          </w:p>
        </w:tc>
        <w:tc>
          <w:tcPr>
            <w:tcW w:w="213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本年废止件数</w:t>
            </w:r>
          </w:p>
        </w:tc>
        <w:tc>
          <w:tcPr>
            <w:tcW w:w="2062"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现行有效件数</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规 </w:t>
            </w:r>
            <w:r>
              <w:rPr>
                <w:rFonts w:ascii="Calibri" w:hAnsi="Calibri" w:eastAsia="宋体" w:cs="Calibri"/>
                <w:kern w:val="0"/>
                <w:sz w:val="21"/>
                <w:szCs w:val="21"/>
                <w:bdr w:val="none" w:color="auto" w:sz="0" w:space="0"/>
                <w:shd w:val="clear" w:fill="FFFFFF"/>
                <w:lang w:val="en-US" w:eastAsia="zh-CN" w:bidi="ar"/>
              </w:rPr>
              <w:t> </w:t>
            </w:r>
            <w:r>
              <w:rPr>
                <w:rFonts w:hint="eastAsia" w:ascii="宋体" w:hAnsi="宋体" w:eastAsia="宋体" w:cs="宋体"/>
                <w:kern w:val="0"/>
                <w:sz w:val="21"/>
                <w:szCs w:val="21"/>
                <w:bdr w:val="none" w:color="auto" w:sz="0" w:space="0"/>
                <w:shd w:val="clear" w:fill="FFFFFF"/>
                <w:lang w:val="en-US" w:eastAsia="zh-CN" w:bidi="ar"/>
              </w:rPr>
              <w:t>章</w:t>
            </w:r>
          </w:p>
        </w:tc>
        <w:tc>
          <w:tcPr>
            <w:tcW w:w="23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213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2062"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行政规范性文件</w:t>
            </w:r>
          </w:p>
        </w:tc>
        <w:tc>
          <w:tcPr>
            <w:tcW w:w="23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213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2062"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8101" w:type="dxa"/>
            <w:gridSpan w:val="4"/>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第二十条第（五）项</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信息内容</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本年处理决定数量</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行政许可</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8101" w:type="dxa"/>
            <w:gridSpan w:val="4"/>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第二十条第（六）项</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信息内容</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本年处理决定数量</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行政处罚</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bdr w:val="none" w:color="auto" w:sz="0" w:space="0"/>
                <w:shd w:val="clear" w:fill="FFFFFF"/>
                <w:lang w:val="en-US" w:eastAsia="zh-CN" w:bidi="ar"/>
              </w:rPr>
              <w:t>34</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行政强制</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8101" w:type="dxa"/>
            <w:gridSpan w:val="4"/>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第二十条第（八）项</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信息内容</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shd w:val="clear" w:fill="FFFFFF"/>
                <w:lang w:val="en-US" w:eastAsia="zh-CN" w:bidi="ar"/>
              </w:rPr>
              <w:t>本年收费金额（单位：万元）</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1599"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行政事业性收费</w:t>
            </w:r>
          </w:p>
        </w:tc>
        <w:tc>
          <w:tcPr>
            <w:tcW w:w="6502"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193.453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三、收到和处理政府信息公开申请情况</w:t>
      </w:r>
    </w:p>
    <w:tbl>
      <w:tblPr>
        <w:tblW w:w="8223" w:type="dxa"/>
        <w:jc w:val="center"/>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682"/>
        <w:gridCol w:w="980"/>
        <w:gridCol w:w="3096"/>
        <w:gridCol w:w="510"/>
        <w:gridCol w:w="435"/>
        <w:gridCol w:w="450"/>
        <w:gridCol w:w="585"/>
        <w:gridCol w:w="585"/>
        <w:gridCol w:w="435"/>
        <w:gridCol w:w="465"/>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33" w:hRule="atLeast"/>
          <w:jc w:val="center"/>
        </w:trPr>
        <w:tc>
          <w:tcPr>
            <w:tcW w:w="4758" w:type="dxa"/>
            <w:gridSpan w:val="3"/>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（本列数据的勾稽关系为：第一项加第二项之和，等于第三项加第四项之和）</w:t>
            </w:r>
          </w:p>
        </w:tc>
        <w:tc>
          <w:tcPr>
            <w:tcW w:w="3465" w:type="dxa"/>
            <w:gridSpan w:val="7"/>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申请人情况</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18" w:hRule="atLeast"/>
          <w:jc w:val="center"/>
        </w:trPr>
        <w:tc>
          <w:tcPr>
            <w:tcW w:w="4758" w:type="dxa"/>
            <w:gridSpan w:val="3"/>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1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自然人</w:t>
            </w:r>
          </w:p>
        </w:tc>
        <w:tc>
          <w:tcPr>
            <w:tcW w:w="2490" w:type="dxa"/>
            <w:gridSpan w:val="5"/>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法人或其他组织</w:t>
            </w:r>
          </w:p>
        </w:tc>
        <w:tc>
          <w:tcPr>
            <w:tcW w:w="465"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总计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18" w:hRule="atLeast"/>
          <w:jc w:val="center"/>
        </w:trPr>
        <w:tc>
          <w:tcPr>
            <w:tcW w:w="4758" w:type="dxa"/>
            <w:gridSpan w:val="3"/>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1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35"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商业企业</w:t>
            </w:r>
          </w:p>
        </w:tc>
        <w:tc>
          <w:tcPr>
            <w:tcW w:w="45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科研机构</w:t>
            </w:r>
          </w:p>
        </w:tc>
        <w:tc>
          <w:tcPr>
            <w:tcW w:w="585"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社会公益组织</w:t>
            </w:r>
          </w:p>
        </w:tc>
        <w:tc>
          <w:tcPr>
            <w:tcW w:w="585"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法律服务机构</w:t>
            </w:r>
          </w:p>
        </w:tc>
        <w:tc>
          <w:tcPr>
            <w:tcW w:w="435"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其他</w:t>
            </w:r>
          </w:p>
        </w:tc>
        <w:tc>
          <w:tcPr>
            <w:tcW w:w="46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18" w:hRule="atLeast"/>
          <w:jc w:val="center"/>
        </w:trPr>
        <w:tc>
          <w:tcPr>
            <w:tcW w:w="4758" w:type="dxa"/>
            <w:gridSpan w:val="3"/>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1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3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5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8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8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3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65"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758"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一、本年新收政府信息公开申请数量</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95" w:hRule="atLeast"/>
          <w:jc w:val="center"/>
        </w:trPr>
        <w:tc>
          <w:tcPr>
            <w:tcW w:w="4758"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二、上年结转政府信息公开申请数量</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682"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三、本年度办理结果</w:t>
            </w:r>
          </w:p>
        </w:tc>
        <w:tc>
          <w:tcPr>
            <w:tcW w:w="4076" w:type="dxa"/>
            <w:gridSpan w:val="2"/>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（一）予以公开</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076" w:type="dxa"/>
            <w:gridSpan w:val="2"/>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（二）部分公开（区分处理的，只计这一情形，不计其他情形）</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076" w:type="dxa"/>
            <w:gridSpan w:val="2"/>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（三）不予公开</w:t>
            </w: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1.</w:t>
            </w:r>
            <w:r>
              <w:rPr>
                <w:rFonts w:hint="eastAsia" w:ascii="宋体" w:hAnsi="宋体" w:eastAsia="宋体" w:cs="宋体"/>
                <w:kern w:val="0"/>
                <w:sz w:val="21"/>
                <w:szCs w:val="21"/>
                <w:bdr w:val="none" w:color="auto" w:sz="0" w:space="0"/>
                <w:shd w:val="clear" w:fill="FFFFFF"/>
                <w:lang w:val="en-US" w:eastAsia="zh-CN" w:bidi="ar"/>
              </w:rPr>
              <w:t>属于国家秘密</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418"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2.</w:t>
            </w:r>
            <w:r>
              <w:rPr>
                <w:rFonts w:hint="eastAsia" w:ascii="宋体" w:hAnsi="宋体" w:eastAsia="宋体" w:cs="宋体"/>
                <w:kern w:val="0"/>
                <w:sz w:val="21"/>
                <w:szCs w:val="21"/>
                <w:bdr w:val="none" w:color="auto" w:sz="0" w:space="0"/>
                <w:shd w:val="clear" w:fill="FFFFFF"/>
                <w:lang w:val="en-US" w:eastAsia="zh-CN" w:bidi="ar"/>
              </w:rPr>
              <w:t>其他法律行政法规禁止公开</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23"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3.</w:t>
            </w:r>
            <w:r>
              <w:rPr>
                <w:rFonts w:hint="eastAsia" w:ascii="宋体" w:hAnsi="宋体" w:eastAsia="宋体" w:cs="宋体"/>
                <w:kern w:val="0"/>
                <w:sz w:val="21"/>
                <w:szCs w:val="21"/>
                <w:bdr w:val="none" w:color="auto" w:sz="0" w:space="0"/>
                <w:shd w:val="clear" w:fill="FFFFFF"/>
                <w:lang w:val="en-US" w:eastAsia="zh-CN" w:bidi="ar"/>
              </w:rPr>
              <w:t>危及“三安全一稳定”</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404"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4.</w:t>
            </w:r>
            <w:r>
              <w:rPr>
                <w:rFonts w:hint="eastAsia" w:ascii="宋体" w:hAnsi="宋体" w:eastAsia="宋体" w:cs="宋体"/>
                <w:kern w:val="0"/>
                <w:sz w:val="21"/>
                <w:szCs w:val="21"/>
                <w:bdr w:val="none" w:color="auto" w:sz="0" w:space="0"/>
                <w:shd w:val="clear" w:fill="FFFFFF"/>
                <w:lang w:val="en-US" w:eastAsia="zh-CN" w:bidi="ar"/>
              </w:rPr>
              <w:t>保护第三方合法权益</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09"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5.</w:t>
            </w:r>
            <w:r>
              <w:rPr>
                <w:rFonts w:hint="eastAsia" w:ascii="宋体" w:hAnsi="宋体" w:eastAsia="宋体" w:cs="宋体"/>
                <w:kern w:val="0"/>
                <w:sz w:val="21"/>
                <w:szCs w:val="21"/>
                <w:bdr w:val="none" w:color="auto" w:sz="0" w:space="0"/>
                <w:shd w:val="clear" w:fill="FFFFFF"/>
                <w:lang w:val="en-US" w:eastAsia="zh-CN" w:bidi="ar"/>
              </w:rPr>
              <w:t>属于三类内部事务信息</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6.</w:t>
            </w:r>
            <w:r>
              <w:rPr>
                <w:rFonts w:hint="eastAsia" w:ascii="宋体" w:hAnsi="宋体" w:eastAsia="宋体" w:cs="宋体"/>
                <w:kern w:val="0"/>
                <w:sz w:val="21"/>
                <w:szCs w:val="21"/>
                <w:bdr w:val="none" w:color="auto" w:sz="0" w:space="0"/>
                <w:shd w:val="clear" w:fill="FFFFFF"/>
                <w:lang w:val="en-US" w:eastAsia="zh-CN" w:bidi="ar"/>
              </w:rPr>
              <w:t>属于四类过程性信息</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7.</w:t>
            </w:r>
            <w:r>
              <w:rPr>
                <w:rFonts w:hint="eastAsia" w:ascii="宋体" w:hAnsi="宋体" w:eastAsia="宋体" w:cs="宋体"/>
                <w:kern w:val="0"/>
                <w:sz w:val="21"/>
                <w:szCs w:val="21"/>
                <w:bdr w:val="none" w:color="auto" w:sz="0" w:space="0"/>
                <w:shd w:val="clear" w:fill="FFFFFF"/>
                <w:lang w:val="en-US" w:eastAsia="zh-CN" w:bidi="ar"/>
              </w:rPr>
              <w:t>属于行政执法案卷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01"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8.</w:t>
            </w:r>
            <w:r>
              <w:rPr>
                <w:rFonts w:hint="eastAsia" w:ascii="宋体" w:hAnsi="宋体" w:eastAsia="宋体" w:cs="宋体"/>
                <w:kern w:val="0"/>
                <w:sz w:val="21"/>
                <w:szCs w:val="21"/>
                <w:bdr w:val="none" w:color="auto" w:sz="0" w:space="0"/>
                <w:shd w:val="clear" w:fill="FFFFFF"/>
                <w:lang w:val="en-US" w:eastAsia="zh-CN" w:bidi="ar"/>
              </w:rPr>
              <w:t>属于行政查询事项</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（四）无法提供</w:t>
            </w: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1.</w:t>
            </w:r>
            <w:r>
              <w:rPr>
                <w:rFonts w:hint="eastAsia" w:ascii="宋体" w:hAnsi="宋体" w:eastAsia="宋体" w:cs="宋体"/>
                <w:kern w:val="0"/>
                <w:sz w:val="21"/>
                <w:szCs w:val="21"/>
                <w:bdr w:val="none" w:color="auto" w:sz="0" w:space="0"/>
                <w:shd w:val="clear" w:fill="FFFFFF"/>
                <w:lang w:val="en-US" w:eastAsia="zh-CN" w:bidi="ar"/>
              </w:rPr>
              <w:t>本机关不掌握相关政府信息</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2.</w:t>
            </w:r>
            <w:r>
              <w:rPr>
                <w:rFonts w:hint="eastAsia" w:ascii="宋体" w:hAnsi="宋体" w:eastAsia="宋体" w:cs="宋体"/>
                <w:kern w:val="0"/>
                <w:sz w:val="21"/>
                <w:szCs w:val="21"/>
                <w:bdr w:val="none" w:color="auto" w:sz="0" w:space="0"/>
                <w:shd w:val="clear" w:fill="FFFFFF"/>
                <w:lang w:val="en-US" w:eastAsia="zh-CN" w:bidi="ar"/>
              </w:rPr>
              <w:t>没有现成信息需要另行制作</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19"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3.</w:t>
            </w:r>
            <w:r>
              <w:rPr>
                <w:rFonts w:hint="eastAsia" w:ascii="宋体" w:hAnsi="宋体" w:eastAsia="宋体" w:cs="宋体"/>
                <w:kern w:val="0"/>
                <w:sz w:val="21"/>
                <w:szCs w:val="21"/>
                <w:bdr w:val="none" w:color="auto" w:sz="0" w:space="0"/>
                <w:shd w:val="clear" w:fill="FFFFFF"/>
                <w:lang w:val="en-US" w:eastAsia="zh-CN" w:bidi="ar"/>
              </w:rPr>
              <w:t>补正后申请内容仍不明确</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46"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（五）不予处理</w:t>
            </w: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1.</w:t>
            </w:r>
            <w:r>
              <w:rPr>
                <w:rFonts w:hint="eastAsia" w:ascii="宋体" w:hAnsi="宋体" w:eastAsia="宋体" w:cs="宋体"/>
                <w:kern w:val="0"/>
                <w:sz w:val="21"/>
                <w:szCs w:val="21"/>
                <w:bdr w:val="none" w:color="auto" w:sz="0" w:space="0"/>
                <w:shd w:val="clear" w:fill="FFFFFF"/>
                <w:lang w:val="en-US" w:eastAsia="zh-CN" w:bidi="ar"/>
              </w:rPr>
              <w:t>信访举报投诉类申请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90"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2.</w:t>
            </w:r>
            <w:r>
              <w:rPr>
                <w:rFonts w:hint="eastAsia" w:ascii="宋体" w:hAnsi="宋体" w:eastAsia="宋体" w:cs="宋体"/>
                <w:kern w:val="0"/>
                <w:sz w:val="21"/>
                <w:szCs w:val="21"/>
                <w:bdr w:val="none" w:color="auto" w:sz="0" w:space="0"/>
                <w:shd w:val="clear" w:fill="FFFFFF"/>
                <w:lang w:val="en-US" w:eastAsia="zh-CN" w:bidi="ar"/>
              </w:rPr>
              <w:t>重复申请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3.</w:t>
            </w:r>
            <w:r>
              <w:rPr>
                <w:rFonts w:hint="eastAsia" w:ascii="宋体" w:hAnsi="宋体" w:eastAsia="宋体" w:cs="宋体"/>
                <w:kern w:val="0"/>
                <w:sz w:val="21"/>
                <w:szCs w:val="21"/>
                <w:bdr w:val="none" w:color="auto" w:sz="0" w:space="0"/>
                <w:shd w:val="clear" w:fill="FFFFFF"/>
                <w:lang w:val="en-US" w:eastAsia="zh-CN" w:bidi="ar"/>
              </w:rPr>
              <w:t>要求提供公开出版物</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67"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4.</w:t>
            </w:r>
            <w:r>
              <w:rPr>
                <w:rFonts w:hint="eastAsia" w:ascii="宋体" w:hAnsi="宋体" w:eastAsia="宋体" w:cs="宋体"/>
                <w:kern w:val="0"/>
                <w:sz w:val="21"/>
                <w:szCs w:val="21"/>
                <w:bdr w:val="none" w:color="auto" w:sz="0" w:space="0"/>
                <w:shd w:val="clear" w:fill="FFFFFF"/>
                <w:lang w:val="en-US" w:eastAsia="zh-CN" w:bidi="ar"/>
              </w:rPr>
              <w:t>无正当理由大量反复申请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5.</w:t>
            </w:r>
            <w:r>
              <w:rPr>
                <w:rFonts w:hint="eastAsia" w:ascii="宋体" w:hAnsi="宋体" w:eastAsia="宋体" w:cs="宋体"/>
                <w:kern w:val="0"/>
                <w:sz w:val="21"/>
                <w:szCs w:val="21"/>
                <w:bdr w:val="none" w:color="auto" w:sz="0" w:space="0"/>
                <w:shd w:val="clear" w:fill="FFFFFF"/>
                <w:lang w:val="en-US" w:eastAsia="zh-CN" w:bidi="ar"/>
              </w:rPr>
              <w:t>要求行政机关确认或重新出具已获取信息</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81"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kern w:val="0"/>
                <w:sz w:val="21"/>
                <w:szCs w:val="21"/>
                <w:bdr w:val="none" w:color="auto" w:sz="0" w:space="0"/>
                <w:shd w:val="clear" w:fill="FFFFFF"/>
                <w:lang w:val="en-US" w:eastAsia="zh-CN" w:bidi="ar"/>
              </w:rPr>
              <w:t>（六）其他处理</w:t>
            </w:r>
          </w:p>
        </w:tc>
        <w:tc>
          <w:tcPr>
            <w:tcW w:w="30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1.</w:t>
            </w:r>
            <w:r>
              <w:rPr>
                <w:rFonts w:hint="eastAsia" w:ascii="宋体" w:hAnsi="宋体" w:eastAsia="宋体" w:cs="宋体"/>
                <w:kern w:val="0"/>
                <w:sz w:val="21"/>
                <w:szCs w:val="21"/>
                <w:bdr w:val="none" w:color="auto" w:sz="0" w:space="0"/>
                <w:shd w:val="clear" w:fill="FFFFFF"/>
                <w:lang w:val="en-US" w:eastAsia="zh-CN" w:bidi="ar"/>
              </w:rPr>
              <w:t>申请人无正当理由逾期不补正、行政机关不再处理其政府信息公开申请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2.</w:t>
            </w:r>
            <w:r>
              <w:rPr>
                <w:rFonts w:hint="eastAsia" w:ascii="宋体" w:hAnsi="宋体" w:eastAsia="宋体" w:cs="宋体"/>
                <w:kern w:val="0"/>
                <w:sz w:val="21"/>
                <w:szCs w:val="21"/>
                <w:bdr w:val="none" w:color="auto" w:sz="0" w:space="0"/>
                <w:shd w:val="clear" w:fill="FFFFFF"/>
                <w:lang w:val="en-US" w:eastAsia="zh-CN" w:bidi="ar"/>
              </w:rPr>
              <w:t>申请人逾期未按收费通知要求缴纳费用、行政机关不再处理其政府信息公开申请</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288"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98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30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Calibri" w:hAnsi="Calibri" w:eastAsia="宋体" w:cs="Calibri"/>
                <w:kern w:val="0"/>
                <w:sz w:val="21"/>
                <w:szCs w:val="21"/>
                <w:bdr w:val="none" w:color="auto" w:sz="0" w:space="0"/>
                <w:shd w:val="clear" w:fill="FFFFFF"/>
                <w:lang w:val="en-US" w:eastAsia="zh-CN" w:bidi="ar"/>
              </w:rPr>
              <w:t>3.</w:t>
            </w:r>
            <w:r>
              <w:rPr>
                <w:rFonts w:hint="eastAsia" w:ascii="宋体" w:hAnsi="宋体" w:eastAsia="宋体" w:cs="宋体"/>
                <w:kern w:val="0"/>
                <w:sz w:val="21"/>
                <w:szCs w:val="21"/>
                <w:bdr w:val="none" w:color="auto" w:sz="0" w:space="0"/>
                <w:shd w:val="clear" w:fill="FFFFFF"/>
                <w:lang w:val="en-US" w:eastAsia="zh-CN" w:bidi="ar"/>
              </w:rPr>
              <w:t>其他</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82"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076" w:type="dxa"/>
            <w:gridSpan w:val="2"/>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（七）总计</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1</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4758" w:type="dxa"/>
            <w:gridSpan w:val="3"/>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shd w:val="clear" w:fill="FFFFFF"/>
                <w:lang w:val="en-US" w:eastAsia="zh-CN" w:bidi="ar"/>
              </w:rPr>
              <w:t>四、结转下年度继续办理</w:t>
            </w:r>
          </w:p>
        </w:tc>
        <w:tc>
          <w:tcPr>
            <w:tcW w:w="5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5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8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3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5"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四、政府信息公开行政复议、行政诉讼情况</w:t>
      </w:r>
    </w:p>
    <w:tbl>
      <w:tblPr>
        <w:tblW w:w="8873" w:type="dxa"/>
        <w:jc w:val="center"/>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616"/>
        <w:gridCol w:w="600"/>
        <w:gridCol w:w="620"/>
        <w:gridCol w:w="610"/>
        <w:gridCol w:w="440"/>
        <w:gridCol w:w="590"/>
        <w:gridCol w:w="620"/>
        <w:gridCol w:w="638"/>
        <w:gridCol w:w="612"/>
        <w:gridCol w:w="467"/>
        <w:gridCol w:w="634"/>
        <w:gridCol w:w="607"/>
        <w:gridCol w:w="753"/>
        <w:gridCol w:w="596"/>
        <w:gridCol w:w="470"/>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2886" w:type="dxa"/>
            <w:gridSpan w:val="5"/>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行政复议</w:t>
            </w:r>
          </w:p>
        </w:tc>
        <w:tc>
          <w:tcPr>
            <w:tcW w:w="5987" w:type="dxa"/>
            <w:gridSpan w:val="10"/>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行政诉讼</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477" w:hRule="atLeast"/>
          <w:jc w:val="center"/>
        </w:trPr>
        <w:tc>
          <w:tcPr>
            <w:tcW w:w="616"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结果维持</w:t>
            </w:r>
          </w:p>
        </w:tc>
        <w:tc>
          <w:tcPr>
            <w:tcW w:w="60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结果纠正</w:t>
            </w:r>
          </w:p>
        </w:tc>
        <w:tc>
          <w:tcPr>
            <w:tcW w:w="62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其他结果</w:t>
            </w:r>
          </w:p>
        </w:tc>
        <w:tc>
          <w:tcPr>
            <w:tcW w:w="61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尚未审结</w:t>
            </w:r>
          </w:p>
        </w:tc>
        <w:tc>
          <w:tcPr>
            <w:tcW w:w="440" w:type="dxa"/>
            <w:vMerge w:val="restart"/>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总计</w:t>
            </w:r>
          </w:p>
        </w:tc>
        <w:tc>
          <w:tcPr>
            <w:tcW w:w="2927" w:type="dxa"/>
            <w:gridSpan w:val="5"/>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未经复议直接起诉</w:t>
            </w:r>
          </w:p>
        </w:tc>
        <w:tc>
          <w:tcPr>
            <w:tcW w:w="3060" w:type="dxa"/>
            <w:gridSpan w:val="5"/>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复议后起诉</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779" w:hRule="atLeast"/>
          <w:jc w:val="center"/>
        </w:trPr>
        <w:tc>
          <w:tcPr>
            <w:tcW w:w="616"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60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62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61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440" w:type="dxa"/>
            <w:vMerge w:val="continue"/>
            <w:tcBorders>
              <w:top w:val="single" w:color="000000" w:sz="2" w:space="0"/>
              <w:left w:val="single" w:color="000000" w:sz="2" w:space="0"/>
              <w:bottom w:val="single" w:color="000000" w:sz="6" w:space="0"/>
              <w:right w:val="single" w:color="000000" w:sz="6" w:space="0"/>
            </w:tcBorders>
            <w:shd w:val="clear"/>
            <w:vAlign w:val="center"/>
          </w:tcPr>
          <w:p>
            <w:pPr>
              <w:rPr>
                <w:rFonts w:hint="eastAsia" w:ascii="宋体"/>
                <w:sz w:val="24"/>
                <w:szCs w:val="24"/>
              </w:rPr>
            </w:pPr>
          </w:p>
        </w:tc>
        <w:tc>
          <w:tcPr>
            <w:tcW w:w="59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结果维持</w:t>
            </w:r>
          </w:p>
        </w:tc>
        <w:tc>
          <w:tcPr>
            <w:tcW w:w="62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结果纠正</w:t>
            </w:r>
          </w:p>
        </w:tc>
        <w:tc>
          <w:tcPr>
            <w:tcW w:w="638"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其他结果</w:t>
            </w:r>
          </w:p>
        </w:tc>
        <w:tc>
          <w:tcPr>
            <w:tcW w:w="612"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尚未审结</w:t>
            </w:r>
          </w:p>
        </w:tc>
        <w:tc>
          <w:tcPr>
            <w:tcW w:w="467"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总计</w:t>
            </w:r>
          </w:p>
        </w:tc>
        <w:tc>
          <w:tcPr>
            <w:tcW w:w="634"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结果维持</w:t>
            </w:r>
          </w:p>
        </w:tc>
        <w:tc>
          <w:tcPr>
            <w:tcW w:w="607"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结果纠正</w:t>
            </w:r>
          </w:p>
        </w:tc>
        <w:tc>
          <w:tcPr>
            <w:tcW w:w="753"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其他结果</w:t>
            </w:r>
          </w:p>
        </w:tc>
        <w:tc>
          <w:tcPr>
            <w:tcW w:w="5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尚未审结</w:t>
            </w:r>
          </w:p>
        </w:tc>
        <w:tc>
          <w:tcPr>
            <w:tcW w:w="47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1"/>
                <w:szCs w:val="21"/>
                <w:bdr w:val="none" w:color="auto" w:sz="0" w:space="0"/>
                <w:shd w:val="clear" w:fill="FFFFFF"/>
                <w:lang w:val="en-US" w:eastAsia="zh-CN" w:bidi="ar"/>
              </w:rPr>
              <w:t>总计</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560" w:hRule="atLeast"/>
          <w:jc w:val="center"/>
        </w:trPr>
        <w:tc>
          <w:tcPr>
            <w:tcW w:w="61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0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2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1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4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9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2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38"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12"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67"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34"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607"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753"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596"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c>
          <w:tcPr>
            <w:tcW w:w="470" w:type="dxa"/>
            <w:tcBorders>
              <w:top w:val="single" w:color="000000" w:sz="2" w:space="0"/>
              <w:left w:val="single" w:color="000000" w:sz="2"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宋体" w:cs="Calibri"/>
                <w:kern w:val="0"/>
                <w:sz w:val="21"/>
                <w:szCs w:val="21"/>
                <w:bdr w:val="none" w:color="auto" w:sz="0" w:space="0"/>
                <w:shd w:val="clear" w:fill="FFFFFF"/>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（一）存在的主要问题：</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2022年我局政务公开工作取得了一定的进展，但仍然存在很多不足，一是政务信息公开的力度有待进一步加大。二是政务信息公开工作的内容还不够丰富。三是信息公开的及时性上还需进一步努力。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（二）问题改进情况：</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是压实责任、发挥职能。发挥政务公开工作领导组职能，对照问题短板，压实各职能科室责任，及时汇总工作信息，做到应公开尽公开；二是加强审核，规范管理。加大信息审核力度，规范信息发布机制，使信息公开各个方面、各个环节都实现规范化管理；三是强化自查，定期梳理。切实强化信息公开自查检查工作，定期梳理网站目录，确保各栏目更新及时，内容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（三）下一步工作措施：</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当前，我局在依托政府信息公开促进水利各项工作规范落实方面仍有差距。如河长制专栏信息较少。结合政务公开工作要求，我局将不断完善、强化政务公开工作。一是强化信息公开的责任意识。确保政务信息公开的准确性和及时性。二是保证信息公开工作的完整性。以公开促规范，以公开促落实，更好地接受社会公众对信息公开情况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按照《国务院办公厅关于印发〈政府信息公开信息处理费管理办法〉的通知》（国办函〔2020〕109号）规定的按件、按量收费标准，2022年度我局未产生信息公开处理费。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金寨县水利局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2023年1月13日   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DFkNDBkYzM0YjQ4ZmJhN2Q3ZDZhNWQzZDM2MzQifQ=="/>
  </w:docVars>
  <w:rsids>
    <w:rsidRoot w:val="33CA3665"/>
    <w:rsid w:val="33CA3665"/>
    <w:rsid w:val="618E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2808</Words>
  <Characters>2987</Characters>
  <Lines>0</Lines>
  <Paragraphs>0</Paragraphs>
  <TotalTime>14</TotalTime>
  <ScaleCrop>false</ScaleCrop>
  <LinksUpToDate>false</LinksUpToDate>
  <CharactersWithSpaces>3022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2024-07-02T08:30:00Z</dcterms:created>
  <dc:creator>admin</dc:creator>
  <cp:lastModifiedBy>admin</cp:lastModifiedBy>
  <dcterms:modified xsi:type="dcterms:W3CDTF">2024-07-02T08:51:41Z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9FC536B00D8F48E79939E2D69F311FDB_11</vt:lpwstr>
  </property>
</Properties>
</file>