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8F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ascii="微软雅黑" w:hAnsi="微软雅黑" w:eastAsia="微软雅黑" w:cs="微软雅黑"/>
          <w:i w:val="0"/>
          <w:iCs w:val="0"/>
          <w:caps w:val="0"/>
          <w:color w:val="333333"/>
          <w:spacing w:val="0"/>
          <w:sz w:val="32"/>
          <w:szCs w:val="32"/>
          <w:shd w:val="clear" w:fill="FFFFFF"/>
        </w:rPr>
      </w:pPr>
      <w:r>
        <w:rPr>
          <w:rFonts w:hint="eastAsia" w:ascii="Times New Roman" w:hAnsi="Times New Roman" w:eastAsia="方正小标宋简体" w:cs="Times New Roman"/>
          <w:b w:val="0"/>
          <w:bCs w:val="0"/>
          <w:color w:val="auto"/>
          <w:kern w:val="0"/>
          <w:sz w:val="44"/>
          <w:szCs w:val="44"/>
          <w:highlight w:val="none"/>
          <w:u w:val="none" w:color="auto"/>
          <w:shd w:val="clear" w:color="auto" w:fill="auto"/>
          <w:lang w:val="en-US" w:eastAsia="zh-CN" w:bidi="ar-SA"/>
        </w:rPr>
        <w:t>金寨县斑竹园镇2022年政府信息公开工作年度报告</w:t>
      </w:r>
    </w:p>
    <w:p w14:paraId="65D18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本报告依据《中华人民共和国政府信息公开条例》（国务院令第</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711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号，以下简称新《条例》）、《六安市政务公开办公室关于做</w:t>
      </w:r>
      <w:bookmarkStart w:id="0" w:name="_GoBack"/>
      <w:bookmarkEnd w:id="0"/>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好政府信息公开年度报告编制和发布工作的通知》（六政务公开办</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〔2022〕53</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号）和《金寨县政务公开办公室关于做好</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年度政府信息公开年度报告编制和发布工作的通知》（金政公开</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〔2023〕1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月</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日至</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月</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日，报告的电子版可在金寨县信息公开网下载（网址：</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https://www.ahjinzhai.gov.cn</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）。如对本报告有任何疑问，请与斑竹园镇人民政府办公室联系（地址：斑竹园镇人民政府二楼，电话：</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0564--7631001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，邮编：</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237371）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w:t>
      </w:r>
    </w:p>
    <w:p w14:paraId="08EFC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一、总体情况</w:t>
      </w:r>
    </w:p>
    <w:p w14:paraId="5F2BA3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年，斑竹园镇在县委、县政府的领导下，认真贯彻省、市、县年度政务公开工作决策部署，坚持公开为常态原则，不断深化政务公开标准化规范化建设，以公开促落实、促规范、促服务。</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年全镇公开各类政府信息</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3461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条，其中主动公开</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463</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w:t>
      </w:r>
    </w:p>
    <w:p w14:paraId="40BDCB0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（一）主动公开情况</w:t>
      </w:r>
    </w:p>
    <w:p w14:paraId="32BB86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一是及时回应关切问题。针对住房保障、安全生产、食品药品安全、城市管理、养老服务、脱贫民生等问题，设立专门回应栏，对群众关注的热点、焦点及时做出回应。</w:t>
      </w:r>
    </w:p>
    <w:p w14:paraId="1E1AB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二是强化重点领域信息公开。</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年斑竹园镇信息公开工作根据镇党委政府年初工作计划，围绕脱贫攻坚与乡村振兴有效衔接工作，及时发布群众高度关注领域信息，其中累计公开扶贫领域类信息</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67</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条；财政资金信息</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175</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条；应急管理</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39</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条；土地征收</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23</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条；行政权力信息</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57</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条。社会救助、就业创业、义务教育、医疗卫生、公共卫生服务、粮食安全、残疾人服务等各类信息</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900</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余条。</w:t>
      </w:r>
    </w:p>
    <w:p w14:paraId="3AA72F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三是加强信息解读。加大各类应急预案公开和公共卫生知识普及力度，及时准确发布疫情信息，有效运用政府网站、微信和村级广播等平台，大力宣传，迅速反应，正面回应，多渠道宣传推广。</w:t>
      </w:r>
    </w:p>
    <w:p w14:paraId="6F30AD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年斑竹园镇加强视频解读力度，丰富解读形式，媒体视频动漫解读</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条，积极回应社会关切</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15</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条，涉及疫情防控、交通出行、就业岗位、健康知识等群众关注的经济社会热点领域，切实做到群众诉求有着落、有回音。</w:t>
      </w:r>
    </w:p>
    <w:p w14:paraId="4EDCF75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（二）依申请公开</w:t>
      </w:r>
    </w:p>
    <w:p w14:paraId="78AAE3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斑竹园镇高度重视依申请公开工作，不断完善制度机制，坚持依法规范办理，切实保障公众知情权。截止</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月</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日，收到公民政府信息公开申请</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件，按时办结</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件，办结率</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100％</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w:t>
      </w:r>
    </w:p>
    <w:p w14:paraId="448C12B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（三）政府信息管理</w:t>
      </w:r>
    </w:p>
    <w:p w14:paraId="62842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年斑竹园镇实行“三审”制度，由经办人初审、分管负责别人复审、主要负责人终审，对信息公开中涉及个人的信息方面做好个人隐私保护；对政务公开的保密审查工作贯彻相关政策制度，对应公开的及时公开。</w:t>
      </w:r>
    </w:p>
    <w:p w14:paraId="70651C9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（四）政府信息公开平台建设情况</w:t>
      </w:r>
    </w:p>
    <w:p w14:paraId="595E78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一是结合县政府信息公开相关文件,改革建立相关网站建设，其中两化专题，由</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2021</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30</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个领域，精简至</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16</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个，其中新增自然资源、交通运输两个领域。二是加快政务专区建设，</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年年底已完成专区建设。</w:t>
      </w:r>
    </w:p>
    <w:p w14:paraId="1B0CE7E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（五）监督保障</w:t>
      </w:r>
    </w:p>
    <w:p w14:paraId="55EFD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一是定期开展业务培训会提升经办人员业务能力。二是针对涉密信息，涉及隐私信息，严格审核修改，确保不出现隐私泄露情况。三是</w:t>
      </w:r>
      <w:r>
        <w:rPr>
          <w:rFonts w:ascii="方正仿宋_GBK" w:hAnsi="方正仿宋_GBK" w:eastAsia="方正仿宋_GBK" w:cs="方正仿宋_GBK"/>
          <w:i w:val="0"/>
          <w:iCs w:val="0"/>
          <w:caps w:val="0"/>
          <w:color w:val="000000"/>
          <w:spacing w:val="0"/>
          <w:sz w:val="32"/>
          <w:szCs w:val="32"/>
          <w:shd w:val="clear" w:fill="FFFFFF"/>
        </w:rPr>
        <w:t>将市、县每月监测情况，作为对乡政务公开工作人员考核的重要指标</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年斑竹园镇政务公开工作社会评议良好，未产生责任追究相关问题和结果。</w:t>
      </w:r>
    </w:p>
    <w:p w14:paraId="23FCA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14:paraId="4EDD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14:paraId="59A3DA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第二十条第（一）项</w:t>
            </w:r>
          </w:p>
        </w:tc>
      </w:tr>
      <w:tr w14:paraId="3B4A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18625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C493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本年制发件数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4B916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本年废止件数</w:t>
            </w:r>
          </w:p>
        </w:tc>
        <w:tc>
          <w:tcPr>
            <w:tcW w:w="2435" w:type="dxa"/>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76F94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现行有效件数</w:t>
            </w:r>
          </w:p>
        </w:tc>
      </w:tr>
      <w:tr w14:paraId="0C87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51CB5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规章</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79A63A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6AF1E0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73CB1E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2142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939FC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行政规范性文件</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02F6E3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eastAsia="宋体" w:cs="Calibri"/>
                <w:sz w:val="21"/>
                <w:szCs w:val="21"/>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119353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2570E8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w:t>
            </w:r>
          </w:p>
        </w:tc>
      </w:tr>
      <w:tr w14:paraId="0446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516A62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第二十条第（五）项</w:t>
            </w:r>
          </w:p>
        </w:tc>
      </w:tr>
      <w:tr w14:paraId="1EEF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04407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168034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55F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4BC3A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4F441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Calibri" w:hAnsi="Calibri" w:cs="Calibri"/>
                <w:color w:val="000000"/>
                <w:sz w:val="21"/>
                <w:szCs w:val="21"/>
              </w:rPr>
              <w:t>86</w:t>
            </w:r>
          </w:p>
        </w:tc>
      </w:tr>
      <w:tr w14:paraId="4B69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1B8709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第二十条第（六）项</w:t>
            </w:r>
          </w:p>
        </w:tc>
      </w:tr>
      <w:tr w14:paraId="6E95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8D540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3060A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051A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A9414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430EC3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26　</w:t>
            </w:r>
          </w:p>
        </w:tc>
      </w:tr>
      <w:tr w14:paraId="2253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0534B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1CE92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0　</w:t>
            </w:r>
          </w:p>
        </w:tc>
      </w:tr>
      <w:tr w14:paraId="6466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501889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第二十条第（八）项</w:t>
            </w:r>
          </w:p>
        </w:tc>
      </w:tr>
      <w:tr w14:paraId="46C4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48845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61DB6D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本年收费金额（单位：万元）</w:t>
            </w:r>
          </w:p>
        </w:tc>
      </w:tr>
      <w:tr w14:paraId="3B3E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F5228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14D56D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0</w:t>
            </w:r>
          </w:p>
        </w:tc>
      </w:tr>
    </w:tbl>
    <w:p w14:paraId="3ECC1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三、收到和处理政府信息公开申请情况</w:t>
      </w:r>
    </w:p>
    <w:p w14:paraId="1E3FCF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default" w:ascii="Calibri" w:hAnsi="Calibri" w:cs="Calibri"/>
          <w:sz w:val="24"/>
          <w:szCs w:val="24"/>
        </w:rPr>
      </w:pPr>
      <w:r>
        <w:rPr>
          <w:rFonts w:hint="eastAsia" w:ascii="微软雅黑" w:hAnsi="微软雅黑" w:eastAsia="微软雅黑" w:cs="微软雅黑"/>
          <w:i w:val="0"/>
          <w:iCs w:val="0"/>
          <w:caps w:val="0"/>
          <w:color w:val="000000"/>
          <w:spacing w:val="0"/>
          <w:sz w:val="24"/>
          <w:szCs w:val="24"/>
          <w:shd w:val="clear" w:fill="FFFFFF"/>
        </w:rPr>
        <w:t> </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5"/>
        <w:gridCol w:w="887"/>
        <w:gridCol w:w="2555"/>
        <w:gridCol w:w="596"/>
        <w:gridCol w:w="621"/>
        <w:gridCol w:w="621"/>
        <w:gridCol w:w="621"/>
        <w:gridCol w:w="621"/>
        <w:gridCol w:w="622"/>
        <w:gridCol w:w="622"/>
      </w:tblGrid>
      <w:tr w14:paraId="2CDD87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14:paraId="6F96EE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32532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申请人情况</w:t>
            </w:r>
          </w:p>
        </w:tc>
      </w:tr>
      <w:tr w14:paraId="629712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14:paraId="0DE3422F">
            <w:pPr>
              <w:rPr>
                <w:rFonts w:hint="default" w:ascii="Times New Roman" w:hAnsi="Times New Roman" w:cs="Times New Roman"/>
                <w:sz w:val="20"/>
                <w:szCs w:val="20"/>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14:paraId="36303B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2558D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14:paraId="7941B3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4CD810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outset" w:color="auto" w:sz="6" w:space="0"/>
              <w:right w:val="single" w:color="auto" w:sz="6" w:space="0"/>
            </w:tcBorders>
            <w:shd w:val="clear" w:color="auto" w:fill="auto"/>
            <w:tcMar>
              <w:left w:w="108" w:type="dxa"/>
              <w:right w:w="108" w:type="dxa"/>
            </w:tcMar>
            <w:vAlign w:val="center"/>
          </w:tcPr>
          <w:p w14:paraId="46049A0F">
            <w:pPr>
              <w:rPr>
                <w:rFonts w:hint="default" w:ascii="Times New Roman" w:hAnsi="Times New Roman" w:cs="Times New Roman"/>
                <w:sz w:val="20"/>
                <w:szCs w:val="20"/>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14:paraId="176DFA0E">
            <w:pPr>
              <w:rPr>
                <w:rFonts w:hint="default" w:ascii="Times New Roman" w:hAnsi="Times New Roman" w:cs="Times New Roman"/>
                <w:sz w:val="20"/>
                <w:szCs w:val="20"/>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60753A9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商业</w:t>
            </w:r>
          </w:p>
          <w:p w14:paraId="02D89F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616916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科研</w:t>
            </w:r>
          </w:p>
          <w:p w14:paraId="3303A9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0EAD8C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DD3D6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5F009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single" w:color="auto" w:sz="6" w:space="0"/>
              <w:left w:val="nil"/>
              <w:bottom w:val="outset" w:color="auto" w:sz="6" w:space="0"/>
              <w:right w:val="single" w:color="auto" w:sz="6" w:space="0"/>
            </w:tcBorders>
            <w:shd w:val="clear" w:color="auto" w:fill="auto"/>
            <w:tcMar>
              <w:left w:w="108" w:type="dxa"/>
              <w:right w:w="108" w:type="dxa"/>
            </w:tcMar>
            <w:vAlign w:val="center"/>
          </w:tcPr>
          <w:p w14:paraId="6DC8FA62">
            <w:pPr>
              <w:rPr>
                <w:rFonts w:hint="default" w:ascii="Times New Roman" w:hAnsi="Times New Roman" w:cs="Times New Roman"/>
                <w:sz w:val="20"/>
                <w:szCs w:val="20"/>
              </w:rPr>
            </w:pPr>
          </w:p>
        </w:tc>
      </w:tr>
      <w:tr w14:paraId="3165F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377DC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63472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ascii="仿宋_GB2312" w:hAnsi="Calibri" w:eastAsia="仿宋_GB2312" w:cs="仿宋_GB2312"/>
                <w:color w:val="000000"/>
                <w:sz w:val="28"/>
                <w:szCs w:val="28"/>
              </w:rPr>
              <w:t>1</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920A6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D6C7B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E8A4F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5BEBE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712F0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57CC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1</w:t>
            </w:r>
          </w:p>
        </w:tc>
      </w:tr>
      <w:tr w14:paraId="19C167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764A6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3CAE1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3EBC5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E3EB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6C15E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14A34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5ABAD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5EA3C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241C8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restart"/>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7671D4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9814F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A9D31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CB80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CCDB8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4F08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D7653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ADA3D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14:paraId="6EDC7D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276F0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53026856">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E0DE8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CB1A8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D1F47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AEB9E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17D0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51042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7B897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244AB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365469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564E80DA">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14:paraId="676E0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D6D9C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5DAFD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E5AE4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46CC9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E22F4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202A3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CE0F1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single" w:color="auto" w:sz="6" w:space="0"/>
              <w:left w:val="nil"/>
              <w:bottom w:val="single" w:color="auto" w:sz="6" w:space="0"/>
              <w:right w:val="single" w:color="auto" w:sz="6" w:space="0"/>
            </w:tcBorders>
            <w:shd w:val="clear" w:color="auto" w:fill="auto"/>
            <w:tcMar>
              <w:left w:w="57" w:type="dxa"/>
              <w:right w:w="57" w:type="dxa"/>
            </w:tcMar>
            <w:vAlign w:val="top"/>
          </w:tcPr>
          <w:p w14:paraId="1415DC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72735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4824C2F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7A059BF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56C9A5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AF029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4D5001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1DF2C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9AA9B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55EFF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7B0CF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696C3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791894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4086343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3C3D8167">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BBBC1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3.危及“三安全一稳定”</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FFAA2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8C6FB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30B4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031E0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06335D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D9D3C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BAA02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471D7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5081431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506AA9B9">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3E423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60DFB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7E325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CE049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E338D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7B39C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A68CA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C6F5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24814B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5AE22E7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45D8EC4B">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57F91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5.属于三类内部事务信息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06FEF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BE2B6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583414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28C80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4A7D0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4F10C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3439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412CED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795C39F8">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25B19658">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9701F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1A2BF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4911A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7FD26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51577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83C8A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0483B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0EE9E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2C952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72378595">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437BF629">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75803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A95C5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AFE90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416198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B6F0E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A1C76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0A55B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66B0E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15926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5E8ED6C4">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736E140A">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3603D1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EA55A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9650E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5A83BA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1A261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70F90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C404E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72018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33294F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6AA4B077">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14:paraId="62ED5D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B39A4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F48D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1</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0411F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20D26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6F193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4C417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DE03B1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F7BA7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1</w:t>
            </w:r>
          </w:p>
        </w:tc>
      </w:tr>
      <w:tr w14:paraId="5C308A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3CB43057">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60067E6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224B2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E939D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83318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09D73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6B1C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A31EA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8A5F35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D3BE3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27A72E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1783D160">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7C87035F">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E2A53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1A9E8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CFE9F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49581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F415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53635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6D9A5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F48D2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789B1C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3EA15BAF">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14:paraId="48CD87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58441F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B3DED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CD56F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3DC9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9B474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D1643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84328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157CB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45C509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3699C462">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7D8E6AD2">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95394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34D2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17D0E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DF1AA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FE54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F0674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4834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53349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5BE69B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28C6AE23">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637577C1">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55106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2BF18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CB5CE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E4EF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27BC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6D720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A9D9E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C9B18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3F2CE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6B31695F">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6A6F8265">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409D9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B1F6F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6BA92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10E6B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2E3F1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463C4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3D7F6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4CCF1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143E0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412F86DE">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4D8F4757">
            <w:pPr>
              <w:rPr>
                <w:rFonts w:hint="default" w:ascii="Times New Roman" w:hAnsi="Times New Roman" w:cs="Times New Roman"/>
                <w:sz w:val="20"/>
                <w:szCs w:val="20"/>
              </w:rPr>
            </w:pPr>
          </w:p>
        </w:tc>
        <w:tc>
          <w:tcPr>
            <w:tcW w:w="3219" w:type="dxa"/>
            <w:tcBorders>
              <w:top w:val="nil"/>
              <w:left w:val="nil"/>
              <w:bottom w:val="outset" w:color="auto" w:sz="6" w:space="0"/>
              <w:right w:val="single" w:color="auto" w:sz="6" w:space="0"/>
            </w:tcBorders>
            <w:shd w:val="clear" w:color="auto" w:fill="auto"/>
            <w:tcMar>
              <w:left w:w="57" w:type="dxa"/>
              <w:right w:w="57" w:type="dxa"/>
            </w:tcMar>
            <w:vAlign w:val="center"/>
          </w:tcPr>
          <w:p w14:paraId="37AC68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77CF3B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21BF8A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0FFEE7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53CF82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372550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377D8E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outset" w:color="auto" w:sz="6" w:space="0"/>
              <w:right w:val="single" w:color="auto" w:sz="6" w:space="0"/>
            </w:tcBorders>
            <w:shd w:val="clear" w:color="auto" w:fill="auto"/>
            <w:tcMar>
              <w:left w:w="57" w:type="dxa"/>
              <w:right w:w="57" w:type="dxa"/>
            </w:tcMar>
            <w:vAlign w:val="top"/>
          </w:tcPr>
          <w:p w14:paraId="049D7D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024420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3D1C39E5">
            <w:pPr>
              <w:rPr>
                <w:rFonts w:hint="default" w:ascii="Times New Roman" w:hAnsi="Times New Roman" w:cs="Times New Roman"/>
                <w:sz w:val="20"/>
                <w:szCs w:val="20"/>
              </w:rPr>
            </w:pPr>
          </w:p>
        </w:tc>
        <w:tc>
          <w:tcPr>
            <w:tcW w:w="943" w:type="dxa"/>
            <w:vMerge w:val="restart"/>
            <w:tcBorders>
              <w:top w:val="nil"/>
              <w:left w:val="nil"/>
              <w:bottom w:val="outset" w:color="auto" w:sz="6" w:space="0"/>
              <w:right w:val="single" w:color="auto" w:sz="6" w:space="0"/>
            </w:tcBorders>
            <w:shd w:val="clear" w:color="auto" w:fill="auto"/>
            <w:tcMar>
              <w:left w:w="57" w:type="dxa"/>
              <w:right w:w="57" w:type="dxa"/>
            </w:tcMar>
            <w:vAlign w:val="center"/>
          </w:tcPr>
          <w:p w14:paraId="349C1C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6DAE8A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FADDD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4086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8952E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2AE09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84ED3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D96E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76F5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19EF5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6C982F1D">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65D3D680">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3D4BD2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18FA6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ADA95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E8167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55AEB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2C98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EF7AA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209CF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7083E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29F510FB">
            <w:pPr>
              <w:rPr>
                <w:rFonts w:hint="default" w:ascii="Times New Roman" w:hAnsi="Times New Roman" w:cs="Times New Roman"/>
                <w:sz w:val="20"/>
                <w:szCs w:val="20"/>
              </w:rPr>
            </w:pPr>
          </w:p>
        </w:tc>
        <w:tc>
          <w:tcPr>
            <w:tcW w:w="943" w:type="dxa"/>
            <w:vMerge w:val="continue"/>
            <w:tcBorders>
              <w:top w:val="nil"/>
              <w:left w:val="nil"/>
              <w:bottom w:val="outset" w:color="auto" w:sz="6" w:space="0"/>
              <w:right w:val="single" w:color="auto" w:sz="6" w:space="0"/>
            </w:tcBorders>
            <w:shd w:val="clear" w:color="auto" w:fill="auto"/>
            <w:tcMar>
              <w:left w:w="57" w:type="dxa"/>
              <w:right w:w="57" w:type="dxa"/>
            </w:tcMar>
            <w:vAlign w:val="center"/>
          </w:tcPr>
          <w:p w14:paraId="362A4FBF">
            <w:pPr>
              <w:rPr>
                <w:rFonts w:hint="default" w:ascii="Times New Roman" w:hAnsi="Times New Roman" w:cs="Times New Roman"/>
                <w:sz w:val="20"/>
                <w:szCs w:val="20"/>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1EE417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A105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50F62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54AB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F6576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5A93E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677BA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24D06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r w14:paraId="075390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outset" w:color="auto" w:sz="6" w:space="0"/>
              <w:right w:val="single" w:color="auto" w:sz="6" w:space="0"/>
            </w:tcBorders>
            <w:shd w:val="clear" w:color="auto" w:fill="auto"/>
            <w:tcMar>
              <w:left w:w="57" w:type="dxa"/>
              <w:right w:w="57" w:type="dxa"/>
            </w:tcMar>
            <w:vAlign w:val="center"/>
          </w:tcPr>
          <w:p w14:paraId="3B0D9AB6">
            <w:pPr>
              <w:rPr>
                <w:rFonts w:hint="default" w:ascii="Times New Roman" w:hAnsi="Times New Roman" w:cs="Times New Roman"/>
                <w:sz w:val="20"/>
                <w:szCs w:val="20"/>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60493C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14B6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1</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BFFDD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79DDB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FE922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B1FD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D77ED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9D395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1</w:t>
            </w:r>
          </w:p>
        </w:tc>
      </w:tr>
      <w:tr w14:paraId="7D3C0E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5E6C4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8182B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E4DF11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9BBDC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D8FCA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7B39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9561E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2C71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default" w:ascii="仿宋_GB2312" w:hAnsi="Calibri" w:eastAsia="仿宋_GB2312" w:cs="仿宋_GB2312"/>
                <w:color w:val="000000"/>
                <w:sz w:val="28"/>
                <w:szCs w:val="28"/>
              </w:rPr>
              <w:t>0</w:t>
            </w:r>
          </w:p>
        </w:tc>
      </w:tr>
    </w:tbl>
    <w:p w14:paraId="13445C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jc w:val="center"/>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shd w:val="clear" w:fill="FFFFFF"/>
        </w:rPr>
        <w:t> </w:t>
      </w:r>
    </w:p>
    <w:p w14:paraId="7F2E2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四、政府信息公开行政复议、行政诉讼情况</w:t>
      </w:r>
    </w:p>
    <w:p w14:paraId="30AC8D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jc w:val="center"/>
        <w:rPr>
          <w:rFonts w:hint="default" w:ascii="Calibri" w:hAnsi="Calibri" w:cs="Calibri"/>
          <w:sz w:val="21"/>
          <w:szCs w:val="21"/>
        </w:rPr>
      </w:pPr>
      <w:r>
        <w:rPr>
          <w:rFonts w:hint="eastAsia" w:ascii="微软雅黑" w:hAnsi="微软雅黑" w:eastAsia="微软雅黑" w:cs="微软雅黑"/>
          <w:i w:val="0"/>
          <w:iCs w:val="0"/>
          <w:caps w:val="0"/>
          <w:color w:val="000000"/>
          <w:spacing w:val="0"/>
          <w:sz w:val="24"/>
          <w:szCs w:val="24"/>
          <w:shd w:val="clear" w:fill="FFFFFF"/>
        </w:rPr>
        <w:t> </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568"/>
        <w:gridCol w:w="568"/>
        <w:gridCol w:w="568"/>
        <w:gridCol w:w="568"/>
        <w:gridCol w:w="568"/>
        <w:gridCol w:w="568"/>
        <w:gridCol w:w="568"/>
        <w:gridCol w:w="568"/>
        <w:gridCol w:w="568"/>
        <w:gridCol w:w="568"/>
        <w:gridCol w:w="568"/>
        <w:gridCol w:w="568"/>
        <w:gridCol w:w="569"/>
        <w:gridCol w:w="569"/>
      </w:tblGrid>
      <w:tr w14:paraId="0A0FFC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260B0B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7997E6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行政诉讼</w:t>
            </w:r>
          </w:p>
        </w:tc>
      </w:tr>
      <w:tr w14:paraId="67E35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4DFC1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07F381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6D444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DC2DB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9B198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D7048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7742B8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复议后起诉</w:t>
            </w:r>
          </w:p>
        </w:tc>
      </w:tr>
      <w:tr w14:paraId="74D3F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855AC2E">
            <w:pPr>
              <w:rPr>
                <w:rFonts w:hint="default" w:ascii="Times New Roman" w:hAnsi="Times New Roman" w:cs="Times New Roman"/>
                <w:sz w:val="20"/>
                <w:szCs w:val="20"/>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02C4FB4D">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4FD23F4">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8C33BFE">
            <w:pPr>
              <w:rPr>
                <w:rFonts w:hint="default" w:ascii="Times New Roman" w:hAnsi="Times New Roman" w:cs="Times New Roman"/>
                <w:sz w:val="20"/>
                <w:szCs w:val="20"/>
              </w:rPr>
            </w:pPr>
          </w:p>
        </w:tc>
        <w:tc>
          <w:tcPr>
            <w:tcW w:w="649" w:type="dxa"/>
            <w:vMerge w:val="continue"/>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7835A86">
            <w:pPr>
              <w:rPr>
                <w:rFonts w:hint="default" w:ascii="Times New Roman" w:hAnsi="Times New Roman" w:cs="Times New Roman"/>
                <w:sz w:val="20"/>
                <w:szCs w:val="20"/>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48956C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A5CDE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4F6F5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6CE16B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6F0541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9C4BA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54CF5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5CE0A6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3CA75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23882B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4618C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AE5D2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1E5802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3BC1FB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47BB24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2D97F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A25BC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1B339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6B354F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37D439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957C4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6132F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58DEFD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4D4FA0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5A2C20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362E01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p>
        </w:tc>
      </w:tr>
    </w:tbl>
    <w:p w14:paraId="113EC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jc w:val="left"/>
        <w:rPr>
          <w:rFonts w:hint="default" w:ascii="Calibri" w:hAnsi="Calibri" w:cs="Calibri"/>
          <w:sz w:val="21"/>
          <w:szCs w:val="21"/>
        </w:rPr>
      </w:pPr>
      <w:r>
        <w:rPr>
          <w:rFonts w:hint="eastAsia" w:ascii="微软雅黑" w:hAnsi="微软雅黑" w:eastAsia="微软雅黑" w:cs="微软雅黑"/>
          <w:i w:val="0"/>
          <w:iCs w:val="0"/>
          <w:caps w:val="0"/>
          <w:color w:val="000000"/>
          <w:spacing w:val="0"/>
          <w:sz w:val="32"/>
          <w:szCs w:val="32"/>
          <w:shd w:val="clear" w:fill="FFFFFF"/>
        </w:rPr>
        <w:t> </w:t>
      </w:r>
    </w:p>
    <w:p w14:paraId="5A6D6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五、存在的主要问题及改进情况</w:t>
      </w:r>
    </w:p>
    <w:p w14:paraId="3C69D6F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（一）</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2022</w:t>
      </w:r>
      <w:r>
        <w:rPr>
          <w:rFonts w:hint="eastAsia" w:ascii="楷体" w:hAnsi="楷体" w:eastAsia="楷体" w:cs="楷体"/>
          <w:b/>
          <w:bCs/>
          <w:i w:val="0"/>
          <w:iCs w:val="0"/>
          <w:caps w:val="0"/>
          <w:color w:val="333333"/>
          <w:spacing w:val="0"/>
          <w:kern w:val="0"/>
          <w:sz w:val="32"/>
          <w:szCs w:val="32"/>
          <w:shd w:val="clear" w:fill="FFFFFF"/>
          <w:lang w:val="en-US" w:eastAsia="zh-CN" w:bidi="ar"/>
        </w:rPr>
        <w:t>年存在的主要问题及改进情况</w:t>
      </w:r>
    </w:p>
    <w:p w14:paraId="41E77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3"/>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存在问题：一是公开深度不够。信息公开时效性不强、深度不够、质量不高、内容不全等问题，在各领域仍然不同程度存在。二是落实力度不够。部分部门信息公开意识不强，群众关心关注的信息公开不及时、不全面、不具体，与真正畅通联系群众“最后一公里”还有一定距离。</w:t>
      </w:r>
    </w:p>
    <w:p w14:paraId="6884B0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改进情况：一是进一步规范公开内容、形式、程序和监督保障措施，推进“两化”公开专栏建设，进一步明确“两化”的主体、内容、时限、方式等，不断提升主动公开的标准规范化水平。二是完善政务公开催办机制，增加政务公开专职人员，加大对村政务公开考核力度，坚持政府信息公开日查网月度通报制度，加大政府信息公开网栏目维护监督管理力度。定期对各部门网站信息进行测评，针对测评结果下发整改通知书，限期整改完毕并反馈，公开办集中人员进行整改复核，未整改的及时催办，催办未整改的进行通报。加强政务公开监督检查，增强工作推力，确保政务公开取得成效。</w:t>
      </w:r>
    </w:p>
    <w:p w14:paraId="4CF1BB3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leftChars="0" w:right="0" w:rightChars="0" w:firstLine="643" w:firstLineChars="200"/>
        <w:jc w:val="left"/>
        <w:textAlignment w:val="auto"/>
        <w:rPr>
          <w:rFonts w:hint="default"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（二）当前存在的主要问题及改进措施</w:t>
      </w:r>
    </w:p>
    <w:p w14:paraId="77C61A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存在问题：一是个别科室、站所在工作部署和人员安排上不够重视，责任不够明确，未按照任务分解表及时报送相关信息，时效性有待加强。</w:t>
      </w:r>
    </w:p>
    <w:p w14:paraId="2EEC7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二是我镇政务公开培训和工作交流较少，整体质量和水平得不到明显提高和改善。</w:t>
      </w:r>
    </w:p>
    <w:p w14:paraId="6908DD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改进措施：一是明确部门责任制，督促各科室明确相关负责人，责任到个人，加强监督指导。采取交流督查等形式，重点加强对政务公开工作人员的培训和指导，确保信息公开的及时性、准确性和规范性。二是积极参加、开展政务公开培训，积极开展工作交流，加强与上级主管部门的沟通，同时也加强与其他乡镇的工作交流，取长补短，共同进步。</w:t>
      </w:r>
    </w:p>
    <w:p w14:paraId="2005C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left="0" w:right="0" w:firstLine="640" w:firstLineChars="200"/>
        <w:jc w:val="left"/>
        <w:textAlignment w:val="auto"/>
        <w:rPr>
          <w:rFonts w:hint="default" w:ascii="黑体" w:hAnsi="宋体" w:eastAsia="黑体" w:cs="黑体"/>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lang w:val="en-US" w:eastAsia="zh-CN"/>
        </w:rPr>
        <w:t>六、其他需要报告的事项</w:t>
      </w:r>
    </w:p>
    <w:p w14:paraId="4AC31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40"/>
        <w:jc w:val="left"/>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按照《国务院办公厅关于印发〈政府信息公开信息处理费管理办法〉的通知》（国办函</w:t>
      </w:r>
      <w:r>
        <w:rPr>
          <w:rFonts w:hint="eastAsia" w:ascii="Times New Roman" w:hAnsi="Times New Roman" w:eastAsia="方正仿宋_GBK" w:cs="Times New Roman"/>
          <w:i w:val="0"/>
          <w:iCs w:val="0"/>
          <w:caps w:val="0"/>
          <w:color w:val="333333"/>
          <w:spacing w:val="0"/>
          <w:kern w:val="2"/>
          <w:sz w:val="32"/>
          <w:szCs w:val="32"/>
          <w:shd w:val="clear" w:fill="FFFFFF"/>
          <w:lang w:val="en-US" w:eastAsia="zh-CN" w:bidi="ar-SA"/>
        </w:rPr>
        <w:t>〔2020〕109</w:t>
      </w: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号）规定的按件、按量收费标准，本年度没有产生信息公开处理费。</w:t>
      </w:r>
    </w:p>
    <w:p w14:paraId="4FAE5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right="0" w:firstLine="640"/>
        <w:jc w:val="left"/>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2C9AD0-38C6-4B1A-94FA-DE72A41139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5B37F4E-6490-4C01-ABA4-D1F3EA8548D4}"/>
  </w:font>
  <w:font w:name="微软雅黑">
    <w:panose1 w:val="020B0503020204020204"/>
    <w:charset w:val="86"/>
    <w:family w:val="auto"/>
    <w:pitch w:val="default"/>
    <w:sig w:usb0="80000287" w:usb1="2ACF3C50" w:usb2="00000016" w:usb3="00000000" w:csb0="0004001F" w:csb1="00000000"/>
    <w:embedRegular r:id="rId3" w:fontKey="{3AF789EE-18AF-4A6B-B5A2-73BDC7C0E6E9}"/>
  </w:font>
  <w:font w:name="方正小标宋简体">
    <w:panose1 w:val="02000000000000000000"/>
    <w:charset w:val="86"/>
    <w:family w:val="auto"/>
    <w:pitch w:val="default"/>
    <w:sig w:usb0="00000001" w:usb1="08000000" w:usb2="00000000" w:usb3="00000000" w:csb0="00040000" w:csb1="00000000"/>
    <w:embedRegular r:id="rId4" w:fontKey="{82203D2B-74F7-4F18-A552-61797EC8B067}"/>
  </w:font>
  <w:font w:name="方正仿宋_GBK">
    <w:panose1 w:val="02000000000000000000"/>
    <w:charset w:val="86"/>
    <w:family w:val="auto"/>
    <w:pitch w:val="default"/>
    <w:sig w:usb0="00000001" w:usb1="080E0000" w:usb2="00000000" w:usb3="00000000" w:csb0="00040000" w:csb1="00000000"/>
    <w:embedRegular r:id="rId5" w:fontKey="{0777B2CA-009E-4A62-B648-FE238270C7F0}"/>
  </w:font>
  <w:font w:name="楷体">
    <w:panose1 w:val="02010609060101010101"/>
    <w:charset w:val="86"/>
    <w:family w:val="auto"/>
    <w:pitch w:val="default"/>
    <w:sig w:usb0="800002BF" w:usb1="38CF7CFA" w:usb2="00000016" w:usb3="00000000" w:csb0="00040001" w:csb1="00000000"/>
    <w:embedRegular r:id="rId6" w:fontKey="{B4633552-FBD4-4E1B-9201-8A30E60F07B5}"/>
  </w:font>
  <w:font w:name="仿宋_GB2312">
    <w:altName w:val="仿宋"/>
    <w:panose1 w:val="00000000000000000000"/>
    <w:charset w:val="00"/>
    <w:family w:val="auto"/>
    <w:pitch w:val="default"/>
    <w:sig w:usb0="00000000" w:usb1="00000000" w:usb2="00000000" w:usb3="00000000" w:csb0="00000000" w:csb1="00000000"/>
    <w:embedRegular r:id="rId7" w:fontKey="{9FF9E247-29B8-41C2-8C98-0A90D0EB390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jg5OGRhZjdhOGJhY2QzNjIyNTUwNTZkMDY3YzIifQ=="/>
  </w:docVars>
  <w:rsids>
    <w:rsidRoot w:val="17636C6C"/>
    <w:rsid w:val="17636C6C"/>
    <w:rsid w:val="5E22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2957</Words>
  <Characters>3097</Characters>
  <Lines>0</Lines>
  <Paragraphs>0</Paragraphs>
  <TotalTime>8</TotalTime>
  <ScaleCrop>false</ScaleCrop>
  <LinksUpToDate>false</LinksUpToDate>
  <CharactersWithSpaces>3103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2024-02-21T00:38:00Z</dcterms:created>
  <dc:creator>婉</dc:creator>
  <cp:lastModifiedBy>婉</cp:lastModifiedBy>
  <dcterms:modified xsi:type="dcterms:W3CDTF">2024-08-29T03:24:55Z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0EC3B6BA0C824B4ABB1CB57C23AC958D_13</vt:lpwstr>
  </property>
</Properties>
</file>