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pacing w:val="-2"/>
          <w:sz w:val="44"/>
          <w:szCs w:val="44"/>
          <w:lang w:val="en-US"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outlineLvl w:val="9"/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val="en-US" w:eastAsia="zh-CN"/>
        </w:rPr>
      </w:pPr>
      <w:bookmarkStart w:id="0" w:name="_Toc29759"/>
      <w:bookmarkStart w:id="1" w:name="_Toc10452"/>
      <w:bookmarkStart w:id="2" w:name="_Toc5301"/>
      <w:bookmarkStart w:id="3" w:name="_Toc30784"/>
      <w:r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val="en-US" w:eastAsia="zh-CN"/>
        </w:rPr>
        <w:t>六安市金寨县</w:t>
      </w:r>
      <w:bookmarkEnd w:id="0"/>
      <w:bookmarkEnd w:id="1"/>
      <w:bookmarkEnd w:id="2"/>
      <w:bookmarkEnd w:id="3"/>
      <w:bookmarkStart w:id="4" w:name="_Toc13583"/>
      <w:bookmarkStart w:id="5" w:name="_Toc2977"/>
      <w:bookmarkStart w:id="6" w:name="_Toc27014"/>
      <w:r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val="en-US" w:eastAsia="zh-CN"/>
        </w:rPr>
        <w:t>铁冲乡铁冲</w:t>
      </w:r>
      <w:r>
        <w:rPr>
          <w:rFonts w:hint="default" w:ascii="Times New Roman" w:hAnsi="Times New Roman" w:eastAsia="方正小标宋简体" w:cs="Times New Roman"/>
          <w:color w:val="auto"/>
          <w:spacing w:val="0"/>
          <w:w w:val="100"/>
          <w:sz w:val="52"/>
          <w:szCs w:val="52"/>
          <w:lang w:val="en-US" w:eastAsia="zh-CN"/>
        </w:rPr>
        <w:t>高畈</w:t>
      </w:r>
      <w:r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val="en-US" w:eastAsia="zh-CN"/>
        </w:rPr>
        <w:t>片区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eastAsia="zh-CN"/>
        </w:rPr>
      </w:pPr>
      <w:r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val="en-US" w:eastAsia="zh-CN"/>
        </w:rPr>
        <w:t>和美乡村</w:t>
      </w:r>
      <w:r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eastAsia="zh-CN"/>
        </w:rPr>
        <w:t>精品示范村</w:t>
      </w:r>
      <w:r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val="en-US" w:eastAsia="zh-CN"/>
        </w:rPr>
        <w:t>实施</w:t>
      </w:r>
      <w:r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eastAsia="zh-CN"/>
        </w:rPr>
        <w:t>方案</w:t>
      </w:r>
      <w:bookmarkEnd w:id="4"/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/>
        <w:jc w:val="center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eastAsia="华文隶书" w:cs="Times New Roman"/>
          <w:b w:val="0"/>
          <w:bCs w:val="0"/>
          <w:color w:val="auto"/>
          <w:spacing w:val="-2"/>
          <w:kern w:val="2"/>
          <w:sz w:val="40"/>
          <w:szCs w:val="40"/>
          <w:lang w:val="en-US" w:eastAsia="zh-CN" w:bidi="ar-SA"/>
        </w:rPr>
        <w:t>映山红遍杜鹃岭 茶果香满望春谷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color w:val="auto"/>
          <w:spacing w:val="0"/>
          <w:w w:val="100"/>
          <w:sz w:val="52"/>
          <w:szCs w:val="52"/>
          <w:lang w:val="en-US" w:eastAsia="zh-CN"/>
        </w:rPr>
      </w:pPr>
      <w:r>
        <w:rPr>
          <w:rFonts w:hint="default" w:ascii="Times New Roman" w:hAnsi="Times New Roman" w:eastAsia="华文行楷" w:cs="Times New Roman"/>
          <w:color w:val="000000"/>
          <w:kern w:val="0"/>
          <w:sz w:val="52"/>
          <w:szCs w:val="52"/>
          <w:highlight w:val="none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137795</wp:posOffset>
            </wp:positionV>
            <wp:extent cx="5264150" cy="2961005"/>
            <wp:effectExtent l="0" t="0" r="8890" b="10795"/>
            <wp:wrapTight wrapText="bothSides">
              <wp:wrapPolygon>
                <wp:start x="0" y="0"/>
                <wp:lineTo x="0" y="21456"/>
                <wp:lineTo x="21511" y="21456"/>
                <wp:lineTo x="21511" y="0"/>
                <wp:lineTo x="0" y="0"/>
              </wp:wrapPolygon>
            </wp:wrapTight>
            <wp:docPr id="4" name="图片 4" descr="微信图片_2023120211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02112337"/>
                    <pic:cNvPicPr>
                      <a:picLocks noChangeAspect="1"/>
                    </pic:cNvPicPr>
                  </pic:nvPicPr>
                  <pic:blipFill>
                    <a:blip r:embed="rId6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/>
        <w:autoSpaceDN/>
        <w:adjustRightInd/>
        <w:snapToGrid/>
        <w:spacing w:line="240" w:lineRule="auto"/>
        <w:jc w:val="center"/>
        <w:outlineLvl w:val="9"/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  <w:lang w:eastAsia="zh-CN"/>
        </w:rPr>
      </w:pPr>
      <w:bookmarkStart w:id="7" w:name="_Toc28580"/>
      <w:bookmarkStart w:id="8" w:name="_Toc10541"/>
      <w:bookmarkStart w:id="9" w:name="_Toc25365"/>
      <w:bookmarkStart w:id="10" w:name="_Toc17744"/>
      <w:r>
        <w:rPr>
          <w:rFonts w:hint="default" w:ascii="Times New Roman" w:hAnsi="Times New Roman" w:eastAsia="楷体_GB2312" w:cs="Times New Roman"/>
          <w:color w:val="auto"/>
          <w:spacing w:val="-2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359410</wp:posOffset>
            </wp:positionV>
            <wp:extent cx="1610995" cy="1857375"/>
            <wp:effectExtent l="0" t="0" r="8255" b="8255"/>
            <wp:wrapNone/>
            <wp:docPr id="8" name="图片 8" descr="县政府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县政府公章"/>
                    <pic:cNvPicPr>
                      <a:picLocks noChangeAspect="1"/>
                    </pic:cNvPicPr>
                  </pic:nvPicPr>
                  <pic:blipFill>
                    <a:blip r:embed="rId7"/>
                    <a:srcRect l="43635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/>
        <w:autoSpaceDN/>
        <w:adjustRightInd/>
        <w:snapToGrid/>
        <w:spacing w:line="240" w:lineRule="auto"/>
        <w:jc w:val="center"/>
        <w:outlineLvl w:val="9"/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  <w:lang w:eastAsia="zh-CN"/>
        </w:rPr>
      </w:pPr>
    </w:p>
    <w:p>
      <w:pPr>
        <w:widowControl/>
        <w:autoSpaceDE/>
        <w:autoSpaceDN/>
        <w:adjustRightInd/>
        <w:snapToGrid/>
        <w:spacing w:line="240" w:lineRule="auto"/>
        <w:jc w:val="center"/>
        <w:outlineLvl w:val="9"/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  <w:lang w:eastAsia="zh-CN"/>
        </w:rPr>
      </w:pPr>
    </w:p>
    <w:p>
      <w:pPr>
        <w:widowControl/>
        <w:autoSpaceDE/>
        <w:autoSpaceDN/>
        <w:adjustRightInd/>
        <w:snapToGrid/>
        <w:spacing w:line="240" w:lineRule="auto"/>
        <w:jc w:val="center"/>
        <w:outlineLvl w:val="9"/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  <w:lang w:eastAsia="zh-CN"/>
        </w:rPr>
        <w:t>六安市</w:t>
      </w:r>
      <w:r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</w:rPr>
        <w:t>金寨县</w:t>
      </w:r>
      <w:bookmarkEnd w:id="7"/>
      <w:bookmarkEnd w:id="8"/>
      <w:bookmarkEnd w:id="9"/>
      <w:r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  <w:lang w:val="en-US" w:eastAsia="zh-CN"/>
        </w:rPr>
        <w:t>人民政府</w:t>
      </w:r>
      <w:bookmarkEnd w:id="10"/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outlineLvl w:val="9"/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auto"/>
          <w:spacing w:val="0"/>
          <w:sz w:val="36"/>
          <w:szCs w:val="36"/>
          <w:lang w:val="en-US" w:eastAsia="zh-CN"/>
        </w:rPr>
        <w:t>2024年1月25日</w:t>
      </w:r>
    </w:p>
    <w:sdt>
      <w:sdtPr>
        <w:rPr>
          <w:rFonts w:hint="default" w:ascii="Times New Roman" w:hAnsi="Times New Roman" w:eastAsia="宋体" w:cs="Times New Roman"/>
          <w:color w:val="auto"/>
          <w:kern w:val="2"/>
          <w:sz w:val="21"/>
          <w:szCs w:val="24"/>
          <w:lang w:val="en-US" w:eastAsia="zh-CN" w:bidi="ar-SA"/>
        </w:rPr>
        <w:id w:val="393665030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黑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宋体" w:cs="Times New Roman"/>
              <w:color w:val="auto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rPr>
              <w:rFonts w:hint="default" w:ascii="Times New Roman" w:hAnsi="Times New Roman" w:eastAsia="宋体" w:cs="Times New Roman"/>
              <w:color w:val="auto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default" w:ascii="Times New Roman" w:hAnsi="Times New Roman" w:eastAsia="宋体" w:cs="Times New Roman"/>
              <w:color w:val="auto"/>
              <w:kern w:val="2"/>
              <w:sz w:val="21"/>
              <w:szCs w:val="24"/>
              <w:lang w:val="en-US" w:eastAsia="zh-CN" w:bidi="ar-SA"/>
            </w:rPr>
            <w:br w:type="page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方正小标宋简体" w:cs="Times New Roman"/>
              <w:color w:val="auto"/>
              <w:sz w:val="44"/>
              <w:szCs w:val="52"/>
            </w:rPr>
          </w:pPr>
          <w:r>
            <w:rPr>
              <w:rFonts w:hint="default" w:ascii="Times New Roman" w:hAnsi="Times New Roman" w:eastAsia="方正小标宋简体" w:cs="Times New Roman"/>
              <w:color w:val="auto"/>
              <w:sz w:val="44"/>
              <w:szCs w:val="52"/>
            </w:rPr>
            <w:t>目</w:t>
          </w:r>
          <w:r>
            <w:rPr>
              <w:rFonts w:hint="default" w:ascii="Times New Roman" w:hAnsi="Times New Roman" w:eastAsia="方正小标宋简体" w:cs="Times New Roman"/>
              <w:color w:val="auto"/>
              <w:sz w:val="44"/>
              <w:szCs w:val="52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小标宋简体" w:cs="Times New Roman"/>
              <w:color w:val="auto"/>
              <w:sz w:val="44"/>
              <w:szCs w:val="52"/>
            </w:rPr>
            <w:t>录</w:t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 w:val="28"/>
              <w:szCs w:val="28"/>
              <w:lang w:val="en-US" w:eastAsia="zh-CN"/>
            </w:rPr>
            <w:instrText xml:space="preserve">TOC \o "1-2" \h \u </w:instrText>
          </w:r>
          <w:r>
            <w:rPr>
              <w:rFonts w:hint="default" w:ascii="Times New Roman" w:hAnsi="Times New Roman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8"/>
              <w:szCs w:val="28"/>
              <w:lang w:val="en-US" w:eastAsia="zh-CN"/>
            </w:rPr>
            <w:instrText xml:space="preserve"> HYPERLINK \l _Toc1360 </w:instrText>
          </w:r>
          <w:r>
            <w:rPr>
              <w:rFonts w:hint="default" w:ascii="Times New Roman" w:hAnsi="Times New Roman" w:eastAsia="黑体" w:cs="Times New Roman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Cs w:val="0"/>
              <w:kern w:val="2"/>
              <w:sz w:val="28"/>
              <w:szCs w:val="28"/>
              <w:lang w:val="en-US" w:eastAsia="zh-CN" w:bidi="ar-SA"/>
            </w:rPr>
            <w:t>一、</w:t>
          </w:r>
          <w:r>
            <w:rPr>
              <w:rFonts w:hint="default" w:ascii="Times New Roman" w:hAnsi="Times New Roman" w:eastAsia="黑体" w:cs="Times New Roman"/>
              <w:bCs w:val="0"/>
              <w:sz w:val="28"/>
              <w:szCs w:val="28"/>
              <w:highlight w:val="none"/>
              <w:lang w:val="en-US" w:eastAsia="zh-CN"/>
            </w:rPr>
            <w:t>基本情况</w:t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instrText xml:space="preserve"> PAGEREF _Toc1360 \h </w:instrText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t>1</w:t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  <w:lang w:val="en-US" w:eastAsia="zh-CN"/>
            </w:rPr>
            <w:instrText xml:space="preserve"> HYPERLINK \l _Toc12291 </w:instrText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bCs/>
              <w:sz w:val="28"/>
              <w:szCs w:val="28"/>
              <w:highlight w:val="none"/>
              <w:lang w:val="en-US" w:eastAsia="zh-CN"/>
            </w:rPr>
            <w:t>（一）建设区域</w:t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instrText xml:space="preserve"> PAGEREF _Toc12291 \h </w:instrText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t>1</w:t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  <w:lang w:val="en-US" w:eastAsia="zh-CN"/>
            </w:rPr>
            <w:instrText xml:space="preserve"> HYPERLINK \l _Toc9848 </w:instrText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bCs/>
              <w:kern w:val="2"/>
              <w:sz w:val="28"/>
              <w:szCs w:val="28"/>
              <w:lang w:val="en-US" w:eastAsia="zh-CN" w:bidi="ar-SA"/>
            </w:rPr>
            <w:t>（二）</w:t>
          </w:r>
          <w:r>
            <w:rPr>
              <w:rFonts w:hint="default" w:ascii="Times New Roman" w:hAnsi="Times New Roman" w:eastAsia="楷体_GB2312" w:cs="Times New Roman"/>
              <w:bCs/>
              <w:sz w:val="28"/>
              <w:szCs w:val="28"/>
              <w:highlight w:val="none"/>
            </w:rPr>
            <w:t>基础条件</w:t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instrText xml:space="preserve"> PAGEREF _Toc9848 \h </w:instrText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eastAsia="楷体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HYPERLINK \l _Toc11356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二、建设目标和预期成果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PAGEREF _Toc11356 \h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15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_Toc14355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（一）建设周期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_Toc14355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15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_Toc28984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（二）发展定位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_Toc28984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15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_Toc21407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（三）建设思路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_Toc21407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16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_Toc23257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（四）建设目标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_Toc23257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17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HYPERLINK \l _Toc29194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三、建设内容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PAGEREF _Toc29194 \h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19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_Toc15690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（一）促进乡村产业提质增效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_Toc15690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19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_Toc22616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（二）强化乡村人才培育支撑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_Toc22616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28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_Toc6816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（三）加强乡村文化传承保护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_Toc6816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29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_Toc24381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（四）加快乡村生态绿色发展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_Toc24381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33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_Toc11506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（五）推动乡村治理活力有序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_Toc11506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38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HYPERLINK \l _Toc30560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四、 管理和运营机制建设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PAGEREF _Toc30560 \h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39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_Toc4017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（一）项目决策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_Toc4017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39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_Toc31803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（二）监督管理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_Toc31803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40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_Toc23259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（三）风险防控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_Toc23259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40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_Toc12979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（四）收益分配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_Toc12979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40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_Toc28338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（五）联农带农机制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_Toc28338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41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_Toc21517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（六）运营机制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_Toc21517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43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HYPERLINK \l _Toc27687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五、资金管理使用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PAGEREF _Toc27687 \h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44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_Toc20169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（一）资金测算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_Toc20169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44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_Toc23488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（二）资金筹措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_Toc23488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45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_Toc13625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（三）资金使用方式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_Toc13625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46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_Toc2786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（四）绩效管理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_Toc2786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46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HYPERLINK \l _Toc22649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六、负面清单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PAGEREF _Toc22649 \h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47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_Toc821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（一）实施内容负面清单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_Toc821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47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_Toc5048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（二）资金管理负面清单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_Toc5048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48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_Toc18808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（一）实施方案可行性分析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_Toc18808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49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_Toc26124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（二）项目内容合规性分析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_Toc26124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49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_Toc15298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（三）任务进度安排科学性分析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_Toc15298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49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_Toc18809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（四）资金计划合理性分析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_Toc18809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49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HYPERLINK \l _Toc59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八、政策与保障措施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PAGEREF _Toc59 \h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50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_Toc22257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（一）加强组织保障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_Toc22257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50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_Toc20941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（二）落实政策保障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_Toc20941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51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_Toc21615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（三）科技人才支撑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_Toc21615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51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_Toc25178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（四）基础设施建设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_Toc25178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51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_Toc26840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（五）强化用地保障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_Toc26840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52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788"/>
            </w:tabs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HYPERLINK \l _Toc12179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（六）加强宣传引导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instrText xml:space="preserve"> PAGEREF _Toc12179 \h </w:instrTex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t>52</w:t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楷体_GB2312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HYPERLINK \l _Toc19438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九、其他需要说明的情况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PAGEREF _Toc19438 \h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53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788"/>
            </w:tabs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</w:pP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HYPERLINK \l _Toc26532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十、附件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ab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instrText xml:space="preserve"> PAGEREF _Toc26532 \h </w:instrTex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t>54</w:t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黑体" w:cs="Times New Roman"/>
              <w:color w:val="auto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3"/>
            <w:spacing w:before="0" w:after="0" w:line="240" w:lineRule="auto"/>
            <w:rPr>
              <w:rFonts w:hint="default" w:ascii="Times New Roman" w:hAnsi="Times New Roman" w:cs="Times New Roman"/>
              <w:color w:val="auto"/>
              <w:lang w:val="en-US" w:eastAsia="zh-CN"/>
            </w:rPr>
            <w:sectPr>
              <w:footerReference r:id="rId3" w:type="default"/>
              <w:pgSz w:w="11906" w:h="16838"/>
              <w:pgMar w:top="1417" w:right="1417" w:bottom="1417" w:left="1701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cs="Times New Roman"/>
              <w:color w:val="auto"/>
              <w:szCs w:val="28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/>
        </w:rPr>
      </w:pPr>
      <w:bookmarkStart w:id="11" w:name="_Toc1895489383"/>
      <w:bookmarkStart w:id="12" w:name="_Toc4750"/>
      <w:bookmarkStart w:id="13" w:name="_Toc20798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六安市金寨县</w:t>
      </w:r>
      <w:bookmarkEnd w:id="11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/>
        </w:rPr>
        <w:t>铁冲乡铁冲高畈片区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</w:pPr>
      <w:bookmarkStart w:id="14" w:name="_Toc2112897765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和美乡村</w:t>
      </w:r>
      <w:bookmarkEnd w:id="12"/>
      <w:bookmarkEnd w:id="13"/>
      <w:bookmarkStart w:id="15" w:name="_Toc2689"/>
      <w:bookmarkStart w:id="16" w:name="_Toc3513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精品示范村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eastAsia="zh-CN"/>
        </w:rPr>
        <w:t>建设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方案</w:t>
      </w:r>
      <w:bookmarkEnd w:id="14"/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为扎实有效推进铁冲乡铁冲高畈片区和美乡村精品示范村创建工作，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根据《安徽省彰显徽风皖韵的宜居宜业和美乡村精品示范村建设标准（试行）》《中共安徽省委农村工作领导小组办公室 安徽省农业农村厅关于开展2024年度和美乡村精品示范村申报工作的通知》等文件精神，结合铁冲乡铁冲高畈片区实际，现制定以下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建设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方案。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bookmarkStart w:id="17" w:name="_Toc29038"/>
      <w:bookmarkStart w:id="18" w:name="_Toc1360"/>
      <w:bookmarkStart w:id="19" w:name="_Toc1038306679"/>
      <w:r>
        <w:rPr>
          <w:rFonts w:hint="default" w:ascii="Times New Roman" w:hAnsi="Times New Roman" w:eastAsia="黑体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基本情况</w:t>
      </w:r>
      <w:bookmarkEnd w:id="17"/>
      <w:bookmarkEnd w:id="18"/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铁冲乡铁冲高畈片区位于金寨县西北面，距县城33公里，总面积24.85平方公里，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其中涉及高畈村10.46平方公里、李桥村9.58平方公里、铁冲村4.81平方公里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。片区内共有住户511户2291人，其中常住户401户898人。2023年片区农村居民人均可支配收入2.05万元，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高于全县平均水平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铁冲高畈片区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被农业农村部纳入2022年农业产业融合发展油茶产业强镇项目创建名单，是安徽省现代农业产业园的核心区。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其中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高畈村被评为安徽省森林村庄、安徽省卫生村；李桥村被评为安徽省森林村庄；铁冲村被评为省级森林村庄、省级卫生村、安徽省党员远程教育示范终端站点，被列为安徽省红色村组织振兴建设红色美丽村庄试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0"/>
        <w:rPr>
          <w:rFonts w:hint="eastAsia" w:ascii="Times New Roman" w:hAnsi="Times New Roman" w:eastAsia="黑体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二、建设条件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0"/>
        <w:rPr>
          <w:rFonts w:hint="eastAsia" w:ascii="楷体" w:hAnsi="楷体" w:eastAsia="楷体" w:cs="楷体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（一）创建优势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3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1.产业发展基础扎实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近年来，铁冲乡铁冲高畈片区坚持党建引领，注重生态筑底、产业为基、农旅融合，聚焦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粮油药茶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，持续做大做强乡村特色产业，探索出一条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绿色产业+红色旅游＋花海经济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的乡村农旅融合产业发展之路。现有产业带头人28人，家庭农场78家，农民专业合作社36家，省级龙头企业5家（农耕年华、康希药业、绿色药业、德康牧业、百草香生态养殖公司），2023年实现农业生产总产值1.2亿元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2.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双基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建设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。道路硬化实现户户通，自来水普及率达100%，物流配送及快递业务服务网点4家，拥有小学4所，村级卫生室3个，为民服务中心3处，图书阅览室3间，文化体育广场14处，革命传统教育基地4处，文保单位3处。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3.和美乡村中心村建设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。铁冲乡铁冲高畈片区先后实施3个省级美丽中心村建设，高质量建成15个美丽宜居自然村庄，公共区域实现绿化、亮化、美化全覆盖，并大力实施垃圾和污水处理工程，卫生改厕和污水处理率达100%，公共服务设施日益完善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4.数字乡村建设发展迅速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。充分利用金寨县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城市大脑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数据支撑，高标准打造数据融通、协调联动的数字乡村一张图，实现挂图作战。通过铁冲乡数字乡村云平台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数字大脑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对乡村振兴20字方针目标数据进行汇集展示。汇聚党员信息、党组织信息、农户信息、农业信息、村务信息，打造服务于农业生产、农村管理、农民生活全方位的大数据监测、预警、决策、智能的平台，达到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以图管村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的目的，有效提升生产和管理效率。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5.乡村治理效果显著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。片区三个村干部队伍配备齐全，现有村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两委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班子队伍合计25人（其中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两委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干部15人、后备干部4人、大学生特派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村官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3人、乡村振兴专员3人），平均年龄38岁；片区村两委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三个一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队伍配备齐全，其中大专以上学历17人、本科以上学历8人。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根据平安乡镇建设标准，扎实开展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六有六无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进乡村活动。成立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红色评议站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，以村民自治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一约四会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为载体，规范自治章程，完善自治、法治、德治乡村治理体系。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定期开展文明乡风评比活动，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全面落实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门前三包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责任制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2023年开展振风超市评比24次，评选红榜898人、黑榜73人，发放积分132850分；评选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好婆婆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好媳妇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14人、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乡级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身边好人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4人、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县级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身边好人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人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文明家庭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14个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文明商户10个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创新开展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周末陪伴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童伴妈妈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长江河微心愿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情暖夕阳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望春谷·守护花海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等特色志愿服务品牌活动；每年在春节等重大节庆期间举办玩花船、打花棍、打快板等文艺进村活动，群众精神文化生活不断丰富。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0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pacing w:val="0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6.集体经济发展壮大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0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充分发挥村集体示范作用，在片区内打造以水稻、油菜种植等传统产业为主，油茶、灵芝、香菇、黄缘闭壳龟等特色产业为辅的多元化集体经济发展格局。不断延长产业链条，培育多家农产品深加工企业，增加产品附加值；成立电商中心，邀请著名主持人直播带货，拓宽产品销售渠道；围绕春天文化旅游节，开设村集体驿站，销售农特产品，促进村集体经济发展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0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2023年，片区三个村村集体经济收入321万元，村均集体经济收入107万元。</w:t>
      </w:r>
      <w:bookmarkStart w:id="20" w:name="_Toc13121"/>
      <w:bookmarkStart w:id="21" w:name="_Toc11920"/>
      <w:bookmarkStart w:id="22" w:name="_Toc12371"/>
      <w:bookmarkStart w:id="23" w:name="_Toc442386264"/>
      <w:bookmarkStart w:id="24" w:name="_Toc11356"/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yellow"/>
          <w:lang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yellow"/>
          <w:lang w:eastAsia="zh-CN"/>
        </w:rPr>
        <w:t>（二）短板弱项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yellow"/>
          <w:lang w:val="en-US" w:eastAsia="zh-CN"/>
        </w:rPr>
        <w:t>xxxxxxxxxx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eastAsia="zh-CN"/>
        </w:rPr>
        <w:t>三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  <w:t>、</w:t>
      </w:r>
      <w:bookmarkEnd w:id="20"/>
      <w:bookmarkEnd w:id="21"/>
      <w:bookmarkEnd w:id="22"/>
      <w:bookmarkEnd w:id="23"/>
      <w:bookmarkEnd w:id="24"/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建设思路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highlight w:val="none"/>
          <w:lang w:val="en-US" w:eastAsia="zh-CN"/>
        </w:rPr>
        <w:t>（一）指导思想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以习近平新时代中国特色社会主义思想为指导，深入贯彻党的二十大精神和二十届二中全会精神，认真落实习近平总书记关于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三农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工作的重要论述，学习运用浙江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千万工程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经验，立足红绿蓝资源禀赋，围绕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映山红遍杜鹃岭 茶果香满望春谷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目标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定位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，推动特色产业链式发展，开发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红色研学游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赏花观景游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野趣露营游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田园观光游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等，拓展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绿水青山向金山银山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转换通道，构建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两线四点四区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空间布局，将铁冲乡铁冲高畈片区建设成为集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美丽乡村、红色乡村、生态乡村、富裕乡村、善治乡村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为一体的和美乡村精品示范村。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highlight w:val="none"/>
          <w:lang w:val="en-US" w:eastAsia="zh-CN"/>
        </w:rPr>
      </w:pPr>
      <w:bookmarkStart w:id="25" w:name="_Toc23257"/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highlight w:val="none"/>
          <w:lang w:val="en-US" w:eastAsia="zh-CN"/>
        </w:rPr>
        <w:t>（二）发展定位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1.形象定位。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映山红遍杜鹃岭 茶果香满望春谷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2.目标定位。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立足铁冲乡铁冲高畈片区丰富的自然景点和生态资源，依托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红岭公路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旅游线路和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冬晓·栖溪山舍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民宿，结合红色文化资源，聚焦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四季赏花</w:t>
      </w:r>
      <w:r>
        <w:rPr>
          <w:rFonts w:hint="eastAsia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主题，发掘万亩玉兰花、万亩映山红、万亩油茶基地旅游潜力，集聚要素、统筹推进，大力发展特色农业、生态旅游、红色旅游，努力将铁冲乡铁冲高畈片区打造成为</w:t>
      </w:r>
      <w:r>
        <w:rPr>
          <w:rFonts w:hint="default" w:ascii="Times New Roman" w:hAnsi="Times New Roman" w:eastAsia="仿宋_GB2312" w:cs="Times New Roman"/>
          <w:b/>
          <w:bCs w:val="0"/>
          <w:color w:val="auto"/>
          <w:spacing w:val="-2"/>
          <w:sz w:val="32"/>
          <w:szCs w:val="32"/>
          <w:highlight w:val="none"/>
          <w:lang w:val="en-US" w:eastAsia="zh-CN"/>
        </w:rPr>
        <w:t>安徽省四季赏花打卡地、长三角森林康养地、全国精品自驾旅游线路目的地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pacing w:val="-2"/>
          <w:sz w:val="32"/>
          <w:szCs w:val="32"/>
          <w:highlight w:val="none"/>
          <w:lang w:val="en-US" w:eastAsia="zh-CN"/>
        </w:rPr>
        <w:t>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35" w:firstLineChars="200"/>
        <w:textAlignment w:val="auto"/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（</w:t>
      </w: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三</w:t>
      </w: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）</w:t>
      </w:r>
      <w:bookmarkEnd w:id="25"/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规划布局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立足红绿蓝资源禀赋，围绕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映山红遍杜鹃岭 茶果香满望春谷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目标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定位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，推动特色产业链式发展，开发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红色研学游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赏花观景游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野趣露营游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田园观光游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等，拓展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绿水青山向金山银山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转换通道，构建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两线四点四区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空间布局，将铁冲乡铁冲高畈片区建设成为集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美丽乡村、红色乡村、生态乡村、富裕乡村、善治乡村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为一体的和美乡村精品示范村。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两线四点四区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空间布局，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两线：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中国红岭公路、长江河沿线旅游精品路线；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四点：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望春谷、杜鹃岭、油茶基地、修仙寨休闲旅游观景点；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四区：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赏花观景区、田园观光区、红色教育区、自驾旅游区。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drawing>
          <wp:inline distT="0" distB="0" distL="114300" distR="114300">
            <wp:extent cx="5514975" cy="4141470"/>
            <wp:effectExtent l="0" t="0" r="9525" b="11430"/>
            <wp:docPr id="32" name="图片 3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rcRect l="10420" t="9775" r="10596" b="955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 w:bidi="ar"/>
        </w:rPr>
        <w:t>四、建设目标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遵循乡村发展规律，对村庄建设、环境整治、产业发展等各项内容进行整体性谋划、特色化设计，并针对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片区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发展的核心目标进行量化考核，确保至2026年底，成功创建和美乡村精品示范村。</w:t>
      </w:r>
    </w:p>
    <w:p>
      <w:pPr>
        <w:pStyle w:val="1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FFFFF" w:sz="6" w:space="3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28"/>
          <w:szCs w:val="28"/>
          <w:highlight w:val="none"/>
          <w:lang w:val="en-US" w:eastAsia="zh-CN" w:bidi="ar"/>
        </w:rPr>
        <w:t>铁冲乡铁冲高畈片区和美乡村精品示范村建设主要指标</w:t>
      </w: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  <w:gridCol w:w="792"/>
        <w:gridCol w:w="2845"/>
        <w:gridCol w:w="1032"/>
        <w:gridCol w:w="1504"/>
        <w:gridCol w:w="1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tblHeader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7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类别</w:t>
            </w: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指  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单位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202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年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202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4"/>
                <w:szCs w:val="21"/>
                <w:vertAlign w:val="baseline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79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产业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兴旺</w:t>
            </w: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粮食种植面积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亩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2600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农业生产总值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万元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12000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农产品加工工业产值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万元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2300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培育发展特色品牌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个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规模经营比重达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50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乡村休闲旅游接待量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万人次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highlight w:val="none"/>
                <w:vertAlign w:val="baseline"/>
                <w:lang w:val="en-US" w:eastAsia="zh-CN"/>
              </w:rPr>
              <w:t>20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highlight w:val="none"/>
                <w:vertAlign w:val="baseline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乡村旅游综合收入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万元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3000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4500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村集体经济收入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万元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321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＞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村民人均可支配收入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万元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2.05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＞2.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79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和聚</w:t>
            </w: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开展农民技能培训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人次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120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培育乡土人才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各类回乡创业人才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农民职称评定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79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文化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兴盛</w:t>
            </w: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开展志愿服务活动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人次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600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先进典型文明评选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人次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80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乡村文体设施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处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开展群众性文体活动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次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79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生态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宜居</w:t>
            </w: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卫生厕所普及率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98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生活污水治理率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80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生活垃圾无害化处理率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95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畜禽粪污资源化利用率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70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常住户美丽庭院达标率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＞50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23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农村自来水普及率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92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24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水质达标率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90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5G通达率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95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＞98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26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义务教育巩固稳定率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98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27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居民参保率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95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28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居民养老保险发放率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29</w:t>
            </w:r>
          </w:p>
        </w:tc>
        <w:tc>
          <w:tcPr>
            <w:tcW w:w="79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治理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有效</w:t>
            </w: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村级致富带头人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28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村3A以上诚信户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60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  <w:t>31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志愿服务队伍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人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360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420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kern w:val="2"/>
                <w:sz w:val="24"/>
                <w:szCs w:val="21"/>
                <w:vertAlign w:val="baseline"/>
                <w:lang w:val="en-US" w:eastAsia="zh-CN" w:bidi="ar-SA"/>
              </w:rPr>
              <w:t>32</w:t>
            </w:r>
          </w:p>
        </w:tc>
        <w:tc>
          <w:tcPr>
            <w:tcW w:w="7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治安监控系统</w:t>
            </w:r>
          </w:p>
        </w:tc>
        <w:tc>
          <w:tcPr>
            <w:tcW w:w="1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个</w:t>
            </w:r>
          </w:p>
        </w:tc>
        <w:tc>
          <w:tcPr>
            <w:tcW w:w="1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26</w:t>
            </w:r>
          </w:p>
        </w:tc>
        <w:tc>
          <w:tcPr>
            <w:tcW w:w="15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1"/>
                <w:vertAlign w:val="baseline"/>
                <w:lang w:val="en-US" w:eastAsia="zh-CN"/>
              </w:rPr>
              <w:t>35</w:t>
            </w:r>
          </w:p>
        </w:tc>
      </w:tr>
    </w:tbl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eastAsia="zh-CN"/>
        </w:rPr>
      </w:pPr>
      <w:bookmarkStart w:id="26" w:name="_Toc1033848675"/>
      <w:bookmarkStart w:id="27" w:name="_Toc29194"/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  <w:t>、建设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eastAsia="zh-CN"/>
        </w:rPr>
        <w:t>内容</w:t>
      </w:r>
      <w:bookmarkEnd w:id="26"/>
      <w:bookmarkEnd w:id="27"/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35" w:firstLine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eastAsia="zh-CN"/>
        </w:rPr>
      </w:pPr>
      <w:bookmarkStart w:id="28" w:name="_Toc1327044198"/>
      <w:bookmarkStart w:id="29" w:name="_Toc20014"/>
      <w:bookmarkStart w:id="30" w:name="_Toc15690"/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</w:rPr>
        <w:t>（一）</w:t>
      </w: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eastAsia="zh-CN"/>
        </w:rPr>
        <w:t>主要任务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35" w:firstLineChars="200"/>
        <w:jc w:val="left"/>
        <w:textAlignment w:val="auto"/>
        <w:outlineLvl w:val="1"/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1.</w:t>
      </w: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eastAsia="zh-CN"/>
        </w:rPr>
        <w:t>乡村产业增效</w:t>
      </w:r>
      <w:bookmarkEnd w:id="28"/>
      <w:bookmarkEnd w:id="29"/>
      <w:bookmarkEnd w:id="30"/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eastAsia="zh-CN"/>
        </w:rPr>
        <w:t>行动。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一是推动旅游业提档升级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。打造多元化生态旅游乡村，整合片区内四个景点（望春谷、杜鹃岭、油茶基地、修仙寨）、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冬晓·栖溪山舍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民宿、红色革命遗址、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向野·露营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基地等，围绕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中国·金寨春天文化旅游节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杜鹃岭文化旅游月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等活动，依托中国红岭公路和长江河，大力发展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花海经济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，实现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四季花乡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，同时将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红色＋绿色＋旅游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发展理念和中华优秀传统文化充分融入微景观、微景点，不断增强文化内核。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二是大力发展中药材产业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。利用片区优越的资源禀赋，依托安徽康希药业有限公司、金寨县绿色药业有限公司、安徽农耕年华农业发展有限公司，发展中药饮片、中药提取、中药药源地种植等方面生产加工，做优做强灵芝、香菇、黄精等特色产业，加大宣传力度，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举办“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灵芝文化旅游节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，持续推动中药材产业标准化、品牌化、规范化建设。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三是开发农茶旅融合项目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。结合国家产业强镇项目，布局油茶文化展示、茶艺体验、茶园观光等功能区，开发油茶采摘体验、制茶工艺学习、茶山徒步等茶旅特色线路，举办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油茶开采节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活动，对沿途景观微改精提，实现全产业链价值增值。</w:t>
      </w:r>
      <w:bookmarkStart w:id="31" w:name="_Toc2917"/>
      <w:bookmarkStart w:id="32" w:name="_Toc640061429"/>
      <w:bookmarkStart w:id="33" w:name="_Toc22616"/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2.</w:t>
      </w:r>
      <w:bookmarkEnd w:id="31"/>
      <w:bookmarkEnd w:id="32"/>
      <w:bookmarkEnd w:id="33"/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乡村人才促进行动。</w:t>
      </w:r>
      <w:bookmarkStart w:id="34" w:name="_Toc738254208"/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大力实施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四乡工程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，有序引导大学毕业生到乡、能人回乡、农民工返乡、企业家入乡；加强村党组织书记和新型农业经营主体带头人培训，持续开展农村创业创新、高素质农民培育，培养一批土专家、田秀才、乡创客、新农人，到2026年，新培育乡村产业带头人35名（其中建筑工匠3名、民宿管家8名、农家乐经营管理人才6名、电商带头人7名、乡村运营师3名、旅游推介官2名、景观园艺师3名、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名徽厨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3名），高素质农民60名以上；加大科技特派员选派力度，到2026年，培育科技特派员创新创业示范基地1家，提升农业产业技术水平、推动产业发展；深入实施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特派村官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一村一名大学生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工程，实现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一村一人、赋能一岗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；开展村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两委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及产业带头人电商技能培训，到2026年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实现村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两委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和村产业带头人电商技能培训全覆盖；加强乡村文化人才培训，组建乡村文化队伍，完善乡村文化特派员制度，培养一批乡村文化带头人、文化志愿者、非遗传承人等。</w:t>
      </w:r>
      <w:bookmarkEnd w:id="34"/>
      <w:bookmarkStart w:id="35" w:name="_Toc10475"/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20" w:lineRule="exact"/>
        <w:ind w:firstLine="635" w:firstLineChars="200"/>
        <w:jc w:val="lef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bookmarkStart w:id="36" w:name="_Toc6816"/>
      <w:bookmarkStart w:id="37" w:name="_Toc685641584"/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3.乡村文化赋能行动。</w:t>
      </w:r>
      <w:bookmarkEnd w:id="35"/>
      <w:bookmarkEnd w:id="36"/>
      <w:bookmarkEnd w:id="37"/>
      <w:r>
        <w:rPr>
          <w:rStyle w:val="22"/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u w:val="none"/>
          <w:shd w:val="clear"/>
          <w:lang w:val="en-US"/>
        </w:rPr>
        <w:t>结合全国首批红色美丽村庄规划，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对红军洞、红28军物资中转站、红28军军部、医院、保卫局、七烈士墓等革命红色遗址进行修复提升，改善周边环境，打造皖西特色的红色文化品牌和沉浸式红色研学基地。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开展文明家庭、美丽庭院、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我们讲文明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等系列创建活动，广泛开展道德模范、身边好人、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最美金寨人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好婆婆、好媳妇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等先进典型评选，强化典型示范引领，不断培育文明乡风、良好家风、淳朴民风。深入开展全民阅读、全民健身、文化科技卫生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三下乡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等群众性文化活动，办好望春谷春天文化旅游节、杜鹃岭文化旅游节及相关赛事文旅活动；依托文化站和新时代文明实践所、村级综合文化服务中心，构建完善的公共文化服务设施服务网络。推进乡村文化暖心惠民工程，办好广场舞大赛、村歌民歌赛、送戏进万村、农村数字电影公益放映、四季村晚等活动，培育群众文艺队伍和地方特色节目，到2026年，片区三个村均建立1支乡村文艺队伍；建设农村幸福大院，配备村史馆、活动中心等，丰富群众精神文化生活。</w:t>
      </w:r>
      <w:bookmarkStart w:id="38" w:name="_Toc899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35" w:firstLineChars="200"/>
        <w:jc w:val="left"/>
        <w:textAlignment w:val="auto"/>
        <w:outlineLvl w:val="1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</w:pPr>
      <w:bookmarkStart w:id="39" w:name="_Toc559821339"/>
      <w:bookmarkStart w:id="40" w:name="_Toc24381"/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4.乡村生态提质行动。</w:t>
      </w:r>
      <w:bookmarkEnd w:id="38"/>
      <w:bookmarkEnd w:id="39"/>
      <w:bookmarkEnd w:id="40"/>
      <w:bookmarkStart w:id="41" w:name="_Toc1225595411"/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深入实施农村人居环境整治提升行动，全面推进农村厕所、垃圾、污水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三大革命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，常住农户无害化卫生厕所普及率达100%，厕所粪污有效处理率达100%；生活垃圾无害化处理率达100%，实现生活垃圾源头减量、分类处理；围绕中国红岭公路铁冲段、村庄重要节点实施美化工程，打造景观节点，利用沿线及村庄空闲土地种植四季花草，开展生态修复、古树名木和森林资源保护，做到应绿尽绿，养护良好；规范畜禽散养行为，畜禽粪污资源化利用率达88%；开展美丽庭院创建，引导农户在房前屋后和庭院栽植果蔬、菊花，蜜蜂养殖，实现美丽庭院达标率50%以上；整治强弱电线路，做到杆线架设有序，供电可靠，广播、电视、通讯、邮政、快递、5G网络等全覆盖。</w:t>
      </w:r>
      <w:bookmarkEnd w:id="41"/>
      <w:bookmarkStart w:id="42" w:name="_Toc560"/>
      <w:bookmarkStart w:id="43" w:name="_Toc2054332584"/>
      <w:bookmarkStart w:id="44" w:name="_Toc11506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35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5.乡村组织领航行动</w:t>
      </w: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。</w:t>
      </w:r>
      <w:bookmarkEnd w:id="42"/>
      <w:bookmarkEnd w:id="43"/>
      <w:bookmarkEnd w:id="44"/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坚持党建引领乡村治理，建强村级党组织，提升为民办事能力；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充分发挥村新时代文明实践站平台和农民议事大厅作用，移风易俗，遏制陈规陋习。健全村级自治、法治、德治，打造充满活力、和谐有序的善治乡村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；建强法律服务平台，不断推进公共法律服务实体、热线、网络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三大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平台建设；壮大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法律明白人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队伍，深入实施乡村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法律明白人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培养和农村学法用法示范户培育工程；设立红色评议站，选聘6名红色评议员，建立重点矛盾评理、乡风评议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两评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工作制度，提升基层治理实效；推动党建引领信用村建设，营造党员带头、干部示范、人人守诚信良好氛围，3A以上信用户达85%以上；持续推进农村基层党建工作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示范创争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行动创建，到2026年片区三个村均达到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明星村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要求；推进法治乡村建设，加大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民主法治示范村（社区）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创建力度，实施乡村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法律明白人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培养工程，到2026年，新增县级以上民主法治示范村1个，片区三个村均有6名以上法律明白人。</w:t>
      </w:r>
      <w:bookmarkStart w:id="45" w:name="_Toc8955"/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35" w:firstLine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eastAsia="zh-CN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</w:rPr>
        <w:t>（</w:t>
      </w: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eastAsia="zh-CN"/>
        </w:rPr>
        <w:t>二</w:t>
      </w: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</w:rPr>
        <w:t>）</w:t>
      </w: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eastAsia="zh-CN"/>
        </w:rPr>
        <w:t>重点项目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outlineLvl w:val="1"/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yellow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yellow"/>
          <w:lang w:val="en-US" w:eastAsia="zh-CN" w:bidi="ar"/>
        </w:rPr>
        <w:t>围绕重点任务，按照产业提质增效、文化传承保护、生态绿色发展5个方面实施26个项目，总投资9240万元。具体项目名称、建设地点、实施主体、投资规模及资金来源、建设期限、建设内容及预期效益等详见附件1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35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1.</w:t>
      </w: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产业增效行动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35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2.</w:t>
      </w: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人才促进行动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35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3.</w:t>
      </w: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文化赋能行动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35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4.</w:t>
      </w: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生态提质行动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35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5.</w:t>
      </w:r>
      <w:r>
        <w:rPr>
          <w:rFonts w:hint="default" w:ascii="Times New Roman" w:hAnsi="Times New Roman" w:eastAsia="楷体_GB2312" w:cs="Times New Roman"/>
          <w:b/>
          <w:bCs/>
          <w:color w:val="auto"/>
          <w:spacing w:val="-2"/>
          <w:sz w:val="32"/>
          <w:szCs w:val="32"/>
          <w:highlight w:val="yellow"/>
          <w:lang w:val="en-US" w:eastAsia="zh-CN"/>
        </w:rPr>
        <w:t>组织领航行动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3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（</w:t>
      </w:r>
      <w:r>
        <w:rPr>
          <w:rFonts w:hint="eastAsia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三</w:t>
      </w: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）资金筹措</w:t>
      </w:r>
      <w:r>
        <w:rPr>
          <w:rFonts w:hint="eastAsia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方案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项目总投资9240万元，其中：其中政府一般债资金1000万元，市财政专项资金150万元，县财政专项资金2760万元，整合涉农资金890万元，社会主体投入、村民自筹、村集体补助、社会捐助及其他资金4440万元。详见附件1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0"/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</w:pPr>
      <w:bookmarkStart w:id="46" w:name="_Toc1276702279"/>
      <w:bookmarkStart w:id="47" w:name="_Toc30560"/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六、实施步骤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35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1.前期准备阶段（202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eastAsia="zh-CN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月）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2"/>
          <w:sz w:val="32"/>
          <w:szCs w:val="32"/>
          <w:highlight w:val="none"/>
        </w:rPr>
        <w:t>。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  <w:t>成立创建工作专班，乡村全面动员，充分征求村组意见，开展精品示范村实施前的项目论证、方案编报、规划设计等工作。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35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2.整体推进阶段（202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eastAsia="zh-CN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202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年6月）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2"/>
          <w:sz w:val="32"/>
          <w:szCs w:val="32"/>
          <w:highlight w:val="none"/>
        </w:rPr>
        <w:t>。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  <w:t>围绕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  <w:lang w:eastAsia="zh-CN"/>
        </w:rPr>
        <w:t>实施方案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  <w:t>和项目表，细化工作任务，制定项目工期，系统推进项目建设，全面实施和美乡村精品示范村五大行动。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35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3.完善提升阶段（202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年7月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eastAsia="zh-CN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10月）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2"/>
          <w:sz w:val="32"/>
          <w:szCs w:val="32"/>
          <w:highlight w:val="none"/>
        </w:rPr>
        <w:t>。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  <w:t>对照精品示范村建设标准开展中期评估，补缺补差，针对难点项目重点研究对策，确保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  <w:lang w:eastAsia="zh-CN"/>
        </w:rPr>
        <w:t>如期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  <w:t>达到预期目标。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35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4.总结评估阶段（202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年11月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  <w:lang w:eastAsia="zh-CN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auto"/>
          <w:spacing w:val="-2"/>
          <w:sz w:val="32"/>
          <w:szCs w:val="32"/>
          <w:highlight w:val="none"/>
        </w:rPr>
        <w:t>12月）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2"/>
          <w:sz w:val="32"/>
          <w:szCs w:val="32"/>
          <w:highlight w:val="none"/>
        </w:rPr>
        <w:t>。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  <w:t>总结精品示范村创建经验做法，开展绩效评价与评估，完成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  <w:lang w:eastAsia="zh-CN"/>
        </w:rPr>
        <w:t>创建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highlight w:val="none"/>
        </w:rPr>
        <w:t>验收。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黑体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七</w:t>
      </w:r>
      <w:r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、保障措施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3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（一）组织保障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实行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一把手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负总责制度，切实承担宜居宜业和美乡村建设工作领导责任。组织抽调精干人员成立工作专班，负责精品示范村建设统筹协调和组织落实工作，每月召开精品示范村创建工作推进会，协同推进精品示范村建设工作，细化年度工作方案，制定推进措施，明确时间表和路线图，负责抓好各项任务落实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3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（二）落实政策保障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1.财政政策措施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。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建立健全多元化投入保障机制和涉农资金统筹整合长效机制，把农业农村作为一般公共预算优先保障领域，稳步增长本级财政安排用于农业农村资金投入，其中衔接补助专项资金投入保持稳定；稳步提高土地出让收入用于农业农村比例。加强项目资金统筹使用，积极争取农业农村、交通运输、农村文化、人居环境整治等资金支持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2.金融政策措施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。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引导金融机构加大对乡村振兴领域的信贷支持力度，力争涉农贷款增速高于各项贷款平均增速；通过创新保险运营模式和保险产品，提升优势特色农产品保障水平，加快农业产业化发展。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3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（三）科技人才支撑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实施科技强农行动，加快农业科技成果转化，保护农业种质资源，推进农业绿色发展。实施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双招双引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”“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金凤还巢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工程和紧缺人才引进工作，给予引进人才薪酬待遇、住房补贴、生活补贴、子女就学、家属就业等优惠政策，打造招才引智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绿色通道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，着力引进一批农业领域高端人才、先进技术及管理经验；加强与帮扶单位合作，开展技术推广和人才培训。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3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（四）基础设施建设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聚焦农村生产生活、交通、文化旅游、林业基础设施等领域，利用闲置资产改造提升，充分盘活利用。因地制宜实施一批基础设施建设项目，补齐基础设施短板、夯实农业生产能力建设、持续改善农村人居环境、改善村民生活生产环境。对投资规模小、技术门槛低、前期工作简单、务工技能要求不高的基础设施项目，采取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以工代赈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方式实施，引导农村群众参与，增加农村群众收入。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3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（五）强化用地保障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严格落实好乡村一二三产业融合发展用地保障政策，严守耕地和生态保护红线，严格遵循乡村规划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三区三线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的空间管制。规范设施农业用地，引导设施农业合理选址、节约用地，重点保障乡村产业发展用地；根据实际需求，做到应保尽保；对乡村产业发展重点项目纳入用地审批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绿色通道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，优先办理，预留建设用地20亩。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3" w:firstLine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（六）加强宣传引导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优化营商环境，激发市场活力和社会创造力，引导企业、社会组织参与皂河村和美乡村精品示范村建设。认真梳理总结和美乡村精品示范村创建工作的好经验好做法，深入挖掘提炼典型案例和经验。借助电商直播平台、文化旅游节和电商直播大赛，加以宣传引导，吸引群众和社会力量参与。综合运用政府网站、微信公众号、抖音、微博等多种媒体方式，开展模式发布、范例交流；通过组织推介会、现场观摩等活动，推广可看、可学、可复制的路径模式，示范带动周边及同类地区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topLinePunct w:val="0"/>
        <w:autoSpaceDE/>
        <w:autoSpaceDN/>
        <w:bidi w:val="0"/>
        <w:spacing w:line="600" w:lineRule="exact"/>
        <w:ind w:firstLine="643" w:firstLineChars="200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强化督查考核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zh-CN" w:eastAsia="zh-CN" w:bidi="ar"/>
        </w:rPr>
        <w:t>乡工作专班定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期开展和美乡村精品示范村创建目标推进情况督查考核，邀请市县专家团成员、本乡镇能工巧匠为精品示范村建设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把脉问诊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，同时联合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u w:val="none"/>
          <w:shd w:val="clear" w:color="auto" w:fill="auto"/>
          <w:lang w:val="en-US" w:eastAsia="zh-CN" w:bidi="ar-SA"/>
        </w:rPr>
        <w:t>安徽康希药业有限公司，金寨栖溪山舍文旅发展有限公司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等运营主体，从文旅融合发展、优质农特产品生产加工角度出发，提出专业意见建议。严格执行国家有关法律法规、方针政策，坚持专款专用，做好项目建设资金预算、控制、监督和考核，确保各项任务按时序进度完成，提高资金使用效益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spacing w:line="600" w:lineRule="exact"/>
        <w:ind w:left="1918" w:leftChars="304" w:hanging="1280" w:hangingChars="400"/>
        <w:textAlignment w:val="auto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附件：1.铁冲乡铁冲高畈片区和美乡村精品示范村建设任务清单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spacing w:line="600" w:lineRule="exact"/>
        <w:ind w:left="1918" w:leftChars="304" w:hanging="1280" w:hangingChars="400"/>
        <w:textAlignment w:val="auto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 xml:space="preserve">     2.铁冲乡“千村引领、万村升级”工程推进小组成员名单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spacing w:line="600" w:lineRule="exact"/>
        <w:ind w:left="1918" w:leftChars="304" w:hanging="1280" w:hangingChars="400"/>
        <w:textAlignment w:val="auto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 xml:space="preserve">     3.铁冲乡铁冲高畈片区和美乡村精品示范村工作专班成员名单</w:t>
      </w:r>
    </w:p>
    <w:bookmarkEnd w:id="45"/>
    <w:bookmarkEnd w:id="46"/>
    <w:bookmarkEnd w:id="47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</w:p>
    <w:p>
      <w:pPr>
        <w:pStyle w:val="2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jc w:val="both"/>
        <w:textAlignment w:val="auto"/>
        <w:rPr>
          <w:rFonts w:hint="default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 w:bidi="ar"/>
        </w:rPr>
        <w:t>附件1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  <w:t>铁冲乡铁冲高畈片区和美乡村精品示范村建设任务清单</w:t>
      </w: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</w:p>
    <w:p>
      <w:pPr>
        <w:pStyle w:val="2"/>
        <w:rPr>
          <w:rFonts w:hint="default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  <w:bookmarkStart w:id="48" w:name="_GoBack"/>
      <w:bookmarkEnd w:id="48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jc w:val="both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 w:bidi="ar"/>
        </w:rPr>
        <w:t>附件2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  <w:t>铁冲乡“千村引领、万村升级”工程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  <w:t>推进小组成员名单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0"/>
          <w:sz w:val="40"/>
          <w:szCs w:val="40"/>
          <w:highlight w:val="none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组  长：</w:t>
      </w: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马千里   铁冲乡党委书记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张尹迪   铁冲乡党委副书记、乡长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副组长：</w:t>
      </w: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林  慧   铁冲乡人大主席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廖  峰   铁冲乡党委副书记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成  员：</w:t>
      </w: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李贤宏   铁冲乡党委宣传、统战委员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付维羽   铁冲乡党委委员、纪委书记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江焕生   铁冲乡党委政法委员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李学南   铁冲乡党委委员、人武部长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叶金涛   铁冲乡党委组织委员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王才政   铁冲乡副乡长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袁兴宇   铁冲乡副乡长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刘  友   铁冲乡副乡长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        敖  扬   铁冲乡副乡长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spacing w:val="-6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张利民   </w:t>
      </w:r>
      <w:r>
        <w:rPr>
          <w:rFonts w:hint="eastAsia" w:ascii="仿宋_GB2312" w:hAnsi="宋体" w:eastAsia="仿宋_GB2312" w:cs="宋体"/>
          <w:spacing w:val="-6"/>
          <w:kern w:val="0"/>
          <w:sz w:val="32"/>
          <w:szCs w:val="32"/>
          <w:shd w:val="clear" w:color="auto" w:fill="FFFFFF"/>
          <w:lang w:val="en-US" w:eastAsia="zh-CN" w:bidi="ar-SA"/>
        </w:rPr>
        <w:t>铁冲乡财政和资产管理服务中心主任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default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王万宏   铁冲乡农业农村管理服务中心主任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w w:val="90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李定祥   </w:t>
      </w:r>
      <w:r>
        <w:rPr>
          <w:rFonts w:hint="eastAsia" w:ascii="仿宋_GB2312" w:hAnsi="宋体" w:eastAsia="仿宋_GB2312" w:cs="宋体"/>
          <w:spacing w:val="-17"/>
          <w:kern w:val="0"/>
          <w:sz w:val="32"/>
          <w:szCs w:val="32"/>
          <w:shd w:val="clear" w:color="auto" w:fill="FFFFFF"/>
          <w:lang w:val="en-US" w:eastAsia="zh-CN" w:bidi="ar-SA"/>
        </w:rPr>
        <w:t>铁冲乡自然资源和规划管理服务中心主任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spacing w:val="-6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张鸿杨   </w:t>
      </w:r>
      <w:r>
        <w:rPr>
          <w:rFonts w:hint="eastAsia" w:ascii="仿宋_GB2312" w:hAnsi="宋体" w:eastAsia="仿宋_GB2312" w:cs="宋体"/>
          <w:spacing w:val="-6"/>
          <w:kern w:val="0"/>
          <w:sz w:val="32"/>
          <w:szCs w:val="32"/>
          <w:shd w:val="clear" w:color="auto" w:fill="FFFFFF"/>
          <w:lang w:val="en-US" w:eastAsia="zh-CN" w:bidi="ar-SA"/>
        </w:rPr>
        <w:t>铁冲乡社会事业管理服务中心负责人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漆  勇   铁冲乡综合行政执法大队队长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汪永鑫   铁冲乡党政办副主任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屈祥坤   铁冲乡党政办工作人员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陈  鹏   铁冲乡党政办工作人员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吴少杰   铁冲乡党政办工作人员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李新玉   铁冲乡党政办工作人员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吴谋亮   铁冲乡项目办工作人员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朱德涛   铁冲乡项目办工作人员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余树军   铁冲乡项目办工作人员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1992" w:firstLineChars="600"/>
        <w:textAlignment w:val="auto"/>
        <w:rPr>
          <w:rFonts w:hint="eastAsia" w:ascii="仿宋_GB2312" w:hAnsi="宋体" w:eastAsia="仿宋_GB2312" w:cs="宋体"/>
          <w:spacing w:val="-17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 xml:space="preserve">詹永波   </w:t>
      </w:r>
      <w:r>
        <w:rPr>
          <w:rFonts w:hint="eastAsia" w:ascii="仿宋_GB2312" w:hAnsi="宋体" w:eastAsia="仿宋_GB2312" w:cs="宋体"/>
          <w:spacing w:val="-17"/>
          <w:kern w:val="0"/>
          <w:sz w:val="32"/>
          <w:szCs w:val="32"/>
          <w:shd w:val="clear" w:color="auto" w:fill="FFFFFF"/>
          <w:lang w:val="en-US" w:eastAsia="zh-CN" w:bidi="ar-SA"/>
        </w:rPr>
        <w:t>铁冲乡农业农村管理服务中心工作人员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推进小组下设办公室，由袁兴宇兼任办公室主任。廖峰负责乡村产业振兴、王才政负责乡村人才振兴、林慧负责乡村文化振兴、袁兴宇负责乡村生态振兴、叶金涛负责乡村组织振兴材料收集整理，吴谋亮、朱德涛、余树军负责具体项目内业。其余成员主要做好项目推进协调的各项工作，研究解决项目建设推进中遇到的困难和问题，并做好项目建设各项服务和保障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0" w:firstLineChars="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附件3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0" w:firstLineChars="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  <w:t>铁冲乡铁冲高畈片区和美乡村精品示范村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highlight w:val="none"/>
          <w:lang w:val="en-US" w:eastAsia="zh-CN" w:bidi="ar"/>
        </w:rPr>
        <w:t>工作专班成员名单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0" w:firstLineChars="0"/>
        <w:textAlignment w:val="auto"/>
        <w:rPr>
          <w:rFonts w:hint="default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一、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规划设计专班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组长：袁兴宇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成员：李定祥  朱德涛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二、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项目推进专班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组长：袁兴宇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成员：吴谋亮  余树军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三、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档案资料专班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组长：李学南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成员：汪永鑫  吴谋亮  屈祥坤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四、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群众工作专班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组长：江焕生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成员：汪晓平  敖红梅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五、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环境整治专班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组长：袁兴宇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成员：漆  勇  张西成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六、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乡村产业增效行动专班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组长：廖  峰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成员：舒  达  卢叶露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七、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乡村人才促进行动专班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组长：王才政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成员：王万宏  张鸿杨  杨晓翔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八、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乡村文化赋能行动专班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组长：林  慧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成员：吴少杰  卢燕燕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九、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乡村生态提质行动专班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组长：袁兴宇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成员：漆  勇  吴谋亮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-10" w:leftChars="0" w:firstLine="640" w:firstLineChars="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0"/>
          <w:sz w:val="32"/>
          <w:szCs w:val="32"/>
          <w:shd w:val="clear" w:fill="FFFFFF"/>
          <w:lang w:val="en-US" w:eastAsia="zh-CN" w:bidi="ar-SA"/>
        </w:rPr>
        <w:t>十、</w:t>
      </w: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val="en-US" w:eastAsia="zh-CN" w:bidi="ar-SA"/>
        </w:rPr>
        <w:t>乡村组织领航行动专班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组长：叶金涛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64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成员：薛  亮  张绪兰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各工作专班组要加强工作协调，相互补位，认真学习领会省市县文件会议精神，对照安徽省彰显徽风皖韵的宜居宜业和美乡村精品示范村建设标准(试行)及和美乡村精品示范村建设主要评价指标，积极对接上级主管部门，扎实开展各项工作，确保如期建成铁冲乡高畈片区和美乡村精品示范村，顺利通过验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left="0" w:leftChars="0" w:firstLine="664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0"/>
          <w:sz w:val="40"/>
          <w:szCs w:val="40"/>
          <w:highlight w:val="none"/>
          <w:lang w:val="en-US" w:eastAsia="zh-CN" w:bidi="ar"/>
        </w:rPr>
      </w:pPr>
    </w:p>
    <w:sectPr>
      <w:footerReference r:id="rId4" w:type="default"/>
      <w:pgSz w:w="11906" w:h="16838"/>
      <w:pgMar w:top="1418" w:right="1418" w:bottom="1417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6DE2E7A-CF8E-45C7-A7AE-EF764D8F567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DFE70567-3B3D-4FC8-A66A-C35FCC24A0E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16D9F7D0-F484-4EF7-9E8C-4B8927D18BBE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0BC2441E-59F2-4532-9101-B0A7C5AD1A5E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5" w:fontKey="{E56CB190-06AA-408D-915D-340B8960CEE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28DC020-F59D-41DC-AF21-F42EAE6CEE8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C869DEF-EE4C-46B4-B595-D4EB84E93E2A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2571C2EC-9B45-47D6-921E-13BF6F9A072E}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Theme="minorEastAsia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Theme="minorEastAsia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4BC45F"/>
    <w:multiLevelType w:val="singleLevel"/>
    <w:tmpl w:val="844BC45F"/>
    <w:lvl w:ilvl="0" w:tentative="0">
      <w:start w:val="7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wZGMxMWZhZmFmMTU1NjVlY2FlM2IwZWJiYjAzMjMifQ=="/>
  </w:docVars>
  <w:rsids>
    <w:rsidRoot w:val="00000000"/>
    <w:rsid w:val="00110053"/>
    <w:rsid w:val="00726EF3"/>
    <w:rsid w:val="008C4773"/>
    <w:rsid w:val="00E5543C"/>
    <w:rsid w:val="00FF122F"/>
    <w:rsid w:val="01106300"/>
    <w:rsid w:val="013D4B60"/>
    <w:rsid w:val="014558A8"/>
    <w:rsid w:val="014B08FF"/>
    <w:rsid w:val="01814321"/>
    <w:rsid w:val="01B24F84"/>
    <w:rsid w:val="01CF4E5D"/>
    <w:rsid w:val="021D0928"/>
    <w:rsid w:val="02552DFD"/>
    <w:rsid w:val="02867E41"/>
    <w:rsid w:val="02B96468"/>
    <w:rsid w:val="02D52B76"/>
    <w:rsid w:val="02EA4873"/>
    <w:rsid w:val="02ED1C6E"/>
    <w:rsid w:val="036D7252"/>
    <w:rsid w:val="03BE185C"/>
    <w:rsid w:val="042F5CCD"/>
    <w:rsid w:val="043B5345"/>
    <w:rsid w:val="04553F6E"/>
    <w:rsid w:val="045B70AB"/>
    <w:rsid w:val="0462668B"/>
    <w:rsid w:val="04B0389B"/>
    <w:rsid w:val="04EB654D"/>
    <w:rsid w:val="055204AE"/>
    <w:rsid w:val="057C618F"/>
    <w:rsid w:val="05BC2DF7"/>
    <w:rsid w:val="05BE3D95"/>
    <w:rsid w:val="061834A6"/>
    <w:rsid w:val="06257970"/>
    <w:rsid w:val="06510766"/>
    <w:rsid w:val="065B5A88"/>
    <w:rsid w:val="0749768F"/>
    <w:rsid w:val="075C5614"/>
    <w:rsid w:val="07830DF3"/>
    <w:rsid w:val="08935065"/>
    <w:rsid w:val="08AE1E9F"/>
    <w:rsid w:val="08C30EDD"/>
    <w:rsid w:val="08D613F6"/>
    <w:rsid w:val="09497BB4"/>
    <w:rsid w:val="09D5345C"/>
    <w:rsid w:val="0AE4187B"/>
    <w:rsid w:val="0B0C0FC9"/>
    <w:rsid w:val="0B971913"/>
    <w:rsid w:val="0B9E444D"/>
    <w:rsid w:val="0BB102BE"/>
    <w:rsid w:val="0C547201"/>
    <w:rsid w:val="0C840960"/>
    <w:rsid w:val="0CC9374C"/>
    <w:rsid w:val="0CEC634A"/>
    <w:rsid w:val="0D1D5845"/>
    <w:rsid w:val="0DAD3370"/>
    <w:rsid w:val="0DB717F6"/>
    <w:rsid w:val="0DBF4B4E"/>
    <w:rsid w:val="0DE16873"/>
    <w:rsid w:val="0EAA3109"/>
    <w:rsid w:val="0F77A797"/>
    <w:rsid w:val="0F9F69E6"/>
    <w:rsid w:val="0FDF25F6"/>
    <w:rsid w:val="0FDF6DE2"/>
    <w:rsid w:val="0FE94F4F"/>
    <w:rsid w:val="103B4960"/>
    <w:rsid w:val="104021E4"/>
    <w:rsid w:val="10806817"/>
    <w:rsid w:val="10A10B97"/>
    <w:rsid w:val="10EC17B7"/>
    <w:rsid w:val="10FE0338"/>
    <w:rsid w:val="11164A85"/>
    <w:rsid w:val="112076B2"/>
    <w:rsid w:val="11967974"/>
    <w:rsid w:val="11D40115"/>
    <w:rsid w:val="121C60CC"/>
    <w:rsid w:val="12437AFC"/>
    <w:rsid w:val="1255782F"/>
    <w:rsid w:val="12D9220E"/>
    <w:rsid w:val="12DB7D35"/>
    <w:rsid w:val="131D034D"/>
    <w:rsid w:val="137D5290"/>
    <w:rsid w:val="1380268A"/>
    <w:rsid w:val="13CE33F5"/>
    <w:rsid w:val="14005579"/>
    <w:rsid w:val="14157276"/>
    <w:rsid w:val="1437100D"/>
    <w:rsid w:val="152E4A94"/>
    <w:rsid w:val="15816208"/>
    <w:rsid w:val="16414353"/>
    <w:rsid w:val="164D10AA"/>
    <w:rsid w:val="167B47ED"/>
    <w:rsid w:val="16BC60CF"/>
    <w:rsid w:val="1721363E"/>
    <w:rsid w:val="17263548"/>
    <w:rsid w:val="172A4DE7"/>
    <w:rsid w:val="175005C5"/>
    <w:rsid w:val="177E5132"/>
    <w:rsid w:val="17FB11D4"/>
    <w:rsid w:val="180954CE"/>
    <w:rsid w:val="18535174"/>
    <w:rsid w:val="189A2880"/>
    <w:rsid w:val="189C7F66"/>
    <w:rsid w:val="18BF3AAB"/>
    <w:rsid w:val="19461C80"/>
    <w:rsid w:val="19F0190D"/>
    <w:rsid w:val="19F811CC"/>
    <w:rsid w:val="1A065294"/>
    <w:rsid w:val="1A165AF6"/>
    <w:rsid w:val="1A27385F"/>
    <w:rsid w:val="1A745F5F"/>
    <w:rsid w:val="1A9063DD"/>
    <w:rsid w:val="1AF63A9B"/>
    <w:rsid w:val="1BFE2CE6"/>
    <w:rsid w:val="1C103D79"/>
    <w:rsid w:val="1C1B5646"/>
    <w:rsid w:val="1C33298F"/>
    <w:rsid w:val="1C915908"/>
    <w:rsid w:val="1D2624F4"/>
    <w:rsid w:val="1D291FE4"/>
    <w:rsid w:val="1D553E6A"/>
    <w:rsid w:val="1D5C1A72"/>
    <w:rsid w:val="1DCD0BC2"/>
    <w:rsid w:val="1DEA5FDF"/>
    <w:rsid w:val="1E676920"/>
    <w:rsid w:val="1EBB1205"/>
    <w:rsid w:val="1F4849A4"/>
    <w:rsid w:val="1FC77FF9"/>
    <w:rsid w:val="1FE3647B"/>
    <w:rsid w:val="20D61B3B"/>
    <w:rsid w:val="20EC5803"/>
    <w:rsid w:val="20FA3A7C"/>
    <w:rsid w:val="21093CBF"/>
    <w:rsid w:val="210963B5"/>
    <w:rsid w:val="212E3725"/>
    <w:rsid w:val="214967B1"/>
    <w:rsid w:val="215A451A"/>
    <w:rsid w:val="217750CC"/>
    <w:rsid w:val="21984C2D"/>
    <w:rsid w:val="21D97B35"/>
    <w:rsid w:val="21DD71FA"/>
    <w:rsid w:val="22460F43"/>
    <w:rsid w:val="225C2514"/>
    <w:rsid w:val="22747340"/>
    <w:rsid w:val="22DF73CD"/>
    <w:rsid w:val="22E70030"/>
    <w:rsid w:val="231B417D"/>
    <w:rsid w:val="233F7E6C"/>
    <w:rsid w:val="23546EE2"/>
    <w:rsid w:val="2363459D"/>
    <w:rsid w:val="23767606"/>
    <w:rsid w:val="23A10B26"/>
    <w:rsid w:val="2455546D"/>
    <w:rsid w:val="245A4777"/>
    <w:rsid w:val="246F1053"/>
    <w:rsid w:val="24BC54EC"/>
    <w:rsid w:val="24D97E4C"/>
    <w:rsid w:val="251A293E"/>
    <w:rsid w:val="253D512F"/>
    <w:rsid w:val="259D531E"/>
    <w:rsid w:val="25B20DC9"/>
    <w:rsid w:val="260D5FFF"/>
    <w:rsid w:val="26217CFD"/>
    <w:rsid w:val="266F6CBA"/>
    <w:rsid w:val="269E759F"/>
    <w:rsid w:val="26A526DC"/>
    <w:rsid w:val="26B7240F"/>
    <w:rsid w:val="26F112FF"/>
    <w:rsid w:val="272C5D4F"/>
    <w:rsid w:val="276F4A98"/>
    <w:rsid w:val="27A504B9"/>
    <w:rsid w:val="27CC5A46"/>
    <w:rsid w:val="27D668C5"/>
    <w:rsid w:val="27DF5779"/>
    <w:rsid w:val="282633A8"/>
    <w:rsid w:val="28BC3D0D"/>
    <w:rsid w:val="29192F0D"/>
    <w:rsid w:val="2959155B"/>
    <w:rsid w:val="29982084"/>
    <w:rsid w:val="29A45F2A"/>
    <w:rsid w:val="29CF2E27"/>
    <w:rsid w:val="29E452C9"/>
    <w:rsid w:val="29F574D6"/>
    <w:rsid w:val="2A7523C5"/>
    <w:rsid w:val="2AE31F6B"/>
    <w:rsid w:val="2AF5529C"/>
    <w:rsid w:val="2B837F6A"/>
    <w:rsid w:val="2BD96071"/>
    <w:rsid w:val="2BE5732F"/>
    <w:rsid w:val="2C0404C9"/>
    <w:rsid w:val="2C046D45"/>
    <w:rsid w:val="2C144DE1"/>
    <w:rsid w:val="2C3D33B6"/>
    <w:rsid w:val="2C600047"/>
    <w:rsid w:val="2CA84CD4"/>
    <w:rsid w:val="2D4F33A1"/>
    <w:rsid w:val="2D9E60D7"/>
    <w:rsid w:val="2E0221C2"/>
    <w:rsid w:val="2E5D1AEE"/>
    <w:rsid w:val="2E5F7614"/>
    <w:rsid w:val="2F285C58"/>
    <w:rsid w:val="2FB41EDF"/>
    <w:rsid w:val="3047640F"/>
    <w:rsid w:val="30792FE7"/>
    <w:rsid w:val="309A2FCC"/>
    <w:rsid w:val="30A12956"/>
    <w:rsid w:val="31945827"/>
    <w:rsid w:val="31CC4FC0"/>
    <w:rsid w:val="31E644F9"/>
    <w:rsid w:val="31F6028F"/>
    <w:rsid w:val="320C360F"/>
    <w:rsid w:val="323A1976"/>
    <w:rsid w:val="324234D5"/>
    <w:rsid w:val="324A4137"/>
    <w:rsid w:val="32601BAD"/>
    <w:rsid w:val="32880FEF"/>
    <w:rsid w:val="32E14A9C"/>
    <w:rsid w:val="32F6606D"/>
    <w:rsid w:val="3352463E"/>
    <w:rsid w:val="336B6A5B"/>
    <w:rsid w:val="337977C2"/>
    <w:rsid w:val="33D22636"/>
    <w:rsid w:val="34BF2AD5"/>
    <w:rsid w:val="351A54A3"/>
    <w:rsid w:val="353115DE"/>
    <w:rsid w:val="355E0625"/>
    <w:rsid w:val="35A324DC"/>
    <w:rsid w:val="35D81BAE"/>
    <w:rsid w:val="36C11F34"/>
    <w:rsid w:val="36DF7544"/>
    <w:rsid w:val="37477A25"/>
    <w:rsid w:val="374D6BA3"/>
    <w:rsid w:val="383E64EC"/>
    <w:rsid w:val="385555E4"/>
    <w:rsid w:val="389B62CF"/>
    <w:rsid w:val="38B3285F"/>
    <w:rsid w:val="3A033549"/>
    <w:rsid w:val="3A345DF9"/>
    <w:rsid w:val="3A3A2CE3"/>
    <w:rsid w:val="3A5917EA"/>
    <w:rsid w:val="3A59760D"/>
    <w:rsid w:val="3A865F28"/>
    <w:rsid w:val="3A9C7051"/>
    <w:rsid w:val="3B2A71FC"/>
    <w:rsid w:val="3B7ADD7D"/>
    <w:rsid w:val="3BA402D0"/>
    <w:rsid w:val="3C940DD1"/>
    <w:rsid w:val="3D6751D9"/>
    <w:rsid w:val="3D9111F7"/>
    <w:rsid w:val="3E8E5630"/>
    <w:rsid w:val="3EB85E94"/>
    <w:rsid w:val="3EBB0897"/>
    <w:rsid w:val="3ED04E79"/>
    <w:rsid w:val="3EF26282"/>
    <w:rsid w:val="3F253F62"/>
    <w:rsid w:val="3F316DAB"/>
    <w:rsid w:val="3F6E3B5B"/>
    <w:rsid w:val="3F7D3D9E"/>
    <w:rsid w:val="3FB5178A"/>
    <w:rsid w:val="3FF027C2"/>
    <w:rsid w:val="3FF042FF"/>
    <w:rsid w:val="3FF21DD8"/>
    <w:rsid w:val="40905D53"/>
    <w:rsid w:val="412E1933"/>
    <w:rsid w:val="413C4942"/>
    <w:rsid w:val="415E1A5A"/>
    <w:rsid w:val="41705E87"/>
    <w:rsid w:val="425B5FEA"/>
    <w:rsid w:val="42734A17"/>
    <w:rsid w:val="42897B93"/>
    <w:rsid w:val="42D0193C"/>
    <w:rsid w:val="42E53F1A"/>
    <w:rsid w:val="43393162"/>
    <w:rsid w:val="43A044FF"/>
    <w:rsid w:val="43CB6266"/>
    <w:rsid w:val="444403C8"/>
    <w:rsid w:val="449000D0"/>
    <w:rsid w:val="44C9538F"/>
    <w:rsid w:val="44CC6C2E"/>
    <w:rsid w:val="45132AAF"/>
    <w:rsid w:val="45461B63"/>
    <w:rsid w:val="4560217D"/>
    <w:rsid w:val="459B4F7E"/>
    <w:rsid w:val="45C142B9"/>
    <w:rsid w:val="46256F3D"/>
    <w:rsid w:val="46BC420F"/>
    <w:rsid w:val="47022135"/>
    <w:rsid w:val="472650D5"/>
    <w:rsid w:val="47347438"/>
    <w:rsid w:val="47457D7D"/>
    <w:rsid w:val="475353E4"/>
    <w:rsid w:val="47AA594C"/>
    <w:rsid w:val="47C06F1E"/>
    <w:rsid w:val="47E50732"/>
    <w:rsid w:val="48934632"/>
    <w:rsid w:val="48F11FE5"/>
    <w:rsid w:val="49016CF8"/>
    <w:rsid w:val="49BC63EF"/>
    <w:rsid w:val="49EB7B56"/>
    <w:rsid w:val="4A504CCA"/>
    <w:rsid w:val="4A7F4E6E"/>
    <w:rsid w:val="4AAE12AF"/>
    <w:rsid w:val="4AD54A8E"/>
    <w:rsid w:val="4B157580"/>
    <w:rsid w:val="4B1A6945"/>
    <w:rsid w:val="4B216FA1"/>
    <w:rsid w:val="4B313C8F"/>
    <w:rsid w:val="4B412124"/>
    <w:rsid w:val="4BC52D55"/>
    <w:rsid w:val="4BDC1E4C"/>
    <w:rsid w:val="4C605D78"/>
    <w:rsid w:val="4CA23096"/>
    <w:rsid w:val="4D227D33"/>
    <w:rsid w:val="4D662315"/>
    <w:rsid w:val="4DD856DD"/>
    <w:rsid w:val="4DE463E9"/>
    <w:rsid w:val="4DEB45C9"/>
    <w:rsid w:val="4E3E0B9C"/>
    <w:rsid w:val="4E481A1B"/>
    <w:rsid w:val="4E73150F"/>
    <w:rsid w:val="4EA36C51"/>
    <w:rsid w:val="4EC45B53"/>
    <w:rsid w:val="4EF456FF"/>
    <w:rsid w:val="4F5C39D0"/>
    <w:rsid w:val="4F980780"/>
    <w:rsid w:val="4FED5ADF"/>
    <w:rsid w:val="4FF02299"/>
    <w:rsid w:val="503264DF"/>
    <w:rsid w:val="504601DC"/>
    <w:rsid w:val="508F3931"/>
    <w:rsid w:val="5099030C"/>
    <w:rsid w:val="50E579F5"/>
    <w:rsid w:val="512C1180"/>
    <w:rsid w:val="516B5167"/>
    <w:rsid w:val="518C3A6B"/>
    <w:rsid w:val="51984A67"/>
    <w:rsid w:val="51B4199F"/>
    <w:rsid w:val="51C03992"/>
    <w:rsid w:val="51C55131"/>
    <w:rsid w:val="51E01C60"/>
    <w:rsid w:val="520653F5"/>
    <w:rsid w:val="52157E66"/>
    <w:rsid w:val="52302EF2"/>
    <w:rsid w:val="523429E2"/>
    <w:rsid w:val="52494555"/>
    <w:rsid w:val="524C5212"/>
    <w:rsid w:val="5311687F"/>
    <w:rsid w:val="53230361"/>
    <w:rsid w:val="53C420F6"/>
    <w:rsid w:val="54B85A26"/>
    <w:rsid w:val="54B90F7D"/>
    <w:rsid w:val="55E15B01"/>
    <w:rsid w:val="560446A4"/>
    <w:rsid w:val="5612303A"/>
    <w:rsid w:val="566D0271"/>
    <w:rsid w:val="567836C3"/>
    <w:rsid w:val="567D558E"/>
    <w:rsid w:val="56A619D5"/>
    <w:rsid w:val="56B42FE3"/>
    <w:rsid w:val="56DA395E"/>
    <w:rsid w:val="56EF049A"/>
    <w:rsid w:val="578C0BCA"/>
    <w:rsid w:val="57B72F56"/>
    <w:rsid w:val="58156E12"/>
    <w:rsid w:val="582602AD"/>
    <w:rsid w:val="58A106A5"/>
    <w:rsid w:val="58C66D06"/>
    <w:rsid w:val="58F5327B"/>
    <w:rsid w:val="59091DA7"/>
    <w:rsid w:val="59613991"/>
    <w:rsid w:val="59745DBA"/>
    <w:rsid w:val="59D3262F"/>
    <w:rsid w:val="5A2A438D"/>
    <w:rsid w:val="5A300927"/>
    <w:rsid w:val="5A4E49B8"/>
    <w:rsid w:val="5A554CD3"/>
    <w:rsid w:val="5A845B89"/>
    <w:rsid w:val="5AD13B7C"/>
    <w:rsid w:val="5AD247BF"/>
    <w:rsid w:val="5AEE56F8"/>
    <w:rsid w:val="5BC93B20"/>
    <w:rsid w:val="5BFF59D4"/>
    <w:rsid w:val="5C3435DF"/>
    <w:rsid w:val="5C821337"/>
    <w:rsid w:val="5CE052EE"/>
    <w:rsid w:val="5D5B7B50"/>
    <w:rsid w:val="5D63158F"/>
    <w:rsid w:val="5D6972B8"/>
    <w:rsid w:val="5DEA664B"/>
    <w:rsid w:val="5DF45BDE"/>
    <w:rsid w:val="5EB34C8F"/>
    <w:rsid w:val="5EF07C91"/>
    <w:rsid w:val="5F13159F"/>
    <w:rsid w:val="5F571ABE"/>
    <w:rsid w:val="5F9451DF"/>
    <w:rsid w:val="5FA10F8B"/>
    <w:rsid w:val="5FB40CBE"/>
    <w:rsid w:val="5FD17AC2"/>
    <w:rsid w:val="600F452F"/>
    <w:rsid w:val="60346158"/>
    <w:rsid w:val="6051475F"/>
    <w:rsid w:val="6099702A"/>
    <w:rsid w:val="60E03D35"/>
    <w:rsid w:val="61700C15"/>
    <w:rsid w:val="61720E31"/>
    <w:rsid w:val="61891C3A"/>
    <w:rsid w:val="61CB3E35"/>
    <w:rsid w:val="61E63194"/>
    <w:rsid w:val="624A6A49"/>
    <w:rsid w:val="62740BD9"/>
    <w:rsid w:val="62816E52"/>
    <w:rsid w:val="628B084D"/>
    <w:rsid w:val="63027F93"/>
    <w:rsid w:val="63162093"/>
    <w:rsid w:val="63352116"/>
    <w:rsid w:val="63534C92"/>
    <w:rsid w:val="639D5F0D"/>
    <w:rsid w:val="63B36AB0"/>
    <w:rsid w:val="63B514A9"/>
    <w:rsid w:val="63BD3EBA"/>
    <w:rsid w:val="63BF40D6"/>
    <w:rsid w:val="641E0DFC"/>
    <w:rsid w:val="643E32A0"/>
    <w:rsid w:val="64DA3F01"/>
    <w:rsid w:val="650B373F"/>
    <w:rsid w:val="65270184"/>
    <w:rsid w:val="656E7B61"/>
    <w:rsid w:val="658A6536"/>
    <w:rsid w:val="65E74E3A"/>
    <w:rsid w:val="65F0370B"/>
    <w:rsid w:val="662B15AE"/>
    <w:rsid w:val="666A657B"/>
    <w:rsid w:val="66ED4AB6"/>
    <w:rsid w:val="66F2031E"/>
    <w:rsid w:val="672506F4"/>
    <w:rsid w:val="67674868"/>
    <w:rsid w:val="67D16185"/>
    <w:rsid w:val="67D87514"/>
    <w:rsid w:val="67DA6864"/>
    <w:rsid w:val="68004952"/>
    <w:rsid w:val="68251621"/>
    <w:rsid w:val="68A5389A"/>
    <w:rsid w:val="68B60B14"/>
    <w:rsid w:val="68CE715B"/>
    <w:rsid w:val="68D519D1"/>
    <w:rsid w:val="69351C8D"/>
    <w:rsid w:val="69552780"/>
    <w:rsid w:val="6962178B"/>
    <w:rsid w:val="697B284D"/>
    <w:rsid w:val="69AE49D0"/>
    <w:rsid w:val="69B8584F"/>
    <w:rsid w:val="69CC6B23"/>
    <w:rsid w:val="6B19056F"/>
    <w:rsid w:val="6B46295F"/>
    <w:rsid w:val="6B522956"/>
    <w:rsid w:val="6B7B521C"/>
    <w:rsid w:val="6B9419A4"/>
    <w:rsid w:val="6B9D2F4E"/>
    <w:rsid w:val="6C152AE5"/>
    <w:rsid w:val="6C395052"/>
    <w:rsid w:val="6CD30761"/>
    <w:rsid w:val="6D480DDA"/>
    <w:rsid w:val="6E166FE8"/>
    <w:rsid w:val="6E751F61"/>
    <w:rsid w:val="6E775CD9"/>
    <w:rsid w:val="6EA548C7"/>
    <w:rsid w:val="6EBE3907"/>
    <w:rsid w:val="6ED2504D"/>
    <w:rsid w:val="6EF8049C"/>
    <w:rsid w:val="6F3220EA"/>
    <w:rsid w:val="6F670FD3"/>
    <w:rsid w:val="70592404"/>
    <w:rsid w:val="709B7955"/>
    <w:rsid w:val="70E17439"/>
    <w:rsid w:val="710D7DC8"/>
    <w:rsid w:val="713413BD"/>
    <w:rsid w:val="713734FD"/>
    <w:rsid w:val="71494FDF"/>
    <w:rsid w:val="718D41DB"/>
    <w:rsid w:val="71983591"/>
    <w:rsid w:val="71CA611F"/>
    <w:rsid w:val="72133F6A"/>
    <w:rsid w:val="727A19AF"/>
    <w:rsid w:val="72EB27F1"/>
    <w:rsid w:val="73231F38"/>
    <w:rsid w:val="73571C35"/>
    <w:rsid w:val="737C5DE8"/>
    <w:rsid w:val="73B255B3"/>
    <w:rsid w:val="73D6524F"/>
    <w:rsid w:val="741C4C2C"/>
    <w:rsid w:val="74463A57"/>
    <w:rsid w:val="748E78D8"/>
    <w:rsid w:val="749173C8"/>
    <w:rsid w:val="74A7099A"/>
    <w:rsid w:val="751853F4"/>
    <w:rsid w:val="752B3379"/>
    <w:rsid w:val="752E10BB"/>
    <w:rsid w:val="756E74A3"/>
    <w:rsid w:val="766615F7"/>
    <w:rsid w:val="76962A74"/>
    <w:rsid w:val="76B61368"/>
    <w:rsid w:val="76C07AF1"/>
    <w:rsid w:val="76CD220E"/>
    <w:rsid w:val="76D65566"/>
    <w:rsid w:val="76DD6846"/>
    <w:rsid w:val="771F2A69"/>
    <w:rsid w:val="772341A3"/>
    <w:rsid w:val="77514BED"/>
    <w:rsid w:val="77D81E32"/>
    <w:rsid w:val="77EB6DF0"/>
    <w:rsid w:val="78202F3D"/>
    <w:rsid w:val="788A2C29"/>
    <w:rsid w:val="788B412F"/>
    <w:rsid w:val="789F07F6"/>
    <w:rsid w:val="789F5872"/>
    <w:rsid w:val="78B2790D"/>
    <w:rsid w:val="78B65E94"/>
    <w:rsid w:val="79393B8B"/>
    <w:rsid w:val="794F33AE"/>
    <w:rsid w:val="795B1D53"/>
    <w:rsid w:val="79D24709"/>
    <w:rsid w:val="7A293BFF"/>
    <w:rsid w:val="7A632955"/>
    <w:rsid w:val="7A855346"/>
    <w:rsid w:val="7AA21F6B"/>
    <w:rsid w:val="7AA61F57"/>
    <w:rsid w:val="7AB2027C"/>
    <w:rsid w:val="7AB411C2"/>
    <w:rsid w:val="7AE04C06"/>
    <w:rsid w:val="7B1D7C08"/>
    <w:rsid w:val="7B566C76"/>
    <w:rsid w:val="7B7C05E3"/>
    <w:rsid w:val="7BD5403F"/>
    <w:rsid w:val="7C3074C7"/>
    <w:rsid w:val="7C5C3AF0"/>
    <w:rsid w:val="7C635AEE"/>
    <w:rsid w:val="7CA26617"/>
    <w:rsid w:val="7CC3033B"/>
    <w:rsid w:val="7CFC55FB"/>
    <w:rsid w:val="7D5176F5"/>
    <w:rsid w:val="7DDB223A"/>
    <w:rsid w:val="7E991353"/>
    <w:rsid w:val="7F4F4B8A"/>
    <w:rsid w:val="7F54171E"/>
    <w:rsid w:val="7F7807D0"/>
    <w:rsid w:val="7FE5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next w:val="1"/>
    <w:link w:val="22"/>
    <w:autoRedefine/>
    <w:qFormat/>
    <w:uiPriority w:val="9"/>
    <w:pPr>
      <w:keepNext/>
      <w:keepLines/>
      <w:widowControl w:val="0"/>
      <w:spacing w:before="260" w:after="260" w:line="416" w:lineRule="auto"/>
      <w:jc w:val="both"/>
      <w:outlineLvl w:val="2"/>
    </w:pPr>
    <w:rPr>
      <w:rFonts w:ascii="Calibri" w:hAnsi="Calibri" w:eastAsia="宋体" w:cs="Times New Roman"/>
      <w:b/>
      <w:bCs/>
      <w:kern w:val="2"/>
      <w:sz w:val="32"/>
      <w:szCs w:val="32"/>
      <w:lang w:val="en-US" w:eastAsia="zh-CN" w:bidi="ar-SA"/>
    </w:rPr>
  </w:style>
  <w:style w:type="character" w:default="1" w:styleId="19">
    <w:name w:val="Default Paragraph Font"/>
    <w:autoRedefine/>
    <w:semiHidden/>
    <w:qFormat/>
    <w:uiPriority w:val="0"/>
  </w:style>
  <w:style w:type="table" w:default="1" w:styleId="1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autoRedefine/>
    <w:qFormat/>
    <w:uiPriority w:val="0"/>
    <w:pPr>
      <w:spacing w:line="588" w:lineRule="atLeast"/>
      <w:ind w:firstLine="640"/>
    </w:pPr>
    <w:rPr>
      <w:rFonts w:eastAsia="方正仿宋_GBK"/>
      <w:spacing w:val="6"/>
      <w:sz w:val="30"/>
    </w:rPr>
  </w:style>
  <w:style w:type="paragraph" w:styleId="5">
    <w:name w:val="Normal Indent"/>
    <w:basedOn w:val="1"/>
    <w:next w:val="6"/>
    <w:autoRedefine/>
    <w:unhideWhenUsed/>
    <w:qFormat/>
    <w:uiPriority w:val="99"/>
    <w:pPr>
      <w:ind w:firstLine="420" w:firstLineChars="200"/>
    </w:pPr>
  </w:style>
  <w:style w:type="paragraph" w:styleId="6">
    <w:name w:val="Body Text"/>
    <w:basedOn w:val="1"/>
    <w:next w:val="5"/>
    <w:autoRedefine/>
    <w:qFormat/>
    <w:uiPriority w:val="0"/>
    <w:pPr>
      <w:spacing w:after="120"/>
    </w:pPr>
  </w:style>
  <w:style w:type="paragraph" w:styleId="7">
    <w:name w:val="annotation text"/>
    <w:basedOn w:val="1"/>
    <w:autoRedefine/>
    <w:qFormat/>
    <w:uiPriority w:val="0"/>
    <w:pPr>
      <w:jc w:val="left"/>
    </w:pPr>
  </w:style>
  <w:style w:type="paragraph" w:styleId="8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9">
    <w:name w:val="Plain Text"/>
    <w:basedOn w:val="1"/>
    <w:autoRedefine/>
    <w:semiHidden/>
    <w:unhideWhenUsed/>
    <w:qFormat/>
    <w:uiPriority w:val="99"/>
    <w:rPr>
      <w:rFonts w:ascii="宋体" w:hAnsi="Courier New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autoRedefine/>
    <w:qFormat/>
    <w:uiPriority w:val="0"/>
  </w:style>
  <w:style w:type="paragraph" w:styleId="13">
    <w:name w:val="toc 2"/>
    <w:basedOn w:val="1"/>
    <w:next w:val="1"/>
    <w:autoRedefine/>
    <w:qFormat/>
    <w:uiPriority w:val="0"/>
    <w:pPr>
      <w:ind w:left="420" w:leftChars="200"/>
    </w:pPr>
  </w:style>
  <w:style w:type="paragraph" w:styleId="1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6">
    <w:name w:val="Body Text First Indent 2"/>
    <w:basedOn w:val="8"/>
    <w:next w:val="1"/>
    <w:autoRedefine/>
    <w:qFormat/>
    <w:uiPriority w:val="0"/>
    <w:pPr>
      <w:ind w:firstLine="420"/>
    </w:pPr>
  </w:style>
  <w:style w:type="table" w:styleId="18">
    <w:name w:val="Table Grid"/>
    <w:basedOn w:val="1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autoRedefine/>
    <w:qFormat/>
    <w:uiPriority w:val="0"/>
    <w:rPr>
      <w:b/>
    </w:rPr>
  </w:style>
  <w:style w:type="character" w:styleId="21">
    <w:name w:val="Hyperlink"/>
    <w:basedOn w:val="19"/>
    <w:autoRedefine/>
    <w:qFormat/>
    <w:uiPriority w:val="0"/>
    <w:rPr>
      <w:color w:val="0000FF"/>
      <w:u w:val="single"/>
    </w:rPr>
  </w:style>
  <w:style w:type="character" w:customStyle="1" w:styleId="22">
    <w:name w:val="标题 3 字符"/>
    <w:link w:val="4"/>
    <w:autoRedefine/>
    <w:qFormat/>
    <w:uiPriority w:val="9"/>
    <w:rPr>
      <w:rFonts w:ascii="Calibri" w:hAnsi="Calibri" w:eastAsia="宋体" w:cs="Times New Roman"/>
      <w:b/>
      <w:bCs/>
      <w:kern w:val="2"/>
      <w:sz w:val="32"/>
      <w:szCs w:val="32"/>
      <w:lang w:val="en-US" w:eastAsia="zh-CN" w:bidi="ar-SA"/>
    </w:rPr>
  </w:style>
  <w:style w:type="paragraph" w:customStyle="1" w:styleId="23">
    <w:name w:val="Body text|1"/>
    <w:basedOn w:val="1"/>
    <w:autoRedefine/>
    <w:qFormat/>
    <w:uiPriority w:val="0"/>
    <w:pPr>
      <w:widowControl w:val="0"/>
      <w:shd w:val="clear" w:color="auto" w:fill="auto"/>
      <w:spacing w:line="444" w:lineRule="auto"/>
      <w:ind w:firstLine="400"/>
    </w:pPr>
    <w:rPr>
      <w:rFonts w:ascii="宋体" w:hAnsi="宋体" w:eastAsia="宋体" w:cs="宋体"/>
      <w:sz w:val="19"/>
      <w:szCs w:val="19"/>
      <w:u w:val="none"/>
      <w:shd w:val="clear" w:color="auto" w:fill="auto"/>
      <w:lang w:val="zh-CN" w:eastAsia="zh-CN" w:bidi="zh-CN"/>
    </w:rPr>
  </w:style>
  <w:style w:type="paragraph" w:customStyle="1" w:styleId="24">
    <w:name w:val="Body text|2"/>
    <w:basedOn w:val="1"/>
    <w:autoRedefine/>
    <w:qFormat/>
    <w:uiPriority w:val="0"/>
    <w:pPr>
      <w:widowControl w:val="0"/>
      <w:shd w:val="clear" w:color="auto" w:fill="auto"/>
      <w:spacing w:line="411" w:lineRule="exact"/>
      <w:ind w:firstLine="200"/>
    </w:pPr>
    <w:rPr>
      <w:rFonts w:ascii="宋体" w:hAnsi="宋体" w:eastAsia="宋体" w:cs="宋体"/>
      <w:sz w:val="30"/>
      <w:szCs w:val="30"/>
      <w:u w:val="none"/>
      <w:shd w:val="clear" w:color="auto" w:fill="auto"/>
      <w:lang w:val="zh-CN" w:eastAsia="zh-CN" w:bidi="zh-CN"/>
    </w:rPr>
  </w:style>
  <w:style w:type="paragraph" w:customStyle="1" w:styleId="25">
    <w:name w:val="Other|1"/>
    <w:basedOn w:val="1"/>
    <w:autoRedefine/>
    <w:qFormat/>
    <w:uiPriority w:val="0"/>
    <w:pPr>
      <w:widowControl w:val="0"/>
      <w:shd w:val="clear" w:color="auto" w:fill="auto"/>
      <w:spacing w:line="444" w:lineRule="auto"/>
      <w:ind w:firstLine="400"/>
    </w:pPr>
    <w:rPr>
      <w:rFonts w:ascii="宋体" w:hAnsi="宋体" w:eastAsia="宋体" w:cs="宋体"/>
      <w:sz w:val="19"/>
      <w:szCs w:val="19"/>
      <w:u w:val="none"/>
      <w:shd w:val="clear" w:color="auto" w:fill="auto"/>
      <w:lang w:val="zh-CN" w:eastAsia="zh-CN" w:bidi="zh-CN"/>
    </w:rPr>
  </w:style>
  <w:style w:type="paragraph" w:customStyle="1" w:styleId="26">
    <w:name w:val="Other|2"/>
    <w:basedOn w:val="1"/>
    <w:autoRedefine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19"/>
      <w:szCs w:val="19"/>
      <w:u w:val="none"/>
      <w:shd w:val="clear" w:color="auto" w:fill="auto"/>
      <w:lang w:val="zh-CN" w:eastAsia="zh-CN" w:bidi="zh-CN"/>
    </w:rPr>
  </w:style>
  <w:style w:type="paragraph" w:customStyle="1" w:styleId="27">
    <w:name w:val="Header or footer|2"/>
    <w:basedOn w:val="1"/>
    <w:autoRedefine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CN" w:eastAsia="zh-CN" w:bidi="zh-CN"/>
    </w:rPr>
  </w:style>
  <w:style w:type="paragraph" w:customStyle="1" w:styleId="28">
    <w:name w:val="Table caption|1"/>
    <w:basedOn w:val="1"/>
    <w:autoRedefine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19"/>
      <w:szCs w:val="19"/>
      <w:u w:val="none"/>
      <w:shd w:val="clear" w:color="auto" w:fill="auto"/>
      <w:lang w:val="zh-CN" w:eastAsia="zh-CN" w:bidi="zh-CN"/>
    </w:rPr>
  </w:style>
  <w:style w:type="character" w:customStyle="1" w:styleId="29">
    <w:name w:val="font11"/>
    <w:basedOn w:val="19"/>
    <w:autoRedefine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paragraph" w:customStyle="1" w:styleId="30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1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2">
    <w:name w:val="font31"/>
    <w:basedOn w:val="19"/>
    <w:autoRedefine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33">
    <w:name w:val="font21"/>
    <w:basedOn w:val="19"/>
    <w:autoRedefine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4">
    <w:name w:val="font81"/>
    <w:basedOn w:val="19"/>
    <w:autoRedefine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5">
    <w:name w:val="font51"/>
    <w:basedOn w:val="19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6">
    <w:name w:val="font111"/>
    <w:basedOn w:val="19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37">
    <w:name w:val="font142"/>
    <w:basedOn w:val="19"/>
    <w:autoRedefine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8">
    <w:name w:val="font41"/>
    <w:basedOn w:val="19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  <w:style w:type="character" w:customStyle="1" w:styleId="39">
    <w:name w:val="font61"/>
    <w:basedOn w:val="19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0">
    <w:name w:val="font91"/>
    <w:basedOn w:val="19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paragraph" w:customStyle="1" w:styleId="41">
    <w:name w:val="Table Text"/>
    <w:basedOn w:val="1"/>
    <w:autoRedefine/>
    <w:semiHidden/>
    <w:qFormat/>
    <w:uiPriority w:val="0"/>
    <w:rPr>
      <w:rFonts w:ascii="宋体" w:hAnsi="宋体" w:eastAsia="宋体" w:cs="宋体"/>
      <w:sz w:val="44"/>
      <w:szCs w:val="44"/>
      <w:lang w:val="en-US" w:eastAsia="en-US" w:bidi="ar-SA"/>
    </w:rPr>
  </w:style>
  <w:style w:type="table" w:customStyle="1" w:styleId="4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13548</Words>
  <Characters>14434</Characters>
  <Lines>0</Lines>
  <Paragraphs>0</Paragraphs>
  <TotalTime>5</TotalTime>
  <ScaleCrop>false</ScaleCrop>
  <LinksUpToDate>false</LinksUpToDate>
  <CharactersWithSpaces>15510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2023-11-03T19:36:00Z</dcterms:created>
  <dc:creator>Administrator</dc:creator>
  <cp:lastModifiedBy>夜色丶</cp:lastModifiedBy>
  <cp:lastPrinted>2024-01-27T09:26:00Z</cp:lastPrinted>
  <dcterms:modified xsi:type="dcterms:W3CDTF">2024-04-14T09:04:55Z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A7EA88AAFEA84DC3B6B64DFDBE5A5974_13</vt:lpwstr>
  </property>
  <property fmtid="{D5CDD505-2E9C-101B-9397-08002B2CF9AE}" pid="4" name="KSOSaveFontToCloudKey">
    <vt:lpwstr>570788610_btnclosed</vt:lpwstr>
  </property>
</Properties>
</file>