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65"/>
        </w:tabs>
        <w:spacing w:line="600" w:lineRule="exact"/>
        <w:rPr>
          <w:rFonts w:hint="default" w:ascii="黑体" w:hAnsi="黑体" w:eastAsia="黑体"/>
          <w:bCs/>
          <w:color w:val="000000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szCs w:val="32"/>
          <w:lang w:val="en-US" w:eastAsia="zh-CN"/>
        </w:rPr>
        <w:t>1</w:t>
      </w:r>
    </w:p>
    <w:p>
      <w:pPr>
        <w:pStyle w:val="8"/>
        <w:snapToGrid w:val="0"/>
        <w:spacing w:before="0" w:after="0" w:line="560" w:lineRule="exact"/>
        <w:outlineLvl w:val="9"/>
        <w:rPr>
          <w:rFonts w:hAnsi="宋体"/>
          <w:color w:val="000000"/>
        </w:rPr>
      </w:pPr>
    </w:p>
    <w:p>
      <w:pPr>
        <w:pStyle w:val="8"/>
        <w:snapToGrid w:val="0"/>
        <w:spacing w:before="0" w:after="0" w:line="560" w:lineRule="exact"/>
        <w:outlineLvl w:val="9"/>
        <w:rPr>
          <w:rFonts w:ascii="方正小标宋_GBK" w:hAnsi="宋体" w:eastAsia="方正小标宋_GBK" w:cs="宋体"/>
          <w:b w:val="0"/>
          <w:color w:val="000000"/>
        </w:rPr>
      </w:pPr>
      <w:r>
        <w:rPr>
          <w:rFonts w:hint="eastAsia" w:ascii="方正小标宋_GBK" w:hAnsi="宋体" w:eastAsia="方正小标宋_GBK" w:cs="宋体"/>
          <w:b w:val="0"/>
          <w:color w:val="000000"/>
          <w:lang w:val="en-US" w:eastAsia="zh-CN"/>
        </w:rPr>
        <w:t>金寨县住房和城乡建设局</w:t>
      </w:r>
      <w:r>
        <w:rPr>
          <w:rFonts w:hint="eastAsia" w:ascii="方正小标宋_GBK" w:hAnsi="宋体" w:eastAsia="方正小标宋_GBK" w:cs="宋体"/>
          <w:b w:val="0"/>
          <w:color w:val="000000"/>
        </w:rPr>
        <w:t>绩效自评工作情况总结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color w:val="000000"/>
          <w:szCs w:val="32"/>
        </w:rPr>
      </w:pPr>
      <w:r>
        <w:rPr>
          <w:rFonts w:hint="eastAsia" w:ascii="黑体" w:hAnsi="黑体" w:eastAsia="黑体" w:cs="仿宋_GB2312"/>
          <w:color w:val="000000"/>
          <w:szCs w:val="32"/>
        </w:rPr>
        <w:t>一、自评工作开展情况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按照预算绩效管理工作要求，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本部门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对202</w:t>
      </w:r>
      <w:r>
        <w:rPr>
          <w:rFonts w:hint="eastAsia" w:ascii="Times New Roman" w:hAnsi="Times New Roman" w:cs="仿宋_GB2312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年部门整体支出和项目支出开展了绩效自评。从评价情况来看，做到了内容完整、权重合理、数据真实、结果客观，达到预期目标，没有出现绩效目标偏离较大情况。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color w:val="000000"/>
          <w:szCs w:val="32"/>
        </w:rPr>
      </w:pPr>
      <w:r>
        <w:rPr>
          <w:rFonts w:hint="eastAsia" w:ascii="黑体" w:hAnsi="黑体" w:eastAsia="黑体" w:cs="仿宋_GB2312"/>
          <w:color w:val="000000"/>
          <w:szCs w:val="32"/>
        </w:rPr>
        <w:t>部门预算支出情况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年县财政局批复</w:t>
      </w:r>
      <w:r>
        <w:rPr>
          <w:rFonts w:hint="eastAsia" w:cs="仿宋_GB2312"/>
          <w:sz w:val="32"/>
          <w:szCs w:val="32"/>
          <w:lang w:val="en-US" w:eastAsia="zh-CN"/>
        </w:rPr>
        <w:t>本部门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cs="仿宋_GB2312"/>
          <w:sz w:val="32"/>
          <w:szCs w:val="32"/>
          <w:lang w:val="en-US" w:eastAsia="zh-CN"/>
        </w:rPr>
        <w:t>年初</w:t>
      </w:r>
      <w:r>
        <w:rPr>
          <w:rFonts w:hint="eastAsia" w:ascii="Times New Roman" w:hAnsi="Times New Roman" w:eastAsia="仿宋_GB2312" w:cs="仿宋_GB2312"/>
          <w:sz w:val="32"/>
          <w:szCs w:val="32"/>
        </w:rPr>
        <w:t>预算收入</w:t>
      </w:r>
      <w:r>
        <w:rPr>
          <w:rFonts w:hint="eastAsia" w:cs="仿宋_GB2312"/>
          <w:sz w:val="32"/>
          <w:szCs w:val="32"/>
          <w:lang w:val="en-US" w:eastAsia="zh-CN"/>
        </w:rPr>
        <w:t>3373.14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万元</w:t>
      </w:r>
      <w:r>
        <w:rPr>
          <w:rFonts w:hint="eastAsia" w:cs="仿宋_GB2312"/>
          <w:sz w:val="32"/>
          <w:szCs w:val="32"/>
          <w:lang w:eastAsia="zh-CN"/>
        </w:rPr>
        <w:t>，</w:t>
      </w:r>
      <w:r>
        <w:rPr>
          <w:rFonts w:hint="eastAsia" w:cs="仿宋_GB2312"/>
          <w:sz w:val="32"/>
          <w:szCs w:val="32"/>
          <w:lang w:val="en-US" w:eastAsia="zh-CN"/>
        </w:rPr>
        <w:t>其中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一般公共预算收入</w:t>
      </w:r>
      <w:r>
        <w:rPr>
          <w:rFonts w:hint="eastAsia" w:cs="仿宋_GB2312"/>
          <w:sz w:val="32"/>
          <w:szCs w:val="32"/>
          <w:lang w:val="en-US" w:eastAsia="zh-CN"/>
        </w:rPr>
        <w:t>2527.23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万元</w:t>
      </w:r>
      <w:r>
        <w:rPr>
          <w:rFonts w:hint="eastAsia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上年预算结余</w:t>
      </w:r>
      <w:r>
        <w:rPr>
          <w:rFonts w:hint="eastAsia" w:cs="仿宋_GB2312"/>
          <w:sz w:val="32"/>
          <w:szCs w:val="32"/>
          <w:lang w:val="en-US" w:eastAsia="zh-CN"/>
        </w:rPr>
        <w:t>845.91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万元</w:t>
      </w:r>
      <w:r>
        <w:rPr>
          <w:rFonts w:hint="eastAsia" w:cs="仿宋_GB2312"/>
          <w:sz w:val="32"/>
          <w:szCs w:val="32"/>
          <w:lang w:eastAsia="zh-CN"/>
        </w:rPr>
        <w:t>；</w:t>
      </w:r>
      <w:r>
        <w:rPr>
          <w:rFonts w:hint="eastAsia" w:cs="仿宋_GB2312"/>
          <w:sz w:val="32"/>
          <w:szCs w:val="32"/>
          <w:lang w:val="en-US" w:eastAsia="zh-CN"/>
        </w:rPr>
        <w:t>年中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追加预算</w:t>
      </w:r>
      <w:r>
        <w:rPr>
          <w:rFonts w:hint="eastAsia" w:cs="仿宋_GB2312"/>
          <w:sz w:val="32"/>
          <w:szCs w:val="32"/>
          <w:lang w:val="en-US" w:eastAsia="zh-CN"/>
        </w:rPr>
        <w:t>12048.82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万元，当年预算收入总计</w:t>
      </w:r>
      <w:r>
        <w:rPr>
          <w:rFonts w:hint="eastAsia" w:cs="仿宋_GB2312"/>
          <w:sz w:val="32"/>
          <w:szCs w:val="32"/>
          <w:lang w:val="en-US" w:eastAsia="zh-CN"/>
        </w:rPr>
        <w:t>15421.96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万元。</w:t>
      </w:r>
      <w:r>
        <w:rPr>
          <w:rFonts w:hint="eastAsia" w:cs="仿宋_GB2312"/>
          <w:sz w:val="32"/>
          <w:szCs w:val="32"/>
          <w:lang w:val="en-US" w:eastAsia="zh-CN"/>
        </w:rPr>
        <w:t>2023年财政拨款预算支出15420.96万元，同预算收入保持相对平衡，完成预算收入的99.99%，充分发挥出了财政资金的使用效益。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cs="仿宋_GB2312"/>
          <w:sz w:val="32"/>
          <w:szCs w:val="32"/>
          <w:lang w:val="en-US" w:eastAsia="zh-CN"/>
        </w:rPr>
        <w:t>本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部门有</w:t>
      </w:r>
      <w:r>
        <w:rPr>
          <w:rFonts w:hint="eastAsia" w:cs="仿宋_GB2312"/>
          <w:sz w:val="32"/>
          <w:szCs w:val="32"/>
          <w:lang w:val="en-US" w:eastAsia="zh-CN"/>
        </w:rPr>
        <w:t>44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个项目，涉及预算资金</w:t>
      </w:r>
      <w:r>
        <w:rPr>
          <w:rFonts w:hint="eastAsia" w:cs="仿宋_GB2312"/>
          <w:sz w:val="32"/>
          <w:szCs w:val="32"/>
          <w:lang w:val="en-US" w:eastAsia="zh-CN"/>
        </w:rPr>
        <w:t>15303.83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万元，</w:t>
      </w:r>
      <w:r>
        <w:rPr>
          <w:rFonts w:hint="eastAsia" w:cs="仿宋_GB2312"/>
          <w:sz w:val="32"/>
          <w:szCs w:val="32"/>
          <w:lang w:val="en-US" w:eastAsia="zh-CN"/>
        </w:rPr>
        <w:t>全年预算执行数15302.92万元，预算执行率99.99%，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具体由房地产市场管理服务项目经费、建设工程消防审查验收专项经费、建设领域实名制用工和工资支付管理“一卡通”专项经费、建筑业监管及建筑节能、绿色、产业现代化专项经费、白蚁防治专项经费、建设工程质量安全监督管理专项经费、政府购买服务人员专项经费、固定资产采购专项经费、保障性安居工程、棚户区改造、农村危房改造、城镇住房保障家庭租赁补贴、就业创业购房补贴资金</w:t>
      </w:r>
      <w:r>
        <w:rPr>
          <w:rFonts w:hint="eastAsia" w:cs="仿宋_GB2312"/>
          <w:sz w:val="32"/>
          <w:szCs w:val="32"/>
          <w:lang w:val="en-US" w:eastAsia="zh-CN"/>
        </w:rPr>
        <w:t>、晋升高等级资质建筑业企业奖励、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cs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年离退休人员一次性奖励、既有住宅加装电梯补贴资金、传统村落集中连片保护利用示范县申报工作经费、住建局机关事业单位办公用房租赁费、引进人才购房补贴、安置四区储藏出售相关资金、安置四区储藏室出售土地出让金等项目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color w:val="000000"/>
          <w:szCs w:val="32"/>
        </w:rPr>
      </w:pPr>
      <w:r>
        <w:rPr>
          <w:rFonts w:hint="eastAsia" w:ascii="黑体" w:hAnsi="黑体" w:eastAsia="黑体" w:cs="仿宋_GB2312"/>
          <w:color w:val="000000"/>
          <w:szCs w:val="32"/>
        </w:rPr>
        <w:t>三、项目自评结果及分析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自评结果显示，</w:t>
      </w:r>
      <w:r>
        <w:rPr>
          <w:rFonts w:hint="eastAsia" w:cs="仿宋_GB2312"/>
          <w:sz w:val="32"/>
          <w:szCs w:val="32"/>
          <w:lang w:val="en-US" w:eastAsia="zh-CN"/>
        </w:rPr>
        <w:t>本部门2023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年项目预算编制合理，整体支出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和项目</w:t>
      </w:r>
      <w:r>
        <w:rPr>
          <w:rFonts w:hint="eastAsia" w:ascii="Times New Roman" w:hAnsi="Times New Roman" w:eastAsia="仿宋_GB2312" w:cs="仿宋_GB2312"/>
          <w:sz w:val="32"/>
          <w:szCs w:val="32"/>
        </w:rPr>
        <w:t>符合单位职责和相关管理规定，</w:t>
      </w:r>
      <w:r>
        <w:rPr>
          <w:rFonts w:hint="eastAsia" w:cs="仿宋_GB2312"/>
          <w:sz w:val="32"/>
          <w:szCs w:val="32"/>
          <w:lang w:val="en-US" w:eastAsia="zh-CN"/>
        </w:rPr>
        <w:t>预算执行率达到99.99%，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完成情况良好，自评得分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99.</w:t>
      </w:r>
      <w:r>
        <w:rPr>
          <w:rFonts w:hint="eastAsia" w:cs="仿宋_GB2312"/>
          <w:sz w:val="32"/>
          <w:szCs w:val="32"/>
          <w:lang w:val="en-US" w:eastAsia="zh-CN"/>
        </w:rPr>
        <w:t>99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分，绩效总体评价为“优”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虽然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2023年租赁补贴</w:t>
      </w:r>
      <w:r>
        <w:rPr>
          <w:rFonts w:hint="eastAsia" w:cs="仿宋_GB2312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全县农房安全检测</w:t>
      </w:r>
      <w:r>
        <w:rPr>
          <w:rFonts w:hint="eastAsia" w:cs="仿宋_GB2312"/>
          <w:sz w:val="32"/>
          <w:szCs w:val="32"/>
          <w:lang w:val="en-US" w:eastAsia="zh-CN"/>
        </w:rPr>
        <w:t>两项经费没有100%支付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，但是</w:t>
      </w:r>
      <w:r>
        <w:rPr>
          <w:rFonts w:hint="eastAsia" w:cs="仿宋_GB2312"/>
          <w:sz w:val="32"/>
          <w:szCs w:val="32"/>
          <w:lang w:val="en-US" w:eastAsia="zh-CN"/>
        </w:rPr>
        <w:t>工作任务均高效完成，达成预期绩效目标，结余资金统一由财政部门收回，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从整体来看</w:t>
      </w:r>
      <w:r>
        <w:rPr>
          <w:rFonts w:hint="eastAsia" w:cs="仿宋_GB2312"/>
          <w:sz w:val="32"/>
          <w:szCs w:val="32"/>
          <w:lang w:val="en-US" w:eastAsia="zh-CN"/>
        </w:rPr>
        <w:t>本部门</w:t>
      </w:r>
      <w:r>
        <w:rPr>
          <w:rFonts w:hint="eastAsia" w:ascii="Times New Roman" w:hAnsi="Times New Roman" w:eastAsia="仿宋_GB2312" w:cs="仿宋_GB2312"/>
          <w:sz w:val="32"/>
          <w:szCs w:val="32"/>
        </w:rPr>
        <w:t>资金的使用和效果达到年初预期的绩效目标，未出现绩效较差和效目标偏离较大的项目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  <w:r>
        <w:rPr>
          <w:rFonts w:hint="eastAsia" w:cs="仿宋_GB2312"/>
          <w:sz w:val="32"/>
          <w:szCs w:val="32"/>
          <w:lang w:val="en-US" w:eastAsia="zh-CN"/>
        </w:rPr>
        <w:t>本部门</w:t>
      </w:r>
      <w:r>
        <w:rPr>
          <w:rFonts w:hint="eastAsia" w:ascii="Times New Roman" w:hAnsi="Times New Roman" w:eastAsia="仿宋_GB2312" w:cs="仿宋_GB2312"/>
          <w:sz w:val="32"/>
          <w:szCs w:val="32"/>
        </w:rPr>
        <w:t>持续推动建筑业蓬勃发展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全面落实低收入群众住房保障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多措并举确保房地产市场健康平稳运行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继续</w:t>
      </w:r>
      <w:r>
        <w:rPr>
          <w:rFonts w:hint="eastAsia" w:cs="仿宋_GB2312"/>
          <w:sz w:val="32"/>
          <w:szCs w:val="32"/>
          <w:lang w:val="en-US" w:eastAsia="zh-CN"/>
        </w:rPr>
        <w:t>优化营商环境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切实强化建设行业监管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保障机关平稳运转及人员工资福利正常发放等绩效目标较好完成。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color w:val="000000"/>
          <w:szCs w:val="32"/>
        </w:rPr>
      </w:pPr>
      <w:r>
        <w:rPr>
          <w:rFonts w:hint="eastAsia" w:ascii="黑体" w:hAnsi="黑体" w:eastAsia="黑体" w:cs="仿宋_GB2312"/>
          <w:color w:val="000000"/>
          <w:szCs w:val="32"/>
        </w:rPr>
        <w:t>四、绩效自评发现的主要问题及整改措施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通过全面开展绩效自评</w:t>
      </w:r>
      <w:r>
        <w:rPr>
          <w:rFonts w:hint="eastAsia" w:ascii="仿宋_GB2312" w:hAnsi="仿宋_GB2312" w:cs="仿宋_GB2312"/>
          <w:color w:val="000000"/>
          <w:szCs w:val="32"/>
        </w:rPr>
        <w:t>发现</w:t>
      </w: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本部门在绩效方面存在以下几点</w:t>
      </w:r>
      <w:r>
        <w:rPr>
          <w:rFonts w:hint="eastAsia" w:ascii="仿宋_GB2312" w:hAnsi="仿宋_GB2312" w:cs="仿宋_GB2312"/>
          <w:color w:val="000000"/>
          <w:szCs w:val="32"/>
        </w:rPr>
        <w:t>问题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一是绩效自评重视程度不够高，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下一步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要把全面实施预算绩效管理各项措施落到实处，充分认识开展绩效评价工作的重要性，按照绩效管理相关要求，采取有力措施，切实做好专项资金的绩效管理工作。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通报反馈自评结果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不及时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下一步要扎实推进预算绩效信息逐步公开，按照政务公开有关规定，主动将绩效自评结果以及财政重点项目绩效评价报告在政府网公开，自觉接受社会监督，不断提高财政资金使用的透明度。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三是运用评价结果有效与预算安排挂钩不密切，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下一步要将评价结果作为编报预算、完善政策和改进管理的重要依据，考虑预算绩效实现情况因素，调增、调减年度预算。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四是建立预算绩效目标运行监控机制不完善，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下一步要对照年初设定的支出绩效目标，对项目管理的各相关内容和目标要求完成情况进行跟踪监控，及时掌握项目绩效目标开展情况、项目实施进程和资金支出进度，总结分析预算执行过程中绩效目标的运行情况和实现程度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五是开展第三方预算绩效评价不够多，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下一步要根据年度工作重点，选取涉及民生、社会公众普遍关心、具有较大社会影响的项目，采取委托第三方专业机构参与绩效评价方式开展部门重点评价，确保绩效评价的真实性。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六是培养绩效评价专业人才不够勤，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今后要有计划的培养绩效评价专业人才，提升财务人员专业素养，熟练运用掌握绩效自评内容，有效推进预算绩效管理工作，营造“讲绩效、重绩效、用绩效”的良好氛围。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仿宋_GB2312"/>
          <w:color w:val="000000"/>
          <w:szCs w:val="32"/>
        </w:rPr>
      </w:pPr>
      <w:r>
        <w:rPr>
          <w:rFonts w:hint="eastAsia" w:ascii="黑体" w:hAnsi="黑体" w:eastAsia="黑体" w:cs="仿宋_GB2312"/>
          <w:color w:val="000000"/>
          <w:szCs w:val="32"/>
        </w:rPr>
        <w:t>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color w:val="000000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附：项目支出绩效自评汇总表</w:t>
      </w:r>
    </w:p>
    <w:p>
      <w:pPr>
        <w:pStyle w:val="2"/>
      </w:pPr>
    </w:p>
    <w:p>
      <w:pPr>
        <w:pStyle w:val="8"/>
        <w:snapToGrid w:val="0"/>
        <w:spacing w:before="0" w:after="0" w:line="560" w:lineRule="exact"/>
        <w:outlineLvl w:val="9"/>
        <w:rPr>
          <w:rFonts w:ascii="方正小标宋_GBK" w:hAnsi="宋体" w:eastAsia="方正小标宋_GBK" w:cs="宋体"/>
          <w:b w:val="0"/>
          <w:color w:val="000000"/>
        </w:rPr>
      </w:pPr>
      <w:r>
        <w:rPr>
          <w:rFonts w:hint="eastAsia" w:ascii="方正小标宋_GBK" w:hAnsi="宋体" w:eastAsia="方正小标宋_GBK" w:cs="宋体"/>
          <w:b w:val="0"/>
          <w:color w:val="000000"/>
        </w:rPr>
        <w:t>项目支出绩效自评汇总表</w:t>
      </w:r>
    </w:p>
    <w:p>
      <w:pPr>
        <w:pStyle w:val="8"/>
        <w:snapToGrid w:val="0"/>
        <w:spacing w:before="0" w:after="0" w:line="560" w:lineRule="exact"/>
        <w:jc w:val="both"/>
        <w:outlineLvl w:val="9"/>
        <w:rPr>
          <w:rFonts w:ascii="方正小标宋_GBK" w:hAnsi="宋体" w:eastAsia="方正小标宋_GBK" w:cs="宋体"/>
          <w:b w:val="0"/>
          <w:color w:val="000000"/>
        </w:rPr>
      </w:pPr>
    </w:p>
    <w:tbl>
      <w:tblPr>
        <w:tblStyle w:val="6"/>
        <w:tblW w:w="8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329"/>
        <w:gridCol w:w="984"/>
        <w:gridCol w:w="990"/>
        <w:gridCol w:w="990"/>
        <w:gridCol w:w="1070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CESI宋体-GB2312" w:cs="CESI宋体-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CESI宋体-GB2312" w:cs="CESI宋体-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CESI宋体-GB2312" w:cs="CESI宋体-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color w:val="000000"/>
                <w:sz w:val="21"/>
                <w:szCs w:val="21"/>
              </w:rPr>
              <w:t>全年</w:t>
            </w:r>
          </w:p>
          <w:p>
            <w:pPr>
              <w:jc w:val="center"/>
              <w:rPr>
                <w:rFonts w:ascii="CESI宋体-GB2312" w:hAnsi="CESI宋体-GB2312" w:eastAsia="CESI宋体-GB2312" w:cs="CESI宋体-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color w:val="000000"/>
                <w:sz w:val="21"/>
                <w:szCs w:val="21"/>
              </w:rPr>
              <w:t>预算数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CESI宋体-GB2312" w:cs="CESI宋体-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color w:val="000000"/>
                <w:sz w:val="21"/>
                <w:szCs w:val="21"/>
              </w:rPr>
              <w:t>全年</w:t>
            </w:r>
          </w:p>
          <w:p>
            <w:pPr>
              <w:jc w:val="center"/>
              <w:rPr>
                <w:rFonts w:ascii="CESI宋体-GB2312" w:hAnsi="CESI宋体-GB2312" w:eastAsia="CESI宋体-GB2312" w:cs="CESI宋体-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color w:val="000000"/>
                <w:sz w:val="21"/>
                <w:szCs w:val="21"/>
              </w:rPr>
              <w:t>执行数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CESI宋体-GB2312" w:cs="CESI宋体-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color w:val="000000"/>
                <w:sz w:val="21"/>
                <w:szCs w:val="21"/>
              </w:rPr>
              <w:t>预算执行率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CESI宋体-GB2312" w:cs="CESI宋体-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color w:val="000000"/>
                <w:sz w:val="21"/>
                <w:szCs w:val="21"/>
              </w:rPr>
              <w:t>自评得分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CESI宋体-GB2312" w:cs="CESI宋体-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color w:val="000000"/>
                <w:sz w:val="21"/>
                <w:szCs w:val="21"/>
              </w:rPr>
              <w:t>是否有较大偏差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560" w:lineRule="exact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2021至2022年厅级以上督查激励资金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560" w:lineRule="exact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80000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560" w:lineRule="exact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80000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560" w:lineRule="exact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560" w:lineRule="exact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560" w:lineRule="exact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就业创业购房补贴资金(2023年第二批)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4437915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4437915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固定资产采购专项经费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32748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32748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建设工程质量安全监督管理专项经费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1368000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1368000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江环北路等综合管廊及道排工程PPP项目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71079456.94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71079456.94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金寨县城市更新、城镇住房保障、人防建设与地下空间专项编制设计费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337805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337805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2023年提前下达保障性安居工程补助资金-棚户区改造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4230000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4230000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建筑业监管及建筑节能、绿色、产业现代化专项经费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300000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300000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房改专项工作经费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77200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77200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安置四区储藏室出售土地出让金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3009215.8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3009215.8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安置四区储藏出售相关资金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729164.04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729164.04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2022年中央财政农村危房改造项目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103000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103000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公共租赁住房资金2022年中央财政城镇保障性安居工程补助资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9630000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9630000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“四电”应用及银联对接系统建设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197500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197500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建设领域实名制用工和工资支付管理“一卡通”专项经费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64000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64000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全县农房安全检测经费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367196.86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359550.78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99.79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99.79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白蚁防治专项经费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423700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423700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廉租房建设补充资金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5655600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5655600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消防技术服务采购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166293.9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166293.9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2023年中央财政城镇保障性安居工程补助资金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2130000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2130000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城乡建设专项经费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113000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113000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2023年就业创业购房补贴(二)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4852000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4852000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2023年中央财政棚户区改造补助资金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1910000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1910000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消防技术服务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226100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226100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2023年就业创业购房补贴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10522085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10522085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人才引进购房补贴(余涛)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住建局离退休干部绩效津贴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437533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437533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政府购买服务人员专项经费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654000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654000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死亡抚恤及丧葬费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275864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275864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传统村落保护补助资金(安徽省六安市金寨县保护利用示范)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8527065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8527065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2023年提前下达省级公租房租赁补贴资金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80000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80000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金寨县住建局档案、资料整理以及数字化加工项目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198124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198124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2023年省级公租房租赁补贴资金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510000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510000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危房改造资金(中央直达)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61000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61000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就业创业购房补贴资金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6796595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6796595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2023年租赁补贴(缺口)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67784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66344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99.79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99.79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金寨县传统村落集中连片保护利用规划编制等服务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794000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794000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38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房地产市场管理服务项目经费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390000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390000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39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建筑企业和房地产企业统计人员业务补贴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257000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257000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既有住宅加装电梯补贴资金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2600000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2600000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41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金寨县史河老城区2023年城市更新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3000000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3000000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42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晋升高等级资质建筑业企业奖励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400000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400000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43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就业创业购房补贴资金(第九、十、十一批)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5639364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5639364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44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建设工程消防审查验收专项经费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300000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300000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outlineLvl w:val="9"/>
              <w:rPr>
                <w:rFonts w:hint="default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</w:tr>
    </w:tbl>
    <w:p>
      <w:pPr>
        <w:pStyle w:val="8"/>
        <w:snapToGrid w:val="0"/>
        <w:spacing w:before="0" w:after="0" w:line="240" w:lineRule="auto"/>
        <w:jc w:val="center"/>
        <w:outlineLvl w:val="9"/>
        <w:rPr>
          <w:rFonts w:hint="eastAsia" w:ascii="CESI宋体-GB2312" w:hAnsi="CESI宋体-GB2312" w:eastAsia="CESI宋体-GB2312" w:cs="CESI宋体-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p>
      <w:pPr>
        <w:pStyle w:val="8"/>
        <w:snapToGrid w:val="0"/>
        <w:spacing w:before="0" w:after="0" w:line="240" w:lineRule="auto"/>
        <w:jc w:val="center"/>
        <w:outlineLvl w:val="9"/>
        <w:rPr>
          <w:rFonts w:hint="eastAsia" w:ascii="CESI宋体-GB2312" w:hAnsi="CESI宋体-GB2312" w:eastAsia="CESI宋体-GB2312" w:cs="CESI宋体-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p>
      <w:pPr>
        <w:pStyle w:val="8"/>
        <w:snapToGrid w:val="0"/>
        <w:spacing w:before="0" w:after="0" w:line="240" w:lineRule="auto"/>
        <w:jc w:val="center"/>
        <w:outlineLvl w:val="9"/>
        <w:rPr>
          <w:rFonts w:hint="eastAsia" w:ascii="CESI宋体-GB2312" w:hAnsi="CESI宋体-GB2312" w:eastAsia="CESI宋体-GB2312" w:cs="CESI宋体-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p>
      <w:pPr>
        <w:pStyle w:val="8"/>
        <w:snapToGrid w:val="0"/>
        <w:spacing w:before="0" w:after="0" w:line="240" w:lineRule="auto"/>
        <w:jc w:val="center"/>
        <w:outlineLvl w:val="9"/>
        <w:rPr>
          <w:rFonts w:hint="eastAsia" w:ascii="CESI宋体-GB2312" w:hAnsi="CESI宋体-GB2312" w:eastAsia="CESI宋体-GB2312" w:cs="CESI宋体-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p>
      <w:pPr>
        <w:pStyle w:val="8"/>
        <w:snapToGrid w:val="0"/>
        <w:spacing w:before="0" w:after="0" w:line="240" w:lineRule="auto"/>
        <w:jc w:val="center"/>
        <w:outlineLvl w:val="9"/>
        <w:rPr>
          <w:rFonts w:hint="eastAsia" w:ascii="CESI宋体-GB2312" w:hAnsi="CESI宋体-GB2312" w:eastAsia="CESI宋体-GB2312" w:cs="CESI宋体-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p>
      <w:pPr>
        <w:pStyle w:val="8"/>
        <w:snapToGrid w:val="0"/>
        <w:spacing w:before="0" w:after="0" w:line="240" w:lineRule="auto"/>
        <w:jc w:val="center"/>
        <w:outlineLvl w:val="9"/>
        <w:rPr>
          <w:rFonts w:hint="eastAsia" w:ascii="CESI宋体-GB2312" w:hAnsi="CESI宋体-GB2312" w:eastAsia="CESI宋体-GB2312" w:cs="CESI宋体-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p>
      <w:pPr>
        <w:pStyle w:val="8"/>
        <w:snapToGrid w:val="0"/>
        <w:spacing w:before="0" w:after="0" w:line="240" w:lineRule="auto"/>
        <w:jc w:val="center"/>
        <w:outlineLvl w:val="9"/>
        <w:rPr>
          <w:rFonts w:hint="eastAsia" w:ascii="CESI宋体-GB2312" w:hAnsi="CESI宋体-GB2312" w:eastAsia="CESI宋体-GB2312" w:cs="CESI宋体-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p>
      <w:pPr>
        <w:pStyle w:val="8"/>
        <w:snapToGrid w:val="0"/>
        <w:spacing w:before="0" w:after="0" w:line="240" w:lineRule="auto"/>
        <w:jc w:val="center"/>
        <w:outlineLvl w:val="9"/>
        <w:rPr>
          <w:rFonts w:hint="eastAsia" w:ascii="CESI宋体-GB2312" w:hAnsi="CESI宋体-GB2312" w:eastAsia="CESI宋体-GB2312" w:cs="CESI宋体-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黑体" w:hAnsi="黑体" w:eastAsia="黑体" w:cs="宋体"/>
          <w:b w:val="0"/>
          <w:bCs w:val="0"/>
          <w:szCs w:val="32"/>
        </w:rPr>
      </w:pPr>
      <w:r>
        <w:rPr>
          <w:rFonts w:hint="eastAsia" w:ascii="黑体" w:hAnsi="黑体" w:eastAsia="黑体" w:cs="宋体"/>
          <w:b w:val="0"/>
          <w:bCs w:val="0"/>
          <w:szCs w:val="32"/>
        </w:rPr>
        <w:br w:type="textWrapping"/>
      </w:r>
    </w:p>
    <w:p>
      <w:pPr>
        <w:rPr>
          <w:b w:val="0"/>
          <w:bCs w:val="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rFonts w:hint="eastAsia" w:ascii="仿宋_GB2312"/>
        <w:sz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D58C2"/>
    <w:multiLevelType w:val="singleLevel"/>
    <w:tmpl w:val="FBDD58C2"/>
    <w:lvl w:ilvl="0" w:tentative="0">
      <w:start w:val="2"/>
      <w:numFmt w:val="chineseCounting"/>
      <w:suff w:val="nothing"/>
      <w:lvlText w:val="%1、"/>
      <w:lvlJc w:val="left"/>
      <w:rPr>
        <w:rFonts w:hint="eastAsia" w:cs="Times New Roman"/>
      </w:rPr>
    </w:lvl>
  </w:abstractNum>
  <w:abstractNum w:abstractNumId="1">
    <w:nsid w:val="4658A3CF"/>
    <w:multiLevelType w:val="singleLevel"/>
    <w:tmpl w:val="4658A3C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NDQ1ZjlmNTYzNWI0OWQ4MWZiZWVkODUwZDQzZWMifQ=="/>
  </w:docVars>
  <w:rsids>
    <w:rsidRoot w:val="75AF3544"/>
    <w:rsid w:val="071F365B"/>
    <w:rsid w:val="086E4E8D"/>
    <w:rsid w:val="0A2A4875"/>
    <w:rsid w:val="0A743D28"/>
    <w:rsid w:val="13040994"/>
    <w:rsid w:val="16141D33"/>
    <w:rsid w:val="186D793F"/>
    <w:rsid w:val="1C330016"/>
    <w:rsid w:val="1DA668AA"/>
    <w:rsid w:val="1EF939FF"/>
    <w:rsid w:val="20FC373B"/>
    <w:rsid w:val="213F2E49"/>
    <w:rsid w:val="21886FA6"/>
    <w:rsid w:val="22216FA7"/>
    <w:rsid w:val="239D3FBF"/>
    <w:rsid w:val="24FD61EA"/>
    <w:rsid w:val="284A0BE2"/>
    <w:rsid w:val="28FB77E1"/>
    <w:rsid w:val="290D3920"/>
    <w:rsid w:val="2BAC015D"/>
    <w:rsid w:val="2D073E3E"/>
    <w:rsid w:val="2EE90362"/>
    <w:rsid w:val="322357AD"/>
    <w:rsid w:val="35E4646F"/>
    <w:rsid w:val="3C4D4C65"/>
    <w:rsid w:val="3D694451"/>
    <w:rsid w:val="40521A68"/>
    <w:rsid w:val="43C97B85"/>
    <w:rsid w:val="43E678C0"/>
    <w:rsid w:val="45C4254A"/>
    <w:rsid w:val="4B2964A7"/>
    <w:rsid w:val="4C571129"/>
    <w:rsid w:val="4E0B611E"/>
    <w:rsid w:val="54BC1D55"/>
    <w:rsid w:val="57C164B0"/>
    <w:rsid w:val="5D5061F6"/>
    <w:rsid w:val="5DAF2ACA"/>
    <w:rsid w:val="649467C3"/>
    <w:rsid w:val="66E31A1E"/>
    <w:rsid w:val="68C7481A"/>
    <w:rsid w:val="69BA2CC8"/>
    <w:rsid w:val="6A270730"/>
    <w:rsid w:val="6ADB2B11"/>
    <w:rsid w:val="70DB427E"/>
    <w:rsid w:val="75AF3544"/>
    <w:rsid w:val="760D4385"/>
    <w:rsid w:val="78BB3ADE"/>
    <w:rsid w:val="7DA0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autoRedefine/>
    <w:qFormat/>
    <w:uiPriority w:val="0"/>
    <w:pPr>
      <w:jc w:val="center"/>
    </w:pPr>
    <w:rPr>
      <w:rFonts w:eastAsia="黑体"/>
      <w:sz w:val="36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Cs w:val="32"/>
    </w:rPr>
  </w:style>
  <w:style w:type="paragraph" w:customStyle="1" w:styleId="8">
    <w:name w:val="办公自动化专用标题"/>
    <w:basedOn w:val="5"/>
    <w:autoRedefine/>
    <w:qFormat/>
    <w:uiPriority w:val="0"/>
    <w:pPr>
      <w:widowControl/>
      <w:spacing w:line="560" w:lineRule="atLeast"/>
    </w:pPr>
    <w:rPr>
      <w:rFonts w:ascii="宋体" w:cs="Times New Roman"/>
      <w:bCs w:val="0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2580</Words>
  <Characters>3429</Characters>
  <Lines>0</Lines>
  <Paragraphs>0</Paragraphs>
  <TotalTime>6</TotalTime>
  <ScaleCrop>false</ScaleCrop>
  <LinksUpToDate>false</LinksUpToDate>
  <CharactersWithSpaces>3429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2023-02-13T10:14:00Z</dcterms:created>
  <dc:creator>我是魏小妞。</dc:creator>
  <cp:lastModifiedBy>ly</cp:lastModifiedBy>
  <dcterms:modified xsi:type="dcterms:W3CDTF">2024-04-30T00:47:02Z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82278AD920FB42D19B099C76A0C5D5CB_13</vt:lpwstr>
  </property>
</Properties>
</file>