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安徽省物价局安徽省财政厅关于核定药品</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及医疗器械产品注册收费标准的函</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皖价费函</w:t>
      </w:r>
      <w:r>
        <w:rPr>
          <w:rFonts w:hint="eastAsia" w:ascii="仿宋_GB2312" w:hAnsi="仿宋_GB2312" w:eastAsia="仿宋_GB2312" w:cs="仿宋_GB2312"/>
          <w:sz w:val="32"/>
          <w:szCs w:val="32"/>
        </w:rPr>
        <w:t>〔</w:t>
      </w:r>
      <w:r>
        <w:rPr>
          <w:rFonts w:hint="eastAsia" w:ascii="楷体_GB2312" w:hAnsi="楷体_GB2312" w:eastAsia="楷体_GB2312" w:cs="楷体_GB2312"/>
          <w:sz w:val="32"/>
          <w:szCs w:val="32"/>
        </w:rPr>
        <w:t>2016</w:t>
      </w:r>
      <w:r>
        <w:rPr>
          <w:rFonts w:hint="eastAsia" w:ascii="仿宋_GB2312" w:hAnsi="仿宋_GB2312" w:eastAsia="仿宋_GB2312" w:cs="仿宋_GB2312"/>
          <w:sz w:val="32"/>
          <w:szCs w:val="32"/>
        </w:rPr>
        <w:t>〕</w:t>
      </w:r>
      <w:r>
        <w:rPr>
          <w:rFonts w:hint="eastAsia" w:ascii="楷体_GB2312" w:hAnsi="楷体_GB2312" w:eastAsia="楷体_GB2312" w:cs="楷体_GB2312"/>
          <w:sz w:val="32"/>
          <w:szCs w:val="32"/>
        </w:rPr>
        <w:t>120号</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2016年8月24日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省食品药品</w:t>
      </w:r>
      <w:bookmarkStart w:id="0" w:name="_GoBack"/>
      <w:bookmarkEnd w:id="0"/>
      <w:r>
        <w:rPr>
          <w:rFonts w:hint="eastAsia" w:ascii="仿宋_GB2312" w:hAnsi="仿宋_GB2312" w:eastAsia="仿宋_GB2312" w:cs="仿宋_GB2312"/>
          <w:sz w:val="32"/>
          <w:szCs w:val="32"/>
        </w:rPr>
        <w:t>监督管理局: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《关于申请核准药品及医疗器械产品注册收费标准的函》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皖</w:t>
      </w:r>
      <w:r>
        <w:rPr>
          <w:rFonts w:hint="eastAsia" w:ascii="仿宋_GB2312" w:hAnsi="仿宋_GB2312" w:eastAsia="仿宋_GB2312" w:cs="仿宋_GB2312"/>
          <w:sz w:val="32"/>
          <w:szCs w:val="32"/>
        </w:rPr>
        <w:t>食药监财函〔2015〕339号)收悉。根据国家发展改革委、财政部《关于印发《药品、医疗器械产品注册收费标准管理办法的通知》(发改价格〔2015〕1006号)精神,经研究,现就我省药品及医疗器械产品注册收费标准及有关问题函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一、药品及医疗器械产品注册费,是指省级食品药品监管部门向药品及医疗器械产品注册申请人收取的注册受理、审评、现场检查（医疗器械产品注册为质量管理体系核查)等费用。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二、省级食品药品监管部门依照法定职责受理不改变药品内在质量的国产药品补充注册申请和国产药品再注册申请时，按照附件1规定的收费标准收取药品注册费。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三、省级食品药品监管部门依照法定职责受理境内第二类医疗器械产品首次注册、变更注册、延续注册申请时,按照附件2规定的收费标准收取医疗器械产品注册费。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四、小微企业优惠政策按国家有关规定执行。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各级食品药品监管部门要认真执行收费公示制度;收费时使用省财政厅统一印制的《安徽省政府非税收入一般缴款书》，全额纳入财政预算,实行“收支两条线”管理。同时要按照《安徽省物价局安徽省财政厅转发国家发展改革委财政部关于取消收费许可证制度加强事中事后监管的通知》(皖价费〔2015〕12号)要求,建立健全收费台帐制度,于每年5月底前向同级价格、财政部门报送年度收费情况报告表,自觉接受价格、财政等部门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六、以上规定自本文印发之</w:t>
      </w:r>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rPr>
        <w:t>起执行,执行期1年。执行期满前3个月按规定程序重新报批。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附件:1．药品注册费收费标准表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2.医疗器械产品注册费收费标准表</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0"/>
        <w:jc w:val="left"/>
        <w:textAlignment w:val="auto"/>
        <w:rPr>
          <w:rFonts w:hint="eastAsia" w:ascii="黑体" w:hAnsi="黑体" w:eastAsia="黑体" w:cs="黑体"/>
          <w:kern w:val="2"/>
          <w:sz w:val="32"/>
          <w:szCs w:val="32"/>
          <w:u w:val="none"/>
          <w:shd w:val="clear"/>
          <w:lang w:val="en-US" w:eastAsia="zh-CN" w:bidi="ar-SA"/>
        </w:rPr>
      </w:pP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0"/>
        <w:jc w:val="left"/>
        <w:textAlignment w:val="auto"/>
        <w:rPr>
          <w:rFonts w:hint="eastAsia" w:ascii="黑体" w:hAnsi="黑体" w:eastAsia="黑体" w:cs="黑体"/>
          <w:kern w:val="2"/>
          <w:sz w:val="32"/>
          <w:szCs w:val="32"/>
          <w:u w:val="none"/>
          <w:shd w:val="clear"/>
          <w:lang w:val="en-US" w:eastAsia="zh-CN" w:bidi="ar-SA"/>
        </w:rPr>
      </w:pPr>
      <w:r>
        <w:rPr>
          <w:rFonts w:hint="eastAsia" w:ascii="黑体" w:hAnsi="黑体" w:eastAsia="黑体" w:cs="黑体"/>
          <w:kern w:val="2"/>
          <w:sz w:val="32"/>
          <w:szCs w:val="32"/>
          <w:u w:val="none"/>
          <w:shd w:val="clear"/>
          <w:lang w:val="en-US" w:eastAsia="zh-CN" w:bidi="ar-SA"/>
        </w:rPr>
        <w:t>附件1</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0"/>
        <w:jc w:val="center"/>
        <w:textAlignment w:val="auto"/>
        <w:rPr>
          <w:rFonts w:hint="eastAsia" w:ascii="方正小标宋简体" w:hAnsi="方正小标宋简体" w:eastAsia="方正小标宋简体" w:cs="方正小标宋简体"/>
          <w:kern w:val="2"/>
          <w:sz w:val="32"/>
          <w:szCs w:val="32"/>
          <w:u w:val="none"/>
          <w:shd w:val="clear"/>
          <w:lang w:val="en-US" w:eastAsia="zh-CN" w:bidi="ar-SA"/>
        </w:rPr>
      </w:pPr>
      <w:r>
        <w:rPr>
          <w:rFonts w:hint="eastAsia" w:ascii="方正小标宋简体" w:hAnsi="方正小标宋简体" w:eastAsia="方正小标宋简体" w:cs="方正小标宋简体"/>
          <w:kern w:val="2"/>
          <w:sz w:val="32"/>
          <w:szCs w:val="32"/>
          <w:u w:val="none"/>
          <w:shd w:val="clear"/>
          <w:lang w:val="en-US" w:eastAsia="zh-CN" w:bidi="ar-SA"/>
        </w:rPr>
        <w:t>药品注册费收费标准</w:t>
      </w:r>
    </w:p>
    <w:tbl>
      <w:tblPr>
        <w:tblStyle w:val="2"/>
        <w:tblW w:w="8351" w:type="dxa"/>
        <w:jc w:val="center"/>
        <w:tblLayout w:type="fixed"/>
        <w:tblCellMar>
          <w:top w:w="0" w:type="dxa"/>
          <w:left w:w="10" w:type="dxa"/>
          <w:bottom w:w="0" w:type="dxa"/>
          <w:right w:w="10" w:type="dxa"/>
        </w:tblCellMar>
      </w:tblPr>
      <w:tblGrid>
        <w:gridCol w:w="3479"/>
        <w:gridCol w:w="1783"/>
        <w:gridCol w:w="3089"/>
      </w:tblGrid>
      <w:tr>
        <w:tblPrEx>
          <w:tblCellMar>
            <w:top w:w="0" w:type="dxa"/>
            <w:left w:w="10" w:type="dxa"/>
            <w:bottom w:w="0" w:type="dxa"/>
            <w:right w:w="10" w:type="dxa"/>
          </w:tblCellMar>
        </w:tblPrEx>
        <w:trPr>
          <w:trHeight w:val="693" w:hRule="exact"/>
          <w:jc w:val="center"/>
        </w:trPr>
        <w:tc>
          <w:tcPr>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b/>
                <w:bCs/>
                <w:color w:val="000000"/>
                <w:spacing w:val="0"/>
                <w:w w:val="100"/>
                <w:position w:val="0"/>
                <w:sz w:val="24"/>
                <w:szCs w:val="24"/>
              </w:rPr>
              <w:t>项目分类</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b/>
                <w:bCs/>
                <w:color w:val="000000"/>
                <w:spacing w:val="0"/>
                <w:w w:val="100"/>
                <w:position w:val="0"/>
                <w:sz w:val="24"/>
                <w:szCs w:val="24"/>
              </w:rPr>
              <w:t>收费标准（国产）单位：元</w:t>
            </w:r>
          </w:p>
        </w:tc>
      </w:tr>
      <w:tr>
        <w:tblPrEx>
          <w:tblCellMar>
            <w:top w:w="0" w:type="dxa"/>
            <w:left w:w="10" w:type="dxa"/>
            <w:bottom w:w="0" w:type="dxa"/>
            <w:right w:w="10" w:type="dxa"/>
          </w:tblCellMar>
        </w:tblPrEx>
        <w:trPr>
          <w:trHeight w:val="511" w:hRule="exact"/>
          <w:jc w:val="center"/>
        </w:trPr>
        <w:tc>
          <w:tcPr>
            <w:tcW w:w="3479"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不改变药品内在质量的药品补充申请注册费</w:t>
            </w:r>
          </w:p>
        </w:tc>
        <w:tc>
          <w:tcPr>
            <w:tcW w:w="178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常规项</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5100</w:t>
            </w:r>
          </w:p>
        </w:tc>
      </w:tr>
      <w:tr>
        <w:tblPrEx>
          <w:tblCellMar>
            <w:top w:w="0" w:type="dxa"/>
            <w:left w:w="10" w:type="dxa"/>
            <w:bottom w:w="0" w:type="dxa"/>
            <w:right w:w="10" w:type="dxa"/>
          </w:tblCellMar>
        </w:tblPrEx>
        <w:trPr>
          <w:trHeight w:val="451" w:hRule="exact"/>
          <w:jc w:val="center"/>
        </w:trPr>
        <w:tc>
          <w:tcPr>
            <w:tcW w:w="3479"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p>
        </w:tc>
        <w:tc>
          <w:tcPr>
            <w:tcW w:w="178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需技术审评的</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24400</w:t>
            </w:r>
          </w:p>
        </w:tc>
      </w:tr>
      <w:tr>
        <w:tblPrEx>
          <w:tblCellMar>
            <w:top w:w="0" w:type="dxa"/>
            <w:left w:w="10" w:type="dxa"/>
            <w:bottom w:w="0" w:type="dxa"/>
            <w:right w:w="10" w:type="dxa"/>
          </w:tblCellMar>
        </w:tblPrEx>
        <w:trPr>
          <w:trHeight w:val="410" w:hRule="exact"/>
          <w:jc w:val="center"/>
        </w:trPr>
        <w:tc>
          <w:tcPr>
            <w:tcW w:w="347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u w:val="none"/>
              </w:rPr>
              <w:t>药品再注册费（五年一次）</w:t>
            </w:r>
          </w:p>
        </w:tc>
        <w:tc>
          <w:tcPr>
            <w:tcW w:w="178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both"/>
              <w:rPr>
                <w:rFonts w:hint="eastAsia" w:ascii="宋体" w:hAnsi="宋体" w:eastAsia="宋体" w:cs="宋体"/>
                <w:sz w:val="24"/>
                <w:szCs w:val="24"/>
              </w:rPr>
            </w:pP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23000</w:t>
            </w:r>
          </w:p>
        </w:tc>
      </w:tr>
    </w:tbl>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leftChars="0" w:right="0" w:firstLine="480" w:firstLineChars="200"/>
        <w:jc w:val="left"/>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注:1.药品注册收费按一个原料药或一个制剂为一个品种计收,如再增加一种规格，则按相应类别增收20%注册费。</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leftChars="0" w:right="0"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药品注册管理办法》中属于省级食品药品监督管理部门备案的药品补充申请事项，不收取补充申请注册费，如此类申请经审核认为申请内容需要技术审评的，申请人应按照需要技术审评的补充申请的收费标准补交费用。</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0"/>
        <w:jc w:val="left"/>
        <w:textAlignment w:val="auto"/>
        <w:rPr>
          <w:rFonts w:hint="eastAsia" w:ascii="黑体" w:hAnsi="黑体" w:eastAsia="黑体" w:cs="黑体"/>
          <w:kern w:val="2"/>
          <w:sz w:val="32"/>
          <w:szCs w:val="32"/>
          <w:u w:val="none"/>
          <w:shd w:val="clear"/>
          <w:lang w:val="en-US" w:eastAsia="zh-CN" w:bidi="ar-SA"/>
        </w:rPr>
      </w:pPr>
      <w:r>
        <w:rPr>
          <w:rFonts w:hint="eastAsia" w:ascii="黑体" w:hAnsi="黑体" w:eastAsia="黑体" w:cs="黑体"/>
          <w:kern w:val="2"/>
          <w:sz w:val="32"/>
          <w:szCs w:val="32"/>
          <w:u w:val="none"/>
          <w:shd w:val="clear"/>
          <w:lang w:val="en-US" w:eastAsia="zh-CN" w:bidi="ar-SA"/>
        </w:rPr>
        <w:t>附件2</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right="0" w:firstLine="0"/>
        <w:jc w:val="center"/>
        <w:textAlignment w:val="auto"/>
        <w:rPr>
          <w:rFonts w:hint="eastAsia" w:ascii="方正小标宋简体" w:hAnsi="方正小标宋简体" w:eastAsia="方正小标宋简体" w:cs="方正小标宋简体"/>
          <w:kern w:val="2"/>
          <w:sz w:val="32"/>
          <w:szCs w:val="32"/>
          <w:u w:val="none"/>
          <w:shd w:val="clear"/>
          <w:lang w:val="en-US" w:eastAsia="zh-CN" w:bidi="ar-SA"/>
        </w:rPr>
      </w:pPr>
      <w:r>
        <w:rPr>
          <w:rFonts w:hint="eastAsia" w:ascii="方正小标宋简体" w:hAnsi="方正小标宋简体" w:eastAsia="方正小标宋简体" w:cs="方正小标宋简体"/>
          <w:kern w:val="2"/>
          <w:sz w:val="32"/>
          <w:szCs w:val="32"/>
          <w:u w:val="none"/>
          <w:shd w:val="clear"/>
          <w:lang w:val="en-US" w:eastAsia="zh-CN" w:bidi="ar-SA"/>
        </w:rPr>
        <w:t>医疗器械产品注册费收费标准</w:t>
      </w:r>
    </w:p>
    <w:tbl>
      <w:tblPr>
        <w:tblStyle w:val="2"/>
        <w:tblW w:w="8385" w:type="dxa"/>
        <w:jc w:val="center"/>
        <w:tblLayout w:type="fixed"/>
        <w:tblCellMar>
          <w:top w:w="0" w:type="dxa"/>
          <w:left w:w="10" w:type="dxa"/>
          <w:bottom w:w="0" w:type="dxa"/>
          <w:right w:w="10" w:type="dxa"/>
        </w:tblCellMar>
      </w:tblPr>
      <w:tblGrid>
        <w:gridCol w:w="1938"/>
        <w:gridCol w:w="2537"/>
        <w:gridCol w:w="3910"/>
      </w:tblGrid>
      <w:tr>
        <w:tblPrEx>
          <w:tblCellMar>
            <w:top w:w="0" w:type="dxa"/>
            <w:left w:w="10" w:type="dxa"/>
            <w:bottom w:w="0" w:type="dxa"/>
            <w:right w:w="10" w:type="dxa"/>
          </w:tblCellMar>
        </w:tblPrEx>
        <w:trPr>
          <w:trHeight w:val="592" w:hRule="exact"/>
          <w:jc w:val="center"/>
        </w:trPr>
        <w:tc>
          <w:tcPr>
            <w:gridSpan w:val="2"/>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b/>
                <w:bCs/>
                <w:color w:val="000000"/>
                <w:spacing w:val="0"/>
                <w:w w:val="100"/>
                <w:position w:val="0"/>
                <w:sz w:val="24"/>
                <w:szCs w:val="24"/>
              </w:rPr>
              <w:t xml:space="preserve">项目分类 </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b/>
                <w:bCs/>
                <w:color w:val="000000"/>
                <w:spacing w:val="0"/>
                <w:w w:val="100"/>
                <w:position w:val="0"/>
                <w:sz w:val="24"/>
                <w:szCs w:val="24"/>
              </w:rPr>
              <w:t>收费标准（境内）单位：元</w:t>
            </w:r>
          </w:p>
        </w:tc>
      </w:tr>
      <w:tr>
        <w:tblPrEx>
          <w:tblCellMar>
            <w:top w:w="0" w:type="dxa"/>
            <w:left w:w="10" w:type="dxa"/>
            <w:bottom w:w="0" w:type="dxa"/>
            <w:right w:w="10" w:type="dxa"/>
          </w:tblCellMar>
        </w:tblPrEx>
        <w:trPr>
          <w:trHeight w:val="565" w:hRule="exact"/>
          <w:jc w:val="center"/>
        </w:trPr>
        <w:tc>
          <w:tcPr>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b/>
                <w:bCs/>
                <w:color w:val="000000"/>
                <w:spacing w:val="0"/>
                <w:w w:val="100"/>
                <w:position w:val="0"/>
                <w:sz w:val="24"/>
                <w:szCs w:val="24"/>
              </w:rPr>
              <w:t>第二类</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首次注册费</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71500</w:t>
            </w:r>
          </w:p>
        </w:tc>
      </w:tr>
      <w:tr>
        <w:tblPrEx>
          <w:tblCellMar>
            <w:top w:w="0" w:type="dxa"/>
            <w:left w:w="10" w:type="dxa"/>
            <w:bottom w:w="0" w:type="dxa"/>
            <w:right w:w="10" w:type="dxa"/>
          </w:tblCellMar>
        </w:tblPrEx>
        <w:trPr>
          <w:trHeight w:val="559" w:hRule="exact"/>
          <w:jc w:val="center"/>
        </w:trPr>
        <w:tc>
          <w:tcPr>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both"/>
              <w:rPr>
                <w:rFonts w:hint="eastAsia" w:ascii="宋体" w:hAnsi="宋体" w:eastAsia="宋体" w:cs="宋体"/>
                <w:sz w:val="24"/>
                <w:szCs w:val="24"/>
              </w:rPr>
            </w:pP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变更注册费</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29900</w:t>
            </w:r>
          </w:p>
        </w:tc>
      </w:tr>
      <w:tr>
        <w:tblPrEx>
          <w:tblCellMar>
            <w:top w:w="0" w:type="dxa"/>
            <w:left w:w="10" w:type="dxa"/>
            <w:bottom w:w="0" w:type="dxa"/>
            <w:right w:w="10" w:type="dxa"/>
          </w:tblCellMar>
        </w:tblPrEx>
        <w:trPr>
          <w:trHeight w:val="599" w:hRule="exact"/>
          <w:jc w:val="center"/>
        </w:trPr>
        <w:tc>
          <w:tcPr>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both"/>
              <w:rPr>
                <w:rFonts w:hint="eastAsia" w:ascii="宋体" w:hAnsi="宋体" w:eastAsia="宋体" w:cs="宋体"/>
                <w:sz w:val="24"/>
                <w:szCs w:val="24"/>
              </w:rPr>
            </w:pP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延续注册费（五年</w:t>
            </w:r>
            <w:r>
              <w:rPr>
                <w:rFonts w:hint="eastAsia" w:cs="宋体"/>
                <w:color w:val="000000"/>
                <w:spacing w:val="0"/>
                <w:w w:val="100"/>
                <w:position w:val="0"/>
                <w:sz w:val="24"/>
                <w:szCs w:val="24"/>
                <w:lang w:val="en-US" w:eastAsia="zh-CN" w:bidi="en-US"/>
              </w:rPr>
              <w:t>一</w:t>
            </w:r>
            <w:r>
              <w:rPr>
                <w:rFonts w:hint="eastAsia" w:ascii="宋体" w:hAnsi="宋体" w:eastAsia="宋体" w:cs="宋体"/>
                <w:color w:val="000000"/>
                <w:spacing w:val="0"/>
                <w:w w:val="100"/>
                <w:position w:val="0"/>
                <w:sz w:val="24"/>
                <w:szCs w:val="24"/>
              </w:rPr>
              <w:t>次）</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val="0"/>
              <w:shd w:val="clear" w:color="auto" w:fill="auto"/>
              <w:bidi w:val="0"/>
              <w:spacing w:before="0" w:after="0" w:line="240" w:lineRule="auto"/>
              <w:ind w:left="0" w:right="0" w:firstLine="0"/>
              <w:jc w:val="both"/>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29700</w:t>
            </w:r>
          </w:p>
        </w:tc>
      </w:tr>
    </w:tbl>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leftChars="0" w:right="0" w:firstLine="480" w:firstLineChars="200"/>
        <w:jc w:val="left"/>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注：</w:t>
      </w:r>
      <w:r>
        <w:rPr>
          <w:rFonts w:hint="eastAsia" w:ascii="宋体" w:hAnsi="宋体" w:eastAsia="宋体" w:cs="宋体"/>
          <w:color w:val="000000"/>
          <w:spacing w:val="0"/>
          <w:w w:val="100"/>
          <w:position w:val="0"/>
          <w:sz w:val="24"/>
          <w:szCs w:val="24"/>
          <w:lang w:val="en-US" w:eastAsia="en-US"/>
        </w:rPr>
        <w:t>1.</w:t>
      </w:r>
      <w:r>
        <w:rPr>
          <w:rFonts w:hint="eastAsia" w:ascii="宋体" w:hAnsi="宋体" w:eastAsia="宋体" w:cs="宋体"/>
          <w:color w:val="000000"/>
          <w:spacing w:val="0"/>
          <w:w w:val="100"/>
          <w:position w:val="0"/>
          <w:sz w:val="24"/>
          <w:szCs w:val="24"/>
        </w:rPr>
        <w:t>医疗器械产品注册收费按《医疗器械注册</w:t>
      </w:r>
      <w:r>
        <w:rPr>
          <w:rFonts w:hint="eastAsia" w:cs="宋体"/>
          <w:color w:val="000000"/>
          <w:spacing w:val="0"/>
          <w:w w:val="100"/>
          <w:position w:val="0"/>
          <w:sz w:val="24"/>
          <w:szCs w:val="24"/>
          <w:lang w:val="en-US" w:eastAsia="zh-CN"/>
        </w:rPr>
        <w:t>管理</w:t>
      </w:r>
      <w:r>
        <w:rPr>
          <w:rFonts w:hint="eastAsia" w:ascii="宋体" w:hAnsi="宋体" w:eastAsia="宋体" w:cs="宋体"/>
          <w:color w:val="000000"/>
          <w:spacing w:val="0"/>
          <w:w w:val="100"/>
          <w:position w:val="0"/>
          <w:sz w:val="24"/>
          <w:szCs w:val="24"/>
        </w:rPr>
        <w:t>办法》</w:t>
      </w:r>
      <w:r>
        <w:rPr>
          <w:rFonts w:hint="eastAsia"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《体外诊断试剂</w:t>
      </w:r>
      <w:r>
        <w:rPr>
          <w:rFonts w:hint="eastAsia" w:cs="宋体"/>
          <w:color w:val="000000"/>
          <w:spacing w:val="0"/>
          <w:w w:val="100"/>
          <w:position w:val="0"/>
          <w:sz w:val="24"/>
          <w:szCs w:val="24"/>
          <w:lang w:val="en-US" w:eastAsia="zh-CN"/>
        </w:rPr>
        <w:t>注册</w:t>
      </w:r>
      <w:r>
        <w:rPr>
          <w:rFonts w:hint="eastAsia" w:ascii="宋体" w:hAnsi="宋体" w:eastAsia="宋体" w:cs="宋体"/>
          <w:color w:val="000000"/>
          <w:spacing w:val="0"/>
          <w:w w:val="100"/>
          <w:position w:val="0"/>
          <w:sz w:val="24"/>
          <w:szCs w:val="24"/>
        </w:rPr>
        <w:t>管理办法》确定的注册单元计收。</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600" w:lineRule="exact"/>
        <w:ind w:left="0" w:leftChars="0" w:right="0" w:firstLine="480" w:firstLineChars="200"/>
        <w:jc w:val="left"/>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2.《医疗器械注册管理办法》、《体外诊断试剂注册管理办法》中属于登记事项变更申请，不收取变更注册申请费。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E4D458-05F6-47A1-8869-879CC548C2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5189591-CA02-4A1C-819E-10CAFF8EA6C9}"/>
  </w:font>
  <w:font w:name="方正小标宋简体">
    <w:panose1 w:val="02000000000000000000"/>
    <w:charset w:val="86"/>
    <w:family w:val="auto"/>
    <w:pitch w:val="default"/>
    <w:sig w:usb0="00000001" w:usb1="08000000" w:usb2="00000000" w:usb3="00000000" w:csb0="00040000" w:csb1="00000000"/>
    <w:embedRegular r:id="rId3" w:fontKey="{BAABD40D-7CDC-4E80-82E7-449108C96A74}"/>
  </w:font>
  <w:font w:name="仿宋_GB2312">
    <w:panose1 w:val="02010609030101010101"/>
    <w:charset w:val="86"/>
    <w:family w:val="auto"/>
    <w:pitch w:val="default"/>
    <w:sig w:usb0="00000001" w:usb1="080E0000" w:usb2="00000000" w:usb3="00000000" w:csb0="00040000" w:csb1="00000000"/>
    <w:embedRegular r:id="rId4" w:fontKey="{0C9FA356-7466-404B-BA67-E43162BC3B5B}"/>
  </w:font>
  <w:font w:name="楷体_GB2312">
    <w:panose1 w:val="02010609030101010101"/>
    <w:charset w:val="86"/>
    <w:family w:val="auto"/>
    <w:pitch w:val="default"/>
    <w:sig w:usb0="00000001" w:usb1="080E0000" w:usb2="00000000" w:usb3="00000000" w:csb0="00040000" w:csb1="00000000"/>
    <w:embedRegular r:id="rId5" w:fontKey="{32254974-04C7-45F5-A549-127421050F6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134C7"/>
    <w:rsid w:val="10AA030D"/>
    <w:rsid w:val="1AB54A8C"/>
    <w:rsid w:val="2CE5490F"/>
    <w:rsid w:val="311C7180"/>
    <w:rsid w:val="337637CD"/>
    <w:rsid w:val="3C070465"/>
    <w:rsid w:val="4FEA76CB"/>
    <w:rsid w:val="576943E9"/>
    <w:rsid w:val="6BF134C7"/>
    <w:rsid w:val="7D9A2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text|2"/>
    <w:basedOn w:val="1"/>
    <w:qFormat/>
    <w:uiPriority w:val="0"/>
    <w:pPr>
      <w:widowControl w:val="0"/>
      <w:shd w:val="clear" w:color="auto" w:fill="auto"/>
      <w:spacing w:after="430"/>
      <w:jc w:val="center"/>
    </w:pPr>
    <w:rPr>
      <w:rFonts w:ascii="宋体" w:hAnsi="宋体" w:eastAsia="宋体" w:cs="宋体"/>
      <w:sz w:val="32"/>
      <w:szCs w:val="32"/>
      <w:u w:val="none"/>
      <w:shd w:val="clear" w:color="auto" w:fill="auto"/>
      <w:lang w:val="zh-TW" w:eastAsia="zh-TW" w:bidi="zh-TW"/>
    </w:rPr>
  </w:style>
  <w:style w:type="paragraph" w:customStyle="1" w:styleId="5">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6">
    <w:name w:val="Body text|1"/>
    <w:basedOn w:val="1"/>
    <w:qFormat/>
    <w:uiPriority w:val="0"/>
    <w:pPr>
      <w:widowControl w:val="0"/>
      <w:shd w:val="clear" w:color="auto" w:fill="auto"/>
      <w:spacing w:after="600" w:line="420" w:lineRule="auto"/>
      <w:ind w:firstLine="400"/>
    </w:pPr>
    <w:rPr>
      <w:rFonts w:ascii="宋体" w:hAnsi="宋体" w:eastAsia="宋体" w:cs="宋体"/>
      <w:sz w:val="20"/>
      <w:szCs w:val="20"/>
      <w:u w:val="none"/>
      <w:shd w:val="clear" w:color="auto" w:fill="auto"/>
      <w:lang w:val="zh-TW" w:eastAsia="zh-TW" w:bidi="zh-TW"/>
    </w:rPr>
  </w:style>
  <w:style w:type="paragraph" w:customStyle="1" w:styleId="7">
    <w:name w:val="Table caption|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2022-01-14T12:01:00Z</dcterms:created>
  <dc:creator>小梨涡er</dc:creator>
  <cp:lastModifiedBy>小梨涡er</cp:lastModifiedBy>
  <dcterms:modified xsi:type="dcterms:W3CDTF">2022-01-19T01:43:48Z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320EDCD69035418C8E5BE7D707BE1CD6</vt:lpwstr>
  </property>
</Properties>
</file>