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002D60">
      <w:pPr>
        <w:spacing w:line="526" w:lineRule="exact"/>
        <w:rPr>
          <w:rFonts w:eastAsia="仿宋_GB2312"/>
          <w:sz w:val="32"/>
          <w:szCs w:val="32"/>
        </w:rPr>
      </w:pPr>
    </w:p>
    <w:p w14:paraId="31DFB8F2">
      <w:pPr>
        <w:spacing w:line="526" w:lineRule="exact"/>
        <w:rPr>
          <w:rFonts w:eastAsia="仿宋_GB2312"/>
          <w:sz w:val="32"/>
          <w:szCs w:val="32"/>
        </w:rPr>
      </w:pPr>
    </w:p>
    <w:p w14:paraId="45207F79">
      <w:pPr>
        <w:spacing w:line="526" w:lineRule="exact"/>
        <w:rPr>
          <w:rFonts w:eastAsia="仿宋_GB2312"/>
          <w:sz w:val="32"/>
          <w:szCs w:val="32"/>
        </w:rPr>
      </w:pPr>
    </w:p>
    <w:p w14:paraId="75ED4B30">
      <w:pPr>
        <w:spacing w:line="526" w:lineRule="exact"/>
        <w:jc w:val="right"/>
        <w:rPr>
          <w:rFonts w:eastAsia="仿宋_GB2312"/>
          <w:sz w:val="32"/>
          <w:szCs w:val="32"/>
        </w:rPr>
      </w:pPr>
      <w:r>
        <w:rPr>
          <w:rFonts w:hint="eastAsia" w:eastAsia="仿宋_GB2312"/>
          <w:sz w:val="32"/>
          <w:szCs w:val="32"/>
        </w:rPr>
        <w:t>金环审〔</w:t>
      </w:r>
      <w:r>
        <w:rPr>
          <w:rFonts w:eastAsia="仿宋_GB2312"/>
          <w:sz w:val="32"/>
          <w:szCs w:val="32"/>
        </w:rPr>
        <w:t>202</w:t>
      </w:r>
      <w:r>
        <w:rPr>
          <w:rFonts w:hint="eastAsia" w:eastAsia="仿宋_GB2312"/>
          <w:sz w:val="32"/>
          <w:szCs w:val="32"/>
          <w:lang w:val="en-US" w:eastAsia="zh-CN"/>
        </w:rPr>
        <w:t>4</w:t>
      </w:r>
      <w:r>
        <w:rPr>
          <w:rFonts w:hint="eastAsia" w:eastAsia="仿宋_GB2312"/>
          <w:sz w:val="32"/>
          <w:szCs w:val="32"/>
        </w:rPr>
        <w:t>〕</w:t>
      </w:r>
      <w:r>
        <w:rPr>
          <w:rFonts w:hint="eastAsia" w:eastAsia="仿宋_GB2312"/>
          <w:sz w:val="32"/>
          <w:szCs w:val="32"/>
          <w:lang w:val="en-US" w:eastAsia="zh-CN"/>
        </w:rPr>
        <w:t>52</w:t>
      </w:r>
      <w:r>
        <w:rPr>
          <w:rFonts w:hint="eastAsia" w:eastAsia="仿宋_GB2312"/>
          <w:sz w:val="32"/>
          <w:szCs w:val="32"/>
        </w:rPr>
        <w:t>号</w:t>
      </w:r>
    </w:p>
    <w:p w14:paraId="7C70545A">
      <w:pPr>
        <w:keepNext w:val="0"/>
        <w:keepLines w:val="0"/>
        <w:pageBreakBefore w:val="0"/>
        <w:widowControl w:val="0"/>
        <w:kinsoku/>
        <w:wordWrap/>
        <w:overflowPunct/>
        <w:topLinePunct w:val="0"/>
        <w:autoSpaceDE/>
        <w:autoSpaceDN/>
        <w:bidi w:val="0"/>
        <w:adjustRightInd/>
        <w:snapToGrid/>
        <w:spacing w:line="520" w:lineRule="exact"/>
        <w:textAlignment w:val="auto"/>
        <w:rPr>
          <w:rFonts w:eastAsia="仿宋_GB2312"/>
          <w:sz w:val="32"/>
          <w:szCs w:val="32"/>
        </w:rPr>
      </w:pPr>
    </w:p>
    <w:p w14:paraId="542CFE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eastAsia="zh-CN"/>
        </w:rPr>
      </w:pPr>
      <w:r>
        <w:rPr>
          <w:rFonts w:hint="eastAsia" w:ascii="方正小标宋简体" w:hAnsi="宋体" w:eastAsia="方正小标宋简体" w:cs="宋体"/>
          <w:bCs/>
          <w:kern w:val="10"/>
          <w:sz w:val="44"/>
          <w:szCs w:val="44"/>
        </w:rPr>
        <w:t>六安市金寨县生态环境分局关于</w:t>
      </w:r>
      <w:r>
        <w:rPr>
          <w:rFonts w:hint="eastAsia" w:ascii="方正小标宋简体" w:hAnsi="宋体" w:eastAsia="方正小标宋简体" w:cs="宋体"/>
          <w:bCs/>
          <w:kern w:val="10"/>
          <w:sz w:val="44"/>
          <w:szCs w:val="44"/>
          <w:lang w:eastAsia="zh-CN"/>
        </w:rPr>
        <w:t>安徽中科生命谷科技有限公司1.5亿单位重组胶原蛋白医</w:t>
      </w:r>
    </w:p>
    <w:p w14:paraId="551CC7A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宋体"/>
          <w:bCs/>
          <w:kern w:val="10"/>
          <w:sz w:val="44"/>
          <w:szCs w:val="44"/>
          <w:lang w:eastAsia="zh-CN"/>
        </w:rPr>
      </w:pPr>
      <w:r>
        <w:rPr>
          <w:rFonts w:hint="eastAsia" w:ascii="方正小标宋简体" w:hAnsi="宋体" w:eastAsia="方正小标宋简体" w:cs="宋体"/>
          <w:bCs/>
          <w:kern w:val="10"/>
          <w:sz w:val="44"/>
          <w:szCs w:val="44"/>
          <w:lang w:eastAsia="zh-CN"/>
        </w:rPr>
        <w:t>用材料及干细胞外泌体系列产品项目</w:t>
      </w:r>
    </w:p>
    <w:p w14:paraId="582D7E0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cs="宋体"/>
          <w:bCs/>
          <w:kern w:val="10"/>
          <w:sz w:val="44"/>
          <w:szCs w:val="44"/>
        </w:rPr>
      </w:pPr>
      <w:r>
        <w:rPr>
          <w:rFonts w:hint="eastAsia" w:ascii="方正小标宋简体" w:hAnsi="宋体" w:eastAsia="方正小标宋简体" w:cs="宋体"/>
          <w:bCs/>
          <w:kern w:val="10"/>
          <w:sz w:val="44"/>
          <w:szCs w:val="44"/>
        </w:rPr>
        <w:t>环境影响</w:t>
      </w:r>
      <w:r>
        <w:rPr>
          <w:rFonts w:hint="eastAsia" w:ascii="方正小标宋简体" w:hAnsi="宋体" w:eastAsia="方正小标宋简体" w:cs="宋体"/>
          <w:bCs/>
          <w:kern w:val="10"/>
          <w:sz w:val="44"/>
          <w:szCs w:val="44"/>
          <w:lang w:eastAsia="zh-CN"/>
        </w:rPr>
        <w:t>报告</w:t>
      </w:r>
      <w:r>
        <w:rPr>
          <w:rFonts w:hint="eastAsia" w:ascii="方正小标宋简体" w:hAnsi="宋体" w:eastAsia="方正小标宋简体" w:cs="宋体"/>
          <w:bCs/>
          <w:kern w:val="10"/>
          <w:sz w:val="44"/>
          <w:szCs w:val="44"/>
          <w:lang w:val="en-US" w:eastAsia="zh-CN"/>
        </w:rPr>
        <w:t>表</w:t>
      </w:r>
      <w:r>
        <w:rPr>
          <w:rFonts w:hint="eastAsia" w:ascii="方正小标宋简体" w:hAnsi="宋体" w:eastAsia="方正小标宋简体" w:cs="宋体"/>
          <w:bCs/>
          <w:kern w:val="10"/>
          <w:sz w:val="44"/>
          <w:szCs w:val="44"/>
        </w:rPr>
        <w:t>的批复</w:t>
      </w:r>
    </w:p>
    <w:p w14:paraId="4E106A50">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eastAsia="仿宋_GB2312"/>
          <w:color w:val="000000"/>
          <w:kern w:val="10"/>
          <w:sz w:val="32"/>
          <w:szCs w:val="32"/>
          <w:lang w:eastAsia="zh-CN"/>
        </w:rPr>
      </w:pPr>
    </w:p>
    <w:p w14:paraId="0248F4A8">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eastAsia="仿宋_GB2312"/>
          <w:color w:val="000000"/>
          <w:kern w:val="10"/>
          <w:sz w:val="32"/>
          <w:szCs w:val="32"/>
        </w:rPr>
      </w:pPr>
      <w:r>
        <w:rPr>
          <w:rFonts w:hint="eastAsia" w:eastAsia="仿宋_GB2312"/>
          <w:color w:val="000000"/>
          <w:kern w:val="10"/>
          <w:sz w:val="32"/>
          <w:szCs w:val="32"/>
          <w:lang w:eastAsia="zh-CN"/>
        </w:rPr>
        <w:t>安徽中科生命谷科技有限公司</w:t>
      </w:r>
      <w:r>
        <w:rPr>
          <w:rFonts w:hint="eastAsia" w:eastAsia="仿宋_GB2312"/>
          <w:color w:val="000000"/>
          <w:kern w:val="10"/>
          <w:sz w:val="32"/>
          <w:szCs w:val="32"/>
        </w:rPr>
        <w:t>：</w:t>
      </w:r>
    </w:p>
    <w:p w14:paraId="7F345CA1">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eastAsia="仿宋_GB2312"/>
          <w:color w:val="000000"/>
          <w:kern w:val="10"/>
          <w:sz w:val="32"/>
          <w:szCs w:val="32"/>
        </w:rPr>
      </w:pPr>
      <w:r>
        <w:rPr>
          <w:rFonts w:eastAsia="仿宋_GB2312"/>
          <w:color w:val="000000"/>
          <w:kern w:val="10"/>
          <w:sz w:val="32"/>
          <w:szCs w:val="32"/>
          <w:lang w:val="zh-CN"/>
        </w:rPr>
        <w:t>你公司报来的《</w:t>
      </w:r>
      <w:r>
        <w:rPr>
          <w:rFonts w:hint="eastAsia" w:eastAsia="仿宋_GB2312"/>
          <w:color w:val="000000"/>
          <w:kern w:val="10"/>
          <w:sz w:val="32"/>
          <w:szCs w:val="32"/>
          <w:lang w:val="zh-CN" w:eastAsia="zh-CN"/>
        </w:rPr>
        <w:t>1.5亿单位重组胶原蛋白医用材料及干细胞外泌体系列产品项目</w:t>
      </w:r>
      <w:r>
        <w:rPr>
          <w:rFonts w:eastAsia="仿宋_GB2312"/>
          <w:color w:val="000000"/>
          <w:kern w:val="10"/>
          <w:sz w:val="32"/>
          <w:szCs w:val="32"/>
        </w:rPr>
        <w:t>环境影响报告表</w:t>
      </w:r>
      <w:r>
        <w:rPr>
          <w:rFonts w:eastAsia="仿宋_GB2312"/>
          <w:color w:val="000000"/>
          <w:kern w:val="10"/>
          <w:sz w:val="32"/>
          <w:szCs w:val="32"/>
          <w:lang w:val="zh-CN"/>
        </w:rPr>
        <w:t>》（以下简称《报告表》</w:t>
      </w:r>
      <w:r>
        <w:rPr>
          <w:rFonts w:hint="eastAsia" w:eastAsia="仿宋_GB2312"/>
          <w:color w:val="000000"/>
          <w:kern w:val="10"/>
          <w:sz w:val="32"/>
          <w:szCs w:val="32"/>
          <w:lang w:val="zh-CN"/>
        </w:rPr>
        <w:t>，项目</w:t>
      </w:r>
      <w:r>
        <w:rPr>
          <w:rFonts w:hint="eastAsia" w:eastAsia="仿宋_GB2312"/>
          <w:color w:val="000000"/>
          <w:kern w:val="10"/>
          <w:sz w:val="32"/>
          <w:szCs w:val="32"/>
          <w:lang w:val="en-US" w:eastAsia="zh-CN"/>
        </w:rPr>
        <w:t>代码：2311-341524-04-01-741752</w:t>
      </w:r>
      <w:r>
        <w:rPr>
          <w:rFonts w:eastAsia="仿宋_GB2312"/>
          <w:color w:val="000000"/>
          <w:kern w:val="10"/>
          <w:sz w:val="32"/>
          <w:szCs w:val="32"/>
          <w:lang w:val="zh-CN"/>
        </w:rPr>
        <w:t>）</w:t>
      </w:r>
      <w:r>
        <w:rPr>
          <w:rFonts w:hint="eastAsia" w:eastAsia="仿宋_GB2312"/>
          <w:color w:val="000000"/>
          <w:kern w:val="10"/>
          <w:sz w:val="32"/>
          <w:szCs w:val="32"/>
          <w:lang w:val="zh-CN" w:eastAsia="zh-CN"/>
        </w:rPr>
        <w:t>及相关申请材料收悉</w:t>
      </w:r>
      <w:r>
        <w:rPr>
          <w:rFonts w:hint="eastAsia" w:eastAsia="仿宋_GB2312"/>
          <w:color w:val="000000"/>
          <w:kern w:val="10"/>
          <w:sz w:val="32"/>
          <w:szCs w:val="32"/>
          <w:lang w:val="zh-CN"/>
        </w:rPr>
        <w:t>。</w:t>
      </w:r>
      <w:r>
        <w:rPr>
          <w:rFonts w:hint="eastAsia" w:eastAsia="仿宋_GB2312"/>
          <w:color w:val="000000"/>
          <w:kern w:val="10"/>
          <w:sz w:val="32"/>
          <w:szCs w:val="32"/>
          <w:lang w:val="en-US" w:eastAsia="zh-CN"/>
        </w:rPr>
        <w:t>拟建</w:t>
      </w:r>
      <w:r>
        <w:rPr>
          <w:rFonts w:eastAsia="仿宋_GB2312"/>
          <w:color w:val="000000"/>
          <w:kern w:val="10"/>
          <w:sz w:val="32"/>
          <w:szCs w:val="32"/>
        </w:rPr>
        <w:t>项目</w:t>
      </w:r>
      <w:r>
        <w:rPr>
          <w:rFonts w:hint="eastAsia" w:ascii="仿宋_GB2312" w:hAnsi="仿宋_GB2312" w:eastAsia="仿宋_GB2312" w:cs="仿宋_GB2312"/>
          <w:color w:val="000000"/>
          <w:kern w:val="10"/>
          <w:sz w:val="32"/>
          <w:szCs w:val="32"/>
          <w:lang w:val="en-US" w:eastAsia="zh-CN" w:bidi="ar-SA"/>
        </w:rPr>
        <w:t>租赁位于</w:t>
      </w:r>
      <w:r>
        <w:rPr>
          <w:rFonts w:hint="eastAsia" w:ascii="仿宋_GB2312" w:hAnsi="仿宋_GB2312" w:eastAsia="仿宋_GB2312" w:cs="仿宋_GB2312"/>
          <w:color w:val="000000"/>
          <w:kern w:val="10"/>
          <w:sz w:val="32"/>
          <w:szCs w:val="32"/>
          <w:lang w:val="en-US" w:eastAsia="zh-CN"/>
        </w:rPr>
        <w:t>安徽金寨经济开发区（现代产业园区）金梧桐创业园C1栋现有闲置厂房，建筑面积约为</w:t>
      </w:r>
      <w:r>
        <w:rPr>
          <w:rFonts w:hint="eastAsia" w:eastAsia="仿宋_GB2312"/>
          <w:color w:val="000000"/>
          <w:kern w:val="10"/>
          <w:sz w:val="32"/>
          <w:szCs w:val="32"/>
          <w:lang w:val="en-US" w:eastAsia="zh-CN"/>
        </w:rPr>
        <w:t>1985.8</w:t>
      </w:r>
      <w:r>
        <w:rPr>
          <w:rFonts w:hint="eastAsia" w:ascii="仿宋_GB2312" w:hAnsi="仿宋_GB2312" w:eastAsia="仿宋_GB2312" w:cs="仿宋_GB2312"/>
          <w:color w:val="000000"/>
          <w:kern w:val="10"/>
          <w:sz w:val="32"/>
          <w:szCs w:val="32"/>
          <w:lang w:val="en-US" w:eastAsia="zh-CN"/>
        </w:rPr>
        <w:t>平方米</w:t>
      </w:r>
      <w:r>
        <w:rPr>
          <w:rFonts w:hint="eastAsia" w:eastAsia="仿宋_GB2312"/>
          <w:color w:val="000000"/>
          <w:kern w:val="10"/>
          <w:sz w:val="32"/>
          <w:szCs w:val="32"/>
          <w:lang w:val="en-US" w:eastAsia="zh-CN"/>
        </w:rPr>
        <w:t>。主体工程设置洁净车间，购置真空均质乳化锅、面膜灌装机、测定仪等生产设备，</w:t>
      </w:r>
      <w:r>
        <w:rPr>
          <w:rFonts w:hint="eastAsia" w:eastAsia="仿宋_GB2312"/>
          <w:color w:val="000000"/>
          <w:kern w:val="10"/>
          <w:sz w:val="32"/>
          <w:szCs w:val="32"/>
        </w:rPr>
        <w:t>配套建设</w:t>
      </w:r>
      <w:r>
        <w:rPr>
          <w:rFonts w:hint="eastAsia" w:eastAsia="仿宋_GB2312"/>
          <w:color w:val="000000"/>
          <w:kern w:val="10"/>
          <w:sz w:val="32"/>
          <w:szCs w:val="32"/>
          <w:lang w:val="en-US" w:eastAsia="zh-CN"/>
        </w:rPr>
        <w:t>办公室、研发室、理化室等辅助、储运、公用以及</w:t>
      </w:r>
      <w:r>
        <w:rPr>
          <w:rFonts w:hint="eastAsia" w:eastAsia="仿宋_GB2312"/>
          <w:color w:val="000000"/>
          <w:kern w:val="10"/>
          <w:sz w:val="32"/>
          <w:szCs w:val="32"/>
        </w:rPr>
        <w:t>环保工程</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总投资约</w:t>
      </w:r>
      <w:r>
        <w:rPr>
          <w:rFonts w:hint="eastAsia" w:eastAsia="仿宋_GB2312"/>
          <w:color w:val="000000"/>
          <w:kern w:val="10"/>
          <w:sz w:val="32"/>
          <w:szCs w:val="32"/>
          <w:lang w:val="en-US" w:eastAsia="zh-CN"/>
        </w:rPr>
        <w:t>1500</w:t>
      </w:r>
      <w:r>
        <w:rPr>
          <w:rFonts w:eastAsia="仿宋_GB2312"/>
          <w:color w:val="000000"/>
          <w:kern w:val="10"/>
          <w:sz w:val="32"/>
          <w:szCs w:val="32"/>
        </w:rPr>
        <w:t>万元，其中环保投资不低于</w:t>
      </w:r>
      <w:r>
        <w:rPr>
          <w:rFonts w:hint="eastAsia" w:eastAsia="仿宋_GB2312"/>
          <w:color w:val="000000"/>
          <w:kern w:val="10"/>
          <w:sz w:val="32"/>
          <w:szCs w:val="32"/>
          <w:lang w:val="en-US" w:eastAsia="zh-CN"/>
        </w:rPr>
        <w:t>26</w:t>
      </w:r>
      <w:r>
        <w:rPr>
          <w:rFonts w:eastAsia="仿宋_GB2312"/>
          <w:color w:val="000000"/>
          <w:kern w:val="10"/>
          <w:sz w:val="32"/>
          <w:szCs w:val="32"/>
        </w:rPr>
        <w:t>万元</w:t>
      </w:r>
      <w:r>
        <w:rPr>
          <w:rFonts w:hint="eastAsia" w:eastAsia="仿宋_GB2312"/>
          <w:color w:val="000000"/>
          <w:kern w:val="10"/>
          <w:sz w:val="32"/>
          <w:szCs w:val="32"/>
          <w:lang w:eastAsia="zh-CN"/>
        </w:rPr>
        <w:t>。</w:t>
      </w:r>
      <w:r>
        <w:rPr>
          <w:rFonts w:hint="eastAsia" w:eastAsia="仿宋_GB2312"/>
          <w:color w:val="000000"/>
          <w:kern w:val="10"/>
          <w:sz w:val="32"/>
          <w:szCs w:val="32"/>
          <w:lang w:val="en-US" w:eastAsia="zh-CN"/>
        </w:rPr>
        <w:t>项目</w:t>
      </w:r>
      <w:r>
        <w:rPr>
          <w:rFonts w:eastAsia="仿宋_GB2312"/>
          <w:color w:val="000000"/>
          <w:kern w:val="10"/>
          <w:sz w:val="32"/>
          <w:szCs w:val="32"/>
        </w:rPr>
        <w:t>建成</w:t>
      </w:r>
      <w:r>
        <w:rPr>
          <w:rFonts w:hint="eastAsia" w:eastAsia="仿宋_GB2312"/>
          <w:color w:val="000000"/>
          <w:kern w:val="10"/>
          <w:sz w:val="32"/>
          <w:szCs w:val="32"/>
          <w:lang w:val="en-US" w:eastAsia="zh-CN"/>
        </w:rPr>
        <w:t>后可形成年产1亿单位重组胶原蛋白医用材料及5000个干细胞外泌体系列产品敷料的生产能力</w:t>
      </w:r>
      <w:r>
        <w:rPr>
          <w:rFonts w:eastAsia="仿宋_GB2312"/>
          <w:color w:val="000000"/>
          <w:kern w:val="10"/>
          <w:sz w:val="32"/>
          <w:szCs w:val="32"/>
        </w:rPr>
        <w:t>。</w:t>
      </w:r>
      <w:r>
        <w:rPr>
          <w:rFonts w:hint="eastAsia" w:eastAsia="仿宋_GB2312"/>
          <w:color w:val="000000"/>
          <w:kern w:val="10"/>
          <w:sz w:val="32"/>
          <w:szCs w:val="32"/>
          <w:lang w:val="en-US" w:eastAsia="zh-CN"/>
        </w:rPr>
        <w:t xml:space="preserve">                                                                                                                                                                                                                                                                                                                                                                                                                                                                                                                                                                                                                                                                                                                                                                                                                                                                                                                                                                                                                                                                                                                                                                                                                                                                                                                                                                                                                                                                                                                                                                                                                                                                                                                                                                                                                                                                                                                                                                                                                                                                                                                                                                                                                                                                                                                                                                                                                                                                                                                                                                                                                                                                                                                                                                                                                                                                                                                                                                                                                                                                                                                                                                                                                                                                                                                                                                                                                                                                                                                                                                                                                                                                                                                                                                                                                                                                                                                                                                                                                                                                                                                                                                                                                </w:t>
      </w:r>
      <w:r>
        <w:rPr>
          <w:rFonts w:hint="eastAsia" w:eastAsia="仿宋_GB2312"/>
          <w:color w:val="000000"/>
          <w:kern w:val="10"/>
          <w:sz w:val="32"/>
          <w:szCs w:val="32"/>
          <w:lang w:val="en-US" w:eastAsia="zh-CN"/>
        </w:rPr>
        <w:t xml:space="preserve">                                                                                                                                                                                                                                                                                                                                                                                                                                                                                                                                                                                                                                                                                                   </w:t>
      </w:r>
    </w:p>
    <w:p w14:paraId="2732804D">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10"/>
          <w:sz w:val="32"/>
          <w:szCs w:val="32"/>
          <w:lang w:val="en-US" w:eastAsia="zh-CN"/>
        </w:rPr>
      </w:pPr>
      <w:r>
        <w:rPr>
          <w:rFonts w:hint="eastAsia" w:eastAsia="仿宋_GB2312"/>
          <w:color w:val="000000"/>
          <w:kern w:val="10"/>
          <w:sz w:val="32"/>
          <w:szCs w:val="32"/>
          <w:lang w:val="en-US" w:eastAsia="zh-CN"/>
        </w:rPr>
        <w:t>该项目符合建设项目环境影响评价文件告知承诺审批的相关要求。根据《环境影响评价法》《安徽省生态环境厅关于强化生态环境保障和服务助力稳经济若干措施的通知》等有关规定</w:t>
      </w:r>
      <w:r>
        <w:rPr>
          <w:rFonts w:hint="eastAsia" w:eastAsia="仿宋_GB2312"/>
          <w:color w:val="000000"/>
          <w:kern w:val="10"/>
          <w:sz w:val="32"/>
          <w:szCs w:val="32"/>
        </w:rPr>
        <w:t>，</w:t>
      </w:r>
      <w:r>
        <w:rPr>
          <w:rFonts w:hint="eastAsia" w:eastAsia="仿宋_GB2312"/>
          <w:color w:val="000000"/>
          <w:kern w:val="10"/>
          <w:sz w:val="32"/>
          <w:szCs w:val="32"/>
          <w:lang w:val="en-US" w:eastAsia="zh-CN"/>
        </w:rPr>
        <w:t>经研究，现批复如下：</w:t>
      </w:r>
    </w:p>
    <w:p w14:paraId="7DD95693">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olor w:val="000000"/>
          <w:kern w:val="10"/>
          <w:sz w:val="32"/>
          <w:szCs w:val="32"/>
          <w:lang w:val="en-US" w:eastAsia="zh-CN"/>
        </w:rPr>
      </w:pPr>
      <w:r>
        <w:rPr>
          <w:rFonts w:hint="eastAsia" w:eastAsia="仿宋_GB2312"/>
          <w:color w:val="000000"/>
          <w:kern w:val="10"/>
          <w:sz w:val="32"/>
          <w:szCs w:val="32"/>
          <w:lang w:val="en-US" w:eastAsia="zh-CN"/>
        </w:rPr>
        <w:t>一、经你公司和环评编制单位承诺，我局原则同意该项目《报告表》结论以及提出的污染防治措施。你公司应严格落实《报告表》提出的各项环境污染防治措施和承诺的相关内容，严格执行环保污染防治</w:t>
      </w:r>
      <w:r>
        <w:rPr>
          <w:rFonts w:hint="eastAsia" w:eastAsia="仿宋_GB2312"/>
          <w:color w:val="000000"/>
          <w:kern w:val="10"/>
          <w:sz w:val="32"/>
          <w:szCs w:val="32"/>
        </w:rPr>
        <w:t>设施与主体工程同时设计、同时施工、同时</w:t>
      </w:r>
      <w:r>
        <w:rPr>
          <w:rFonts w:hint="eastAsia" w:eastAsia="仿宋_GB2312"/>
          <w:color w:val="000000"/>
          <w:kern w:val="10"/>
          <w:sz w:val="32"/>
          <w:szCs w:val="32"/>
          <w:lang w:val="en-US" w:eastAsia="zh-CN"/>
        </w:rPr>
        <w:t>投产的环保“三同时”制度，确保各项污染物达标排放、危险废物规范处置、污染物总量符合核定指标、各项环境风险可控，并应充分考虑环保污染防治</w:t>
      </w:r>
      <w:r>
        <w:rPr>
          <w:rFonts w:hint="eastAsia" w:eastAsia="仿宋_GB2312"/>
          <w:color w:val="000000"/>
          <w:kern w:val="10"/>
          <w:sz w:val="32"/>
          <w:szCs w:val="32"/>
        </w:rPr>
        <w:t>设施</w:t>
      </w:r>
      <w:r>
        <w:rPr>
          <w:rFonts w:hint="eastAsia" w:eastAsia="仿宋_GB2312"/>
          <w:color w:val="000000"/>
          <w:kern w:val="10"/>
          <w:sz w:val="32"/>
          <w:szCs w:val="32"/>
          <w:lang w:val="en-US" w:eastAsia="zh-CN"/>
        </w:rPr>
        <w:t>安全风险，确保风险可控后方可施工和投入生产、使</w:t>
      </w:r>
      <w:r>
        <w:rPr>
          <w:rFonts w:hint="eastAsia" w:eastAsia="仿宋_GB2312"/>
          <w:color w:val="000000"/>
          <w:kern w:val="10"/>
          <w:sz w:val="32"/>
          <w:szCs w:val="32"/>
        </w:rPr>
        <w:t>用</w:t>
      </w:r>
      <w:r>
        <w:rPr>
          <w:rFonts w:hint="eastAsia" w:eastAsia="仿宋_GB2312"/>
          <w:color w:val="000000"/>
          <w:kern w:val="10"/>
          <w:sz w:val="32"/>
          <w:szCs w:val="32"/>
          <w:lang w:val="en-US" w:eastAsia="zh-CN"/>
        </w:rPr>
        <w:t>。</w:t>
      </w:r>
    </w:p>
    <w:p w14:paraId="53D5E0B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二、项目投产运营前，应按规定程序申领排污许可证，及时完成竣工环境保护验收等工作，并将相关信息对社会公开。</w:t>
      </w:r>
    </w:p>
    <w:p w14:paraId="7996D8A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三、建设项目的性质、规模、地点、工艺或者污染防治措施发生重大变动时，应当重新报批环境影响评价文件。</w:t>
      </w:r>
    </w:p>
    <w:p w14:paraId="5FF50D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四、请县生态环境保护综合行政执法大队、经济开发区生态环境工作站对</w:t>
      </w:r>
      <w:r>
        <w:rPr>
          <w:rFonts w:hint="eastAsia" w:eastAsia="仿宋_GB2312"/>
          <w:color w:val="000000"/>
          <w:kern w:val="10"/>
          <w:sz w:val="32"/>
          <w:szCs w:val="32"/>
          <w:lang w:eastAsia="zh-CN"/>
        </w:rPr>
        <w:t>安徽中科生命谷科技有限公司</w:t>
      </w:r>
      <w:r>
        <w:rPr>
          <w:rFonts w:hint="eastAsia" w:eastAsia="仿宋_GB2312"/>
          <w:color w:val="000000"/>
          <w:kern w:val="10"/>
          <w:sz w:val="32"/>
          <w:szCs w:val="32"/>
          <w:lang w:val="zh-CN" w:eastAsia="zh-CN"/>
        </w:rPr>
        <w:t>1.5亿单位重组胶原</w:t>
      </w:r>
      <w:bookmarkStart w:id="0" w:name="_GoBack"/>
      <w:bookmarkEnd w:id="0"/>
      <w:r>
        <w:rPr>
          <w:rFonts w:hint="eastAsia" w:eastAsia="仿宋_GB2312"/>
          <w:color w:val="000000"/>
          <w:kern w:val="10"/>
          <w:sz w:val="32"/>
          <w:szCs w:val="32"/>
          <w:lang w:val="zh-CN" w:eastAsia="zh-CN"/>
        </w:rPr>
        <w:t>蛋白医用材料及干细胞外泌体系列产品项目</w:t>
      </w:r>
      <w:r>
        <w:rPr>
          <w:rFonts w:hint="eastAsia" w:ascii="Times New Roman" w:hAnsi="Times New Roman" w:eastAsia="仿宋_GB2312" w:cs="Times New Roman"/>
          <w:color w:val="000000"/>
          <w:kern w:val="10"/>
          <w:sz w:val="32"/>
          <w:szCs w:val="32"/>
          <w:lang w:val="en-US" w:eastAsia="zh-CN" w:bidi="ar-SA"/>
        </w:rPr>
        <w:t>加强现场监管。</w:t>
      </w:r>
      <w:r>
        <w:rPr>
          <w:rFonts w:ascii="Times New Roman" w:hAnsi="Times New Roman" w:eastAsia="仿宋_GB2312" w:cs="Times New Roman"/>
          <w:color w:val="000000"/>
          <w:kern w:val="10"/>
          <w:sz w:val="32"/>
          <w:szCs w:val="32"/>
          <w:lang w:val="en-US" w:eastAsia="zh-CN" w:bidi="ar-SA"/>
        </w:rPr>
        <w:t xml:space="preserve"> </w:t>
      </w:r>
    </w:p>
    <w:p w14:paraId="6083B006">
      <w:pPr>
        <w:pStyle w:val="16"/>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r>
        <w:rPr>
          <w:rFonts w:hint="eastAsia" w:ascii="Times New Roman" w:hAnsi="Times New Roman" w:eastAsia="仿宋_GB2312" w:cs="Times New Roman"/>
          <w:color w:val="000000"/>
          <w:kern w:val="10"/>
          <w:sz w:val="32"/>
          <w:szCs w:val="32"/>
          <w:lang w:val="en-US" w:eastAsia="zh-CN" w:bidi="ar-SA"/>
        </w:rPr>
        <w:t>五、若发现存在不符合告知承诺制或环评文件存在重大质量问题，由此造成的一切后果和经济损失均由你公司承担。</w:t>
      </w:r>
    </w:p>
    <w:p w14:paraId="44AB9170">
      <w:pPr>
        <w:pStyle w:val="16"/>
        <w:keepNext w:val="0"/>
        <w:keepLines w:val="0"/>
        <w:pageBreakBefore w:val="0"/>
        <w:widowControl w:val="0"/>
        <w:kinsoku/>
        <w:wordWrap/>
        <w:overflowPunct/>
        <w:topLinePunct w:val="0"/>
        <w:bidi w:val="0"/>
        <w:snapToGrid/>
        <w:spacing w:line="480" w:lineRule="exact"/>
        <w:ind w:firstLine="640" w:firstLineChars="200"/>
        <w:textAlignment w:val="auto"/>
        <w:rPr>
          <w:rFonts w:hint="eastAsia" w:ascii="Times New Roman" w:hAnsi="Times New Roman" w:eastAsia="仿宋_GB2312" w:cs="Times New Roman"/>
          <w:color w:val="000000"/>
          <w:kern w:val="10"/>
          <w:sz w:val="32"/>
          <w:szCs w:val="32"/>
          <w:lang w:val="en-US" w:eastAsia="zh-CN" w:bidi="ar-SA"/>
        </w:rPr>
      </w:pPr>
    </w:p>
    <w:p w14:paraId="09661A68">
      <w:pPr>
        <w:keepNext w:val="0"/>
        <w:keepLines w:val="0"/>
        <w:pageBreakBefore w:val="0"/>
        <w:widowControl w:val="0"/>
        <w:tabs>
          <w:tab w:val="left" w:pos="7770"/>
        </w:tabs>
        <w:kinsoku/>
        <w:wordWrap/>
        <w:overflowPunct/>
        <w:topLinePunct w:val="0"/>
        <w:autoSpaceDE/>
        <w:autoSpaceDN/>
        <w:bidi w:val="0"/>
        <w:adjustRightInd/>
        <w:snapToGrid/>
        <w:spacing w:line="480" w:lineRule="exact"/>
        <w:textAlignment w:val="auto"/>
        <w:rPr>
          <w:rFonts w:hint="eastAsia" w:eastAsia="仿宋_GB2312"/>
          <w:color w:val="000000"/>
          <w:kern w:val="10"/>
          <w:sz w:val="32"/>
          <w:szCs w:val="32"/>
        </w:rPr>
      </w:pPr>
    </w:p>
    <w:tbl>
      <w:tblPr>
        <w:tblStyle w:val="12"/>
        <w:tblpPr w:leftFromText="180" w:rightFromText="180" w:vertAnchor="text" w:horzAnchor="page" w:tblpX="1450" w:tblpY="2174"/>
        <w:tblOverlap w:val="never"/>
        <w:tblW w:w="5061"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72"/>
      </w:tblGrid>
      <w:tr w14:paraId="2B7F37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07" w:hRule="atLeast"/>
        </w:trPr>
        <w:tc>
          <w:tcPr>
            <w:tcW w:w="9172" w:type="dxa"/>
            <w:tcBorders>
              <w:top w:val="single" w:color="auto" w:sz="12" w:space="0"/>
            </w:tcBorders>
            <w:noWrap w:val="0"/>
            <w:vAlign w:val="center"/>
          </w:tcPr>
          <w:p w14:paraId="64038878">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665" w:leftChars="50" w:right="105" w:rightChars="50" w:hanging="560" w:hangingChars="20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抄送</w:t>
            </w:r>
            <w:r>
              <w:rPr>
                <w:rFonts w:hint="eastAsia" w:ascii="仿宋_GB2312" w:hAnsi="仿宋_GB2312" w:cs="仿宋_GB2312"/>
                <w:color w:val="auto"/>
                <w:sz w:val="28"/>
                <w:szCs w:val="28"/>
              </w:rPr>
              <w:t>：</w:t>
            </w:r>
            <w:r>
              <w:rPr>
                <w:rFonts w:hint="eastAsia" w:ascii="仿宋_GB2312" w:hAnsi="仿宋_GB2312" w:cs="仿宋_GB2312"/>
                <w:color w:val="auto"/>
                <w:sz w:val="28"/>
                <w:szCs w:val="28"/>
                <w:lang w:val="en-US" w:eastAsia="zh-CN"/>
              </w:rPr>
              <w:t>环评单位</w:t>
            </w:r>
            <w:r>
              <w:rPr>
                <w:rFonts w:hint="eastAsia" w:ascii="仿宋_GB2312" w:hAnsi="仿宋_GB2312" w:cs="仿宋_GB2312"/>
                <w:color w:val="auto"/>
                <w:spacing w:val="-6"/>
                <w:sz w:val="28"/>
                <w:szCs w:val="28"/>
              </w:rPr>
              <w:t>。</w:t>
            </w:r>
          </w:p>
        </w:tc>
      </w:tr>
      <w:tr w14:paraId="3E8134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72" w:type="dxa"/>
            <w:tcBorders>
              <w:bottom w:val="single" w:color="auto" w:sz="12" w:space="0"/>
            </w:tcBorders>
            <w:noWrap w:val="0"/>
            <w:vAlign w:val="center"/>
          </w:tcPr>
          <w:p w14:paraId="31BBD279">
            <w:pPr>
              <w:pStyle w:val="3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05" w:leftChars="50" w:right="105" w:rightChars="50" w:firstLine="0"/>
              <w:textAlignment w:val="baseline"/>
              <w:rPr>
                <w:rFonts w:hint="eastAsia" w:ascii="仿宋_GB2312" w:cs="仿宋_GB2312"/>
                <w:color w:val="auto"/>
                <w:sz w:val="28"/>
                <w:szCs w:val="28"/>
              </w:rPr>
            </w:pPr>
            <w:r>
              <w:rPr>
                <w:rFonts w:hint="eastAsia" w:ascii="仿宋_GB2312" w:hAnsi="仿宋_GB2312" w:cs="仿宋_GB2312"/>
                <w:color w:val="auto"/>
                <w:sz w:val="28"/>
                <w:szCs w:val="28"/>
                <w:lang w:val="en-US" w:eastAsia="zh-CN"/>
              </w:rPr>
              <w:t>六安市金寨县生态环境分局办公室</w:t>
            </w:r>
            <w:r>
              <w:rPr>
                <w:rFonts w:hint="eastAsia" w:ascii="仿宋_GB2312" w:hAnsi="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8"/>
                <w:szCs w:val="28"/>
              </w:rPr>
              <w:t xml:space="preserve">  202</w:t>
            </w:r>
            <w:r>
              <w:rPr>
                <w:rFonts w:hint="eastAsia" w:ascii="仿宋_GB2312" w:hAnsi="仿宋_GB2312" w:cs="仿宋_GB2312"/>
                <w:color w:val="auto"/>
                <w:sz w:val="28"/>
                <w:szCs w:val="28"/>
                <w:lang w:val="en-US" w:eastAsia="zh-CN"/>
              </w:rPr>
              <w:t>4</w:t>
            </w:r>
            <w:r>
              <w:rPr>
                <w:rFonts w:hint="eastAsia" w:ascii="仿宋_GB2312" w:hAnsi="仿宋_GB2312" w:cs="仿宋_GB2312"/>
                <w:color w:val="auto"/>
                <w:sz w:val="28"/>
                <w:szCs w:val="28"/>
              </w:rPr>
              <w:t>年</w:t>
            </w:r>
            <w:r>
              <w:rPr>
                <w:rFonts w:hint="eastAsia" w:ascii="仿宋_GB2312" w:hAnsi="仿宋_GB2312" w:cs="仿宋_GB2312"/>
                <w:color w:val="auto"/>
                <w:sz w:val="28"/>
                <w:szCs w:val="28"/>
                <w:lang w:val="en-US" w:eastAsia="zh-CN"/>
              </w:rPr>
              <w:t>12</w:t>
            </w:r>
            <w:r>
              <w:rPr>
                <w:rFonts w:hint="eastAsia" w:ascii="仿宋_GB2312" w:hAnsi="仿宋_GB2312" w:cs="仿宋_GB2312"/>
                <w:color w:val="auto"/>
                <w:sz w:val="28"/>
                <w:szCs w:val="28"/>
              </w:rPr>
              <w:t>月</w:t>
            </w:r>
            <w:r>
              <w:rPr>
                <w:rFonts w:hint="eastAsia" w:ascii="仿宋_GB2312" w:hAnsi="仿宋_GB2312" w:cs="仿宋_GB2312"/>
                <w:color w:val="auto"/>
                <w:sz w:val="28"/>
                <w:szCs w:val="28"/>
                <w:lang w:val="en-US" w:eastAsia="zh-CN"/>
              </w:rPr>
              <w:t>16</w:t>
            </w:r>
            <w:r>
              <w:rPr>
                <w:rFonts w:hint="eastAsia" w:ascii="仿宋_GB2312" w:hAnsi="仿宋_GB2312" w:cs="仿宋_GB2312"/>
                <w:color w:val="auto"/>
                <w:sz w:val="28"/>
                <w:szCs w:val="28"/>
              </w:rPr>
              <w:t>日印发</w:t>
            </w:r>
          </w:p>
        </w:tc>
      </w:tr>
    </w:tbl>
    <w:p w14:paraId="386500A8">
      <w:pPr>
        <w:keepNext w:val="0"/>
        <w:keepLines w:val="0"/>
        <w:pageBreakBefore w:val="0"/>
        <w:widowControl w:val="0"/>
        <w:tabs>
          <w:tab w:val="left" w:pos="7770"/>
        </w:tabs>
        <w:kinsoku/>
        <w:wordWrap/>
        <w:overflowPunct/>
        <w:topLinePunct w:val="0"/>
        <w:autoSpaceDE/>
        <w:autoSpaceDN/>
        <w:bidi w:val="0"/>
        <w:adjustRightInd/>
        <w:snapToGrid/>
        <w:spacing w:line="480" w:lineRule="exact"/>
        <w:ind w:firstLine="4480" w:firstLineChars="1400"/>
        <w:textAlignment w:val="auto"/>
        <w:rPr>
          <w:rFonts w:eastAsia="仿宋_GB2312"/>
          <w:color w:val="000000"/>
          <w:kern w:val="10"/>
          <w:sz w:val="32"/>
          <w:szCs w:val="32"/>
        </w:rPr>
      </w:pPr>
      <w:r>
        <w:rPr>
          <w:rFonts w:hint="eastAsia" w:eastAsia="仿宋_GB2312"/>
          <w:color w:val="000000"/>
          <w:kern w:val="10"/>
          <w:sz w:val="32"/>
          <w:szCs w:val="32"/>
        </w:rPr>
        <w:t>六安市金寨县生态环境分局</w:t>
      </w:r>
    </w:p>
    <w:p w14:paraId="73F8D5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lang w:val="en-US" w:eastAsia="zh-CN"/>
        </w:rPr>
      </w:pPr>
      <w:r>
        <w:rPr>
          <w:rFonts w:eastAsia="仿宋_GB2312"/>
          <w:kern w:val="10"/>
          <w:sz w:val="32"/>
          <w:szCs w:val="32"/>
        </w:rPr>
        <w:t xml:space="preserve">                                </w:t>
      </w:r>
      <w:r>
        <w:rPr>
          <w:rFonts w:eastAsia="仿宋_GB2312"/>
          <w:spacing w:val="-8"/>
          <w:kern w:val="10"/>
          <w:sz w:val="32"/>
          <w:szCs w:val="32"/>
        </w:rPr>
        <w:t>202</w:t>
      </w:r>
      <w:r>
        <w:rPr>
          <w:rFonts w:hint="eastAsia" w:eastAsia="仿宋_GB2312"/>
          <w:spacing w:val="-8"/>
          <w:kern w:val="10"/>
          <w:sz w:val="32"/>
          <w:szCs w:val="32"/>
          <w:lang w:val="en-US" w:eastAsia="zh-CN"/>
        </w:rPr>
        <w:t>4</w:t>
      </w:r>
      <w:r>
        <w:rPr>
          <w:rFonts w:hint="eastAsia" w:eastAsia="仿宋_GB2312"/>
          <w:spacing w:val="-8"/>
          <w:kern w:val="10"/>
          <w:sz w:val="32"/>
          <w:szCs w:val="32"/>
        </w:rPr>
        <w:t>年</w:t>
      </w:r>
      <w:r>
        <w:rPr>
          <w:rFonts w:hint="eastAsia" w:eastAsia="仿宋_GB2312"/>
          <w:spacing w:val="-8"/>
          <w:kern w:val="10"/>
          <w:sz w:val="32"/>
          <w:szCs w:val="32"/>
          <w:lang w:val="en-US" w:eastAsia="zh-CN"/>
        </w:rPr>
        <w:t>12</w:t>
      </w:r>
      <w:r>
        <w:rPr>
          <w:rFonts w:hint="eastAsia" w:eastAsia="仿宋_GB2312"/>
          <w:kern w:val="10"/>
          <w:sz w:val="32"/>
          <w:szCs w:val="32"/>
        </w:rPr>
        <w:t>月</w:t>
      </w:r>
      <w:r>
        <w:rPr>
          <w:rFonts w:hint="eastAsia" w:eastAsia="仿宋_GB2312"/>
          <w:kern w:val="10"/>
          <w:sz w:val="32"/>
          <w:szCs w:val="32"/>
          <w:lang w:val="en-US" w:eastAsia="zh-CN"/>
        </w:rPr>
        <w:t>16</w:t>
      </w:r>
      <w:r>
        <w:rPr>
          <w:rFonts w:hint="eastAsia" w:eastAsia="仿宋_GB2312"/>
          <w:kern w:val="10"/>
          <w:sz w:val="32"/>
          <w:szCs w:val="32"/>
        </w:rPr>
        <w:t>日</w:t>
      </w:r>
    </w:p>
    <w:sectPr>
      <w:headerReference r:id="rId3" w:type="default"/>
      <w:footerReference r:id="rId4" w:type="default"/>
      <w:footerReference r:id="rId5" w:type="even"/>
      <w:pgSz w:w="11907" w:h="16840"/>
      <w:pgMar w:top="1531" w:right="1531" w:bottom="1531" w:left="1531" w:header="851" w:footer="851"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ADF30">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C8BB2F8">
                          <w:pPr>
                            <w:pStyle w:val="8"/>
                            <w:rPr>
                              <w:rStyle w:val="15"/>
                            </w:rPr>
                          </w:pPr>
                          <w:r>
                            <w:rPr>
                              <w:rStyle w:val="15"/>
                            </w:rPr>
                            <w:fldChar w:fldCharType="begin"/>
                          </w:r>
                          <w:r>
                            <w:rPr>
                              <w:rStyle w:val="15"/>
                            </w:rPr>
                            <w:instrText xml:space="preserve">PAGE  </w:instrText>
                          </w:r>
                          <w:r>
                            <w:rPr>
                              <w:rStyle w:val="15"/>
                            </w:rPr>
                            <w:fldChar w:fldCharType="separate"/>
                          </w:r>
                          <w:r>
                            <w:rPr>
                              <w:rStyle w:val="15"/>
                            </w:rPr>
                            <w:t>- 2 -</w:t>
                          </w:r>
                          <w:r>
                            <w:rPr>
                              <w:rStyle w:val="15"/>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C8BB2F8">
                    <w:pPr>
                      <w:pStyle w:val="8"/>
                      <w:rPr>
                        <w:rStyle w:val="15"/>
                      </w:rPr>
                    </w:pPr>
                    <w:r>
                      <w:rPr>
                        <w:rStyle w:val="15"/>
                      </w:rPr>
                      <w:fldChar w:fldCharType="begin"/>
                    </w:r>
                    <w:r>
                      <w:rPr>
                        <w:rStyle w:val="15"/>
                      </w:rPr>
                      <w:instrText xml:space="preserve">PAGE  </w:instrText>
                    </w:r>
                    <w:r>
                      <w:rPr>
                        <w:rStyle w:val="15"/>
                      </w:rPr>
                      <w:fldChar w:fldCharType="separate"/>
                    </w:r>
                    <w:r>
                      <w:rPr>
                        <w:rStyle w:val="15"/>
                      </w:rPr>
                      <w:t>- 2 -</w:t>
                    </w:r>
                    <w:r>
                      <w:rPr>
                        <w:rStyle w:val="1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6BC0">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397AED18">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48AD">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wNGQ1Yjk0YTRiZDA0ODk5NTM3MzM2ZTcxMjcyNTYifQ=="/>
  </w:docVars>
  <w:rsids>
    <w:rsidRoot w:val="00172A27"/>
    <w:rsid w:val="00021251"/>
    <w:rsid w:val="000357DC"/>
    <w:rsid w:val="00036EBC"/>
    <w:rsid w:val="00046427"/>
    <w:rsid w:val="00051D47"/>
    <w:rsid w:val="0006380B"/>
    <w:rsid w:val="00082A23"/>
    <w:rsid w:val="000B01A6"/>
    <w:rsid w:val="000D4D15"/>
    <w:rsid w:val="000F2888"/>
    <w:rsid w:val="0010613E"/>
    <w:rsid w:val="00117381"/>
    <w:rsid w:val="0012077D"/>
    <w:rsid w:val="00124B4B"/>
    <w:rsid w:val="00126A51"/>
    <w:rsid w:val="00130BF2"/>
    <w:rsid w:val="00134D6E"/>
    <w:rsid w:val="00140FC5"/>
    <w:rsid w:val="00151BFF"/>
    <w:rsid w:val="001658C7"/>
    <w:rsid w:val="00167023"/>
    <w:rsid w:val="001678F3"/>
    <w:rsid w:val="00172A27"/>
    <w:rsid w:val="00183535"/>
    <w:rsid w:val="00191FE8"/>
    <w:rsid w:val="001A6A18"/>
    <w:rsid w:val="001A73C0"/>
    <w:rsid w:val="001B7505"/>
    <w:rsid w:val="001C2611"/>
    <w:rsid w:val="001C7DD7"/>
    <w:rsid w:val="001D44A7"/>
    <w:rsid w:val="001F70B5"/>
    <w:rsid w:val="00231EDF"/>
    <w:rsid w:val="00280345"/>
    <w:rsid w:val="00280E22"/>
    <w:rsid w:val="0029088E"/>
    <w:rsid w:val="00296209"/>
    <w:rsid w:val="002A545F"/>
    <w:rsid w:val="002A6CBA"/>
    <w:rsid w:val="002D3B2D"/>
    <w:rsid w:val="0031008A"/>
    <w:rsid w:val="00317160"/>
    <w:rsid w:val="003218C9"/>
    <w:rsid w:val="00322B56"/>
    <w:rsid w:val="00334FCF"/>
    <w:rsid w:val="003606C1"/>
    <w:rsid w:val="003635B2"/>
    <w:rsid w:val="0036467A"/>
    <w:rsid w:val="003820C7"/>
    <w:rsid w:val="0038784D"/>
    <w:rsid w:val="0039090F"/>
    <w:rsid w:val="003D384F"/>
    <w:rsid w:val="003E65FD"/>
    <w:rsid w:val="003E68EC"/>
    <w:rsid w:val="004049C6"/>
    <w:rsid w:val="00451283"/>
    <w:rsid w:val="00452C27"/>
    <w:rsid w:val="00456287"/>
    <w:rsid w:val="00470F09"/>
    <w:rsid w:val="00494C6C"/>
    <w:rsid w:val="004B2335"/>
    <w:rsid w:val="004B5C4C"/>
    <w:rsid w:val="004D03BD"/>
    <w:rsid w:val="004D777B"/>
    <w:rsid w:val="004D7853"/>
    <w:rsid w:val="004E1BF8"/>
    <w:rsid w:val="004F1D6E"/>
    <w:rsid w:val="0050355E"/>
    <w:rsid w:val="00503D10"/>
    <w:rsid w:val="00504F02"/>
    <w:rsid w:val="005115BF"/>
    <w:rsid w:val="00522833"/>
    <w:rsid w:val="00524DC5"/>
    <w:rsid w:val="00530C34"/>
    <w:rsid w:val="00541856"/>
    <w:rsid w:val="00555E02"/>
    <w:rsid w:val="005771D8"/>
    <w:rsid w:val="00591CBF"/>
    <w:rsid w:val="005950D0"/>
    <w:rsid w:val="0059516A"/>
    <w:rsid w:val="005A2059"/>
    <w:rsid w:val="005A3CFF"/>
    <w:rsid w:val="005C04F4"/>
    <w:rsid w:val="005D66AC"/>
    <w:rsid w:val="00620C99"/>
    <w:rsid w:val="00630441"/>
    <w:rsid w:val="00633301"/>
    <w:rsid w:val="006458C6"/>
    <w:rsid w:val="00667AE4"/>
    <w:rsid w:val="00684AF6"/>
    <w:rsid w:val="00684B0A"/>
    <w:rsid w:val="00696905"/>
    <w:rsid w:val="006979F2"/>
    <w:rsid w:val="006C44DD"/>
    <w:rsid w:val="006C4D87"/>
    <w:rsid w:val="006C68F0"/>
    <w:rsid w:val="006C7E95"/>
    <w:rsid w:val="006F061F"/>
    <w:rsid w:val="006F6BE0"/>
    <w:rsid w:val="00701574"/>
    <w:rsid w:val="00701E5B"/>
    <w:rsid w:val="00703626"/>
    <w:rsid w:val="0070403C"/>
    <w:rsid w:val="00716E43"/>
    <w:rsid w:val="00720FE3"/>
    <w:rsid w:val="00723E98"/>
    <w:rsid w:val="00754AED"/>
    <w:rsid w:val="007679D2"/>
    <w:rsid w:val="00785533"/>
    <w:rsid w:val="007B4EB9"/>
    <w:rsid w:val="007D2933"/>
    <w:rsid w:val="007D66C9"/>
    <w:rsid w:val="007E170C"/>
    <w:rsid w:val="007E205A"/>
    <w:rsid w:val="007E784A"/>
    <w:rsid w:val="007F6D0C"/>
    <w:rsid w:val="00800A05"/>
    <w:rsid w:val="0081627F"/>
    <w:rsid w:val="00832E44"/>
    <w:rsid w:val="00832E8D"/>
    <w:rsid w:val="00834B56"/>
    <w:rsid w:val="008520FC"/>
    <w:rsid w:val="008650DC"/>
    <w:rsid w:val="00873B6D"/>
    <w:rsid w:val="0087626F"/>
    <w:rsid w:val="00877A5F"/>
    <w:rsid w:val="0088305D"/>
    <w:rsid w:val="008901DE"/>
    <w:rsid w:val="008A77B2"/>
    <w:rsid w:val="008B1636"/>
    <w:rsid w:val="008C5DB7"/>
    <w:rsid w:val="008D266F"/>
    <w:rsid w:val="008E18E5"/>
    <w:rsid w:val="008E1B4E"/>
    <w:rsid w:val="008F767A"/>
    <w:rsid w:val="00906495"/>
    <w:rsid w:val="00914863"/>
    <w:rsid w:val="009156F9"/>
    <w:rsid w:val="00923BAF"/>
    <w:rsid w:val="00927DCB"/>
    <w:rsid w:val="009427DE"/>
    <w:rsid w:val="00946CAB"/>
    <w:rsid w:val="0096522A"/>
    <w:rsid w:val="009A3E7D"/>
    <w:rsid w:val="009C11EB"/>
    <w:rsid w:val="009C2CCA"/>
    <w:rsid w:val="009D259B"/>
    <w:rsid w:val="009D3ED7"/>
    <w:rsid w:val="009F1D06"/>
    <w:rsid w:val="009F5E41"/>
    <w:rsid w:val="00A2171B"/>
    <w:rsid w:val="00A27C11"/>
    <w:rsid w:val="00A54E19"/>
    <w:rsid w:val="00A633D2"/>
    <w:rsid w:val="00A750E7"/>
    <w:rsid w:val="00AA4345"/>
    <w:rsid w:val="00AD250B"/>
    <w:rsid w:val="00AD3299"/>
    <w:rsid w:val="00AE4059"/>
    <w:rsid w:val="00AE490C"/>
    <w:rsid w:val="00AF5B3A"/>
    <w:rsid w:val="00B30BEE"/>
    <w:rsid w:val="00B42AC4"/>
    <w:rsid w:val="00B67600"/>
    <w:rsid w:val="00B75241"/>
    <w:rsid w:val="00B7593B"/>
    <w:rsid w:val="00BF1C93"/>
    <w:rsid w:val="00C03F5E"/>
    <w:rsid w:val="00C0523F"/>
    <w:rsid w:val="00C07D5C"/>
    <w:rsid w:val="00C1147B"/>
    <w:rsid w:val="00C15F5A"/>
    <w:rsid w:val="00C177EA"/>
    <w:rsid w:val="00C2254F"/>
    <w:rsid w:val="00C36086"/>
    <w:rsid w:val="00C40EA2"/>
    <w:rsid w:val="00C41B61"/>
    <w:rsid w:val="00C52E26"/>
    <w:rsid w:val="00C53FAE"/>
    <w:rsid w:val="00C6071C"/>
    <w:rsid w:val="00C62B18"/>
    <w:rsid w:val="00C66328"/>
    <w:rsid w:val="00C7777E"/>
    <w:rsid w:val="00C81A78"/>
    <w:rsid w:val="00C91CCC"/>
    <w:rsid w:val="00C938C4"/>
    <w:rsid w:val="00CA168F"/>
    <w:rsid w:val="00CA25FA"/>
    <w:rsid w:val="00CA39C1"/>
    <w:rsid w:val="00CA3EFC"/>
    <w:rsid w:val="00CB259E"/>
    <w:rsid w:val="00CB4DF4"/>
    <w:rsid w:val="00CC0C26"/>
    <w:rsid w:val="00CD3269"/>
    <w:rsid w:val="00CE0451"/>
    <w:rsid w:val="00CE66B5"/>
    <w:rsid w:val="00CF1B7C"/>
    <w:rsid w:val="00D0008F"/>
    <w:rsid w:val="00D12AC9"/>
    <w:rsid w:val="00D2248A"/>
    <w:rsid w:val="00D37BA3"/>
    <w:rsid w:val="00D45C1E"/>
    <w:rsid w:val="00D51626"/>
    <w:rsid w:val="00D74986"/>
    <w:rsid w:val="00D85EE9"/>
    <w:rsid w:val="00D96F3A"/>
    <w:rsid w:val="00DA147B"/>
    <w:rsid w:val="00DA6071"/>
    <w:rsid w:val="00DB227A"/>
    <w:rsid w:val="00DC0CD8"/>
    <w:rsid w:val="00DC1EE7"/>
    <w:rsid w:val="00DD1692"/>
    <w:rsid w:val="00DE66A8"/>
    <w:rsid w:val="00DF361D"/>
    <w:rsid w:val="00DF42CF"/>
    <w:rsid w:val="00E053F2"/>
    <w:rsid w:val="00E1111D"/>
    <w:rsid w:val="00E24990"/>
    <w:rsid w:val="00E3463E"/>
    <w:rsid w:val="00E376F8"/>
    <w:rsid w:val="00E416A5"/>
    <w:rsid w:val="00E41E3D"/>
    <w:rsid w:val="00E468FC"/>
    <w:rsid w:val="00E47E14"/>
    <w:rsid w:val="00E54730"/>
    <w:rsid w:val="00E600C6"/>
    <w:rsid w:val="00E86750"/>
    <w:rsid w:val="00E86D6C"/>
    <w:rsid w:val="00E87300"/>
    <w:rsid w:val="00E87A9E"/>
    <w:rsid w:val="00EA60FC"/>
    <w:rsid w:val="00EB3CC0"/>
    <w:rsid w:val="00EB41E6"/>
    <w:rsid w:val="00EB69B3"/>
    <w:rsid w:val="00ED39BE"/>
    <w:rsid w:val="00EE0EAB"/>
    <w:rsid w:val="00EE1912"/>
    <w:rsid w:val="00EF36B3"/>
    <w:rsid w:val="00EF4510"/>
    <w:rsid w:val="00EF7B28"/>
    <w:rsid w:val="00F200D7"/>
    <w:rsid w:val="00F23D68"/>
    <w:rsid w:val="00F26306"/>
    <w:rsid w:val="00F42211"/>
    <w:rsid w:val="00F72A48"/>
    <w:rsid w:val="00F82DD1"/>
    <w:rsid w:val="00F85D67"/>
    <w:rsid w:val="00F90CCB"/>
    <w:rsid w:val="00FB06DA"/>
    <w:rsid w:val="00FB568E"/>
    <w:rsid w:val="00FC2238"/>
    <w:rsid w:val="00FF1E38"/>
    <w:rsid w:val="00FF394D"/>
    <w:rsid w:val="00FF6FC2"/>
    <w:rsid w:val="012A08AC"/>
    <w:rsid w:val="01570AFC"/>
    <w:rsid w:val="02B22C12"/>
    <w:rsid w:val="050F15B5"/>
    <w:rsid w:val="05311394"/>
    <w:rsid w:val="06655242"/>
    <w:rsid w:val="06C474F5"/>
    <w:rsid w:val="06F31D0A"/>
    <w:rsid w:val="0780648A"/>
    <w:rsid w:val="0818560B"/>
    <w:rsid w:val="088F7BDA"/>
    <w:rsid w:val="0932499B"/>
    <w:rsid w:val="094B6B72"/>
    <w:rsid w:val="09DB0171"/>
    <w:rsid w:val="0B37090B"/>
    <w:rsid w:val="0BF927CB"/>
    <w:rsid w:val="0D496E28"/>
    <w:rsid w:val="0D8749D3"/>
    <w:rsid w:val="0F4915BF"/>
    <w:rsid w:val="0F6F59FF"/>
    <w:rsid w:val="1106543B"/>
    <w:rsid w:val="12191133"/>
    <w:rsid w:val="12984B10"/>
    <w:rsid w:val="13E92F74"/>
    <w:rsid w:val="148D1B59"/>
    <w:rsid w:val="153B0F5F"/>
    <w:rsid w:val="171B44A8"/>
    <w:rsid w:val="17393D6D"/>
    <w:rsid w:val="18C4570A"/>
    <w:rsid w:val="19542DA6"/>
    <w:rsid w:val="199E2BFC"/>
    <w:rsid w:val="1A8F255B"/>
    <w:rsid w:val="1AB052D0"/>
    <w:rsid w:val="1ADD1B15"/>
    <w:rsid w:val="1B837AE5"/>
    <w:rsid w:val="1BDE230A"/>
    <w:rsid w:val="1ECE2D5A"/>
    <w:rsid w:val="1F2A29AB"/>
    <w:rsid w:val="1F895821"/>
    <w:rsid w:val="1F896887"/>
    <w:rsid w:val="1F9D50D9"/>
    <w:rsid w:val="1FF33A44"/>
    <w:rsid w:val="226452E9"/>
    <w:rsid w:val="22FC03E0"/>
    <w:rsid w:val="24067AE2"/>
    <w:rsid w:val="25197A41"/>
    <w:rsid w:val="257614E7"/>
    <w:rsid w:val="25797DC7"/>
    <w:rsid w:val="25DC01E3"/>
    <w:rsid w:val="26045E34"/>
    <w:rsid w:val="266816DC"/>
    <w:rsid w:val="284C05FC"/>
    <w:rsid w:val="28762F33"/>
    <w:rsid w:val="28B808CB"/>
    <w:rsid w:val="290628D0"/>
    <w:rsid w:val="29B70A94"/>
    <w:rsid w:val="2A996019"/>
    <w:rsid w:val="2C1B0419"/>
    <w:rsid w:val="2CA7585F"/>
    <w:rsid w:val="2CBA10A8"/>
    <w:rsid w:val="2CE43832"/>
    <w:rsid w:val="2E1B7F66"/>
    <w:rsid w:val="2E247B16"/>
    <w:rsid w:val="2FD24801"/>
    <w:rsid w:val="32600CFB"/>
    <w:rsid w:val="32D30EDF"/>
    <w:rsid w:val="33302434"/>
    <w:rsid w:val="34437DD9"/>
    <w:rsid w:val="34567163"/>
    <w:rsid w:val="346E2FE8"/>
    <w:rsid w:val="356603E9"/>
    <w:rsid w:val="36A257D5"/>
    <w:rsid w:val="37024698"/>
    <w:rsid w:val="384E717A"/>
    <w:rsid w:val="388918ED"/>
    <w:rsid w:val="39203F6A"/>
    <w:rsid w:val="3A852DBB"/>
    <w:rsid w:val="3B201EEF"/>
    <w:rsid w:val="3BC734B7"/>
    <w:rsid w:val="3BD3357D"/>
    <w:rsid w:val="3C782D64"/>
    <w:rsid w:val="3CB90D7F"/>
    <w:rsid w:val="3D262A68"/>
    <w:rsid w:val="3E004139"/>
    <w:rsid w:val="3E39480C"/>
    <w:rsid w:val="3EC16DA1"/>
    <w:rsid w:val="3FC94ED0"/>
    <w:rsid w:val="3FFC028A"/>
    <w:rsid w:val="40454D22"/>
    <w:rsid w:val="40D8229B"/>
    <w:rsid w:val="43026189"/>
    <w:rsid w:val="43AC1DA6"/>
    <w:rsid w:val="444C6ACE"/>
    <w:rsid w:val="44F679C4"/>
    <w:rsid w:val="45017B7D"/>
    <w:rsid w:val="457C1B3E"/>
    <w:rsid w:val="46606D15"/>
    <w:rsid w:val="46954F5C"/>
    <w:rsid w:val="46E61E1A"/>
    <w:rsid w:val="478C21E1"/>
    <w:rsid w:val="481D24BB"/>
    <w:rsid w:val="48572CFE"/>
    <w:rsid w:val="48733F90"/>
    <w:rsid w:val="48B373D3"/>
    <w:rsid w:val="49CE41F8"/>
    <w:rsid w:val="4A4E7F19"/>
    <w:rsid w:val="4A832020"/>
    <w:rsid w:val="4A9C4613"/>
    <w:rsid w:val="4B78421D"/>
    <w:rsid w:val="4B971913"/>
    <w:rsid w:val="4B9863A8"/>
    <w:rsid w:val="4BAD77B9"/>
    <w:rsid w:val="4C31517C"/>
    <w:rsid w:val="4C557D69"/>
    <w:rsid w:val="4E244613"/>
    <w:rsid w:val="4E3B4781"/>
    <w:rsid w:val="4E7656B4"/>
    <w:rsid w:val="4E8E0629"/>
    <w:rsid w:val="4E8F7643"/>
    <w:rsid w:val="500D2D95"/>
    <w:rsid w:val="50370EE4"/>
    <w:rsid w:val="515A516C"/>
    <w:rsid w:val="51EB1BDA"/>
    <w:rsid w:val="52552F2A"/>
    <w:rsid w:val="534360B5"/>
    <w:rsid w:val="53AB7DBC"/>
    <w:rsid w:val="542F431B"/>
    <w:rsid w:val="54CD4CA6"/>
    <w:rsid w:val="553701CB"/>
    <w:rsid w:val="555558F6"/>
    <w:rsid w:val="55780E38"/>
    <w:rsid w:val="58FC68CD"/>
    <w:rsid w:val="59FF237B"/>
    <w:rsid w:val="5ADF7095"/>
    <w:rsid w:val="5B045119"/>
    <w:rsid w:val="5B09191A"/>
    <w:rsid w:val="5B31460E"/>
    <w:rsid w:val="5B5C7DD3"/>
    <w:rsid w:val="5B70039C"/>
    <w:rsid w:val="5CBD2290"/>
    <w:rsid w:val="5CDC11B3"/>
    <w:rsid w:val="5E3C53E8"/>
    <w:rsid w:val="5E421A86"/>
    <w:rsid w:val="5E8A3CAC"/>
    <w:rsid w:val="5F121B42"/>
    <w:rsid w:val="5F25294E"/>
    <w:rsid w:val="5F2D2AF7"/>
    <w:rsid w:val="5FA322C9"/>
    <w:rsid w:val="60B94F1A"/>
    <w:rsid w:val="61E94E7B"/>
    <w:rsid w:val="61FD3E22"/>
    <w:rsid w:val="62465B2B"/>
    <w:rsid w:val="629C2237"/>
    <w:rsid w:val="62F738E6"/>
    <w:rsid w:val="642252DE"/>
    <w:rsid w:val="64736587"/>
    <w:rsid w:val="64847D85"/>
    <w:rsid w:val="64CD5000"/>
    <w:rsid w:val="66B14967"/>
    <w:rsid w:val="66B830E3"/>
    <w:rsid w:val="67501270"/>
    <w:rsid w:val="68620242"/>
    <w:rsid w:val="6A630604"/>
    <w:rsid w:val="6B1E13E6"/>
    <w:rsid w:val="6B6D6ED0"/>
    <w:rsid w:val="6B905925"/>
    <w:rsid w:val="6C466AF2"/>
    <w:rsid w:val="6C8A46E3"/>
    <w:rsid w:val="6D986A17"/>
    <w:rsid w:val="6DF816CF"/>
    <w:rsid w:val="6E047C14"/>
    <w:rsid w:val="6E2A5BE1"/>
    <w:rsid w:val="6E533D98"/>
    <w:rsid w:val="6F617AE8"/>
    <w:rsid w:val="709322BD"/>
    <w:rsid w:val="719C1066"/>
    <w:rsid w:val="72792FA3"/>
    <w:rsid w:val="72BE1B89"/>
    <w:rsid w:val="72EF05E5"/>
    <w:rsid w:val="74191EE8"/>
    <w:rsid w:val="742A10F7"/>
    <w:rsid w:val="755A05F2"/>
    <w:rsid w:val="75AD0232"/>
    <w:rsid w:val="7665536D"/>
    <w:rsid w:val="787F0979"/>
    <w:rsid w:val="792270F3"/>
    <w:rsid w:val="795D3046"/>
    <w:rsid w:val="79AA5641"/>
    <w:rsid w:val="7ABE33A1"/>
    <w:rsid w:val="7B4B37AC"/>
    <w:rsid w:val="7C48001F"/>
    <w:rsid w:val="7DBC6A29"/>
    <w:rsid w:val="7DC9574D"/>
    <w:rsid w:val="7DCC1324"/>
    <w:rsid w:val="7FC819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link w:val="17"/>
    <w:autoRedefine/>
    <w:qFormat/>
    <w:uiPriority w:val="99"/>
    <w:pPr>
      <w:keepNext/>
      <w:keepLines/>
      <w:spacing w:before="120" w:after="120"/>
      <w:ind w:firstLine="200" w:firstLineChars="200"/>
      <w:outlineLvl w:val="3"/>
    </w:pPr>
    <w:rPr>
      <w:rFonts w:ascii="宋体" w:hAnsi="Arial"/>
      <w:b/>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3"/>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next w:val="1"/>
    <w:link w:val="19"/>
    <w:autoRedefine/>
    <w:qFormat/>
    <w:uiPriority w:val="99"/>
    <w:rPr>
      <w:sz w:val="24"/>
    </w:rPr>
  </w:style>
  <w:style w:type="paragraph" w:styleId="5">
    <w:name w:val="Body Text Indent"/>
    <w:basedOn w:val="1"/>
    <w:next w:val="6"/>
    <w:link w:val="20"/>
    <w:autoRedefine/>
    <w:qFormat/>
    <w:uiPriority w:val="99"/>
    <w:pPr>
      <w:ind w:firstLine="600"/>
    </w:pPr>
    <w:rPr>
      <w:sz w:val="30"/>
    </w:rPr>
  </w:style>
  <w:style w:type="paragraph" w:styleId="6">
    <w:name w:val="envelope return"/>
    <w:basedOn w:val="1"/>
    <w:autoRedefine/>
    <w:qFormat/>
    <w:locked/>
    <w:uiPriority w:val="99"/>
    <w:pPr>
      <w:snapToGrid w:val="0"/>
    </w:pPr>
    <w:rPr>
      <w:rFonts w:ascii="Arial" w:hAnsi="Arial" w:eastAsia="宋体" w:cs="Arial"/>
      <w:sz w:val="21"/>
      <w:szCs w:val="21"/>
    </w:rPr>
  </w:style>
  <w:style w:type="paragraph" w:styleId="7">
    <w:name w:val="Date"/>
    <w:basedOn w:val="1"/>
    <w:next w:val="1"/>
    <w:link w:val="21"/>
    <w:autoRedefine/>
    <w:qFormat/>
    <w:uiPriority w:val="99"/>
    <w:pPr>
      <w:ind w:left="100" w:leftChars="25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Body Text 2"/>
    <w:basedOn w:val="1"/>
    <w:next w:val="1"/>
    <w:link w:val="18"/>
    <w:autoRedefine/>
    <w:qFormat/>
    <w:uiPriority w:val="99"/>
    <w:pPr>
      <w:spacing w:after="120" w:line="480" w:lineRule="auto"/>
    </w:pPr>
  </w:style>
  <w:style w:type="paragraph" w:styleId="10">
    <w:name w:val="Body Text First Indent"/>
    <w:basedOn w:val="1"/>
    <w:link w:val="24"/>
    <w:autoRedefine/>
    <w:qFormat/>
    <w:uiPriority w:val="99"/>
    <w:pPr>
      <w:ind w:firstLine="420" w:firstLineChars="100"/>
    </w:pPr>
  </w:style>
  <w:style w:type="paragraph" w:styleId="11">
    <w:name w:val="Body Text First Indent 2"/>
    <w:basedOn w:val="5"/>
    <w:next w:val="1"/>
    <w:link w:val="25"/>
    <w:autoRedefine/>
    <w:qFormat/>
    <w:uiPriority w:val="99"/>
    <w:pPr>
      <w:ind w:firstLine="420"/>
    </w:p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rPr>
      <w:rFonts w:cs="Times New Roman"/>
    </w:r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7">
    <w:name w:val="标题 4 字符"/>
    <w:link w:val="4"/>
    <w:autoRedefine/>
    <w:semiHidden/>
    <w:qFormat/>
    <w:locked/>
    <w:uiPriority w:val="99"/>
    <w:rPr>
      <w:rFonts w:ascii="Cambria" w:hAnsi="Cambria" w:eastAsia="宋体" w:cs="Times New Roman"/>
      <w:b/>
      <w:bCs/>
      <w:kern w:val="2"/>
      <w:sz w:val="28"/>
      <w:szCs w:val="28"/>
    </w:rPr>
  </w:style>
  <w:style w:type="character" w:customStyle="1" w:styleId="18">
    <w:name w:val="正文文本 2 字符"/>
    <w:link w:val="9"/>
    <w:autoRedefine/>
    <w:semiHidden/>
    <w:qFormat/>
    <w:locked/>
    <w:uiPriority w:val="99"/>
    <w:rPr>
      <w:rFonts w:cs="Times New Roman"/>
      <w:kern w:val="2"/>
      <w:sz w:val="24"/>
      <w:szCs w:val="24"/>
    </w:rPr>
  </w:style>
  <w:style w:type="character" w:customStyle="1" w:styleId="19">
    <w:name w:val="正文文本 字符"/>
    <w:link w:val="3"/>
    <w:autoRedefine/>
    <w:semiHidden/>
    <w:qFormat/>
    <w:locked/>
    <w:uiPriority w:val="99"/>
    <w:rPr>
      <w:rFonts w:cs="Times New Roman"/>
      <w:kern w:val="2"/>
      <w:sz w:val="24"/>
      <w:szCs w:val="24"/>
    </w:rPr>
  </w:style>
  <w:style w:type="character" w:customStyle="1" w:styleId="20">
    <w:name w:val="正文文本缩进 字符"/>
    <w:link w:val="5"/>
    <w:autoRedefine/>
    <w:semiHidden/>
    <w:qFormat/>
    <w:locked/>
    <w:uiPriority w:val="99"/>
    <w:rPr>
      <w:rFonts w:cs="Times New Roman"/>
      <w:kern w:val="2"/>
      <w:sz w:val="24"/>
      <w:szCs w:val="24"/>
    </w:rPr>
  </w:style>
  <w:style w:type="character" w:customStyle="1" w:styleId="21">
    <w:name w:val="日期 字符"/>
    <w:link w:val="7"/>
    <w:autoRedefine/>
    <w:semiHidden/>
    <w:qFormat/>
    <w:locked/>
    <w:uiPriority w:val="99"/>
    <w:rPr>
      <w:rFonts w:cs="Times New Roman"/>
      <w:kern w:val="2"/>
      <w:sz w:val="24"/>
      <w:szCs w:val="24"/>
    </w:rPr>
  </w:style>
  <w:style w:type="character" w:customStyle="1" w:styleId="22">
    <w:name w:val="页脚 字符"/>
    <w:link w:val="8"/>
    <w:autoRedefine/>
    <w:semiHidden/>
    <w:qFormat/>
    <w:locked/>
    <w:uiPriority w:val="99"/>
    <w:rPr>
      <w:rFonts w:cs="Times New Roman"/>
      <w:kern w:val="2"/>
      <w:sz w:val="18"/>
      <w:szCs w:val="18"/>
    </w:rPr>
  </w:style>
  <w:style w:type="character" w:customStyle="1" w:styleId="23">
    <w:name w:val="页眉 字符"/>
    <w:link w:val="2"/>
    <w:autoRedefine/>
    <w:semiHidden/>
    <w:qFormat/>
    <w:locked/>
    <w:uiPriority w:val="99"/>
    <w:rPr>
      <w:rFonts w:cs="Times New Roman"/>
      <w:kern w:val="2"/>
      <w:sz w:val="18"/>
      <w:szCs w:val="18"/>
    </w:rPr>
  </w:style>
  <w:style w:type="character" w:customStyle="1" w:styleId="24">
    <w:name w:val="正文文本首行缩进 字符"/>
    <w:link w:val="10"/>
    <w:autoRedefine/>
    <w:semiHidden/>
    <w:qFormat/>
    <w:locked/>
    <w:uiPriority w:val="99"/>
    <w:rPr>
      <w:rFonts w:cs="Times New Roman"/>
      <w:kern w:val="2"/>
      <w:sz w:val="24"/>
      <w:szCs w:val="24"/>
    </w:rPr>
  </w:style>
  <w:style w:type="character" w:customStyle="1" w:styleId="25">
    <w:name w:val="正文文本首行缩进 2 字符"/>
    <w:link w:val="11"/>
    <w:autoRedefine/>
    <w:semiHidden/>
    <w:qFormat/>
    <w:locked/>
    <w:uiPriority w:val="99"/>
    <w:rPr>
      <w:rFonts w:cs="Times New Roman"/>
      <w:kern w:val="2"/>
      <w:sz w:val="24"/>
      <w:szCs w:val="24"/>
    </w:rPr>
  </w:style>
  <w:style w:type="character" w:customStyle="1" w:styleId="26">
    <w:name w:val="apple-converted-space"/>
    <w:autoRedefine/>
    <w:qFormat/>
    <w:uiPriority w:val="99"/>
    <w:rPr>
      <w:rFonts w:cs="Times New Roman"/>
    </w:rPr>
  </w:style>
  <w:style w:type="paragraph" w:customStyle="1" w:styleId="27">
    <w:name w:val="Char"/>
    <w:basedOn w:val="1"/>
    <w:autoRedefine/>
    <w:qFormat/>
    <w:uiPriority w:val="99"/>
  </w:style>
  <w:style w:type="paragraph" w:customStyle="1" w:styleId="28">
    <w:name w:val="Char Char Char1 Char"/>
    <w:basedOn w:val="1"/>
    <w:autoRedefine/>
    <w:qFormat/>
    <w:uiPriority w:val="99"/>
  </w:style>
  <w:style w:type="paragraph" w:customStyle="1" w:styleId="29">
    <w:name w:val="1正文段落"/>
    <w:basedOn w:val="1"/>
    <w:autoRedefine/>
    <w:qFormat/>
    <w:uiPriority w:val="99"/>
    <w:pPr>
      <w:spacing w:line="360" w:lineRule="auto"/>
      <w:ind w:firstLine="480" w:firstLineChars="200"/>
      <w:jc w:val="left"/>
    </w:pPr>
    <w:rPr>
      <w:kern w:val="0"/>
      <w:sz w:val="24"/>
    </w:rPr>
  </w:style>
  <w:style w:type="paragraph" w:customStyle="1" w:styleId="30">
    <w:name w:val="_Style 2"/>
    <w:basedOn w:val="1"/>
    <w:autoRedefine/>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933</Words>
  <Characters>989</Characters>
  <Lines>7</Lines>
  <Paragraphs>2</Paragraphs>
  <TotalTime>0</TotalTime>
  <ScaleCrop>false</ScaleCrop>
  <LinksUpToDate>false</LinksUpToDate>
  <CharactersWithSpaces>5757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2022-03-07T08:39:00Z</dcterms:created>
  <dc:creator>zf</dc:creator>
  <cp:lastModifiedBy>三生万物</cp:lastModifiedBy>
  <cp:lastPrinted>2021-09-06T05:38:00Z</cp:lastPrinted>
  <dcterms:modified xsi:type="dcterms:W3CDTF">2024-12-14T06:27:13Z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31E2CF11CE5D4D31B4E05FD09F032E0B</vt:lpwstr>
  </property>
  <property fmtid="{D5CDD505-2E9C-101B-9397-08002B2CF9AE}" pid="4" name="commondata">
    <vt:lpwstr>eyJoZGlkIjoiNjcwMDA0NzFiMGFjNmYzMjdjMDNiMDNkMWVmMDFjZTEifQ==</vt:lpwstr>
  </property>
</Properties>
</file>