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93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41" w:beforeAutospacing="0" w:after="141" w:afterAutospacing="0" w:line="560" w:lineRule="exact"/>
        <w:ind w:left="0" w:right="0" w:firstLine="0"/>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金寨县住房和城乡建设局202</w:t>
      </w:r>
      <w:r>
        <w:rPr>
          <w:rFonts w:hint="eastAsia" w:ascii="Times New Roman" w:hAnsi="Times New Roman" w:eastAsia="方正小标宋简体" w:cs="Times New Roman"/>
          <w:b w:val="0"/>
          <w:bCs w:val="0"/>
          <w:kern w:val="2"/>
          <w:sz w:val="44"/>
          <w:szCs w:val="44"/>
          <w:lang w:val="en-US" w:eastAsia="zh-CN" w:bidi="ar-SA"/>
        </w:rPr>
        <w:t>1</w:t>
      </w:r>
      <w:r>
        <w:rPr>
          <w:rFonts w:hint="default" w:ascii="Times New Roman" w:hAnsi="Times New Roman" w:eastAsia="方正小标宋简体" w:cs="Times New Roman"/>
          <w:b w:val="0"/>
          <w:bCs w:val="0"/>
          <w:kern w:val="2"/>
          <w:sz w:val="44"/>
          <w:szCs w:val="44"/>
          <w:lang w:val="en-US" w:eastAsia="zh-CN" w:bidi="ar-SA"/>
        </w:rPr>
        <w:t>年政府信息公开工作年度报告</w:t>
      </w:r>
    </w:p>
    <w:p w14:paraId="4CA91B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仿宋" w:cs="Times New Roman"/>
          <w:i w:val="0"/>
          <w:iCs w:val="0"/>
          <w:caps w:val="0"/>
          <w:color w:val="000000"/>
          <w:spacing w:val="0"/>
          <w:sz w:val="32"/>
          <w:szCs w:val="32"/>
          <w:shd w:val="clear" w:fill="FFFFFF"/>
        </w:rPr>
      </w:pPr>
    </w:p>
    <w:p w14:paraId="20580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000000"/>
          <w:spacing w:val="0"/>
          <w:sz w:val="32"/>
          <w:szCs w:val="32"/>
          <w:shd w:val="clear" w:fill="FFFFFF"/>
        </w:rPr>
        <w:t>本报告依据《中华人民共和国政府信息公开条例》（国务院令第711号，以下简称《条例》)和《金寨县政务公开办公室关于做好政府信息公开年度报告</w:t>
      </w:r>
      <w:bookmarkStart w:id="0" w:name="_GoBack"/>
      <w:bookmarkEnd w:id="0"/>
      <w:r>
        <w:rPr>
          <w:rFonts w:hint="default" w:ascii="Times New Roman" w:hAnsi="Times New Roman" w:eastAsia="仿宋" w:cs="Times New Roman"/>
          <w:i w:val="0"/>
          <w:iCs w:val="0"/>
          <w:caps w:val="0"/>
          <w:color w:val="000000"/>
          <w:spacing w:val="0"/>
          <w:sz w:val="32"/>
          <w:szCs w:val="32"/>
          <w:shd w:val="clear" w:fill="FFFFFF"/>
        </w:rPr>
        <w:t>编制和发布工作的通知》要求编制而成。报告主要</w:t>
      </w:r>
      <w:r>
        <w:rPr>
          <w:rFonts w:hint="default" w:ascii="Times New Roman" w:hAnsi="Times New Roman" w:eastAsia="仿宋" w:cs="Times New Roman"/>
          <w:i w:val="0"/>
          <w:iCs w:val="0"/>
          <w:caps w:val="0"/>
          <w:color w:val="333333"/>
          <w:spacing w:val="0"/>
          <w:sz w:val="32"/>
          <w:szCs w:val="32"/>
          <w:shd w:val="clear" w:fill="FFFFFF"/>
        </w:rPr>
        <w:t>包括：总体情况、主动公开政府信息情况、收到和处理政府信息公开申请情况、政府信息公开行政复议和行政诉讼情况、政府信息公开工作存在的主要问题及改进情况和其他需要报告事项。本报告中使用数据统计期限为2021年1月1日至12月31日。报告电子版可在金寨县人民政府信息公开网</w:t>
      </w:r>
    </w:p>
    <w:p w14:paraId="71DC6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w:t>
      </w:r>
      <w:r>
        <w:rPr>
          <w:rFonts w:hint="default" w:ascii="Times New Roman" w:hAnsi="Times New Roman" w:eastAsia="仿宋" w:cs="Times New Roman"/>
          <w:i w:val="0"/>
          <w:iCs w:val="0"/>
          <w:caps w:val="0"/>
          <w:color w:val="333333"/>
          <w:spacing w:val="0"/>
          <w:sz w:val="32"/>
          <w:szCs w:val="32"/>
          <w:u w:val="none"/>
          <w:shd w:val="clear" w:fill="FFFFFF"/>
        </w:rPr>
        <w:fldChar w:fldCharType="begin"/>
      </w:r>
      <w:r>
        <w:rPr>
          <w:rFonts w:hint="default" w:ascii="Times New Roman" w:hAnsi="Times New Roman" w:eastAsia="仿宋" w:cs="Times New Roman"/>
          <w:i w:val="0"/>
          <w:iCs w:val="0"/>
          <w:caps w:val="0"/>
          <w:color w:val="333333"/>
          <w:spacing w:val="0"/>
          <w:sz w:val="32"/>
          <w:szCs w:val="32"/>
          <w:u w:val="none"/>
          <w:shd w:val="clear" w:fill="FFFFFF"/>
        </w:rPr>
        <w:instrText xml:space="preserve"> HYPERLINK "https://www.ahjinzhai.gov.cn/public/column/6596661?type=3&amp;action=detail&amp;nav=3&amp;title=2021" </w:instrText>
      </w:r>
      <w:r>
        <w:rPr>
          <w:rFonts w:hint="default" w:ascii="Times New Roman" w:hAnsi="Times New Roman" w:eastAsia="仿宋" w:cs="Times New Roman"/>
          <w:i w:val="0"/>
          <w:iCs w:val="0"/>
          <w:caps w:val="0"/>
          <w:color w:val="333333"/>
          <w:spacing w:val="0"/>
          <w:sz w:val="32"/>
          <w:szCs w:val="32"/>
          <w:u w:val="none"/>
          <w:shd w:val="clear" w:fill="FFFFFF"/>
        </w:rPr>
        <w:fldChar w:fldCharType="separate"/>
      </w:r>
      <w:r>
        <w:rPr>
          <w:rStyle w:val="6"/>
          <w:rFonts w:hint="default" w:ascii="Times New Roman" w:hAnsi="Times New Roman" w:eastAsia="仿宋" w:cs="Times New Roman"/>
          <w:i w:val="0"/>
          <w:iCs w:val="0"/>
          <w:caps w:val="0"/>
          <w:color w:val="333333"/>
          <w:spacing w:val="0"/>
          <w:sz w:val="32"/>
          <w:szCs w:val="32"/>
          <w:u w:val="none"/>
          <w:shd w:val="clear" w:fill="FFFFFF"/>
        </w:rPr>
        <w:t>https://www.ahjinzhai.gov.cn/public/column/6596661?type=3&amp;action=detail&amp;nav=3&amp;title=2021</w:t>
      </w:r>
      <w:r>
        <w:rPr>
          <w:rFonts w:hint="default" w:ascii="Times New Roman" w:hAnsi="Times New Roman" w:eastAsia="仿宋" w:cs="Times New Roman"/>
          <w:i w:val="0"/>
          <w:iCs w:val="0"/>
          <w:caps w:val="0"/>
          <w:color w:val="333333"/>
          <w:spacing w:val="0"/>
          <w:sz w:val="32"/>
          <w:szCs w:val="32"/>
          <w:u w:val="none"/>
          <w:shd w:val="clear" w:fill="FFFFFF"/>
        </w:rPr>
        <w:fldChar w:fldCharType="end"/>
      </w:r>
      <w:r>
        <w:rPr>
          <w:rFonts w:hint="default" w:ascii="Times New Roman" w:hAnsi="Times New Roman" w:eastAsia="仿宋" w:cs="Times New Roman"/>
          <w:i w:val="0"/>
          <w:iCs w:val="0"/>
          <w:caps w:val="0"/>
          <w:color w:val="333333"/>
          <w:spacing w:val="0"/>
          <w:sz w:val="32"/>
          <w:szCs w:val="32"/>
          <w:shd w:val="clear" w:fill="FFFFFF"/>
        </w:rPr>
        <w:t>）下载。如对本报告有任何疑问，请与金寨县住房和城乡建设局办公室联系（地址：金寨县新城区莲花山路住房和城乡建设局办公大楼三楼，电话：0564—7359232，邮箱：jinzhaijianshe@163.com，邮编：237300）。</w:t>
      </w:r>
    </w:p>
    <w:p w14:paraId="2F33E7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一、总体情况</w:t>
      </w:r>
    </w:p>
    <w:p w14:paraId="12859A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2021年，我局政务公开工作坚持以习近平新时代中国特色社会主义思想为指导，按照县委、县政府和县政务公开办关于政府信息公开工作的部署，拓宽公开渠道，提高服务效能，围绕住房城乡建设领域中心工作，全面做好政府信息公开有关工作，为推动我县住房和城乡建设事业高质量发展提供了有力支撑。</w:t>
      </w:r>
    </w:p>
    <w:p w14:paraId="1D533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2"/>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b/>
          <w:bCs/>
          <w:i w:val="0"/>
          <w:iCs w:val="0"/>
          <w:caps w:val="0"/>
          <w:color w:val="333333"/>
          <w:spacing w:val="0"/>
          <w:sz w:val="32"/>
          <w:szCs w:val="32"/>
          <w:shd w:val="clear" w:fill="FFFFFF"/>
        </w:rPr>
        <w:t>1、主动公开情况</w:t>
      </w:r>
    </w:p>
    <w:p w14:paraId="229FCE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我局积极探索政务公开工作的新思路、新方法、新举措。对于涉及公众切身利益或专业性较强的重大行政决策事项，组织专家、专业机构开展论证，公开征求意见建议。同时，加强主动回应，通过参加新闻发布会、在线访谈等形式，全面解读房地产市场平稳健康发展、既有住宅加装电梯以及城镇住房保障家庭租赁补贴等方面相关政策，做到文件同步发布、同步解读。此外，以“互联网+政务服务”为抓手，及时公开监督检查信息，全面抓好行政许可、行政处罚双公示和政务服务“一网通办”、“一窗受理”等方面的信息公开；按照要求及时在网上公开财政预决算和专项资金使用情况信息；加强住建领域“放管服”改革方面信息公开，取消、下放、保留的行政审批事项及时向社会发布，同步公开审批服务事项、办事指南、办事流程等。全年共主动公开信息476条，其中主动公开规范性文件0条，机构领导、机构设置及人事信息14条，公开规划计划4条，公开财务预决算、财政专项经费管理使用和“三公”经费信息37条，部门项目信息7条，主动公开重点领域信息93条，同步推送至县政府网公开。</w:t>
      </w:r>
    </w:p>
    <w:p w14:paraId="12AB1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b/>
          <w:bCs/>
          <w:i w:val="0"/>
          <w:iCs w:val="0"/>
          <w:caps w:val="0"/>
          <w:color w:val="333333"/>
          <w:spacing w:val="0"/>
          <w:sz w:val="32"/>
          <w:szCs w:val="32"/>
          <w:shd w:val="clear" w:fill="FFFFFF"/>
        </w:rPr>
        <w:t>2、依申请公开情况</w:t>
      </w:r>
    </w:p>
    <w:p w14:paraId="77BF5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2"/>
          <w:szCs w:val="32"/>
          <w:shd w:val="clear" w:fill="FFFFFF"/>
        </w:rPr>
        <w:t>畅通信息公开申请接收渠道，始终坚持按时、保质、依法依规的原则，除当面申请、信函、传真申请外，在部门网站开通了线上申请渠道，申请人可通过依申请公开栏目线上提交政府信息公开申请。积极参加依申请公开新平台培训，按时完成依申请公开信息迁移工作，本年度收到政府信息公开申请数量为0条。</w:t>
      </w:r>
    </w:p>
    <w:p w14:paraId="5352A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b/>
          <w:bCs/>
          <w:i w:val="0"/>
          <w:iCs w:val="0"/>
          <w:caps w:val="0"/>
          <w:color w:val="333333"/>
          <w:spacing w:val="0"/>
          <w:sz w:val="32"/>
          <w:szCs w:val="32"/>
          <w:shd w:val="clear" w:fill="FFFFFF"/>
        </w:rPr>
        <w:t>3、政府信息管理情况</w:t>
      </w:r>
    </w:p>
    <w:p w14:paraId="07D93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2"/>
          <w:szCs w:val="32"/>
          <w:shd w:val="clear" w:fill="FFFFFF"/>
        </w:rPr>
        <w:t>根据《金寨县人民政府办公室关于修订完善政务公开相关制度的通知》（金政办秘〔2021〕28号）文件要求，对我单位的政务公开相关制度进行了修订完善。进一步建立完善政府信息公开审查机制，严格落实“三审制”，安排专人负责信息发布工作，并对在政府网站上发布的信息做好登记。</w:t>
      </w:r>
      <w:r>
        <w:rPr>
          <w:rFonts w:hint="default" w:ascii="Times New Roman" w:hAnsi="Times New Roman" w:eastAsia="仿宋" w:cs="Times New Roman"/>
          <w:i w:val="0"/>
          <w:iCs w:val="0"/>
          <w:caps w:val="0"/>
          <w:color w:val="000000"/>
          <w:spacing w:val="0"/>
          <w:sz w:val="32"/>
          <w:szCs w:val="32"/>
          <w:shd w:val="clear" w:fill="FFFFFF"/>
        </w:rPr>
        <w:t>定期开展网站普查和专项排查，重点排查重大表述错误、错别字和泄漏隐私等信息。</w:t>
      </w:r>
    </w:p>
    <w:p w14:paraId="018C1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b/>
          <w:bCs/>
          <w:i w:val="0"/>
          <w:iCs w:val="0"/>
          <w:caps w:val="0"/>
          <w:color w:val="333333"/>
          <w:spacing w:val="0"/>
          <w:sz w:val="32"/>
          <w:szCs w:val="32"/>
          <w:shd w:val="clear" w:fill="FFFFFF"/>
        </w:rPr>
        <w:t>4、政府信息公开平台建设情况</w:t>
      </w:r>
    </w:p>
    <w:p w14:paraId="39749157">
      <w:pPr>
        <w:ind w:firstLine="640" w:firstLineChars="200"/>
        <w:rPr>
          <w:rFonts w:hint="default" w:ascii="Times New Roman" w:hAnsi="Times New Roman" w:eastAsia="仿宋" w:cs="Times New Roman"/>
          <w:i w:val="0"/>
          <w:iCs w:val="0"/>
          <w:caps w:val="0"/>
          <w:color w:val="333333"/>
          <w:spacing w:val="0"/>
          <w:kern w:val="0"/>
          <w:sz w:val="32"/>
          <w:szCs w:val="32"/>
          <w:shd w:val="clear" w:fill="FFFFFF"/>
          <w:lang w:val="en-US" w:eastAsia="zh-CN" w:bidi="ar"/>
        </w:rPr>
      </w:pP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统筹运用政府网站、新闻媒体等形式，畅通公开渠道和为民服务“窗口”。用好政府网站设立的“政府信息公开专栏”，并通过专栏及时调整和修改法定主动公开目录和内容，充分发挥信息公开主渠道效应。</w:t>
      </w:r>
    </w:p>
    <w:p w14:paraId="4C01D1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2"/>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b/>
          <w:bCs/>
          <w:i w:val="0"/>
          <w:iCs w:val="0"/>
          <w:caps w:val="0"/>
          <w:color w:val="333333"/>
          <w:spacing w:val="0"/>
          <w:sz w:val="32"/>
          <w:szCs w:val="32"/>
          <w:shd w:val="clear" w:fill="FFFFFF"/>
        </w:rPr>
        <w:t>5、监督保障</w:t>
      </w:r>
    </w:p>
    <w:p w14:paraId="225720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坚持把政务公开工作作为“一把手”工程，根据人事变动，及时调整领导小组成员。进一步健全完善政务公开工作领导体制和工作机制，调整充实各科室政务公开工作人员，全面加强政务公开工作力量配置建设。积极参加市、县政务公开工作培训，持续加大对相关岗位人员的培训力度。建立和完善政务信息公开监督制度，主动公布咨询、监督投诉电话，接受相关部门、新闻媒体、广大群众的监督。</w:t>
      </w:r>
      <w:r>
        <w:rPr>
          <w:rFonts w:hint="default" w:ascii="Times New Roman" w:hAnsi="Times New Roman" w:eastAsia="仿宋" w:cs="Times New Roman"/>
          <w:i w:val="0"/>
          <w:iCs w:val="0"/>
          <w:caps w:val="0"/>
          <w:color w:val="000000"/>
          <w:spacing w:val="0"/>
          <w:sz w:val="32"/>
          <w:szCs w:val="32"/>
          <w:shd w:val="clear" w:fill="FFFFFF"/>
        </w:rPr>
        <w:t>根据县政务公开办和第三方测评中反馈的问题，认真制定整改清单，</w:t>
      </w:r>
      <w:r>
        <w:rPr>
          <w:rFonts w:hint="default" w:ascii="Times New Roman" w:hAnsi="Times New Roman" w:eastAsia="仿宋" w:cs="Times New Roman"/>
          <w:i w:val="0"/>
          <w:iCs w:val="0"/>
          <w:caps w:val="0"/>
          <w:color w:val="333333"/>
          <w:spacing w:val="0"/>
          <w:sz w:val="32"/>
          <w:szCs w:val="32"/>
          <w:shd w:val="clear" w:fill="FFFFFF"/>
        </w:rPr>
        <w:t>明确整改时限和整改责任人。同时，将政务公开工作纳入机关目标管理考评内容，形成了领导力度、目标责任、监督检查“三到位”的工作机制。</w:t>
      </w:r>
    </w:p>
    <w:p w14:paraId="0314D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黑体" w:cs="Times New Roman"/>
          <w:i w:val="0"/>
          <w:iCs w:val="0"/>
          <w:caps w:val="0"/>
          <w:color w:val="333333"/>
          <w:spacing w:val="0"/>
          <w:sz w:val="32"/>
          <w:szCs w:val="32"/>
          <w:shd w:val="clear" w:fill="FFFFFF"/>
        </w:rPr>
        <w:t>二、主动公开政府信息情况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23"/>
        <w:gridCol w:w="2132"/>
        <w:gridCol w:w="2132"/>
        <w:gridCol w:w="2133"/>
      </w:tblGrid>
      <w:tr w14:paraId="3CBA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A6DCE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第二十条第（一）项</w:t>
            </w:r>
          </w:p>
        </w:tc>
      </w:tr>
      <w:tr w14:paraId="39C1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7905F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FC71C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本年</w:t>
            </w:r>
            <w:r>
              <w:rPr>
                <w:rFonts w:hint="default" w:ascii="Times New Roman" w:hAnsi="Times New Roman" w:eastAsia="宋体" w:cs="Times New Roman"/>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1AE90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FA15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现行有效件</w:t>
            </w:r>
            <w:r>
              <w:rPr>
                <w:rFonts w:hint="default" w:ascii="Times New Roman" w:hAnsi="Times New Roman" w:eastAsia="宋体" w:cs="Times New Roman"/>
                <w:sz w:val="20"/>
                <w:szCs w:val="20"/>
              </w:rPr>
              <w:t>数</w:t>
            </w:r>
          </w:p>
        </w:tc>
      </w:tr>
      <w:tr w14:paraId="4852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BE7D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99C73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9CB1F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 0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9FA98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 0</w:t>
            </w:r>
          </w:p>
        </w:tc>
      </w:tr>
      <w:tr w14:paraId="35A4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171E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F26B2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21387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BA28D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 0</w:t>
            </w:r>
          </w:p>
        </w:tc>
      </w:tr>
      <w:tr w14:paraId="46EE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E87A9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第二十条第（五）项</w:t>
            </w:r>
          </w:p>
        </w:tc>
      </w:tr>
      <w:tr w14:paraId="05FC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57762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F3492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本年处理决定数量</w:t>
            </w:r>
          </w:p>
        </w:tc>
      </w:tr>
      <w:tr w14:paraId="27F2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200C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C7019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1"/>
                <w:szCs w:val="21"/>
              </w:rPr>
              <w:t>92</w:t>
            </w:r>
          </w:p>
        </w:tc>
      </w:tr>
      <w:tr w14:paraId="3EA4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12070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第二十条第（六）项</w:t>
            </w:r>
          </w:p>
        </w:tc>
      </w:tr>
      <w:tr w14:paraId="03B5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AD06A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9F4A8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本年处理决定数量</w:t>
            </w:r>
          </w:p>
        </w:tc>
      </w:tr>
      <w:tr w14:paraId="761E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80598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E4C27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21</w:t>
            </w:r>
          </w:p>
        </w:tc>
      </w:tr>
      <w:tr w14:paraId="2FD2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9456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724EA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0</w:t>
            </w:r>
          </w:p>
        </w:tc>
      </w:tr>
      <w:tr w14:paraId="12E5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00061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第二十条第（八）项</w:t>
            </w:r>
          </w:p>
        </w:tc>
      </w:tr>
      <w:tr w14:paraId="332B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B26A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78EA7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本年收费金额（单位：万元）</w:t>
            </w:r>
          </w:p>
        </w:tc>
      </w:tr>
      <w:tr w14:paraId="6BD7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A2D39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行政事业性收费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419B6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400"/>
              <w:jc w:val="both"/>
              <w:rPr>
                <w:rFonts w:hint="default" w:ascii="Times New Roman" w:hAnsi="Times New Roman" w:eastAsia="仿宋" w:cs="Times New Roman"/>
                <w:sz w:val="32"/>
                <w:szCs w:val="32"/>
              </w:rPr>
            </w:pPr>
            <w:r>
              <w:rPr>
                <w:rFonts w:hint="default" w:ascii="Times New Roman" w:hAnsi="Times New Roman" w:eastAsia="宋体" w:cs="Times New Roman"/>
                <w:sz w:val="24"/>
                <w:szCs w:val="24"/>
              </w:rPr>
              <w:t>3282.58</w:t>
            </w:r>
          </w:p>
        </w:tc>
      </w:tr>
    </w:tbl>
    <w:p w14:paraId="1B426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黑体" w:cs="Times New Roman"/>
          <w:i w:val="0"/>
          <w:iCs w:val="0"/>
          <w:caps w:val="0"/>
          <w:color w:val="333333"/>
          <w:spacing w:val="0"/>
          <w:sz w:val="32"/>
          <w:szCs w:val="32"/>
          <w:shd w:val="clear" w:fill="FFFFFF"/>
        </w:rPr>
        <w:t>三、收到和处理政府信息公开申请情况</w:t>
      </w:r>
    </w:p>
    <w:tbl>
      <w:tblPr>
        <w:tblStyle w:val="4"/>
        <w:tblW w:w="97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42926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C7C54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楷体" w:cs="Times New Roman"/>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4E7FB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申请人情况</w:t>
            </w:r>
          </w:p>
        </w:tc>
      </w:tr>
      <w:tr w14:paraId="4A29F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C187707">
            <w:pPr>
              <w:rPr>
                <w:rFonts w:hint="default" w:ascii="Times New Roman" w:hAnsi="Times New Roman" w:cs="Times New Roman"/>
                <w:sz w:val="20"/>
                <w:szCs w:val="20"/>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3D959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A8FDC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6B2D2D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总计</w:t>
            </w:r>
          </w:p>
        </w:tc>
      </w:tr>
      <w:tr w14:paraId="402E81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2FF1E88">
            <w:pPr>
              <w:rPr>
                <w:rFonts w:hint="default" w:ascii="Times New Roman" w:hAnsi="Times New Roman" w:cs="Times New Roman"/>
                <w:sz w:val="20"/>
                <w:szCs w:val="20"/>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CE8AD38">
            <w:pPr>
              <w:rPr>
                <w:rFonts w:hint="default" w:ascii="Times New Roman" w:hAnsi="Times New Roman" w:cs="Times New Roman"/>
                <w:sz w:val="20"/>
                <w:szCs w:val="20"/>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6ABB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商业</w:t>
            </w:r>
          </w:p>
          <w:p w14:paraId="47F547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900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科研</w:t>
            </w:r>
          </w:p>
          <w:p w14:paraId="2ACC92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7F32A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AE07B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BE5D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92459A1">
            <w:pPr>
              <w:rPr>
                <w:rFonts w:hint="default" w:ascii="Times New Roman" w:hAnsi="Times New Roman" w:cs="Times New Roman"/>
                <w:sz w:val="20"/>
                <w:szCs w:val="20"/>
              </w:rPr>
            </w:pPr>
          </w:p>
        </w:tc>
      </w:tr>
      <w:tr w14:paraId="2DE35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3956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B476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F12C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A880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7E4E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BEE9E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4929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F6CD6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1B3DB9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1ED5A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4878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69EC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07E2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3702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8774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3B05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6E78A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r>
      <w:tr w14:paraId="52A6C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7838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三、本年度办理结果</w:t>
            </w: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3A29C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990A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2E25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0296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F170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6B20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8D11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273BC2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r>
      <w:tr w14:paraId="50E72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E49475">
            <w:pPr>
              <w:rPr>
                <w:rFonts w:hint="default" w:ascii="Times New Roman" w:hAnsi="Times New Roman" w:cs="Times New Roman"/>
                <w:sz w:val="20"/>
                <w:szCs w:val="20"/>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1BABAC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（二）部分公开</w:t>
            </w:r>
            <w:r>
              <w:rPr>
                <w:rFonts w:hint="default" w:ascii="Times New Roman" w:hAnsi="Times New Roman" w:eastAsia="楷体" w:cs="Times New Roman"/>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1FC5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3258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88ED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6CA9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7259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F60E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DD47E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7110B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73DDAEB">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315B9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（三）不予公开</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015B3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E546A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FA1DB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8539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29458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578C6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E78F4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2352B6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414A8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FAE879">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51D6BFE">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080C22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EC7E2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7DA1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DB932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6F77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BA5F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409B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00CE4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0F377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DE626F7">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CDC2527">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2600BD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76C70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8781C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DBE0D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5F1B6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D61FB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4924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F476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537FF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B32F5D6">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48AAF02">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CE621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3862D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1C74B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56CF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95592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C6A9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735B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B6BAF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7E39A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772B2D">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751161F">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C0B40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0F645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BD7EF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EA2A1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BBE0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4C72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93C8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88FC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0AA4F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AAF80B">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1B04F28">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FF827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240D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3EABA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5CCED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C2A80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D830C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8D644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66DF9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40D2A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8CC9038">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74F9B69">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0A957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FACA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C048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EB6B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44779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0C2B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718D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8F37D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3081D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B61808F">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155C27E">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F3A7C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5B02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AEC83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F3BF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0CB53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84224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6471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7669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5B812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E758A06">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7AB14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（四）无法提供</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1EB37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69C0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FAF1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8F09A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BE80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3438E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6BAC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4DA99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33BD1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722F2D">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D7F4004">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026EE2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6D1DC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4992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368AC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CB170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50C89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372C1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3C682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667A3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EFAC46">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DC2FC4B">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74A492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225C8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98D12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9B22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3B324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637B7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2E2FD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3192F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41B070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34B739">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D0F63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（五）不予处理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DCD5F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D3169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4ADE6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740E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646A6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AE33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8110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FBED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66AA64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2D4623">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1C056D4">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9F4AE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275C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2E353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2083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2EEF2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21591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A5CD8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92981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17E7A4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EACCB09">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6EF1644">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05ADF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2CC7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D85F9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4AB5A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3CF79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8458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F629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47A5F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284F9A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61BC0B">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DBFE9D6">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697E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A1408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EE6D5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45A1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56E69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2433D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1FF0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4796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37427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A5BC195">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F90FE57">
            <w:pPr>
              <w:rPr>
                <w:rFonts w:hint="default" w:ascii="Times New Roman" w:hAnsi="Times New Roman" w:cs="Times New Roman"/>
                <w:sz w:val="20"/>
                <w:szCs w:val="20"/>
              </w:rPr>
            </w:pPr>
          </w:p>
        </w:tc>
        <w:tc>
          <w:tcPr>
            <w:tcW w:w="3219" w:type="dxa"/>
            <w:tcBorders>
              <w:top w:val="nil"/>
              <w:left w:val="nil"/>
              <w:bottom w:val="outset" w:color="auto" w:sz="8" w:space="0"/>
              <w:right w:val="single" w:color="auto" w:sz="8" w:space="0"/>
            </w:tcBorders>
            <w:shd w:val="clear" w:color="auto" w:fill="auto"/>
            <w:tcMar>
              <w:left w:w="57" w:type="dxa"/>
              <w:right w:w="57" w:type="dxa"/>
            </w:tcMar>
            <w:vAlign w:val="center"/>
          </w:tcPr>
          <w:p w14:paraId="25A746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仿宋" w:cs="Times New Roman"/>
                <w:sz w:val="32"/>
                <w:szCs w:val="32"/>
              </w:rPr>
            </w:pPr>
            <w:r>
              <w:rPr>
                <w:rFonts w:hint="default" w:ascii="Times New Roman" w:hAnsi="Times New Roman" w:eastAsia="宋体" w:cs="Times New Roman"/>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23CA15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3F8C33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07852E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246C02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1A5CF9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53A36C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09A085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11CE5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77654CE">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C6A7B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（六）其他处理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34471B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仿宋" w:cs="Times New Roman"/>
                <w:sz w:val="32"/>
                <w:szCs w:val="32"/>
              </w:rPr>
            </w:pPr>
            <w:r>
              <w:rPr>
                <w:rFonts w:hint="default" w:ascii="Times New Roman" w:hAnsi="Times New Roman" w:eastAsia="宋体" w:cs="Times New Roman"/>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91F4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FD98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A5BC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0404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6355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A83D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AF06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221CD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409E5E7">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1C03B45">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706448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仿宋" w:cs="Times New Roman"/>
                <w:sz w:val="32"/>
                <w:szCs w:val="32"/>
              </w:rPr>
            </w:pPr>
            <w:r>
              <w:rPr>
                <w:rFonts w:hint="default" w:ascii="Times New Roman" w:hAnsi="Times New Roman" w:eastAsia="宋体" w:cs="Times New Roman"/>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F75F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5FC6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DF49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932B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A21D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1647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90C4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13682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498E945">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B2CB99B">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47F7B7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BAB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C360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E679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A502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F409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7ED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FD3A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r>
      <w:tr w14:paraId="0FB2AF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32B045">
            <w:pPr>
              <w:rPr>
                <w:rFonts w:hint="default" w:ascii="Times New Roman" w:hAnsi="Times New Roman" w:cs="Times New Roman"/>
                <w:sz w:val="20"/>
                <w:szCs w:val="20"/>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D2A0A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5A83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4A23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0FE9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DB07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08CE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7364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9C2F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 </w:t>
            </w:r>
          </w:p>
        </w:tc>
      </w:tr>
      <w:tr w14:paraId="5E0DF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51CD7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7F7B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BBE4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C119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79CA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4811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D7E4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0C03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00"/>
              <w:jc w:val="both"/>
              <w:rPr>
                <w:rFonts w:hint="default" w:ascii="Times New Roman" w:hAnsi="Times New Roman" w:eastAsia="仿宋" w:cs="Times New Roman"/>
                <w:sz w:val="32"/>
                <w:szCs w:val="32"/>
              </w:rPr>
            </w:pPr>
            <w:r>
              <w:rPr>
                <w:rFonts w:hint="default" w:ascii="Times New Roman" w:hAnsi="Times New Roman" w:eastAsia="仿宋" w:cs="Times New Roman"/>
                <w:sz w:val="20"/>
                <w:szCs w:val="20"/>
              </w:rPr>
              <w:t>0</w:t>
            </w:r>
          </w:p>
        </w:tc>
      </w:tr>
    </w:tbl>
    <w:p w14:paraId="6A19B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四、政府信息公开行政复议、行政诉讼情况</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8"/>
        <w:gridCol w:w="568"/>
        <w:gridCol w:w="568"/>
        <w:gridCol w:w="568"/>
        <w:gridCol w:w="568"/>
        <w:gridCol w:w="568"/>
        <w:gridCol w:w="568"/>
        <w:gridCol w:w="568"/>
        <w:gridCol w:w="568"/>
        <w:gridCol w:w="568"/>
        <w:gridCol w:w="568"/>
        <w:gridCol w:w="568"/>
        <w:gridCol w:w="568"/>
        <w:gridCol w:w="569"/>
        <w:gridCol w:w="569"/>
      </w:tblGrid>
      <w:tr w14:paraId="357EBC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6074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行政复议</w:t>
            </w:r>
          </w:p>
        </w:tc>
        <w:tc>
          <w:tcPr>
            <w:tcW w:w="649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4F13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行政诉讼</w:t>
            </w:r>
          </w:p>
        </w:tc>
      </w:tr>
      <w:tr w14:paraId="6FEDA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7934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30B05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结果</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FA27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56AB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尚未</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6E4E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34E4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未经复议直接起诉</w:t>
            </w:r>
          </w:p>
        </w:tc>
        <w:tc>
          <w:tcPr>
            <w:tcW w:w="325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63D3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复议后起诉</w:t>
            </w:r>
          </w:p>
        </w:tc>
      </w:tr>
      <w:tr w14:paraId="7B3838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AF763D">
            <w:pPr>
              <w:rPr>
                <w:rFonts w:hint="default" w:ascii="Times New Roman" w:hAnsi="Times New Roman" w:cs="Times New Roman"/>
                <w:sz w:val="20"/>
                <w:szCs w:val="20"/>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8B59C9C">
            <w:pPr>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EAB5AA">
            <w:pPr>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BB6A96">
            <w:pPr>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852B55">
            <w:pPr>
              <w:rPr>
                <w:rFonts w:hint="default" w:ascii="Times New Roman" w:hAnsi="Times New Roman" w:cs="Times New Roman"/>
                <w:sz w:val="20"/>
                <w:szCs w:val="20"/>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13B8A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结果</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18202C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结果</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DD89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3AB5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尚未</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3C81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总计</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E6A4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结果</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维持</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9D3B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结果</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9209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其他</w:t>
            </w:r>
            <w:r>
              <w:rPr>
                <w:rFonts w:hint="default" w:ascii="Times New Roman" w:hAnsi="Times New Roman" w:eastAsia="宋体" w:cs="Times New Roman"/>
                <w:color w:val="000000"/>
                <w:sz w:val="20"/>
                <w:szCs w:val="20"/>
              </w:rPr>
              <w:br w:type="textWrapping"/>
            </w:r>
            <w:r>
              <w:rPr>
                <w:rFonts w:hint="default" w:ascii="Times New Roman" w:hAnsi="Times New Roman" w:eastAsia="宋体" w:cs="Times New Roman"/>
                <w:color w:val="000000"/>
                <w:sz w:val="20"/>
                <w:szCs w:val="20"/>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97CC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尚未</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E29B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color w:val="000000"/>
                <w:sz w:val="20"/>
                <w:szCs w:val="20"/>
              </w:rPr>
              <w:t>总计</w:t>
            </w:r>
          </w:p>
        </w:tc>
      </w:tr>
      <w:tr w14:paraId="68C57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FD1D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50A2E3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黑体" w:cs="Times New Roman"/>
                <w:sz w:val="20"/>
                <w:szCs w:val="20"/>
              </w:rPr>
              <w:t>0</w:t>
            </w:r>
            <w:r>
              <w:rPr>
                <w:rFonts w:hint="default" w:ascii="Times New Roman" w:hAnsi="Times New Roman" w:eastAsia="宋体" w:cs="Times New Roman"/>
                <w:sz w:val="20"/>
                <w:szCs w:val="20"/>
              </w:rPr>
              <w:t> </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8B1E4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13BEA9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6F2D32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06371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591BD4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黑体" w:cs="Times New Roman"/>
                <w:sz w:val="20"/>
                <w:szCs w:val="20"/>
              </w:rPr>
              <w:t>0</w:t>
            </w:r>
            <w:r>
              <w:rPr>
                <w:rFonts w:hint="default" w:ascii="Times New Roman" w:hAnsi="Times New Roman" w:eastAsia="宋体" w:cs="Times New Roman"/>
                <w:sz w:val="20"/>
                <w:szCs w:val="20"/>
              </w:rPr>
              <w:t> </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D5C18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黑体" w:cs="Times New Roman"/>
                <w:sz w:val="20"/>
                <w:szCs w:val="20"/>
              </w:rPr>
              <w:t>0</w:t>
            </w:r>
            <w:r>
              <w:rPr>
                <w:rFonts w:hint="default" w:ascii="Times New Roman" w:hAnsi="Times New Roman" w:eastAsia="宋体" w:cs="Times New Roman"/>
                <w:sz w:val="20"/>
                <w:szCs w:val="20"/>
              </w:rPr>
              <w:t> </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E945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18C15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0B653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7EF30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A1DAF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黑体" w:cs="Times New Roman"/>
                <w:sz w:val="20"/>
                <w:szCs w:val="20"/>
              </w:rPr>
              <w:t>0</w:t>
            </w:r>
            <w:r>
              <w:rPr>
                <w:rFonts w:hint="default" w:ascii="Times New Roman" w:hAnsi="Times New Roman" w:eastAsia="宋体" w:cs="Times New Roman"/>
                <w:sz w:val="20"/>
                <w:szCs w:val="20"/>
              </w:rPr>
              <w:t> </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8EEB1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Times New Roman" w:hAnsi="Times New Roman" w:eastAsia="仿宋" w:cs="Times New Roman"/>
                <w:sz w:val="32"/>
                <w:szCs w:val="32"/>
              </w:rPr>
            </w:pPr>
            <w:r>
              <w:rPr>
                <w:rFonts w:hint="default" w:ascii="Times New Roman" w:hAnsi="Times New Roman" w:eastAsia="宋体" w:cs="Times New Roman"/>
                <w:sz w:val="20"/>
                <w:szCs w:val="20"/>
              </w:rPr>
              <w:t> </w:t>
            </w:r>
            <w:r>
              <w:rPr>
                <w:rFonts w:hint="default" w:ascii="Times New Roman" w:hAnsi="Times New Roman" w:eastAsia="黑体" w:cs="Times New Roman"/>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39FC2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仿宋" w:cs="Times New Roman"/>
                <w:sz w:val="32"/>
                <w:szCs w:val="32"/>
              </w:rPr>
            </w:pPr>
            <w:r>
              <w:rPr>
                <w:rFonts w:hint="default" w:ascii="Times New Roman" w:hAnsi="Times New Roman" w:eastAsia="宋体" w:cs="Times New Roman"/>
                <w:sz w:val="24"/>
                <w:szCs w:val="24"/>
              </w:rPr>
              <w:t>0</w:t>
            </w:r>
          </w:p>
        </w:tc>
      </w:tr>
    </w:tbl>
    <w:p w14:paraId="65492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五、存在的主要问题及改进情况</w:t>
      </w:r>
    </w:p>
    <w:p w14:paraId="0007E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2"/>
          <w:szCs w:val="32"/>
          <w:shd w:val="clear" w:fill="FFFFFF"/>
        </w:rPr>
        <w:t>存在的主要问题：一是信息形式较为单一，形式和内容有待进一步拓展；二是信息与公众的互动性有待进一步加强，解读类信息质量有待进一步提升。</w:t>
      </w:r>
    </w:p>
    <w:p w14:paraId="1D7C9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仿宋" w:cs="Times New Roman"/>
          <w:i w:val="0"/>
          <w:iCs w:val="0"/>
          <w:caps w:val="0"/>
          <w:color w:val="333333"/>
          <w:spacing w:val="0"/>
          <w:sz w:val="32"/>
          <w:szCs w:val="32"/>
          <w:shd w:val="clear" w:fill="FFFFFF"/>
        </w:rPr>
        <w:t>改进情况：我局将进一步推进政务公开相关工作，完善我局政务公开相关制度，突出重点领域、民生工程相关信息的公开，进一步深化基层政务公开标准化规范化建设，丰富信息形式、提升政策解读质量。</w:t>
      </w:r>
    </w:p>
    <w:p w14:paraId="1B225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六、其他需要报告的事项</w:t>
      </w:r>
    </w:p>
    <w:p w14:paraId="303800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cs="Times New Roman"/>
        </w:rPr>
      </w:pPr>
      <w:r>
        <w:rPr>
          <w:rFonts w:hint="default" w:ascii="Times New Roman" w:hAnsi="Times New Roman" w:eastAsia="仿宋" w:cs="Times New Roman"/>
          <w:i w:val="0"/>
          <w:iCs w:val="0"/>
          <w:caps w:val="0"/>
          <w:color w:val="333333"/>
          <w:spacing w:val="0"/>
          <w:sz w:val="32"/>
          <w:szCs w:val="32"/>
          <w:shd w:val="clear" w:fill="FFFFFF"/>
        </w:rPr>
        <w:t>按照《国务院办公厅关于印发&lt;政府信息公开信息处理费管理办法&gt;的通知》（国办函[2020]109号）规定的按件、按量收费标准，本年度没有产生信息公开处理费。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YjdkZWM1MGVjZDU2ZThmZmJhOWFkY2JhNWFhYjIifQ=="/>
  </w:docVars>
  <w:rsids>
    <w:rsidRoot w:val="3A0410EC"/>
    <w:rsid w:val="0B0D0E79"/>
    <w:rsid w:val="0E860342"/>
    <w:rsid w:val="243E3D12"/>
    <w:rsid w:val="295D022F"/>
    <w:rsid w:val="370C5A0B"/>
    <w:rsid w:val="3A0410EC"/>
    <w:rsid w:val="3C263033"/>
    <w:rsid w:val="4129186F"/>
    <w:rsid w:val="43CB124B"/>
    <w:rsid w:val="4672099E"/>
    <w:rsid w:val="4A75609B"/>
    <w:rsid w:val="4D3C4BD6"/>
    <w:rsid w:val="4F8C297D"/>
    <w:rsid w:val="542D4369"/>
    <w:rsid w:val="57E5010E"/>
    <w:rsid w:val="6FB1183D"/>
    <w:rsid w:val="71811A05"/>
    <w:rsid w:val="77C704FB"/>
    <w:rsid w:val="7AC52566"/>
    <w:rsid w:val="7AF558FC"/>
    <w:rsid w:val="7BC0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1832</Words>
  <Characters>1987</Characters>
  <Lines>0</Lines>
  <Paragraphs>0</Paragraphs>
  <TotalTime>1</TotalTime>
  <ScaleCrop>false</ScaleCrop>
  <LinksUpToDate>false</LinksUpToDate>
  <CharactersWithSpaces>1995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2024-07-02T07:25:00Z</dcterms:created>
  <dc:creator>gyb1</dc:creator>
  <cp:lastModifiedBy>gyb1</cp:lastModifiedBy>
  <dcterms:modified xsi:type="dcterms:W3CDTF">2024-12-27T08:10:50Z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9BC0A61E1A644C839F6E29428BAC5D83_11</vt:lpwstr>
  </property>
  <property fmtid="{D5CDD505-2E9C-101B-9397-08002B2CF9AE}" pid="4" name="KSOTemplateDocerSaveRecord">
    <vt:lpwstr>eyJoZGlkIjoiYzdjYjdkZWM1MGVjZDU2ZThmZmJhOWFkY2JhNWFhYjIifQ==</vt:lpwstr>
  </property>
</Properties>
</file>