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93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金寨县住房和城乡建设局202</w:t>
      </w:r>
      <w:r>
        <w:rPr>
          <w:rFonts w:hint="eastAsia" w:ascii="Times New Roman" w:hAnsi="Times New Roman" w:eastAsia="方正小标宋简体" w:cs="Times New Roman"/>
          <w:b w:val="0"/>
          <w:bCs w:val="0"/>
          <w:kern w:val="2"/>
          <w:sz w:val="44"/>
          <w:szCs w:val="44"/>
          <w:lang w:val="en-US" w:eastAsia="zh-CN" w:bidi="ar-SA"/>
        </w:rPr>
        <w:t>1</w:t>
      </w:r>
      <w:r>
        <w:rPr>
          <w:rFonts w:hint="default" w:ascii="Times New Roman" w:hAnsi="Times New Roman" w:eastAsia="方正小标宋简体" w:cs="Times New Roman"/>
          <w:b w:val="0"/>
          <w:bCs w:val="0"/>
          <w:kern w:val="2"/>
          <w:sz w:val="44"/>
          <w:szCs w:val="44"/>
          <w:lang w:val="en-US" w:eastAsia="zh-CN" w:bidi="ar-SA"/>
        </w:rPr>
        <w:t>年政府信息公开工作年度报告</w:t>
      </w:r>
    </w:p>
    <w:p w14:paraId="4CA91B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仿宋" w:cs="Times New Roman"/>
          <w:i w:val="0"/>
          <w:iCs w:val="0"/>
          <w:caps w:val="0"/>
          <w:color w:val="000000"/>
          <w:spacing w:val="0"/>
          <w:sz w:val="32"/>
          <w:szCs w:val="32"/>
          <w:shd w:val="clear" w:fill="FFFFFF"/>
        </w:rPr>
      </w:pPr>
    </w:p>
    <w:p w14:paraId="205807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shd w:val="clear" w:fill="FFFFFF"/>
        </w:rPr>
        <w:t>本报告依据《中华人民共和国政府信息公开条例》（国务院令第711号，以下简称《条例》)和《金寨县政务公开办公室关于做好政府信息公开年度报告</w:t>
      </w:r>
      <w:bookmarkStart w:id="0" w:name="_GoBack"/>
      <w:bookmarkEnd w:id="0"/>
      <w:r>
        <w:rPr>
          <w:rFonts w:hint="default" w:ascii="Times New Roman" w:hAnsi="Times New Roman" w:eastAsia="仿宋" w:cs="Times New Roman"/>
          <w:i w:val="0"/>
          <w:iCs w:val="0"/>
          <w:caps w:val="0"/>
          <w:color w:val="000000"/>
          <w:spacing w:val="0"/>
          <w:sz w:val="32"/>
          <w:szCs w:val="32"/>
          <w:shd w:val="clear" w:fill="FFFFFF"/>
        </w:rPr>
        <w:t>编制和发布工作的通知》要求编制而成。报告主要</w:t>
      </w:r>
      <w:r>
        <w:rPr>
          <w:rFonts w:hint="default" w:ascii="Times New Roman" w:hAnsi="Times New Roman" w:eastAsia="仿宋" w:cs="Times New Roman"/>
          <w:i w:val="0"/>
          <w:iCs w:val="0"/>
          <w:caps w:val="0"/>
          <w:color w:val="333333"/>
          <w:spacing w:val="0"/>
          <w:sz w:val="32"/>
          <w:szCs w:val="32"/>
          <w:shd w:val="clear" w:fill="FFFFFF"/>
        </w:rPr>
        <w:t>包括：总体情况、主动公开政府信息情况、收到和处理政府信息公开申请情况、政府信息公开行政复议和行政诉讼情况、政府信息公开工作存在的主要问题及改进情况和其他需要报告事项。本报告中使用数据统计期限为2021年1月1日至12月31日。报告电子版可在金寨县人民政府信息公开网</w:t>
      </w:r>
    </w:p>
    <w:p w14:paraId="71DC6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shd w:val="clear" w:fill="FFFFFF"/>
        </w:rPr>
        <w:t>（</w:t>
      </w:r>
      <w:r>
        <w:rPr>
          <w:rFonts w:hint="default" w:ascii="Times New Roman" w:hAnsi="Times New Roman" w:eastAsia="仿宋" w:cs="Times New Roman"/>
          <w:i w:val="0"/>
          <w:iCs w:val="0"/>
          <w:caps w:val="0"/>
          <w:color w:val="333333"/>
          <w:spacing w:val="0"/>
          <w:sz w:val="32"/>
          <w:szCs w:val="32"/>
          <w:u w:val="none"/>
          <w:shd w:val="clear" w:fill="FFFFFF"/>
        </w:rPr>
        <w:fldChar w:fldCharType="begin"/>
      </w:r>
      <w:r>
        <w:rPr>
          <w:rFonts w:hint="default" w:ascii="Times New Roman" w:hAnsi="Times New Roman" w:eastAsia="仿宋" w:cs="Times New Roman"/>
          <w:i w:val="0"/>
          <w:iCs w:val="0"/>
          <w:caps w:val="0"/>
          <w:color w:val="333333"/>
          <w:spacing w:val="0"/>
          <w:sz w:val="32"/>
          <w:szCs w:val="32"/>
          <w:u w:val="none"/>
          <w:shd w:val="clear" w:fill="FFFFFF"/>
        </w:rPr>
        <w:instrText xml:space="preserve"> HYPERLINK "https://www.ahjinzhai.gov.cn/public/column/6596661?type=3&amp;action=detail&amp;nav=3&amp;title=2021" </w:instrText>
      </w:r>
      <w:r>
        <w:rPr>
          <w:rFonts w:hint="default" w:ascii="Times New Roman" w:hAnsi="Times New Roman" w:eastAsia="仿宋" w:cs="Times New Roman"/>
          <w:i w:val="0"/>
          <w:iCs w:val="0"/>
          <w:caps w:val="0"/>
          <w:color w:val="333333"/>
          <w:spacing w:val="0"/>
          <w:sz w:val="32"/>
          <w:szCs w:val="32"/>
          <w:u w:val="none"/>
          <w:shd w:val="clear" w:fill="FFFFFF"/>
        </w:rPr>
        <w:fldChar w:fldCharType="separate"/>
      </w:r>
      <w:r>
        <w:rPr>
          <w:rStyle w:val="6"/>
          <w:rFonts w:hint="default" w:ascii="Times New Roman" w:hAnsi="Times New Roman" w:eastAsia="仿宋" w:cs="Times New Roman"/>
          <w:i w:val="0"/>
          <w:iCs w:val="0"/>
          <w:caps w:val="0"/>
          <w:color w:val="333333"/>
          <w:spacing w:val="0"/>
          <w:sz w:val="32"/>
          <w:szCs w:val="32"/>
          <w:u w:val="none"/>
          <w:shd w:val="clear" w:fill="FFFFFF"/>
        </w:rPr>
        <w:t>https://www.ahjinzhai.gov.cn/public/column/6596661?type=3&amp;action=detail&amp;nav=3&amp;title=2021</w:t>
      </w:r>
      <w:r>
        <w:rPr>
          <w:rFonts w:hint="default" w:ascii="Times New Roman" w:hAnsi="Times New Roman" w:eastAsia="仿宋" w:cs="Times New Roman"/>
          <w:i w:val="0"/>
          <w:iCs w:val="0"/>
          <w:caps w:val="0"/>
          <w:color w:val="333333"/>
          <w:spacing w:val="0"/>
          <w:sz w:val="32"/>
          <w:szCs w:val="32"/>
          <w:u w:val="none"/>
          <w:shd w:val="clear" w:fill="FFFFFF"/>
        </w:rPr>
        <w:fldChar w:fldCharType="end"/>
      </w:r>
      <w:r>
        <w:rPr>
          <w:rFonts w:hint="default" w:ascii="Times New Roman" w:hAnsi="Times New Roman" w:eastAsia="仿宋" w:cs="Times New Roman"/>
          <w:i w:val="0"/>
          <w:iCs w:val="0"/>
          <w:caps w:val="0"/>
          <w:color w:val="333333"/>
          <w:spacing w:val="0"/>
          <w:sz w:val="32"/>
          <w:szCs w:val="32"/>
          <w:shd w:val="clear" w:fill="FFFFFF"/>
        </w:rPr>
        <w:t>）下载。如对本报告有任何疑问，请与金寨县住房和城乡建设局办公室联系（地址：金寨县新城区莲花山路住房和城乡建设局办公大楼三楼，电话：0564—7359232，邮箱：jinzhaijianshe@163.com，邮编：237300）。</w:t>
      </w:r>
    </w:p>
    <w:p w14:paraId="2F33E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shd w:val="clear" w:fill="FFFFFF"/>
        </w:rPr>
        <w:t>一、总体情况</w:t>
      </w:r>
    </w:p>
    <w:p w14:paraId="12859A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shd w:val="clear" w:fill="FFFFFF"/>
        </w:rPr>
        <w:t>2021年，我局政务公开工作坚持以习近平新时代中国特色社会主义思想为指导，按照县委、县政府和县政务公开办关于政府信息公开工作的部署，拓宽公开渠道，提高服务效能，围绕住房城乡建设领域中心工作，全面做好政府信息公开有关工作，为推动我县住房和城乡建设事业高质量发展提供了有力支撑。</w:t>
      </w:r>
    </w:p>
    <w:p w14:paraId="1D5339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2"/>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b/>
          <w:bCs/>
          <w:i w:val="0"/>
          <w:iCs w:val="0"/>
          <w:caps w:val="0"/>
          <w:color w:val="333333"/>
          <w:spacing w:val="0"/>
          <w:sz w:val="32"/>
          <w:szCs w:val="32"/>
          <w:shd w:val="clear" w:fill="FFFFFF"/>
        </w:rPr>
        <w:t>1、主动公开情况</w:t>
      </w:r>
    </w:p>
    <w:p w14:paraId="229FCE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shd w:val="clear" w:fill="FFFFFF"/>
        </w:rPr>
        <w:t>我局积极探索政务公开工作的新思路、新方法、新举措。对于涉及公众切身利益或专业性较强的重大行政决策事项，组织专家、专业机构开展论证，公开征求意见建议。同时，加强主动回应，通过参加新闻发布会、在线访谈等形式，全面解读房地产市场平稳健康发展、既有住宅加装电梯以及城镇住房保障家庭租赁补贴等方面相关政策，做到文件同步发布、同步解读。此外，以“互联网+政务服务”为抓手，及时公开监督检查信息，全面抓好行政许可、行政处罚双公示和政务服务“一网通办”、“一窗受理”等方面的信息公开；按照要求及时在网上公开财政预决算和专项资金使用情况信息；加强住建领域“放管服”改革方面信息公开，取消、下放、保留的行政审批事项及时向社会发布，同步公开审批服务事项、办事指南、办事流程等。全年共主动公开信息476条，其中主动公开规范性文件0条，机构领导、机构设置及人事信息14条，公开规划计划4条，公开财务预决算、财政专项经费管理使用和“三公”经费信息37条，部门项目信息7条，主动公开重点领域信息93条，同步推送至县政府网公开。</w:t>
      </w:r>
    </w:p>
    <w:p w14:paraId="12AB16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b/>
          <w:bCs/>
          <w:i w:val="0"/>
          <w:iCs w:val="0"/>
          <w:caps w:val="0"/>
          <w:color w:val="333333"/>
          <w:spacing w:val="0"/>
          <w:sz w:val="32"/>
          <w:szCs w:val="32"/>
          <w:shd w:val="clear" w:fill="FFFFFF"/>
        </w:rPr>
        <w:t>2、依申请公开情况</w:t>
      </w:r>
    </w:p>
    <w:p w14:paraId="77BF51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2"/>
          <w:szCs w:val="32"/>
          <w:shd w:val="clear" w:fill="FFFFFF"/>
        </w:rPr>
        <w:t>畅通信息公开申请接收渠道，始终坚持按时、保质、依法依规的原则，除当面申请、信函、传真申请外，在部门网站开通了线上申请渠道，申请人可通过依申请公开栏目线上提交政府信息公开申请。积极参加依申请公开新平台培训，按时完成依申请公开信息迁移工作，本年度收到政府信息公开申请数量为0条。</w:t>
      </w:r>
    </w:p>
    <w:p w14:paraId="5352AB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b/>
          <w:bCs/>
          <w:i w:val="0"/>
          <w:iCs w:val="0"/>
          <w:caps w:val="0"/>
          <w:color w:val="333333"/>
          <w:spacing w:val="0"/>
          <w:sz w:val="32"/>
          <w:szCs w:val="32"/>
          <w:shd w:val="clear" w:fill="FFFFFF"/>
        </w:rPr>
        <w:t>3、政府信息管理情况</w:t>
      </w:r>
    </w:p>
    <w:p w14:paraId="07D933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2"/>
          <w:szCs w:val="32"/>
          <w:shd w:val="clear" w:fill="FFFFFF"/>
        </w:rPr>
        <w:t>根据《金寨县人民政府办公室关于修订完善政务公开相关制度的通知》（金政办秘〔2021〕28号）文件要求，对我单位的政务公开相关制度进行了修订完善。进一步建立完善政府信息公开审查机制，严格落实“三审制”，安排专人负责信息发布工作，并对在政府网站上发布的信息做好登记。</w:t>
      </w:r>
      <w:r>
        <w:rPr>
          <w:rFonts w:hint="default" w:ascii="Times New Roman" w:hAnsi="Times New Roman" w:eastAsia="仿宋" w:cs="Times New Roman"/>
          <w:i w:val="0"/>
          <w:iCs w:val="0"/>
          <w:caps w:val="0"/>
          <w:color w:val="000000"/>
          <w:spacing w:val="0"/>
          <w:sz w:val="32"/>
          <w:szCs w:val="32"/>
          <w:shd w:val="clear" w:fill="FFFFFF"/>
        </w:rPr>
        <w:t>定期开展网站普查和专项排查，重点排查重大表述错误、错别字和泄漏隐私等信息。</w:t>
      </w:r>
    </w:p>
    <w:p w14:paraId="018C11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b/>
          <w:bCs/>
          <w:i w:val="0"/>
          <w:iCs w:val="0"/>
          <w:caps w:val="0"/>
          <w:color w:val="333333"/>
          <w:spacing w:val="0"/>
          <w:sz w:val="32"/>
          <w:szCs w:val="32"/>
          <w:shd w:val="clear" w:fill="FFFFFF"/>
        </w:rPr>
        <w:t>4、政府信息公开平台建设情况</w:t>
      </w:r>
    </w:p>
    <w:p w14:paraId="39749157">
      <w:pPr>
        <w:ind w:firstLine="640" w:firstLineChars="200"/>
        <w:rPr>
          <w:rFonts w:hint="default" w:ascii="Times New Roman" w:hAnsi="Times New Roman" w:eastAsia="仿宋"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统筹运用政府网站、新闻媒体等形式，畅通公开渠道和为民服务“窗口”。用好政府网站设立的“政府信息公开专栏”，并通过专栏及时调整和修改法定主动公开目录和内容，充分发挥信息公开主渠道效应。</w:t>
      </w:r>
    </w:p>
    <w:p w14:paraId="4C01D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2"/>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b/>
          <w:bCs/>
          <w:i w:val="0"/>
          <w:iCs w:val="0"/>
          <w:caps w:val="0"/>
          <w:color w:val="333333"/>
          <w:spacing w:val="0"/>
          <w:sz w:val="32"/>
          <w:szCs w:val="32"/>
          <w:shd w:val="clear" w:fill="FFFFFF"/>
        </w:rPr>
        <w:t>5、监督保障</w:t>
      </w:r>
    </w:p>
    <w:p w14:paraId="225720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shd w:val="clear" w:fill="FFFFFF"/>
        </w:rPr>
        <w:t>坚持把政务公开工作作为“一把手”工程，根据人事变动，及时调整领导小组成员。进一步健全完善政务公开工作领导体制和工作机制，调整充实各科室政务公开工作人员，全面加强政务公开工作力量配置建设。积极参加市、县政务公开工作培训，持续加大对相关岗位人员的培训力度。建立和完善政务信息公开监督制度，主动公布咨询、监督投诉电话，接受相关部门、新闻媒体、广大群众的监督。</w:t>
      </w:r>
      <w:r>
        <w:rPr>
          <w:rFonts w:hint="default" w:ascii="Times New Roman" w:hAnsi="Times New Roman" w:eastAsia="仿宋" w:cs="Times New Roman"/>
          <w:i w:val="0"/>
          <w:iCs w:val="0"/>
          <w:caps w:val="0"/>
          <w:color w:val="000000"/>
          <w:spacing w:val="0"/>
          <w:sz w:val="32"/>
          <w:szCs w:val="32"/>
          <w:shd w:val="clear" w:fill="FFFFFF"/>
        </w:rPr>
        <w:t>根据县政务公开办和第三方测评中反馈的问题，认真制定整改清单，</w:t>
      </w:r>
      <w:r>
        <w:rPr>
          <w:rFonts w:hint="default" w:ascii="Times New Roman" w:hAnsi="Times New Roman" w:eastAsia="仿宋" w:cs="Times New Roman"/>
          <w:i w:val="0"/>
          <w:iCs w:val="0"/>
          <w:caps w:val="0"/>
          <w:color w:val="333333"/>
          <w:spacing w:val="0"/>
          <w:sz w:val="32"/>
          <w:szCs w:val="32"/>
          <w:shd w:val="clear" w:fill="FFFFFF"/>
        </w:rPr>
        <w:t>明确整改时限和整改责任人。同时，将政务公开工作纳入机关目标管理考评内容，形成了领导力度、目标责任、监督检查“三到位”的工作机制。</w:t>
      </w:r>
    </w:p>
    <w:p w14:paraId="0314DA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黑体" w:cs="Times New Roman"/>
          <w:i w:val="0"/>
          <w:iCs w:val="0"/>
          <w:caps w:val="0"/>
          <w:color w:val="333333"/>
          <w:spacing w:val="0"/>
          <w:sz w:val="32"/>
          <w:szCs w:val="32"/>
          <w:shd w:val="clear" w:fill="FFFFFF"/>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23"/>
        <w:gridCol w:w="2132"/>
        <w:gridCol w:w="2132"/>
        <w:gridCol w:w="2133"/>
      </w:tblGrid>
      <w:tr w14:paraId="3CBA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A6DCE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第二十条第（一）项</w:t>
            </w:r>
          </w:p>
        </w:tc>
      </w:tr>
      <w:tr w14:paraId="39C1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905F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FC71C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本年</w:t>
            </w:r>
            <w:r>
              <w:rPr>
                <w:rFonts w:hint="default" w:ascii="Times New Roman" w:hAnsi="Times New Roman" w:eastAsia="宋体" w:cs="Times New Roman"/>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1AE90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BFA15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现行有效件</w:t>
            </w:r>
            <w:r>
              <w:rPr>
                <w:rFonts w:hint="default" w:ascii="Times New Roman" w:hAnsi="Times New Roman" w:eastAsia="宋体" w:cs="Times New Roman"/>
                <w:sz w:val="20"/>
                <w:szCs w:val="20"/>
              </w:rPr>
              <w:t>数</w:t>
            </w:r>
          </w:p>
        </w:tc>
      </w:tr>
      <w:tr w14:paraId="4852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9BE7D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99C73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9CB1F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 0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9FA98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 0</w:t>
            </w:r>
          </w:p>
        </w:tc>
      </w:tr>
      <w:tr w14:paraId="35A4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171E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F26B2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2138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BA28D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 0</w:t>
            </w:r>
          </w:p>
        </w:tc>
      </w:tr>
      <w:tr w14:paraId="46EE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E87A9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第二十条第（五）项</w:t>
            </w:r>
          </w:p>
        </w:tc>
      </w:tr>
      <w:tr w14:paraId="05FC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57762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F3492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本年处理决定数量</w:t>
            </w:r>
          </w:p>
        </w:tc>
      </w:tr>
      <w:tr w14:paraId="27F2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4200C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C7019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1"/>
                <w:szCs w:val="21"/>
              </w:rPr>
              <w:t>92</w:t>
            </w:r>
          </w:p>
        </w:tc>
      </w:tr>
      <w:tr w14:paraId="3EA4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12070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第二十条第（六）项</w:t>
            </w:r>
          </w:p>
        </w:tc>
      </w:tr>
      <w:tr w14:paraId="03B5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D06A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9F4A8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本年处理决定数量</w:t>
            </w:r>
          </w:p>
        </w:tc>
      </w:tr>
      <w:tr w14:paraId="761E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0598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E4C27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21</w:t>
            </w:r>
          </w:p>
        </w:tc>
      </w:tr>
      <w:tr w14:paraId="2FD2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9456F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724EA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0</w:t>
            </w:r>
          </w:p>
        </w:tc>
      </w:tr>
      <w:tr w14:paraId="12E5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00061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第二十条第（八）项</w:t>
            </w:r>
          </w:p>
        </w:tc>
      </w:tr>
      <w:tr w14:paraId="332B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9B26A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78EA7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本年收费金额（单位：万元）</w:t>
            </w:r>
          </w:p>
        </w:tc>
      </w:tr>
      <w:tr w14:paraId="6BD7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2D39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行政事业性收费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419B6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400"/>
              <w:jc w:val="both"/>
              <w:rPr>
                <w:rFonts w:hint="default" w:ascii="Times New Roman" w:hAnsi="Times New Roman" w:eastAsia="仿宋" w:cs="Times New Roman"/>
                <w:sz w:val="32"/>
                <w:szCs w:val="32"/>
              </w:rPr>
            </w:pPr>
            <w:r>
              <w:rPr>
                <w:rFonts w:hint="default" w:ascii="Times New Roman" w:hAnsi="Times New Roman" w:eastAsia="宋体" w:cs="Times New Roman"/>
                <w:sz w:val="24"/>
                <w:szCs w:val="24"/>
              </w:rPr>
              <w:t>3282.58</w:t>
            </w:r>
          </w:p>
        </w:tc>
      </w:tr>
    </w:tbl>
    <w:p w14:paraId="1B4264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黑体" w:cs="Times New Roman"/>
          <w:i w:val="0"/>
          <w:iCs w:val="0"/>
          <w:caps w:val="0"/>
          <w:color w:val="333333"/>
          <w:spacing w:val="0"/>
          <w:sz w:val="32"/>
          <w:szCs w:val="32"/>
          <w:shd w:val="clear" w:fill="FFFFFF"/>
        </w:rPr>
        <w:t>三、收到和处理政府信息公开申请情况</w:t>
      </w:r>
    </w:p>
    <w:tbl>
      <w:tblPr>
        <w:tblStyle w:val="4"/>
        <w:tblW w:w="97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42926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C7C54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楷体" w:cs="Times New Roman"/>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4E7FB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申请人情况</w:t>
            </w:r>
          </w:p>
        </w:tc>
      </w:tr>
      <w:tr w14:paraId="4A29FE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C187707">
            <w:pPr>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3D959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8FDC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B2D2D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总计</w:t>
            </w:r>
          </w:p>
        </w:tc>
      </w:tr>
      <w:tr w14:paraId="402E81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2FF1E88">
            <w:pPr>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5CE8AD38">
            <w:pPr>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6AB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商业</w:t>
            </w:r>
          </w:p>
          <w:p w14:paraId="47F547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900C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科研</w:t>
            </w:r>
          </w:p>
          <w:p w14:paraId="2ACC92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7F32A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AE07B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EBE5D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92459A1">
            <w:pPr>
              <w:rPr>
                <w:rFonts w:hint="default" w:ascii="Times New Roman" w:hAnsi="Times New Roman" w:cs="Times New Roman"/>
                <w:sz w:val="20"/>
                <w:szCs w:val="20"/>
              </w:rPr>
            </w:pPr>
          </w:p>
        </w:tc>
      </w:tr>
      <w:tr w14:paraId="2DE351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3956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B476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F12C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A880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7E4E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EE9E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4929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F6CD6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1B3DB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1ED5A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4878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69EC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C07E2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3702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8774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3B05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6E78A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r>
      <w:tr w14:paraId="52A6C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A7838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三、本年度办理结果</w:t>
            </w: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3A29C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990A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2E25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0296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F170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6B20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8D11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273BC2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r>
      <w:tr w14:paraId="50E726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E49475">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BABAC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（二）部分公开</w:t>
            </w:r>
            <w:r>
              <w:rPr>
                <w:rFonts w:hint="default" w:ascii="Times New Roman" w:hAnsi="Times New Roman" w:eastAsia="楷体" w:cs="Times New Roman"/>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1FC5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3258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88ED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6CA9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7259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F60E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D47E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7110B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73DDAEB">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315B9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（三）不予公开</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3015B3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E546A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FA1DB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8539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9458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78C6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E78F4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2352B6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414A8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AFAE879">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51D6BFE">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080C22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EC7E2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D7DA1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B932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E6F77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BA5F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7409B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00CE4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0F377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DE626F7">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CDC2527">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2600BD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76C70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8781C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BE0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F1B6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61FB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4924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F476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537FF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B32F5D6">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48AAF02">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3CE621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3862D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1C74B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56CF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95592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0C6A9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735B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B6BAF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7E39A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A772B2D">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751161F">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1C0B40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0F645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BD7EF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EA2A1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BBE0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04C72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593C8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88FC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0AA4FD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6AAF80B">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1B04F28">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FF82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240D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3EABA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5CCED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C2A80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830C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D644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66DF9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40D2A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8CC9038">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74F9B69">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0A957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FACA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2C048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0EB6B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44779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20C2B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718D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8F37D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3081D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B61808F">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55C27E">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F3A7C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5B02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AEC83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F3BF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0CB53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84224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F6471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7669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5B812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E758A06">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7AB14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（四）无法提供</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11EB37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69C0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AFAF1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8F09A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EBE80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3438E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D6BAC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4DA99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33BD1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722F2D">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D7F4004">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026EE2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6D1DC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4992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368AC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CB170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50C89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372C1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3C682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667A38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5EFAC46">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DC2FC4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74A492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25C8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98D12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F9B22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3B324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37B7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2E2FD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3192F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41B07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734B739">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D0F63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（五）不予处理</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3DCD5F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3169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4ADE6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740E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646A6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AE33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28110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FBED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66AA6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2D4623">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C056D4">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19F4AE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275C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2E353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92083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EEF2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21591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A5CD8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92981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17E7A4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EACCB09">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6EF1644">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505ADF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A2CC7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D85F9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AB5A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3CF79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8458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9F629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47A5F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284F9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361BC0B">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DBFE9D6">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top"/>
          </w:tcPr>
          <w:p w14:paraId="1697E7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A1408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E6D5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45A1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6E69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2433D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71FF0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84796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37427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A5BC195">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F90FE57">
            <w:pPr>
              <w:rPr>
                <w:rFonts w:hint="default" w:ascii="Times New Roman" w:hAnsi="Times New Roman" w:cs="Times New Roman"/>
                <w:sz w:val="20"/>
                <w:szCs w:val="20"/>
              </w:rPr>
            </w:pPr>
          </w:p>
        </w:tc>
        <w:tc>
          <w:tcPr>
            <w:tcW w:w="3219" w:type="dxa"/>
            <w:tcBorders>
              <w:top w:val="nil"/>
              <w:left w:val="nil"/>
              <w:bottom w:val="outset" w:color="auto" w:sz="8" w:space="0"/>
              <w:right w:val="single" w:color="auto" w:sz="8" w:space="0"/>
            </w:tcBorders>
            <w:shd w:val="clear" w:color="auto" w:fill="auto"/>
            <w:tcMar>
              <w:left w:w="57" w:type="dxa"/>
              <w:right w:w="57" w:type="dxa"/>
            </w:tcMar>
            <w:vAlign w:val="center"/>
          </w:tcPr>
          <w:p w14:paraId="25A746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仿宋" w:cs="Times New Roman"/>
                <w:sz w:val="32"/>
                <w:szCs w:val="32"/>
              </w:rPr>
            </w:pPr>
            <w:r>
              <w:rPr>
                <w:rFonts w:hint="default" w:ascii="Times New Roman" w:hAnsi="Times New Roman" w:eastAsia="宋体" w:cs="Times New Roman"/>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23CA15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3F8C33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07852E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246C02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1A5CF9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53A36C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14:paraId="09A085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11CE55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77654CE">
            <w:pPr>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C6A7B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（六）其他处理</w:t>
            </w: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34471B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仿宋" w:cs="Times New Roman"/>
                <w:sz w:val="32"/>
                <w:szCs w:val="32"/>
              </w:rPr>
            </w:pPr>
            <w:r>
              <w:rPr>
                <w:rFonts w:hint="default" w:ascii="Times New Roman" w:hAnsi="Times New Roman" w:eastAsia="宋体" w:cs="Times New Roman"/>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91F4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FD98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A5BC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0404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6355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A83D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8AF06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221CD1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409E5E7">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1C03B45">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706448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仿宋" w:cs="Times New Roman"/>
                <w:sz w:val="32"/>
                <w:szCs w:val="32"/>
              </w:rPr>
            </w:pPr>
            <w:r>
              <w:rPr>
                <w:rFonts w:hint="default" w:ascii="Times New Roman" w:hAnsi="Times New Roman" w:eastAsia="宋体" w:cs="Times New Roman"/>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F75F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5FC6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DF49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932B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A21D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1647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90C4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13682A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498E945">
            <w:pPr>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B2CB99B">
            <w:pPr>
              <w:rPr>
                <w:rFonts w:hint="default" w:ascii="Times New Roman" w:hAnsi="Times New Roman" w:cs="Times New Roman"/>
                <w:sz w:val="20"/>
                <w:szCs w:val="20"/>
              </w:rPr>
            </w:pPr>
          </w:p>
        </w:tc>
        <w:tc>
          <w:tcPr>
            <w:tcW w:w="3219" w:type="dxa"/>
            <w:tcBorders>
              <w:top w:val="nil"/>
              <w:left w:val="nil"/>
              <w:bottom w:val="single" w:color="auto" w:sz="8" w:space="0"/>
              <w:right w:val="single" w:color="auto" w:sz="8" w:space="0"/>
            </w:tcBorders>
            <w:shd w:val="clear" w:color="auto" w:fill="auto"/>
            <w:tcMar>
              <w:left w:w="57" w:type="dxa"/>
              <w:right w:w="57" w:type="dxa"/>
            </w:tcMar>
            <w:vAlign w:val="center"/>
          </w:tcPr>
          <w:p w14:paraId="47F7B7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BABC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C36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E679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A502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F409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7EDC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AFD3A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r>
      <w:tr w14:paraId="0FB2AF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232B045">
            <w:pPr>
              <w:rPr>
                <w:rFonts w:hint="default" w:ascii="Times New Roman" w:hAnsi="Times New Roman" w:cs="Times New Roman"/>
                <w:sz w:val="20"/>
                <w:szCs w:val="20"/>
              </w:rPr>
            </w:pPr>
          </w:p>
        </w:tc>
        <w:tc>
          <w:tcPr>
            <w:tcW w:w="41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D2A0A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5A83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4A23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0FE9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DB07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08CE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7364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09C2F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 </w:t>
            </w:r>
          </w:p>
        </w:tc>
      </w:tr>
      <w:tr w14:paraId="5E0DF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51CD7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7F7B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BBE4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C119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79CA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4811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D7E4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A0C03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both"/>
              <w:rPr>
                <w:rFonts w:hint="default" w:ascii="Times New Roman" w:hAnsi="Times New Roman" w:eastAsia="仿宋" w:cs="Times New Roman"/>
                <w:sz w:val="32"/>
                <w:szCs w:val="32"/>
              </w:rPr>
            </w:pPr>
            <w:r>
              <w:rPr>
                <w:rFonts w:hint="default" w:ascii="Times New Roman" w:hAnsi="Times New Roman" w:eastAsia="仿宋" w:cs="Times New Roman"/>
                <w:sz w:val="20"/>
                <w:szCs w:val="20"/>
              </w:rPr>
              <w:t>0</w:t>
            </w:r>
          </w:p>
        </w:tc>
      </w:tr>
    </w:tbl>
    <w:p w14:paraId="6A19B1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shd w:val="clear" w:fill="FFFFFF"/>
        </w:rPr>
        <w:t>四、政府信息公开行政复议、行政诉讼情况</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14:paraId="357EBC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6074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行政复议</w:t>
            </w:r>
          </w:p>
        </w:tc>
        <w:tc>
          <w:tcPr>
            <w:tcW w:w="649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4F13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行政诉讼</w:t>
            </w:r>
          </w:p>
        </w:tc>
      </w:tr>
      <w:tr w14:paraId="6FEDA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7934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30B05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FA27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56AB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6E4E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总计</w:t>
            </w:r>
          </w:p>
        </w:tc>
        <w:tc>
          <w:tcPr>
            <w:tcW w:w="324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34E4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未经复议直接起诉</w:t>
            </w:r>
          </w:p>
        </w:tc>
        <w:tc>
          <w:tcPr>
            <w:tcW w:w="325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63D3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复议后起诉</w:t>
            </w:r>
          </w:p>
        </w:tc>
      </w:tr>
      <w:tr w14:paraId="7B3838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AF763D">
            <w:pPr>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8B59C9C">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EAB5AA">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BB6A96">
            <w:pPr>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852B55">
            <w:pPr>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13B8A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8202C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DD89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3AB5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3C81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总计</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E6A4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维持</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9D3B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纠正</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9209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其他</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结果</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97CC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审结</w:t>
            </w:r>
          </w:p>
        </w:tc>
        <w:tc>
          <w:tcPr>
            <w:tcW w:w="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E29B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color w:val="000000"/>
                <w:sz w:val="20"/>
                <w:szCs w:val="20"/>
              </w:rPr>
              <w:t>总计</w:t>
            </w:r>
          </w:p>
        </w:tc>
      </w:tr>
      <w:tr w14:paraId="68C57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FD1D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50A2E3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黑体" w:cs="Times New Roman"/>
                <w:sz w:val="20"/>
                <w:szCs w:val="20"/>
              </w:rPr>
              <w:t>0</w:t>
            </w:r>
            <w:r>
              <w:rPr>
                <w:rFonts w:hint="default" w:ascii="Times New Roman" w:hAnsi="Times New Roman" w:eastAsia="宋体" w:cs="Times New Roman"/>
                <w:sz w:val="20"/>
                <w:szCs w:val="20"/>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8B1E4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3BEA9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6F2D32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06371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591BD4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黑体" w:cs="Times New Roman"/>
                <w:sz w:val="20"/>
                <w:szCs w:val="20"/>
              </w:rPr>
              <w:t>0</w:t>
            </w:r>
            <w:r>
              <w:rPr>
                <w:rFonts w:hint="default" w:ascii="Times New Roman" w:hAnsi="Times New Roman" w:eastAsia="宋体" w:cs="Times New Roman"/>
                <w:sz w:val="20"/>
                <w:szCs w:val="20"/>
              </w:rPr>
              <w:t> </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D5C18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黑体" w:cs="Times New Roman"/>
                <w:sz w:val="20"/>
                <w:szCs w:val="20"/>
              </w:rPr>
              <w:t>0</w:t>
            </w:r>
            <w:r>
              <w:rPr>
                <w:rFonts w:hint="default" w:ascii="Times New Roman" w:hAnsi="Times New Roman" w:eastAsia="宋体" w:cs="Times New Roman"/>
                <w:sz w:val="20"/>
                <w:szCs w:val="20"/>
              </w:rPr>
              <w:t> </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E945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18C15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0B653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7EF30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2A1DAF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黑体" w:cs="Times New Roman"/>
                <w:sz w:val="20"/>
                <w:szCs w:val="20"/>
              </w:rPr>
              <w:t>0</w:t>
            </w:r>
            <w:r>
              <w:rPr>
                <w:rFonts w:hint="default" w:ascii="Times New Roman" w:hAnsi="Times New Roman" w:eastAsia="宋体" w:cs="Times New Roman"/>
                <w:sz w:val="20"/>
                <w:szCs w:val="20"/>
              </w:rPr>
              <w:t> </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48EEB1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eastAsia="仿宋" w:cs="Times New Roman"/>
                <w:sz w:val="32"/>
                <w:szCs w:val="32"/>
              </w:rPr>
            </w:pPr>
            <w:r>
              <w:rPr>
                <w:rFonts w:hint="default" w:ascii="Times New Roman" w:hAnsi="Times New Roman" w:eastAsia="宋体" w:cs="Times New Roman"/>
                <w:sz w:val="20"/>
                <w:szCs w:val="20"/>
              </w:rPr>
              <w:t> </w:t>
            </w:r>
            <w:r>
              <w:rPr>
                <w:rFonts w:hint="default" w:ascii="Times New Roman" w:hAnsi="Times New Roman" w:eastAsia="黑体" w:cs="Times New Roman"/>
                <w:sz w:val="20"/>
                <w:szCs w:val="20"/>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39FC2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仿宋" w:cs="Times New Roman"/>
                <w:sz w:val="32"/>
                <w:szCs w:val="32"/>
              </w:rPr>
            </w:pPr>
            <w:r>
              <w:rPr>
                <w:rFonts w:hint="default" w:ascii="Times New Roman" w:hAnsi="Times New Roman" w:eastAsia="宋体" w:cs="Times New Roman"/>
                <w:sz w:val="24"/>
                <w:szCs w:val="24"/>
              </w:rPr>
              <w:t>0</w:t>
            </w:r>
          </w:p>
        </w:tc>
      </w:tr>
    </w:tbl>
    <w:p w14:paraId="65492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shd w:val="clear" w:fill="FFFFFF"/>
        </w:rPr>
        <w:t>五、存在的主要问题及改进情况</w:t>
      </w:r>
    </w:p>
    <w:p w14:paraId="0007EE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2"/>
          <w:szCs w:val="32"/>
          <w:shd w:val="clear" w:fill="FFFFFF"/>
        </w:rPr>
        <w:t>存在的主要问题：一是信息形式较为单一，形式和内容有待进一步拓展；二是信息与公众的互动性有待进一步加强，解读类信息质量有待进一步提升。</w:t>
      </w:r>
    </w:p>
    <w:p w14:paraId="1D7C9B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2"/>
          <w:szCs w:val="32"/>
          <w:shd w:val="clear" w:fill="FFFFFF"/>
        </w:rPr>
        <w:t>改进情况：我局将进一步推进政务公开相关工作，完善我局政务公开相关制度，突出重点领域、民生工程相关信息的公开，进一步深化基层政务公开标准化规范化建设，丰富信息形式、提升政策解读质量。</w:t>
      </w:r>
    </w:p>
    <w:p w14:paraId="1B225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shd w:val="clear" w:fill="FFFFFF"/>
        </w:rPr>
        <w:t>六、其他需要报告的事项</w:t>
      </w:r>
    </w:p>
    <w:p w14:paraId="303800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rPr>
      </w:pPr>
      <w:r>
        <w:rPr>
          <w:rFonts w:hint="default" w:ascii="Times New Roman" w:hAnsi="Times New Roman" w:eastAsia="仿宋" w:cs="Times New Roman"/>
          <w:i w:val="0"/>
          <w:iCs w:val="0"/>
          <w:caps w:val="0"/>
          <w:color w:val="333333"/>
          <w:spacing w:val="0"/>
          <w:sz w:val="32"/>
          <w:szCs w:val="32"/>
          <w:shd w:val="clear" w:fill="FFFFFF"/>
        </w:rPr>
        <w:t>按照《国务院办公厅关于印发&lt;政府信息公开信息处理费管理办法&gt;的通知》（国办函[2020]109号）规定的按件、按量收费标准，本年度没有产生信息公开处理费。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jdkZWM1MGVjZDU2ZThmZmJhOWFkY2JhNWFhYjIifQ=="/>
  </w:docVars>
  <w:rsids>
    <w:rsidRoot w:val="3A0410EC"/>
    <w:rsid w:val="0B0D0E79"/>
    <w:rsid w:val="0E860342"/>
    <w:rsid w:val="243E3D12"/>
    <w:rsid w:val="295D022F"/>
    <w:rsid w:val="370C5A0B"/>
    <w:rsid w:val="3A0410EC"/>
    <w:rsid w:val="3C263033"/>
    <w:rsid w:val="4129186F"/>
    <w:rsid w:val="43CB124B"/>
    <w:rsid w:val="4672099E"/>
    <w:rsid w:val="4A75609B"/>
    <w:rsid w:val="4D3C4BD6"/>
    <w:rsid w:val="4F8C297D"/>
    <w:rsid w:val="542D4369"/>
    <w:rsid w:val="57E5010E"/>
    <w:rsid w:val="6FB1183D"/>
    <w:rsid w:val="71811A05"/>
    <w:rsid w:val="77C704FB"/>
    <w:rsid w:val="7AC52566"/>
    <w:rsid w:val="7AF558FC"/>
    <w:rsid w:val="7BC0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1832</Words>
  <Characters>1987</Characters>
  <Lines>0</Lines>
  <Paragraphs>0</Paragraphs>
  <TotalTime>1</TotalTime>
  <ScaleCrop>false</ScaleCrop>
  <LinksUpToDate>false</LinksUpToDate>
  <CharactersWithSpaces>1995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2024-07-02T07:25:00Z</dcterms:created>
  <dc:creator>gyb1</dc:creator>
  <cp:lastModifiedBy>gyb1</cp:lastModifiedBy>
  <dcterms:modified xsi:type="dcterms:W3CDTF">2024-12-27T08:10:50Z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9BC0A61E1A644C839F6E29428BAC5D83_11</vt:lpwstr>
  </property>
  <property fmtid="{D5CDD505-2E9C-101B-9397-08002B2CF9AE}" pid="4" name="KSOTemplateDocerSaveRecord">
    <vt:lpwstr>eyJoZGlkIjoiYzdjYjdkZWM1MGVjZDU2ZThmZmJhOWFkY2JhNWFhYjIifQ==</vt:lpwstr>
  </property>
</Properties>
</file>