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7056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金寨县花石乡</w:t>
      </w:r>
      <w:r>
        <w:rPr>
          <w:rFonts w:hint="eastAsia" w:ascii="方正小标宋简体" w:hAnsi="方正小标宋简体" w:eastAsia="方正小标宋简体" w:cs="方正小标宋简体"/>
          <w:sz w:val="36"/>
          <w:szCs w:val="36"/>
          <w:lang w:val="en-US" w:eastAsia="zh-CN"/>
        </w:rPr>
        <w:t>2024</w:t>
      </w:r>
      <w:r>
        <w:rPr>
          <w:rFonts w:hint="eastAsia" w:ascii="方正小标宋简体" w:hAnsi="方正小标宋简体" w:eastAsia="方正小标宋简体" w:cs="方正小标宋简体"/>
          <w:sz w:val="36"/>
          <w:szCs w:val="36"/>
        </w:rPr>
        <w:t>年政府信息公开工作年度报告</w:t>
      </w:r>
    </w:p>
    <w:p w14:paraId="5E2B8A8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本报告依据《中华人民共和国政府信息公开条例》（国务院令第</w:t>
      </w:r>
      <w:r>
        <w:rPr>
          <w:rFonts w:hint="eastAsia" w:ascii="仿宋_GB2312" w:hAnsi="宋体" w:eastAsia="仿宋_GB2312" w:cs="仿宋_GB2312"/>
          <w:i w:val="0"/>
          <w:iCs w:val="0"/>
          <w:caps w:val="0"/>
          <w:color w:val="000000"/>
          <w:spacing w:val="0"/>
          <w:sz w:val="32"/>
          <w:szCs w:val="32"/>
          <w:shd w:val="clear" w:fill="FFFFFF"/>
        </w:rPr>
        <w:t>711号，以下简称新《条例》)要求编制而成。报告主要包括：总体情况、主动公开政府信息情况、收到和处理政府信息公开申请情况、政府信息公开行政复议、行政诉讼情况、存在的主要问题及改进情况和其他需要报告的事项。本报告中使用数据统计期限为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rPr>
        <w:t>年1月1日至12月31日，报告的电子版可在金寨县花石乡信息公开网（https://www.ahjinzhai.gov.cn/public/column/6597241?type=4&amp;action=list&amp;nav=3&amp;catId=7060331）下载。如对本报告有任何疑问，请与花石乡人民政府政务公开办联系（地址：花石乡政府二楼，电话：0564-7478001，邮编：237354。）</w:t>
      </w:r>
    </w:p>
    <w:p w14:paraId="0875FEB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一、总体情况</w:t>
      </w:r>
    </w:p>
    <w:p w14:paraId="4DCD5D9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rPr>
      </w:pPr>
      <w:bookmarkStart w:id="0" w:name="_GoBack"/>
      <w:r>
        <w:rPr>
          <w:rFonts w:hint="eastAsia" w:ascii="仿宋_GB2312" w:hAnsi="宋体" w:eastAsia="仿宋_GB2312" w:cs="仿宋_GB2312"/>
          <w:i w:val="0"/>
          <w:iCs w:val="0"/>
          <w:caps w:val="0"/>
          <w:color w:val="000000"/>
          <w:spacing w:val="0"/>
          <w:sz w:val="32"/>
          <w:szCs w:val="32"/>
          <w:shd w:val="clear" w:fill="FFFFFF"/>
        </w:rPr>
        <w:t>2024年，</w:t>
      </w:r>
      <w:r>
        <w:rPr>
          <w:rFonts w:hint="eastAsia" w:ascii="仿宋_GB2312" w:hAnsi="宋体" w:eastAsia="仿宋_GB2312" w:cs="仿宋_GB2312"/>
          <w:i w:val="0"/>
          <w:iCs w:val="0"/>
          <w:caps w:val="0"/>
          <w:color w:val="000000"/>
          <w:spacing w:val="0"/>
          <w:sz w:val="32"/>
          <w:szCs w:val="32"/>
          <w:shd w:val="clear" w:fill="FFFFFF"/>
          <w:lang w:eastAsia="zh-CN"/>
        </w:rPr>
        <w:t>我乡</w:t>
      </w:r>
      <w:r>
        <w:rPr>
          <w:rFonts w:hint="eastAsia" w:ascii="仿宋_GB2312" w:hAnsi="宋体" w:eastAsia="仿宋_GB2312" w:cs="仿宋_GB2312"/>
          <w:i w:val="0"/>
          <w:iCs w:val="0"/>
          <w:caps w:val="0"/>
          <w:color w:val="000000"/>
          <w:spacing w:val="0"/>
          <w:sz w:val="32"/>
          <w:szCs w:val="32"/>
          <w:shd w:val="clear" w:fill="FFFFFF"/>
        </w:rPr>
        <w:t>政务公开工作取得显著成果。致力于提升透明度、加强与社会各界的沟通互动，并积极回应社会关切。</w:t>
      </w:r>
    </w:p>
    <w:p w14:paraId="52FC5C2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主动公开情况</w:t>
      </w:r>
    </w:p>
    <w:p w14:paraId="31C87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宋体" w:eastAsia="仿宋_GB2312" w:cs="仿宋_GB2312"/>
          <w:b/>
          <w:bCs/>
          <w:i w:val="0"/>
          <w:iCs w:val="0"/>
          <w:caps w:val="0"/>
          <w:color w:val="000000"/>
          <w:spacing w:val="0"/>
          <w:sz w:val="32"/>
          <w:szCs w:val="32"/>
          <w:shd w:val="clear" w:fill="FFFFFF"/>
          <w:lang w:val="en-US" w:eastAsia="zh-CN"/>
        </w:rPr>
      </w:pPr>
      <w:r>
        <w:rPr>
          <w:rFonts w:hint="eastAsia" w:ascii="仿宋_GB2312" w:hAnsi="宋体" w:eastAsia="仿宋_GB2312" w:cs="仿宋_GB2312"/>
          <w:b w:val="0"/>
          <w:bCs w:val="0"/>
          <w:i w:val="0"/>
          <w:iCs w:val="0"/>
          <w:caps w:val="0"/>
          <w:color w:val="000000"/>
          <w:spacing w:val="0"/>
          <w:sz w:val="32"/>
          <w:szCs w:val="32"/>
          <w:shd w:val="clear" w:fill="FFFFFF"/>
          <w:lang w:val="en-US" w:eastAsia="zh-CN"/>
        </w:rPr>
        <w:t>2024年，我乡发布主动公开信息714条。</w:t>
      </w:r>
      <w:r>
        <w:rPr>
          <w:rFonts w:hint="eastAsia" w:ascii="仿宋_GB2312" w:hAnsi="宋体" w:eastAsia="仿宋_GB2312" w:cs="仿宋_GB2312"/>
          <w:b/>
          <w:bCs/>
          <w:i w:val="0"/>
          <w:iCs w:val="0"/>
          <w:caps w:val="0"/>
          <w:color w:val="000000"/>
          <w:spacing w:val="0"/>
          <w:sz w:val="32"/>
          <w:szCs w:val="32"/>
          <w:shd w:val="clear" w:fill="FFFFFF"/>
        </w:rPr>
        <w:t>完善公开内容。</w:t>
      </w:r>
      <w:r>
        <w:rPr>
          <w:rFonts w:hint="eastAsia" w:ascii="仿宋_GB2312" w:hAnsi="宋体" w:eastAsia="仿宋_GB2312" w:cs="仿宋_GB2312"/>
          <w:i w:val="0"/>
          <w:iCs w:val="0"/>
          <w:caps w:val="0"/>
          <w:color w:val="000000"/>
          <w:spacing w:val="0"/>
          <w:sz w:val="32"/>
          <w:szCs w:val="32"/>
          <w:shd w:val="clear" w:fill="FFFFFF"/>
        </w:rPr>
        <w:t>加大对政策文件、惠农惠民资金、</w:t>
      </w:r>
      <w:r>
        <w:rPr>
          <w:rFonts w:hint="eastAsia" w:ascii="仿宋_GB2312" w:hAnsi="宋体" w:eastAsia="仿宋_GB2312" w:cs="仿宋_GB2312"/>
          <w:i w:val="0"/>
          <w:iCs w:val="0"/>
          <w:caps w:val="0"/>
          <w:color w:val="000000"/>
          <w:spacing w:val="0"/>
          <w:sz w:val="32"/>
          <w:szCs w:val="32"/>
          <w:shd w:val="clear" w:fill="FFFFFF"/>
          <w:lang w:eastAsia="zh-CN"/>
        </w:rPr>
        <w:t>财政预决算、</w:t>
      </w:r>
      <w:r>
        <w:rPr>
          <w:rFonts w:hint="eastAsia" w:ascii="仿宋_GB2312" w:hAnsi="宋体" w:eastAsia="仿宋_GB2312" w:cs="仿宋_GB2312"/>
          <w:i w:val="0"/>
          <w:iCs w:val="0"/>
          <w:caps w:val="0"/>
          <w:color w:val="000000"/>
          <w:spacing w:val="0"/>
          <w:sz w:val="32"/>
          <w:szCs w:val="32"/>
          <w:shd w:val="clear" w:fill="FFFFFF"/>
        </w:rPr>
        <w:t>重点工作任务、政府工作报告、民生实事等重点领域信息的公开力度。紧盯就业创业、养老服务、社会救助等群众关注的热点问题，及时回应</w:t>
      </w:r>
      <w:r>
        <w:rPr>
          <w:rFonts w:hint="eastAsia" w:ascii="仿宋_GB2312" w:hAnsi="宋体" w:eastAsia="仿宋_GB2312" w:cs="仿宋_GB2312"/>
          <w:i w:val="0"/>
          <w:iCs w:val="0"/>
          <w:caps w:val="0"/>
          <w:color w:val="000000"/>
          <w:spacing w:val="0"/>
          <w:sz w:val="32"/>
          <w:szCs w:val="32"/>
          <w:shd w:val="clear" w:fill="FFFFFF"/>
          <w:lang w:eastAsia="zh-CN"/>
        </w:rPr>
        <w:t>信息</w:t>
      </w:r>
      <w:r>
        <w:rPr>
          <w:rFonts w:hint="eastAsia" w:ascii="仿宋_GB2312" w:hAnsi="宋体" w:eastAsia="仿宋_GB2312" w:cs="仿宋_GB2312"/>
          <w:i w:val="0"/>
          <w:iCs w:val="0"/>
          <w:caps w:val="0"/>
          <w:color w:val="000000"/>
          <w:spacing w:val="0"/>
          <w:sz w:val="32"/>
          <w:szCs w:val="32"/>
          <w:shd w:val="clear" w:fill="FFFFFF"/>
          <w:lang w:val="en-US" w:eastAsia="zh-CN"/>
        </w:rPr>
        <w:t>67条</w:t>
      </w:r>
      <w:r>
        <w:rPr>
          <w:rFonts w:hint="eastAsia" w:ascii="仿宋_GB2312" w:hAnsi="宋体" w:eastAsia="仿宋_GB2312" w:cs="仿宋_GB2312"/>
          <w:i w:val="0"/>
          <w:iCs w:val="0"/>
          <w:caps w:val="0"/>
          <w:color w:val="000000"/>
          <w:spacing w:val="0"/>
          <w:sz w:val="32"/>
          <w:szCs w:val="32"/>
          <w:shd w:val="clear" w:fill="FFFFFF"/>
        </w:rPr>
        <w:t>，切实解决群众诉求。</w:t>
      </w:r>
      <w:r>
        <w:rPr>
          <w:rFonts w:hint="eastAsia" w:ascii="仿宋_GB2312" w:hAnsi="宋体" w:eastAsia="仿宋_GB2312" w:cs="仿宋_GB2312"/>
          <w:b/>
          <w:bCs/>
          <w:i w:val="0"/>
          <w:iCs w:val="0"/>
          <w:caps w:val="0"/>
          <w:color w:val="000000"/>
          <w:spacing w:val="0"/>
          <w:sz w:val="32"/>
          <w:szCs w:val="32"/>
          <w:shd w:val="clear" w:fill="FFFFFF"/>
        </w:rPr>
        <w:t>加强用权公开</w:t>
      </w:r>
      <w:r>
        <w:rPr>
          <w:rFonts w:hint="eastAsia" w:ascii="仿宋_GB2312" w:hAnsi="宋体" w:eastAsia="仿宋_GB2312" w:cs="仿宋_GB2312"/>
          <w:b/>
          <w:bCs/>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完善组织机构目录，依法公开机构职能、领导信息、内设机构等信息。全面梳理依法行使的行政权力和依法承担的公共服务职责，</w:t>
      </w:r>
      <w:r>
        <w:rPr>
          <w:rFonts w:hint="eastAsia" w:ascii="仿宋_GB2312" w:hAnsi="宋体" w:eastAsia="仿宋_GB2312" w:cs="仿宋_GB2312"/>
          <w:i w:val="0"/>
          <w:iCs w:val="0"/>
          <w:caps w:val="0"/>
          <w:color w:val="000000"/>
          <w:spacing w:val="0"/>
          <w:sz w:val="32"/>
          <w:szCs w:val="32"/>
          <w:shd w:val="clear" w:fill="FFFFFF"/>
          <w:lang w:val="en-US" w:eastAsia="zh-CN"/>
        </w:rPr>
        <w:t>2024年发布行政权力类信息54条，</w:t>
      </w:r>
      <w:r>
        <w:rPr>
          <w:rFonts w:hint="eastAsia" w:ascii="仿宋_GB2312" w:hAnsi="宋体" w:eastAsia="仿宋_GB2312" w:cs="仿宋_GB2312"/>
          <w:i w:val="0"/>
          <w:iCs w:val="0"/>
          <w:caps w:val="0"/>
          <w:color w:val="000000"/>
          <w:spacing w:val="0"/>
          <w:sz w:val="32"/>
          <w:szCs w:val="32"/>
          <w:shd w:val="clear" w:fill="FFFFFF"/>
        </w:rPr>
        <w:t>切实提升工作透明度和政府公信力</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b/>
          <w:bCs/>
          <w:i w:val="0"/>
          <w:iCs w:val="0"/>
          <w:caps w:val="0"/>
          <w:color w:val="000000"/>
          <w:spacing w:val="0"/>
          <w:sz w:val="32"/>
          <w:szCs w:val="32"/>
          <w:shd w:val="clear" w:fill="FFFFFF"/>
          <w:lang w:eastAsia="zh-CN"/>
        </w:rPr>
        <w:t>聚焦“两化”工作。</w:t>
      </w:r>
      <w:r>
        <w:rPr>
          <w:rFonts w:hint="eastAsia" w:ascii="仿宋_GB2312" w:hAnsi="宋体" w:eastAsia="仿宋_GB2312" w:cs="仿宋_GB2312"/>
          <w:b w:val="0"/>
          <w:bCs w:val="0"/>
          <w:i w:val="0"/>
          <w:iCs w:val="0"/>
          <w:caps w:val="0"/>
          <w:color w:val="000000"/>
          <w:spacing w:val="0"/>
          <w:sz w:val="32"/>
          <w:szCs w:val="32"/>
          <w:shd w:val="clear" w:fill="FFFFFF"/>
          <w:lang w:eastAsia="zh-CN"/>
        </w:rPr>
        <w:t>根据我乡实际情况，及时公开农村危房改造、公共文化服务、</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S447</w:t>
      </w:r>
      <w:r>
        <w:rPr>
          <w:rFonts w:hint="eastAsia" w:ascii="仿宋_GB2312" w:hAnsi="宋体" w:eastAsia="仿宋_GB2312" w:cs="仿宋_GB2312"/>
          <w:b w:val="0"/>
          <w:bCs w:val="0"/>
          <w:i w:val="0"/>
          <w:iCs w:val="0"/>
          <w:caps w:val="0"/>
          <w:color w:val="000000"/>
          <w:spacing w:val="0"/>
          <w:sz w:val="32"/>
          <w:szCs w:val="32"/>
          <w:shd w:val="clear" w:fill="FFFFFF"/>
          <w:lang w:eastAsia="zh-CN"/>
        </w:rPr>
        <w:t>道路项目建设、就业创业类信息</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103条，</w:t>
      </w:r>
      <w:r>
        <w:rPr>
          <w:rFonts w:hint="eastAsia" w:ascii="仿宋_GB2312" w:hAnsi="宋体" w:eastAsia="仿宋_GB2312" w:cs="仿宋_GB2312"/>
          <w:b w:val="0"/>
          <w:bCs w:val="0"/>
          <w:i w:val="0"/>
          <w:iCs w:val="0"/>
          <w:caps w:val="0"/>
          <w:color w:val="000000"/>
          <w:spacing w:val="0"/>
          <w:sz w:val="32"/>
          <w:szCs w:val="32"/>
          <w:shd w:val="clear" w:fill="FFFFFF"/>
          <w:lang w:eastAsia="zh-CN"/>
        </w:rPr>
        <w:t>以推进乡村振兴项目库建设、“食品安全周”宣传、粮食安全、残疾人生活保障救助等工作为重点，全面公开相关政策措施</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165条</w:t>
      </w:r>
      <w:r>
        <w:rPr>
          <w:rFonts w:hint="eastAsia" w:ascii="仿宋_GB2312" w:hAnsi="宋体" w:eastAsia="仿宋_GB2312" w:cs="仿宋_GB2312"/>
          <w:b w:val="0"/>
          <w:bCs w:val="0"/>
          <w:i w:val="0"/>
          <w:iCs w:val="0"/>
          <w:caps w:val="0"/>
          <w:color w:val="000000"/>
          <w:spacing w:val="0"/>
          <w:sz w:val="32"/>
          <w:szCs w:val="32"/>
          <w:shd w:val="clear" w:fill="FFFFFF"/>
          <w:lang w:eastAsia="zh-CN"/>
        </w:rPr>
        <w:t>。</w:t>
      </w:r>
    </w:p>
    <w:p w14:paraId="5994365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依申请公开</w:t>
      </w:r>
    </w:p>
    <w:p w14:paraId="709405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按照工作要求,强化依申请公开工作,加强业务培训和管理,完善受理渠道,健全工作规范,切实保障社会公众知情权</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本年度我乡未收到有关依申请公开政府信息的情况，无因政府信息公开申请引起的投诉举报和行政复议、行政诉讼情况发生。</w:t>
      </w:r>
    </w:p>
    <w:p w14:paraId="4819F2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政府信息管理</w:t>
      </w:r>
    </w:p>
    <w:p w14:paraId="2FF5AF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rPr>
        <w:t>制作发布</w:t>
      </w:r>
      <w:r>
        <w:rPr>
          <w:rFonts w:hint="eastAsia" w:ascii="仿宋_GB2312" w:hAnsi="宋体" w:eastAsia="仿宋_GB2312" w:cs="仿宋_GB2312"/>
          <w:i w:val="0"/>
          <w:iCs w:val="0"/>
          <w:caps w:val="0"/>
          <w:color w:val="000000"/>
          <w:spacing w:val="0"/>
          <w:sz w:val="32"/>
          <w:szCs w:val="32"/>
          <w:shd w:val="clear" w:fill="FFFFFF"/>
          <w:lang w:eastAsia="zh-CN"/>
        </w:rPr>
        <w:t>政策</w:t>
      </w:r>
      <w:r>
        <w:rPr>
          <w:rFonts w:hint="eastAsia" w:ascii="仿宋_GB2312" w:hAnsi="宋体" w:eastAsia="仿宋_GB2312" w:cs="仿宋_GB2312"/>
          <w:i w:val="0"/>
          <w:iCs w:val="0"/>
          <w:caps w:val="0"/>
          <w:color w:val="000000"/>
          <w:spacing w:val="0"/>
          <w:sz w:val="32"/>
          <w:szCs w:val="32"/>
          <w:shd w:val="clear" w:fill="FFFFFF"/>
        </w:rPr>
        <w:t>图解、音频视频等新型产品，积极转载发布重要会议、重大决策、重要文件等信息。做好信息保障工作，督促严格执行</w:t>
      </w:r>
      <w:r>
        <w:rPr>
          <w:rFonts w:hint="eastAsia" w:ascii="仿宋_GB2312" w:hAnsi="宋体" w:eastAsia="仿宋_GB2312" w:cs="仿宋_GB2312"/>
          <w:i w:val="0"/>
          <w:iCs w:val="0"/>
          <w:caps w:val="0"/>
          <w:color w:val="000000"/>
          <w:spacing w:val="0"/>
          <w:sz w:val="32"/>
          <w:szCs w:val="32"/>
          <w:shd w:val="clear" w:fill="FFFFFF"/>
          <w:lang w:eastAsia="zh-CN"/>
        </w:rPr>
        <w:t>信息公开</w:t>
      </w:r>
      <w:r>
        <w:rPr>
          <w:rFonts w:hint="eastAsia" w:ascii="仿宋_GB2312" w:hAnsi="宋体" w:eastAsia="仿宋_GB2312" w:cs="仿宋_GB2312"/>
          <w:i w:val="0"/>
          <w:iCs w:val="0"/>
          <w:caps w:val="0"/>
          <w:color w:val="000000"/>
          <w:spacing w:val="0"/>
          <w:sz w:val="32"/>
          <w:szCs w:val="32"/>
          <w:shd w:val="clear" w:fill="FFFFFF"/>
        </w:rPr>
        <w:t>“三审”制度，加强内容审核</w:t>
      </w:r>
      <w:r>
        <w:rPr>
          <w:rFonts w:hint="eastAsia" w:ascii="仿宋_GB2312" w:hAnsi="宋体" w:eastAsia="仿宋_GB2312" w:cs="仿宋_GB2312"/>
          <w:i w:val="0"/>
          <w:iCs w:val="0"/>
          <w:caps w:val="0"/>
          <w:color w:val="000000"/>
          <w:spacing w:val="0"/>
          <w:sz w:val="32"/>
          <w:szCs w:val="32"/>
          <w:shd w:val="clear" w:fill="FFFFFF"/>
          <w:lang w:eastAsia="zh-CN"/>
        </w:rPr>
        <w:t>、保密</w:t>
      </w:r>
      <w:r>
        <w:rPr>
          <w:rFonts w:hint="eastAsia" w:ascii="仿宋_GB2312" w:hAnsi="宋体" w:eastAsia="仿宋_GB2312" w:cs="仿宋_GB2312"/>
          <w:i w:val="0"/>
          <w:iCs w:val="0"/>
          <w:caps w:val="0"/>
          <w:color w:val="000000"/>
          <w:spacing w:val="0"/>
          <w:sz w:val="32"/>
          <w:szCs w:val="32"/>
          <w:shd w:val="clear" w:fill="FFFFFF"/>
        </w:rPr>
        <w:t>，特别是特定表述、固定搭配等内容信息，确保发布内容信息规范。</w:t>
      </w:r>
      <w:r>
        <w:rPr>
          <w:rFonts w:hint="eastAsia" w:ascii="仿宋_GB2312" w:hAnsi="宋体" w:eastAsia="仿宋_GB2312" w:cs="仿宋_GB2312"/>
          <w:i w:val="0"/>
          <w:iCs w:val="0"/>
          <w:caps w:val="0"/>
          <w:color w:val="000000"/>
          <w:spacing w:val="0"/>
          <w:sz w:val="32"/>
          <w:szCs w:val="32"/>
          <w:shd w:val="clear" w:fill="FFFFFF"/>
          <w:lang w:eastAsia="zh-CN"/>
        </w:rPr>
        <w:t>本年度未制发规范性文件。</w:t>
      </w:r>
    </w:p>
    <w:p w14:paraId="22F0201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政府信息公开平台建设情况</w:t>
      </w:r>
    </w:p>
    <w:p w14:paraId="044501F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rPr>
        <w:t>持续抓好网上群众路线</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畅通政民互动渠道，及时主动回应群众关切，提升政府网站办事服务能力，拓宽政府信息公开途径，</w:t>
      </w:r>
      <w:r>
        <w:rPr>
          <w:rFonts w:hint="eastAsia" w:ascii="仿宋_GB2312" w:hAnsi="宋体" w:eastAsia="仿宋_GB2312" w:cs="仿宋_GB2312"/>
          <w:i w:val="0"/>
          <w:iCs w:val="0"/>
          <w:caps w:val="0"/>
          <w:color w:val="000000"/>
          <w:spacing w:val="0"/>
          <w:sz w:val="32"/>
          <w:szCs w:val="32"/>
          <w:shd w:val="clear" w:fill="FFFFFF"/>
          <w:lang w:eastAsia="zh-CN"/>
        </w:rPr>
        <w:t>优化栏目设置，依托本级</w:t>
      </w:r>
      <w:r>
        <w:rPr>
          <w:rFonts w:hint="eastAsia" w:ascii="仿宋_GB2312" w:hAnsi="宋体" w:eastAsia="仿宋_GB2312" w:cs="仿宋_GB2312"/>
          <w:i w:val="0"/>
          <w:iCs w:val="0"/>
          <w:caps w:val="0"/>
          <w:color w:val="000000"/>
          <w:spacing w:val="0"/>
          <w:sz w:val="32"/>
          <w:szCs w:val="32"/>
          <w:shd w:val="clear" w:fill="FFFFFF"/>
        </w:rPr>
        <w:t>政务公开专区，</w:t>
      </w:r>
      <w:r>
        <w:rPr>
          <w:rFonts w:hint="eastAsia" w:ascii="仿宋_GB2312" w:hAnsi="宋体" w:eastAsia="仿宋_GB2312" w:cs="仿宋_GB2312"/>
          <w:i w:val="0"/>
          <w:iCs w:val="0"/>
          <w:caps w:val="0"/>
          <w:color w:val="000000"/>
          <w:spacing w:val="0"/>
          <w:sz w:val="32"/>
          <w:szCs w:val="32"/>
          <w:shd w:val="clear" w:fill="FFFFFF"/>
          <w:lang w:eastAsia="zh-CN"/>
        </w:rPr>
        <w:t>设立</w:t>
      </w:r>
      <w:r>
        <w:rPr>
          <w:rFonts w:hint="eastAsia" w:ascii="仿宋_GB2312" w:hAnsi="宋体" w:eastAsia="仿宋_GB2312" w:cs="仿宋_GB2312"/>
          <w:i w:val="0"/>
          <w:iCs w:val="0"/>
          <w:caps w:val="0"/>
          <w:color w:val="000000"/>
          <w:spacing w:val="0"/>
          <w:sz w:val="32"/>
          <w:szCs w:val="32"/>
          <w:shd w:val="clear" w:fill="FFFFFF"/>
        </w:rPr>
        <w:t>政策咨询综合服务台</w:t>
      </w:r>
      <w:r>
        <w:rPr>
          <w:rFonts w:hint="eastAsia" w:ascii="仿宋_GB2312" w:hAnsi="宋体" w:eastAsia="仿宋_GB2312" w:cs="仿宋_GB2312"/>
          <w:i w:val="0"/>
          <w:iCs w:val="0"/>
          <w:caps w:val="0"/>
          <w:color w:val="000000"/>
          <w:spacing w:val="0"/>
          <w:sz w:val="32"/>
          <w:szCs w:val="32"/>
          <w:shd w:val="clear" w:fill="FFFFFF"/>
          <w:lang w:eastAsia="zh-CN"/>
        </w:rPr>
        <w:t>，在“</w:t>
      </w:r>
      <w:r>
        <w:rPr>
          <w:rFonts w:hint="eastAsia" w:ascii="仿宋_GB2312" w:hAnsi="宋体" w:eastAsia="仿宋_GB2312" w:cs="仿宋_GB2312"/>
          <w:i w:val="0"/>
          <w:iCs w:val="0"/>
          <w:caps w:val="0"/>
          <w:color w:val="000000"/>
          <w:spacing w:val="0"/>
          <w:sz w:val="32"/>
          <w:szCs w:val="32"/>
          <w:shd w:val="clear" w:fill="FFFFFF"/>
          <w:lang w:val="en-US" w:eastAsia="zh-CN"/>
        </w:rPr>
        <w:t>315</w:t>
      </w:r>
      <w:r>
        <w:rPr>
          <w:rFonts w:hint="eastAsia" w:ascii="仿宋_GB2312" w:hAnsi="宋体" w:eastAsia="仿宋_GB2312" w:cs="仿宋_GB2312"/>
          <w:i w:val="0"/>
          <w:iCs w:val="0"/>
          <w:caps w:val="0"/>
          <w:color w:val="000000"/>
          <w:spacing w:val="0"/>
          <w:sz w:val="32"/>
          <w:szCs w:val="32"/>
          <w:shd w:val="clear" w:fill="FFFFFF"/>
          <w:lang w:eastAsia="zh-CN"/>
        </w:rPr>
        <w:t>”、“宪法宣传周”、“城乡居民医保收缴”等时间节点，开展政策宣传、知识讲座；专区醒目位置摆放二维码矩阵图，群众只要拿手机“扫一扫”，即可获取事项办理相关信息，实现一扫即查、一点即看。</w:t>
      </w:r>
    </w:p>
    <w:p w14:paraId="053CEE3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监督保障</w:t>
      </w:r>
    </w:p>
    <w:p w14:paraId="293CA9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不断完善政府信息公开工作机制。一是</w:t>
      </w:r>
      <w:r>
        <w:rPr>
          <w:rFonts w:hint="eastAsia" w:ascii="仿宋_GB2312" w:hAnsi="宋体" w:eastAsia="仿宋_GB2312" w:cs="仿宋_GB2312"/>
          <w:i w:val="0"/>
          <w:iCs w:val="0"/>
          <w:caps w:val="0"/>
          <w:color w:val="000000"/>
          <w:spacing w:val="0"/>
          <w:sz w:val="32"/>
          <w:szCs w:val="32"/>
          <w:shd w:val="clear" w:fill="FFFFFF"/>
          <w:lang w:eastAsia="zh-CN"/>
        </w:rPr>
        <w:t>更新</w:t>
      </w:r>
      <w:r>
        <w:rPr>
          <w:rFonts w:hint="eastAsia" w:ascii="仿宋_GB2312" w:hAnsi="宋体" w:eastAsia="仿宋_GB2312" w:cs="仿宋_GB2312"/>
          <w:i w:val="0"/>
          <w:iCs w:val="0"/>
          <w:caps w:val="0"/>
          <w:color w:val="000000"/>
          <w:spacing w:val="0"/>
          <w:sz w:val="32"/>
          <w:szCs w:val="32"/>
          <w:shd w:val="clear" w:fill="FFFFFF"/>
        </w:rPr>
        <w:t>组织机构,及时调整以</w:t>
      </w:r>
      <w:r>
        <w:rPr>
          <w:rFonts w:hint="eastAsia" w:ascii="仿宋_GB2312" w:hAnsi="宋体" w:eastAsia="仿宋_GB2312" w:cs="仿宋_GB2312"/>
          <w:i w:val="0"/>
          <w:iCs w:val="0"/>
          <w:caps w:val="0"/>
          <w:color w:val="000000"/>
          <w:spacing w:val="0"/>
          <w:sz w:val="32"/>
          <w:szCs w:val="32"/>
          <w:shd w:val="clear" w:fill="FFFFFF"/>
          <w:lang w:eastAsia="zh-CN"/>
        </w:rPr>
        <w:t>乡长为</w:t>
      </w:r>
      <w:r>
        <w:rPr>
          <w:rFonts w:hint="eastAsia" w:ascii="仿宋_GB2312" w:hAnsi="宋体" w:eastAsia="仿宋_GB2312" w:cs="仿宋_GB2312"/>
          <w:i w:val="0"/>
          <w:iCs w:val="0"/>
          <w:caps w:val="0"/>
          <w:color w:val="000000"/>
          <w:spacing w:val="0"/>
          <w:sz w:val="32"/>
          <w:szCs w:val="32"/>
          <w:shd w:val="clear" w:fill="FFFFFF"/>
        </w:rPr>
        <w:t>组长、</w:t>
      </w:r>
      <w:r>
        <w:rPr>
          <w:rFonts w:hint="eastAsia" w:ascii="仿宋_GB2312" w:hAnsi="宋体" w:eastAsia="仿宋_GB2312" w:cs="仿宋_GB2312"/>
          <w:i w:val="0"/>
          <w:iCs w:val="0"/>
          <w:caps w:val="0"/>
          <w:color w:val="000000"/>
          <w:spacing w:val="0"/>
          <w:sz w:val="32"/>
          <w:szCs w:val="32"/>
          <w:shd w:val="clear" w:fill="FFFFFF"/>
          <w:lang w:eastAsia="zh-CN"/>
        </w:rPr>
        <w:t>分管领导为</w:t>
      </w:r>
      <w:r>
        <w:rPr>
          <w:rFonts w:hint="eastAsia" w:ascii="仿宋_GB2312" w:hAnsi="宋体" w:eastAsia="仿宋_GB2312" w:cs="仿宋_GB2312"/>
          <w:i w:val="0"/>
          <w:iCs w:val="0"/>
          <w:caps w:val="0"/>
          <w:color w:val="000000"/>
          <w:spacing w:val="0"/>
          <w:sz w:val="32"/>
          <w:szCs w:val="32"/>
          <w:shd w:val="clear" w:fill="FFFFFF"/>
        </w:rPr>
        <w:t>副组长的工作领导小组。二是加强日常指导检查，将</w:t>
      </w:r>
      <w:r>
        <w:rPr>
          <w:rFonts w:hint="eastAsia" w:ascii="仿宋_GB2312" w:hAnsi="宋体" w:eastAsia="仿宋_GB2312" w:cs="仿宋_GB2312"/>
          <w:i w:val="0"/>
          <w:iCs w:val="0"/>
          <w:caps w:val="0"/>
          <w:color w:val="000000"/>
          <w:spacing w:val="0"/>
          <w:sz w:val="32"/>
          <w:szCs w:val="32"/>
          <w:shd w:val="clear" w:fill="FFFFFF"/>
          <w:lang w:eastAsia="zh-CN"/>
        </w:rPr>
        <w:t>政（村）</w:t>
      </w:r>
      <w:r>
        <w:rPr>
          <w:rFonts w:hint="eastAsia" w:ascii="仿宋_GB2312" w:hAnsi="宋体" w:eastAsia="仿宋_GB2312" w:cs="仿宋_GB2312"/>
          <w:i w:val="0"/>
          <w:iCs w:val="0"/>
          <w:caps w:val="0"/>
          <w:color w:val="000000"/>
          <w:spacing w:val="0"/>
          <w:sz w:val="32"/>
          <w:szCs w:val="32"/>
          <w:shd w:val="clear" w:fill="FFFFFF"/>
        </w:rPr>
        <w:t>务公开工作纳入</w:t>
      </w:r>
      <w:r>
        <w:rPr>
          <w:rFonts w:hint="eastAsia" w:ascii="仿宋_GB2312" w:hAnsi="宋体" w:eastAsia="仿宋_GB2312" w:cs="仿宋_GB2312"/>
          <w:i w:val="0"/>
          <w:iCs w:val="0"/>
          <w:caps w:val="0"/>
          <w:color w:val="000000"/>
          <w:spacing w:val="0"/>
          <w:sz w:val="32"/>
          <w:szCs w:val="32"/>
          <w:shd w:val="clear" w:fill="FFFFFF"/>
          <w:lang w:eastAsia="zh-CN"/>
        </w:rPr>
        <w:t>季</w:t>
      </w:r>
      <w:r>
        <w:rPr>
          <w:rFonts w:hint="eastAsia" w:ascii="仿宋_GB2312" w:hAnsi="宋体" w:eastAsia="仿宋_GB2312" w:cs="仿宋_GB2312"/>
          <w:i w:val="0"/>
          <w:iCs w:val="0"/>
          <w:caps w:val="0"/>
          <w:color w:val="000000"/>
          <w:spacing w:val="0"/>
          <w:sz w:val="32"/>
          <w:szCs w:val="32"/>
          <w:shd w:val="clear" w:fill="FFFFFF"/>
        </w:rPr>
        <w:t>度考核</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对信息更新不及时、内容不规范、错敏字等情况要求限期整改，将工作落到实处。三是加强队伍建设，要求各</w:t>
      </w:r>
      <w:r>
        <w:rPr>
          <w:rFonts w:hint="eastAsia" w:ascii="仿宋_GB2312" w:hAnsi="宋体" w:eastAsia="仿宋_GB2312" w:cs="仿宋_GB2312"/>
          <w:i w:val="0"/>
          <w:iCs w:val="0"/>
          <w:caps w:val="0"/>
          <w:color w:val="000000"/>
          <w:spacing w:val="0"/>
          <w:sz w:val="32"/>
          <w:szCs w:val="32"/>
          <w:shd w:val="clear" w:fill="FFFFFF"/>
          <w:lang w:eastAsia="zh-CN"/>
        </w:rPr>
        <w:t>部门</w:t>
      </w:r>
      <w:r>
        <w:rPr>
          <w:rFonts w:hint="eastAsia" w:ascii="仿宋_GB2312" w:hAnsi="宋体" w:eastAsia="仿宋_GB2312" w:cs="仿宋_GB2312"/>
          <w:i w:val="0"/>
          <w:iCs w:val="0"/>
          <w:caps w:val="0"/>
          <w:color w:val="000000"/>
          <w:spacing w:val="0"/>
          <w:sz w:val="32"/>
          <w:szCs w:val="32"/>
          <w:shd w:val="clear" w:fill="FFFFFF"/>
        </w:rPr>
        <w:t>明确专职负责人员，确保沟通顺畅。落实政府信息公开社会评议和责任追究制度，本年度未发生责任追究事件。</w:t>
      </w:r>
    </w:p>
    <w:bookmarkEnd w:id="0"/>
    <w:p w14:paraId="524CE48C">
      <w:pPr>
        <w:numPr>
          <w:ilvl w:val="0"/>
          <w:numId w:val="0"/>
        </w:numPr>
        <w:jc w:val="left"/>
        <w:rPr>
          <w:rFonts w:hint="eastAsia" w:ascii="黑体" w:hAnsi="黑体" w:eastAsia="黑体" w:cs="黑体"/>
          <w:i w:val="0"/>
          <w:iCs w:val="0"/>
          <w:caps w:val="0"/>
          <w:color w:val="000000"/>
          <w:spacing w:val="0"/>
          <w:sz w:val="32"/>
          <w:szCs w:val="32"/>
          <w:shd w:val="clear" w:fill="FFFFFF"/>
        </w:rPr>
      </w:pPr>
    </w:p>
    <w:p w14:paraId="5FAB4E96">
      <w:pPr>
        <w:numPr>
          <w:ilvl w:val="0"/>
          <w:numId w:val="2"/>
        </w:numPr>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主动公开政府信息情况</w:t>
      </w:r>
    </w:p>
    <w:p w14:paraId="5175AED7">
      <w:pPr>
        <w:numPr>
          <w:ilvl w:val="0"/>
          <w:numId w:val="0"/>
        </w:numPr>
        <w:jc w:val="left"/>
        <w:rPr>
          <w:rFonts w:hint="eastAsia" w:ascii="黑体" w:hAnsi="黑体" w:eastAsia="黑体" w:cs="黑体"/>
          <w:i w:val="0"/>
          <w:iCs w:val="0"/>
          <w:caps w:val="0"/>
          <w:color w:val="000000"/>
          <w:spacing w:val="0"/>
          <w:sz w:val="32"/>
          <w:szCs w:val="32"/>
          <w:shd w:val="clear" w:fill="FFFFFF"/>
        </w:rPr>
      </w:pPr>
    </w:p>
    <w:tbl>
      <w:tblPr>
        <w:tblStyle w:val="5"/>
        <w:tblW w:w="9744"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1"/>
        <w:gridCol w:w="2431"/>
        <w:gridCol w:w="2431"/>
        <w:gridCol w:w="2441"/>
      </w:tblGrid>
      <w:tr w14:paraId="2511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9744" w:type="dxa"/>
            <w:gridSpan w:val="4"/>
            <w:shd w:val="clear" w:color="auto" w:fill="C6D9F1"/>
            <w:vAlign w:val="top"/>
          </w:tcPr>
          <w:p w14:paraId="06E881D7">
            <w:pPr>
              <w:widowControl/>
              <w:kinsoku w:val="0"/>
              <w:autoSpaceDE w:val="0"/>
              <w:autoSpaceDN w:val="0"/>
              <w:adjustRightInd w:val="0"/>
              <w:snapToGrid w:val="0"/>
              <w:spacing w:before="77" w:line="228" w:lineRule="auto"/>
              <w:ind w:left="397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9"/>
                <w:kern w:val="0"/>
                <w:sz w:val="19"/>
                <w:szCs w:val="19"/>
                <w:lang w:eastAsia="en-US"/>
              </w:rPr>
              <w:t>第二十条第（一）项</w:t>
            </w:r>
          </w:p>
        </w:tc>
      </w:tr>
      <w:tr w14:paraId="4F0F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2441" w:type="dxa"/>
            <w:vAlign w:val="top"/>
          </w:tcPr>
          <w:p w14:paraId="5EE30524">
            <w:pPr>
              <w:widowControl/>
              <w:kinsoku w:val="0"/>
              <w:autoSpaceDE w:val="0"/>
              <w:autoSpaceDN w:val="0"/>
              <w:adjustRightInd w:val="0"/>
              <w:snapToGrid w:val="0"/>
              <w:spacing w:before="69" w:line="228" w:lineRule="auto"/>
              <w:ind w:left="81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信息内容</w:t>
            </w:r>
          </w:p>
        </w:tc>
        <w:tc>
          <w:tcPr>
            <w:tcW w:w="2431" w:type="dxa"/>
            <w:vAlign w:val="top"/>
          </w:tcPr>
          <w:p w14:paraId="72C1B96A">
            <w:pPr>
              <w:widowControl/>
              <w:kinsoku w:val="0"/>
              <w:autoSpaceDE w:val="0"/>
              <w:autoSpaceDN w:val="0"/>
              <w:adjustRightInd w:val="0"/>
              <w:snapToGrid w:val="0"/>
              <w:spacing w:before="69" w:line="227" w:lineRule="auto"/>
              <w:ind w:left="614"/>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本年制发件数</w:t>
            </w:r>
          </w:p>
        </w:tc>
        <w:tc>
          <w:tcPr>
            <w:tcW w:w="2431" w:type="dxa"/>
            <w:vAlign w:val="top"/>
          </w:tcPr>
          <w:p w14:paraId="2BAC6D14">
            <w:pPr>
              <w:widowControl/>
              <w:kinsoku w:val="0"/>
              <w:autoSpaceDE w:val="0"/>
              <w:autoSpaceDN w:val="0"/>
              <w:adjustRightInd w:val="0"/>
              <w:snapToGrid w:val="0"/>
              <w:spacing w:before="69" w:line="227" w:lineRule="auto"/>
              <w:ind w:left="617"/>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本年废止件数</w:t>
            </w:r>
          </w:p>
        </w:tc>
        <w:tc>
          <w:tcPr>
            <w:tcW w:w="2441" w:type="dxa"/>
            <w:vAlign w:val="top"/>
          </w:tcPr>
          <w:p w14:paraId="00283812">
            <w:pPr>
              <w:widowControl/>
              <w:kinsoku w:val="0"/>
              <w:autoSpaceDE w:val="0"/>
              <w:autoSpaceDN w:val="0"/>
              <w:adjustRightInd w:val="0"/>
              <w:snapToGrid w:val="0"/>
              <w:spacing w:before="69" w:line="228" w:lineRule="auto"/>
              <w:ind w:left="62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现行有效件数</w:t>
            </w:r>
          </w:p>
        </w:tc>
      </w:tr>
      <w:tr w14:paraId="265F5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2441" w:type="dxa"/>
            <w:vAlign w:val="top"/>
          </w:tcPr>
          <w:p w14:paraId="5B4C7420">
            <w:pPr>
              <w:widowControl/>
              <w:kinsoku w:val="0"/>
              <w:autoSpaceDE w:val="0"/>
              <w:autoSpaceDN w:val="0"/>
              <w:adjustRightInd w:val="0"/>
              <w:snapToGrid w:val="0"/>
              <w:spacing w:before="128" w:line="227" w:lineRule="auto"/>
              <w:ind w:left="60"/>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规章</w:t>
            </w:r>
          </w:p>
        </w:tc>
        <w:tc>
          <w:tcPr>
            <w:tcW w:w="2431" w:type="dxa"/>
            <w:vAlign w:val="top"/>
          </w:tcPr>
          <w:p w14:paraId="02DEE09A">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c>
          <w:tcPr>
            <w:tcW w:w="2431" w:type="dxa"/>
            <w:vAlign w:val="top"/>
          </w:tcPr>
          <w:p w14:paraId="0C09FC2F">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c>
          <w:tcPr>
            <w:tcW w:w="2441" w:type="dxa"/>
            <w:vAlign w:val="top"/>
          </w:tcPr>
          <w:p w14:paraId="07CE886B">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r>
      <w:tr w14:paraId="3871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2441" w:type="dxa"/>
            <w:vAlign w:val="top"/>
          </w:tcPr>
          <w:p w14:paraId="18A3C921">
            <w:pPr>
              <w:widowControl/>
              <w:kinsoku w:val="0"/>
              <w:autoSpaceDE w:val="0"/>
              <w:autoSpaceDN w:val="0"/>
              <w:adjustRightInd w:val="0"/>
              <w:snapToGrid w:val="0"/>
              <w:spacing w:before="69" w:line="228" w:lineRule="auto"/>
              <w:ind w:left="6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行政规范性文件</w:t>
            </w:r>
          </w:p>
        </w:tc>
        <w:tc>
          <w:tcPr>
            <w:tcW w:w="2431" w:type="dxa"/>
            <w:vAlign w:val="top"/>
          </w:tcPr>
          <w:p w14:paraId="7DD9E641">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c>
          <w:tcPr>
            <w:tcW w:w="2431" w:type="dxa"/>
            <w:vAlign w:val="top"/>
          </w:tcPr>
          <w:p w14:paraId="39966D8D">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c>
          <w:tcPr>
            <w:tcW w:w="2441" w:type="dxa"/>
            <w:vAlign w:val="top"/>
          </w:tcPr>
          <w:p w14:paraId="11BB1A12">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r>
      <w:tr w14:paraId="1CEF2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9744" w:type="dxa"/>
            <w:gridSpan w:val="4"/>
            <w:shd w:val="clear" w:color="auto" w:fill="C6D9F1"/>
            <w:vAlign w:val="top"/>
          </w:tcPr>
          <w:p w14:paraId="255E26B2">
            <w:pPr>
              <w:widowControl/>
              <w:kinsoku w:val="0"/>
              <w:autoSpaceDE w:val="0"/>
              <w:autoSpaceDN w:val="0"/>
              <w:adjustRightInd w:val="0"/>
              <w:snapToGrid w:val="0"/>
              <w:spacing w:before="70" w:line="228" w:lineRule="auto"/>
              <w:ind w:left="397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9"/>
                <w:kern w:val="0"/>
                <w:sz w:val="19"/>
                <w:szCs w:val="19"/>
                <w:lang w:eastAsia="en-US"/>
              </w:rPr>
              <w:t>第二十条第（五）项</w:t>
            </w:r>
          </w:p>
        </w:tc>
      </w:tr>
      <w:tr w14:paraId="4939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2441" w:type="dxa"/>
            <w:vAlign w:val="top"/>
          </w:tcPr>
          <w:p w14:paraId="6CDD9EB2">
            <w:pPr>
              <w:widowControl/>
              <w:kinsoku w:val="0"/>
              <w:autoSpaceDE w:val="0"/>
              <w:autoSpaceDN w:val="0"/>
              <w:adjustRightInd w:val="0"/>
              <w:snapToGrid w:val="0"/>
              <w:spacing w:before="71" w:line="228" w:lineRule="auto"/>
              <w:ind w:left="81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信息内容</w:t>
            </w:r>
          </w:p>
        </w:tc>
        <w:tc>
          <w:tcPr>
            <w:tcW w:w="7303" w:type="dxa"/>
            <w:gridSpan w:val="3"/>
            <w:vAlign w:val="top"/>
          </w:tcPr>
          <w:p w14:paraId="1B18BF52">
            <w:pPr>
              <w:widowControl/>
              <w:kinsoku w:val="0"/>
              <w:autoSpaceDE w:val="0"/>
              <w:autoSpaceDN w:val="0"/>
              <w:adjustRightInd w:val="0"/>
              <w:snapToGrid w:val="0"/>
              <w:spacing w:before="72" w:line="227" w:lineRule="auto"/>
              <w:ind w:left="2849"/>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本年处理决定数量</w:t>
            </w:r>
          </w:p>
        </w:tc>
      </w:tr>
      <w:tr w14:paraId="7131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2441" w:type="dxa"/>
            <w:vAlign w:val="top"/>
          </w:tcPr>
          <w:p w14:paraId="575D12DC">
            <w:pPr>
              <w:widowControl/>
              <w:kinsoku w:val="0"/>
              <w:autoSpaceDE w:val="0"/>
              <w:autoSpaceDN w:val="0"/>
              <w:adjustRightInd w:val="0"/>
              <w:snapToGrid w:val="0"/>
              <w:spacing w:before="72" w:line="229" w:lineRule="auto"/>
              <w:ind w:left="6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行政许可</w:t>
            </w:r>
          </w:p>
        </w:tc>
        <w:tc>
          <w:tcPr>
            <w:tcW w:w="7303" w:type="dxa"/>
            <w:gridSpan w:val="3"/>
            <w:vAlign w:val="top"/>
          </w:tcPr>
          <w:p w14:paraId="62230958">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40</w:t>
            </w:r>
          </w:p>
        </w:tc>
      </w:tr>
      <w:tr w14:paraId="5776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9744" w:type="dxa"/>
            <w:gridSpan w:val="4"/>
            <w:shd w:val="clear" w:color="auto" w:fill="C6D9F1"/>
            <w:vAlign w:val="top"/>
          </w:tcPr>
          <w:p w14:paraId="113AE31A">
            <w:pPr>
              <w:widowControl/>
              <w:kinsoku w:val="0"/>
              <w:autoSpaceDE w:val="0"/>
              <w:autoSpaceDN w:val="0"/>
              <w:adjustRightInd w:val="0"/>
              <w:snapToGrid w:val="0"/>
              <w:spacing w:before="73" w:line="228" w:lineRule="auto"/>
              <w:ind w:left="397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9"/>
                <w:kern w:val="0"/>
                <w:sz w:val="19"/>
                <w:szCs w:val="19"/>
                <w:lang w:eastAsia="en-US"/>
              </w:rPr>
              <w:t>第二十条第（六）项</w:t>
            </w:r>
          </w:p>
        </w:tc>
      </w:tr>
      <w:tr w14:paraId="6037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2441" w:type="dxa"/>
            <w:vAlign w:val="top"/>
          </w:tcPr>
          <w:p w14:paraId="26709C8F">
            <w:pPr>
              <w:widowControl/>
              <w:kinsoku w:val="0"/>
              <w:autoSpaceDE w:val="0"/>
              <w:autoSpaceDN w:val="0"/>
              <w:adjustRightInd w:val="0"/>
              <w:snapToGrid w:val="0"/>
              <w:spacing w:before="74" w:line="228" w:lineRule="auto"/>
              <w:ind w:left="81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信息内容</w:t>
            </w:r>
          </w:p>
        </w:tc>
        <w:tc>
          <w:tcPr>
            <w:tcW w:w="7303" w:type="dxa"/>
            <w:gridSpan w:val="3"/>
            <w:vAlign w:val="top"/>
          </w:tcPr>
          <w:p w14:paraId="0260E060">
            <w:pPr>
              <w:widowControl/>
              <w:kinsoku w:val="0"/>
              <w:autoSpaceDE w:val="0"/>
              <w:autoSpaceDN w:val="0"/>
              <w:adjustRightInd w:val="0"/>
              <w:snapToGrid w:val="0"/>
              <w:spacing w:before="75" w:line="227" w:lineRule="auto"/>
              <w:ind w:left="2849"/>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本年处理决定数量</w:t>
            </w:r>
          </w:p>
        </w:tc>
      </w:tr>
      <w:tr w14:paraId="1B09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2441" w:type="dxa"/>
            <w:vAlign w:val="top"/>
          </w:tcPr>
          <w:p w14:paraId="7EDF788C">
            <w:pPr>
              <w:widowControl/>
              <w:kinsoku w:val="0"/>
              <w:autoSpaceDE w:val="0"/>
              <w:autoSpaceDN w:val="0"/>
              <w:adjustRightInd w:val="0"/>
              <w:snapToGrid w:val="0"/>
              <w:spacing w:before="113" w:line="229" w:lineRule="auto"/>
              <w:ind w:left="6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行政处罚</w:t>
            </w:r>
          </w:p>
        </w:tc>
        <w:tc>
          <w:tcPr>
            <w:tcW w:w="7303" w:type="dxa"/>
            <w:gridSpan w:val="3"/>
            <w:vAlign w:val="top"/>
          </w:tcPr>
          <w:p w14:paraId="433FCFB8">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11</w:t>
            </w:r>
          </w:p>
        </w:tc>
      </w:tr>
      <w:tr w14:paraId="7706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2441" w:type="dxa"/>
            <w:vAlign w:val="top"/>
          </w:tcPr>
          <w:p w14:paraId="584D0DDB">
            <w:pPr>
              <w:widowControl/>
              <w:kinsoku w:val="0"/>
              <w:autoSpaceDE w:val="0"/>
              <w:autoSpaceDN w:val="0"/>
              <w:adjustRightInd w:val="0"/>
              <w:snapToGrid w:val="0"/>
              <w:spacing w:before="76" w:line="229" w:lineRule="auto"/>
              <w:ind w:left="6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行政强制</w:t>
            </w:r>
          </w:p>
        </w:tc>
        <w:tc>
          <w:tcPr>
            <w:tcW w:w="7303" w:type="dxa"/>
            <w:gridSpan w:val="3"/>
            <w:vAlign w:val="top"/>
          </w:tcPr>
          <w:p w14:paraId="7B62E799">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r>
      <w:tr w14:paraId="32ACA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9744" w:type="dxa"/>
            <w:gridSpan w:val="4"/>
            <w:shd w:val="clear" w:color="auto" w:fill="C6D9F1"/>
            <w:vAlign w:val="top"/>
          </w:tcPr>
          <w:p w14:paraId="78E7A6D2">
            <w:pPr>
              <w:widowControl/>
              <w:kinsoku w:val="0"/>
              <w:autoSpaceDE w:val="0"/>
              <w:autoSpaceDN w:val="0"/>
              <w:adjustRightInd w:val="0"/>
              <w:snapToGrid w:val="0"/>
              <w:spacing w:before="78" w:line="228" w:lineRule="auto"/>
              <w:ind w:left="397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9"/>
                <w:kern w:val="0"/>
                <w:sz w:val="19"/>
                <w:szCs w:val="19"/>
                <w:lang w:eastAsia="en-US"/>
              </w:rPr>
              <w:t>第二十条第（八）项</w:t>
            </w:r>
          </w:p>
        </w:tc>
      </w:tr>
      <w:tr w14:paraId="357B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2441" w:type="dxa"/>
            <w:vAlign w:val="top"/>
          </w:tcPr>
          <w:p w14:paraId="22B2EE5A">
            <w:pPr>
              <w:widowControl/>
              <w:kinsoku w:val="0"/>
              <w:autoSpaceDE w:val="0"/>
              <w:autoSpaceDN w:val="0"/>
              <w:adjustRightInd w:val="0"/>
              <w:snapToGrid w:val="0"/>
              <w:spacing w:before="79" w:line="228" w:lineRule="auto"/>
              <w:ind w:left="81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信息内容</w:t>
            </w:r>
          </w:p>
        </w:tc>
        <w:tc>
          <w:tcPr>
            <w:tcW w:w="7303" w:type="dxa"/>
            <w:gridSpan w:val="3"/>
            <w:vAlign w:val="top"/>
          </w:tcPr>
          <w:p w14:paraId="040292D1">
            <w:pPr>
              <w:widowControl/>
              <w:kinsoku w:val="0"/>
              <w:autoSpaceDE w:val="0"/>
              <w:autoSpaceDN w:val="0"/>
              <w:adjustRightInd w:val="0"/>
              <w:snapToGrid w:val="0"/>
              <w:spacing w:before="79" w:line="227" w:lineRule="auto"/>
              <w:ind w:left="2350"/>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本年收费金额（单位：万元）</w:t>
            </w:r>
          </w:p>
        </w:tc>
      </w:tr>
      <w:tr w14:paraId="2600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2441" w:type="dxa"/>
            <w:vAlign w:val="top"/>
          </w:tcPr>
          <w:p w14:paraId="6709F260">
            <w:pPr>
              <w:widowControl/>
              <w:kinsoku w:val="0"/>
              <w:autoSpaceDE w:val="0"/>
              <w:autoSpaceDN w:val="0"/>
              <w:adjustRightInd w:val="0"/>
              <w:snapToGrid w:val="0"/>
              <w:spacing w:before="80" w:line="228" w:lineRule="auto"/>
              <w:ind w:left="6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行政事业性收费</w:t>
            </w:r>
          </w:p>
        </w:tc>
        <w:tc>
          <w:tcPr>
            <w:tcW w:w="7303" w:type="dxa"/>
            <w:gridSpan w:val="3"/>
            <w:vAlign w:val="top"/>
          </w:tcPr>
          <w:p w14:paraId="73172EBE">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r>
    </w:tbl>
    <w:p w14:paraId="2737BB63">
      <w:pPr>
        <w:numPr>
          <w:ilvl w:val="0"/>
          <w:numId w:val="0"/>
        </w:numPr>
        <w:ind w:firstLine="640" w:firstLineChars="200"/>
        <w:jc w:val="left"/>
        <w:rPr>
          <w:rFonts w:hint="eastAsia" w:ascii="黑体" w:hAnsi="黑体" w:eastAsia="黑体" w:cs="黑体"/>
          <w:i w:val="0"/>
          <w:iCs w:val="0"/>
          <w:caps w:val="0"/>
          <w:color w:val="000000"/>
          <w:spacing w:val="0"/>
          <w:sz w:val="32"/>
          <w:szCs w:val="32"/>
          <w:shd w:val="clear" w:fill="FFFFFF"/>
          <w:lang w:eastAsia="en-US"/>
        </w:rPr>
      </w:pPr>
      <w:r>
        <w:rPr>
          <w:rFonts w:hint="eastAsia" w:ascii="黑体" w:hAnsi="黑体" w:eastAsia="黑体" w:cs="黑体"/>
          <w:i w:val="0"/>
          <w:iCs w:val="0"/>
          <w:caps w:val="0"/>
          <w:color w:val="000000"/>
          <w:spacing w:val="0"/>
          <w:sz w:val="32"/>
          <w:szCs w:val="32"/>
          <w:shd w:val="clear" w:fill="FFFFFF"/>
          <w:lang w:eastAsia="en-US"/>
        </w:rPr>
        <w:t>三、收到和处理政府信息公开申请情况</w:t>
      </w:r>
    </w:p>
    <w:tbl>
      <w:tblPr>
        <w:tblStyle w:val="5"/>
        <w:tblW w:w="97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5"/>
        <w:gridCol w:w="942"/>
        <w:gridCol w:w="3214"/>
        <w:gridCol w:w="687"/>
        <w:gridCol w:w="687"/>
        <w:gridCol w:w="687"/>
        <w:gridCol w:w="687"/>
        <w:gridCol w:w="687"/>
        <w:gridCol w:w="687"/>
        <w:gridCol w:w="696"/>
      </w:tblGrid>
      <w:tr w14:paraId="13BD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931" w:type="dxa"/>
            <w:gridSpan w:val="3"/>
            <w:vMerge w:val="restart"/>
            <w:tcBorders>
              <w:bottom w:val="nil"/>
            </w:tcBorders>
            <w:vAlign w:val="top"/>
          </w:tcPr>
          <w:p w14:paraId="6FDBDB30">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C288B1F">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C70CE0E">
            <w:pPr>
              <w:widowControl/>
              <w:kinsoku w:val="0"/>
              <w:autoSpaceDE w:val="0"/>
              <w:autoSpaceDN w:val="0"/>
              <w:adjustRightInd w:val="0"/>
              <w:snapToGrid w:val="0"/>
              <w:spacing w:before="62" w:line="286" w:lineRule="auto"/>
              <w:ind w:left="121" w:right="101" w:firstLine="6"/>
              <w:jc w:val="left"/>
              <w:textAlignment w:val="baseline"/>
              <w:rPr>
                <w:rFonts w:ascii="楷体" w:hAnsi="楷体" w:eastAsia="楷体" w:cs="楷体"/>
                <w:snapToGrid w:val="0"/>
                <w:color w:val="000000"/>
                <w:kern w:val="0"/>
                <w:sz w:val="19"/>
                <w:szCs w:val="19"/>
                <w:lang w:eastAsia="en-US"/>
              </w:rPr>
            </w:pPr>
            <w:r>
              <w:rPr>
                <w:rFonts w:ascii="楷体" w:hAnsi="楷体" w:eastAsia="楷体" w:cs="楷体"/>
                <w:snapToGrid w:val="0"/>
                <w:color w:val="000000"/>
                <w:spacing w:val="5"/>
                <w:kern w:val="0"/>
                <w:sz w:val="19"/>
                <w:szCs w:val="19"/>
                <w:lang w:eastAsia="en-US"/>
              </w:rPr>
              <w:t>（本列数据的勾稽关系为：第一项加第二项之和，等于</w:t>
            </w:r>
            <w:r>
              <w:rPr>
                <w:rFonts w:ascii="楷体" w:hAnsi="楷体" w:eastAsia="楷体" w:cs="楷体"/>
                <w:snapToGrid w:val="0"/>
                <w:color w:val="000000"/>
                <w:spacing w:val="7"/>
                <w:kern w:val="0"/>
                <w:sz w:val="19"/>
                <w:szCs w:val="19"/>
                <w:lang w:eastAsia="en-US"/>
              </w:rPr>
              <w:t>第三项加第四项之和）</w:t>
            </w:r>
          </w:p>
        </w:tc>
        <w:tc>
          <w:tcPr>
            <w:tcW w:w="4818" w:type="dxa"/>
            <w:gridSpan w:val="7"/>
            <w:vAlign w:val="top"/>
          </w:tcPr>
          <w:p w14:paraId="68EE145E">
            <w:pPr>
              <w:widowControl/>
              <w:kinsoku w:val="0"/>
              <w:autoSpaceDE w:val="0"/>
              <w:autoSpaceDN w:val="0"/>
              <w:adjustRightInd w:val="0"/>
              <w:snapToGrid w:val="0"/>
              <w:spacing w:before="60" w:line="228" w:lineRule="auto"/>
              <w:ind w:left="1932"/>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申请人情况</w:t>
            </w:r>
          </w:p>
        </w:tc>
      </w:tr>
      <w:tr w14:paraId="0109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931" w:type="dxa"/>
            <w:gridSpan w:val="3"/>
            <w:vMerge w:val="continue"/>
            <w:tcBorders>
              <w:top w:val="nil"/>
              <w:bottom w:val="nil"/>
            </w:tcBorders>
            <w:vAlign w:val="top"/>
          </w:tcPr>
          <w:p w14:paraId="5AADF1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Merge w:val="restart"/>
            <w:tcBorders>
              <w:bottom w:val="nil"/>
            </w:tcBorders>
            <w:vAlign w:val="top"/>
          </w:tcPr>
          <w:p w14:paraId="55BC6C22">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14:paraId="6496D94A">
            <w:pPr>
              <w:widowControl/>
              <w:kinsoku w:val="0"/>
              <w:autoSpaceDE w:val="0"/>
              <w:autoSpaceDN w:val="0"/>
              <w:adjustRightInd w:val="0"/>
              <w:snapToGrid w:val="0"/>
              <w:spacing w:before="61" w:line="290" w:lineRule="auto"/>
              <w:ind w:left="244" w:right="138" w:hanging="69"/>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12"/>
                <w:kern w:val="0"/>
                <w:sz w:val="19"/>
                <w:szCs w:val="19"/>
                <w:lang w:eastAsia="en-US"/>
              </w:rPr>
              <w:t>自然</w:t>
            </w:r>
            <w:r>
              <w:rPr>
                <w:rFonts w:ascii="宋体" w:hAnsi="宋体" w:eastAsia="宋体" w:cs="宋体"/>
                <w:snapToGrid w:val="0"/>
                <w:color w:val="000000"/>
                <w:kern w:val="0"/>
                <w:sz w:val="19"/>
                <w:szCs w:val="19"/>
                <w:lang w:eastAsia="en-US"/>
              </w:rPr>
              <w:t>人</w:t>
            </w:r>
          </w:p>
        </w:tc>
        <w:tc>
          <w:tcPr>
            <w:tcW w:w="3435" w:type="dxa"/>
            <w:gridSpan w:val="5"/>
            <w:vAlign w:val="top"/>
          </w:tcPr>
          <w:p w14:paraId="281637C9">
            <w:pPr>
              <w:widowControl/>
              <w:kinsoku w:val="0"/>
              <w:autoSpaceDE w:val="0"/>
              <w:autoSpaceDN w:val="0"/>
              <w:adjustRightInd w:val="0"/>
              <w:snapToGrid w:val="0"/>
              <w:spacing w:before="54" w:line="229" w:lineRule="auto"/>
              <w:ind w:left="102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法人或其他组织</w:t>
            </w:r>
          </w:p>
        </w:tc>
        <w:tc>
          <w:tcPr>
            <w:tcW w:w="696" w:type="dxa"/>
            <w:vMerge w:val="restart"/>
            <w:tcBorders>
              <w:bottom w:val="nil"/>
            </w:tcBorders>
            <w:vAlign w:val="top"/>
          </w:tcPr>
          <w:p w14:paraId="395DBEE7">
            <w:pPr>
              <w:widowControl/>
              <w:kinsoku w:val="0"/>
              <w:autoSpaceDE w:val="0"/>
              <w:autoSpaceDN w:val="0"/>
              <w:adjustRightInd w:val="0"/>
              <w:snapToGrid w:val="0"/>
              <w:spacing w:line="466" w:lineRule="auto"/>
              <w:jc w:val="left"/>
              <w:textAlignment w:val="baseline"/>
              <w:rPr>
                <w:rFonts w:ascii="Arial" w:hAnsi="Arial" w:eastAsia="Arial" w:cs="Arial"/>
                <w:snapToGrid w:val="0"/>
                <w:color w:val="000000"/>
                <w:kern w:val="0"/>
                <w:sz w:val="21"/>
                <w:szCs w:val="21"/>
                <w:lang w:eastAsia="en-US"/>
              </w:rPr>
            </w:pPr>
          </w:p>
          <w:p w14:paraId="070E0AEB">
            <w:pPr>
              <w:widowControl/>
              <w:kinsoku w:val="0"/>
              <w:autoSpaceDE w:val="0"/>
              <w:autoSpaceDN w:val="0"/>
              <w:adjustRightInd w:val="0"/>
              <w:snapToGrid w:val="0"/>
              <w:spacing w:before="62" w:line="230" w:lineRule="auto"/>
              <w:ind w:left="154"/>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总计</w:t>
            </w:r>
          </w:p>
        </w:tc>
      </w:tr>
      <w:tr w14:paraId="2043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4931" w:type="dxa"/>
            <w:gridSpan w:val="3"/>
            <w:vMerge w:val="continue"/>
            <w:tcBorders>
              <w:top w:val="nil"/>
            </w:tcBorders>
            <w:vAlign w:val="top"/>
          </w:tcPr>
          <w:p w14:paraId="087F94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Merge w:val="continue"/>
            <w:tcBorders>
              <w:top w:val="nil"/>
            </w:tcBorders>
            <w:vAlign w:val="top"/>
          </w:tcPr>
          <w:p w14:paraId="1B9AE97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Align w:val="top"/>
          </w:tcPr>
          <w:p w14:paraId="6A127F28">
            <w:pPr>
              <w:widowControl/>
              <w:kinsoku w:val="0"/>
              <w:autoSpaceDE w:val="0"/>
              <w:autoSpaceDN w:val="0"/>
              <w:adjustRightInd w:val="0"/>
              <w:snapToGrid w:val="0"/>
              <w:spacing w:before="211" w:line="293" w:lineRule="auto"/>
              <w:ind w:left="148" w:right="13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商业企业</w:t>
            </w:r>
          </w:p>
        </w:tc>
        <w:tc>
          <w:tcPr>
            <w:tcW w:w="687" w:type="dxa"/>
            <w:vAlign w:val="top"/>
          </w:tcPr>
          <w:p w14:paraId="6A33D8D2">
            <w:pPr>
              <w:widowControl/>
              <w:kinsoku w:val="0"/>
              <w:autoSpaceDE w:val="0"/>
              <w:autoSpaceDN w:val="0"/>
              <w:adjustRightInd w:val="0"/>
              <w:snapToGrid w:val="0"/>
              <w:spacing w:before="210" w:line="288" w:lineRule="auto"/>
              <w:ind w:left="145" w:right="134"/>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科研机构</w:t>
            </w:r>
          </w:p>
        </w:tc>
        <w:tc>
          <w:tcPr>
            <w:tcW w:w="687" w:type="dxa"/>
            <w:vAlign w:val="top"/>
          </w:tcPr>
          <w:p w14:paraId="40FAE523">
            <w:pPr>
              <w:widowControl/>
              <w:kinsoku w:val="0"/>
              <w:autoSpaceDE w:val="0"/>
              <w:autoSpaceDN w:val="0"/>
              <w:adjustRightInd w:val="0"/>
              <w:snapToGrid w:val="0"/>
              <w:spacing w:before="53" w:line="283" w:lineRule="auto"/>
              <w:ind w:left="147" w:right="135"/>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社会公益组织</w:t>
            </w:r>
          </w:p>
        </w:tc>
        <w:tc>
          <w:tcPr>
            <w:tcW w:w="687" w:type="dxa"/>
            <w:vAlign w:val="top"/>
          </w:tcPr>
          <w:p w14:paraId="05A98D42">
            <w:pPr>
              <w:widowControl/>
              <w:kinsoku w:val="0"/>
              <w:autoSpaceDE w:val="0"/>
              <w:autoSpaceDN w:val="0"/>
              <w:adjustRightInd w:val="0"/>
              <w:snapToGrid w:val="0"/>
              <w:spacing w:before="53" w:line="283" w:lineRule="auto"/>
              <w:ind w:left="147" w:right="133" w:firstLine="1"/>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法律</w:t>
            </w:r>
            <w:r>
              <w:rPr>
                <w:rFonts w:ascii="宋体" w:hAnsi="宋体" w:eastAsia="宋体" w:cs="宋体"/>
                <w:snapToGrid w:val="0"/>
                <w:color w:val="000000"/>
                <w:spacing w:val="5"/>
                <w:kern w:val="0"/>
                <w:sz w:val="19"/>
                <w:szCs w:val="19"/>
                <w:lang w:eastAsia="en-US"/>
              </w:rPr>
              <w:t>服务机构</w:t>
            </w:r>
          </w:p>
        </w:tc>
        <w:tc>
          <w:tcPr>
            <w:tcW w:w="687" w:type="dxa"/>
            <w:vAlign w:val="top"/>
          </w:tcPr>
          <w:p w14:paraId="147381E0">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14:paraId="07BA011A">
            <w:pPr>
              <w:widowControl/>
              <w:kinsoku w:val="0"/>
              <w:autoSpaceDE w:val="0"/>
              <w:autoSpaceDN w:val="0"/>
              <w:adjustRightInd w:val="0"/>
              <w:snapToGrid w:val="0"/>
              <w:spacing w:before="62" w:line="229" w:lineRule="auto"/>
              <w:ind w:left="150"/>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其他</w:t>
            </w:r>
          </w:p>
        </w:tc>
        <w:tc>
          <w:tcPr>
            <w:tcW w:w="696" w:type="dxa"/>
            <w:vMerge w:val="continue"/>
            <w:tcBorders>
              <w:top w:val="nil"/>
            </w:tcBorders>
            <w:vAlign w:val="top"/>
          </w:tcPr>
          <w:p w14:paraId="714005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C4A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931" w:type="dxa"/>
            <w:gridSpan w:val="3"/>
            <w:vAlign w:val="top"/>
          </w:tcPr>
          <w:p w14:paraId="642952E5">
            <w:pPr>
              <w:widowControl/>
              <w:kinsoku w:val="0"/>
              <w:autoSpaceDE w:val="0"/>
              <w:autoSpaceDN w:val="0"/>
              <w:adjustRightInd w:val="0"/>
              <w:snapToGrid w:val="0"/>
              <w:spacing w:before="58" w:line="227" w:lineRule="auto"/>
              <w:ind w:left="6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9"/>
                <w:kern w:val="0"/>
                <w:sz w:val="19"/>
                <w:szCs w:val="19"/>
                <w:lang w:eastAsia="en-US"/>
              </w:rPr>
              <w:t>一、本年新收政府信息公开申请数量</w:t>
            </w:r>
          </w:p>
        </w:tc>
        <w:tc>
          <w:tcPr>
            <w:tcW w:w="687" w:type="dxa"/>
            <w:vAlign w:val="top"/>
          </w:tcPr>
          <w:p w14:paraId="3245DE00">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c>
          <w:tcPr>
            <w:tcW w:w="687" w:type="dxa"/>
            <w:vAlign w:val="top"/>
          </w:tcPr>
          <w:p w14:paraId="305D84A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DF37A2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4A8215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58278D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79C69D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17FC0DB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2CD33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931" w:type="dxa"/>
            <w:gridSpan w:val="3"/>
            <w:vAlign w:val="top"/>
          </w:tcPr>
          <w:p w14:paraId="72D41FA3">
            <w:pPr>
              <w:widowControl/>
              <w:kinsoku w:val="0"/>
              <w:autoSpaceDE w:val="0"/>
              <w:autoSpaceDN w:val="0"/>
              <w:adjustRightInd w:val="0"/>
              <w:snapToGrid w:val="0"/>
              <w:spacing w:before="60" w:line="227" w:lineRule="auto"/>
              <w:ind w:left="6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9"/>
                <w:kern w:val="0"/>
                <w:sz w:val="19"/>
                <w:szCs w:val="19"/>
                <w:lang w:eastAsia="en-US"/>
              </w:rPr>
              <w:t>二、上年结转政府信息公开申请数量</w:t>
            </w:r>
          </w:p>
        </w:tc>
        <w:tc>
          <w:tcPr>
            <w:tcW w:w="687" w:type="dxa"/>
            <w:vAlign w:val="top"/>
          </w:tcPr>
          <w:p w14:paraId="352775A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7392A2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F11EE7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D26527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7B7E1F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8E9C12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496E942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5EB2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restart"/>
            <w:tcBorders>
              <w:bottom w:val="nil"/>
            </w:tcBorders>
            <w:vAlign w:val="top"/>
          </w:tcPr>
          <w:p w14:paraId="4D7A4690">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515F41A">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0FF2053">
            <w:pPr>
              <w:widowControl/>
              <w:kinsoku w:val="0"/>
              <w:autoSpaceDE w:val="0"/>
              <w:autoSpaceDN w:val="0"/>
              <w:adjustRightInd w:val="0"/>
              <w:snapToGrid w:val="0"/>
              <w:spacing w:before="62" w:line="294" w:lineRule="auto"/>
              <w:ind w:left="58" w:right="109"/>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三、本年度办理结果</w:t>
            </w:r>
          </w:p>
        </w:tc>
        <w:tc>
          <w:tcPr>
            <w:tcW w:w="4156" w:type="dxa"/>
            <w:gridSpan w:val="2"/>
            <w:vAlign w:val="top"/>
          </w:tcPr>
          <w:p w14:paraId="7A488AB7">
            <w:pPr>
              <w:widowControl/>
              <w:kinsoku w:val="0"/>
              <w:autoSpaceDE w:val="0"/>
              <w:autoSpaceDN w:val="0"/>
              <w:adjustRightInd w:val="0"/>
              <w:snapToGrid w:val="0"/>
              <w:spacing w:before="60" w:line="230" w:lineRule="auto"/>
              <w:ind w:left="6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（一）予以公开</w:t>
            </w:r>
          </w:p>
        </w:tc>
        <w:tc>
          <w:tcPr>
            <w:tcW w:w="687" w:type="dxa"/>
            <w:vAlign w:val="top"/>
          </w:tcPr>
          <w:p w14:paraId="70BD49D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CB2F67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71AE01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C6025B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3F67F9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A36386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6D6BA5C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079D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75" w:type="dxa"/>
            <w:vMerge w:val="continue"/>
            <w:tcBorders>
              <w:top w:val="nil"/>
              <w:bottom w:val="nil"/>
            </w:tcBorders>
            <w:vAlign w:val="top"/>
          </w:tcPr>
          <w:p w14:paraId="1AE38C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156" w:type="dxa"/>
            <w:gridSpan w:val="2"/>
            <w:vAlign w:val="top"/>
          </w:tcPr>
          <w:p w14:paraId="10CF34B1">
            <w:pPr>
              <w:widowControl/>
              <w:kinsoku w:val="0"/>
              <w:autoSpaceDE w:val="0"/>
              <w:autoSpaceDN w:val="0"/>
              <w:adjustRightInd w:val="0"/>
              <w:snapToGrid w:val="0"/>
              <w:spacing w:before="61" w:line="270" w:lineRule="auto"/>
              <w:ind w:left="53" w:firstLine="7"/>
              <w:jc w:val="left"/>
              <w:textAlignment w:val="baseline"/>
              <w:rPr>
                <w:rFonts w:ascii="楷体" w:hAnsi="楷体" w:eastAsia="楷体" w:cs="楷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（二）部分公开</w:t>
            </w:r>
            <w:r>
              <w:rPr>
                <w:rFonts w:ascii="楷体" w:hAnsi="楷体" w:eastAsia="楷体" w:cs="楷体"/>
                <w:snapToGrid w:val="0"/>
                <w:color w:val="000000"/>
                <w:spacing w:val="4"/>
                <w:kern w:val="0"/>
                <w:sz w:val="19"/>
                <w:szCs w:val="19"/>
                <w:lang w:eastAsia="en-US"/>
              </w:rPr>
              <w:t>（区分处理的，只计这一情形，</w:t>
            </w:r>
            <w:r>
              <w:rPr>
                <w:rFonts w:ascii="楷体" w:hAnsi="楷体" w:eastAsia="楷体" w:cs="楷体"/>
                <w:snapToGrid w:val="0"/>
                <w:color w:val="000000"/>
                <w:spacing w:val="6"/>
                <w:kern w:val="0"/>
                <w:sz w:val="19"/>
                <w:szCs w:val="19"/>
                <w:lang w:eastAsia="en-US"/>
              </w:rPr>
              <w:t>不计其他情形）</w:t>
            </w:r>
          </w:p>
        </w:tc>
        <w:tc>
          <w:tcPr>
            <w:tcW w:w="687" w:type="dxa"/>
            <w:vAlign w:val="top"/>
          </w:tcPr>
          <w:p w14:paraId="630D2A3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C53DF3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E24F8C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BF05F2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83DAEC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ABFA93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10360B7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09C65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34E52B7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14:paraId="0D0550FD">
            <w:pPr>
              <w:widowControl/>
              <w:kinsoku w:val="0"/>
              <w:autoSpaceDE w:val="0"/>
              <w:autoSpaceDN w:val="0"/>
              <w:adjustRightInd w:val="0"/>
              <w:snapToGrid w:val="0"/>
              <w:spacing w:before="239" w:line="289" w:lineRule="auto"/>
              <w:ind w:left="57" w:right="84" w:firstLine="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（三）不予公开</w:t>
            </w:r>
          </w:p>
        </w:tc>
        <w:tc>
          <w:tcPr>
            <w:tcW w:w="3214" w:type="dxa"/>
            <w:vAlign w:val="top"/>
          </w:tcPr>
          <w:p w14:paraId="7022080D">
            <w:pPr>
              <w:widowControl/>
              <w:kinsoku w:val="0"/>
              <w:autoSpaceDE w:val="0"/>
              <w:autoSpaceDN w:val="0"/>
              <w:adjustRightInd w:val="0"/>
              <w:snapToGrid w:val="0"/>
              <w:spacing w:before="64" w:line="228" w:lineRule="auto"/>
              <w:ind w:left="67"/>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5"/>
                <w:kern w:val="0"/>
                <w:sz w:val="19"/>
                <w:szCs w:val="19"/>
                <w:lang w:eastAsia="en-US"/>
              </w:rPr>
              <w:t>1</w:t>
            </w:r>
            <w:r>
              <w:rPr>
                <w:rFonts w:ascii="宋体" w:hAnsi="宋体" w:eastAsia="宋体" w:cs="宋体"/>
                <w:snapToGrid w:val="0"/>
                <w:color w:val="000000"/>
                <w:spacing w:val="5"/>
                <w:kern w:val="0"/>
                <w:sz w:val="19"/>
                <w:szCs w:val="19"/>
                <w:lang w:eastAsia="en-US"/>
              </w:rPr>
              <w:t>.属于国家秘密</w:t>
            </w:r>
          </w:p>
        </w:tc>
        <w:tc>
          <w:tcPr>
            <w:tcW w:w="687" w:type="dxa"/>
            <w:vAlign w:val="top"/>
          </w:tcPr>
          <w:p w14:paraId="397543C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F96215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1CD1F1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583633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606094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EE29A7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58796C8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0514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716FEC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51C2E9F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7E593248">
            <w:pPr>
              <w:widowControl/>
              <w:kinsoku w:val="0"/>
              <w:autoSpaceDE w:val="0"/>
              <w:autoSpaceDN w:val="0"/>
              <w:adjustRightInd w:val="0"/>
              <w:snapToGrid w:val="0"/>
              <w:spacing w:before="64" w:line="228" w:lineRule="auto"/>
              <w:ind w:left="54"/>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8"/>
                <w:kern w:val="0"/>
                <w:sz w:val="19"/>
                <w:szCs w:val="19"/>
                <w:lang w:eastAsia="en-US"/>
              </w:rPr>
              <w:t>2</w:t>
            </w:r>
            <w:r>
              <w:rPr>
                <w:rFonts w:ascii="宋体" w:hAnsi="宋体" w:eastAsia="宋体" w:cs="宋体"/>
                <w:snapToGrid w:val="0"/>
                <w:color w:val="000000"/>
                <w:spacing w:val="8"/>
                <w:kern w:val="0"/>
                <w:sz w:val="19"/>
                <w:szCs w:val="19"/>
                <w:lang w:eastAsia="en-US"/>
              </w:rPr>
              <w:t>.其他法律行政法规禁止公开</w:t>
            </w:r>
          </w:p>
        </w:tc>
        <w:tc>
          <w:tcPr>
            <w:tcW w:w="687" w:type="dxa"/>
            <w:vAlign w:val="top"/>
          </w:tcPr>
          <w:p w14:paraId="64EFF01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3972D5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E86743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4B37C4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2ACD3A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444138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794CE05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3F4B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775" w:type="dxa"/>
            <w:vMerge w:val="continue"/>
            <w:tcBorders>
              <w:top w:val="nil"/>
            </w:tcBorders>
            <w:vAlign w:val="top"/>
          </w:tcPr>
          <w:p w14:paraId="03789D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6E6B2C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3435CF78">
            <w:pPr>
              <w:widowControl/>
              <w:kinsoku w:val="0"/>
              <w:autoSpaceDE w:val="0"/>
              <w:autoSpaceDN w:val="0"/>
              <w:adjustRightInd w:val="0"/>
              <w:snapToGrid w:val="0"/>
              <w:spacing w:before="64" w:line="228" w:lineRule="auto"/>
              <w:ind w:left="56"/>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13"/>
                <w:kern w:val="0"/>
                <w:sz w:val="19"/>
                <w:szCs w:val="19"/>
                <w:lang w:eastAsia="en-US"/>
              </w:rPr>
              <w:t>3</w:t>
            </w:r>
            <w:r>
              <w:rPr>
                <w:rFonts w:ascii="宋体" w:hAnsi="宋体" w:eastAsia="宋体" w:cs="宋体"/>
                <w:snapToGrid w:val="0"/>
                <w:color w:val="000000"/>
                <w:spacing w:val="13"/>
                <w:kern w:val="0"/>
                <w:sz w:val="19"/>
                <w:szCs w:val="19"/>
                <w:lang w:eastAsia="en-US"/>
              </w:rPr>
              <w:t>.危及“三安全一稳定”</w:t>
            </w:r>
          </w:p>
        </w:tc>
        <w:tc>
          <w:tcPr>
            <w:tcW w:w="687" w:type="dxa"/>
            <w:vAlign w:val="top"/>
          </w:tcPr>
          <w:p w14:paraId="60580F9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549092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40943C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033752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AF9264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51E023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3C3B69C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bl>
    <w:tbl>
      <w:tblPr>
        <w:tblStyle w:val="5"/>
        <w:tblpPr w:leftFromText="180" w:rightFromText="180" w:vertAnchor="text" w:horzAnchor="page" w:tblpX="1116" w:tblpY="16"/>
        <w:tblOverlap w:val="never"/>
        <w:tblW w:w="97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5"/>
        <w:gridCol w:w="942"/>
        <w:gridCol w:w="3214"/>
        <w:gridCol w:w="687"/>
        <w:gridCol w:w="687"/>
        <w:gridCol w:w="687"/>
        <w:gridCol w:w="687"/>
        <w:gridCol w:w="687"/>
        <w:gridCol w:w="687"/>
        <w:gridCol w:w="696"/>
      </w:tblGrid>
      <w:tr w14:paraId="513C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1" w:hRule="atLeast"/>
        </w:trPr>
        <w:tc>
          <w:tcPr>
            <w:tcW w:w="775" w:type="dxa"/>
            <w:vMerge w:val="restart"/>
            <w:tcBorders>
              <w:top w:val="nil"/>
              <w:bottom w:val="nil"/>
            </w:tcBorders>
            <w:vAlign w:val="top"/>
          </w:tcPr>
          <w:p w14:paraId="196D19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top w:val="nil"/>
              <w:bottom w:val="nil"/>
            </w:tcBorders>
            <w:vAlign w:val="top"/>
          </w:tcPr>
          <w:p w14:paraId="6BBD7B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tcBorders>
              <w:top w:val="nil"/>
            </w:tcBorders>
            <w:vAlign w:val="top"/>
          </w:tcPr>
          <w:p w14:paraId="76F83BB8">
            <w:pPr>
              <w:widowControl/>
              <w:kinsoku w:val="0"/>
              <w:autoSpaceDE w:val="0"/>
              <w:autoSpaceDN w:val="0"/>
              <w:adjustRightInd w:val="0"/>
              <w:snapToGrid w:val="0"/>
              <w:spacing w:before="77" w:line="228" w:lineRule="auto"/>
              <w:ind w:left="51"/>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8"/>
                <w:kern w:val="0"/>
                <w:sz w:val="19"/>
                <w:szCs w:val="19"/>
                <w:lang w:eastAsia="en-US"/>
              </w:rPr>
              <w:t>4</w:t>
            </w:r>
            <w:r>
              <w:rPr>
                <w:rFonts w:ascii="宋体" w:hAnsi="宋体" w:eastAsia="宋体" w:cs="宋体"/>
                <w:snapToGrid w:val="0"/>
                <w:color w:val="000000"/>
                <w:spacing w:val="8"/>
                <w:kern w:val="0"/>
                <w:sz w:val="19"/>
                <w:szCs w:val="19"/>
                <w:lang w:eastAsia="en-US"/>
              </w:rPr>
              <w:t>.保护第三方合法权益</w:t>
            </w:r>
          </w:p>
        </w:tc>
        <w:tc>
          <w:tcPr>
            <w:tcW w:w="687" w:type="dxa"/>
            <w:tcBorders>
              <w:top w:val="nil"/>
            </w:tcBorders>
            <w:vAlign w:val="top"/>
          </w:tcPr>
          <w:p w14:paraId="735101A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tcBorders>
              <w:top w:val="nil"/>
            </w:tcBorders>
            <w:vAlign w:val="top"/>
          </w:tcPr>
          <w:p w14:paraId="194F363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tcBorders>
              <w:top w:val="nil"/>
            </w:tcBorders>
            <w:vAlign w:val="top"/>
          </w:tcPr>
          <w:p w14:paraId="5AEAA76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tcBorders>
              <w:top w:val="nil"/>
            </w:tcBorders>
            <w:vAlign w:val="top"/>
          </w:tcPr>
          <w:p w14:paraId="0BA06B7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tcBorders>
              <w:top w:val="nil"/>
            </w:tcBorders>
            <w:vAlign w:val="top"/>
          </w:tcPr>
          <w:p w14:paraId="3751BD8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tcBorders>
              <w:top w:val="nil"/>
            </w:tcBorders>
            <w:vAlign w:val="top"/>
          </w:tcPr>
          <w:p w14:paraId="5327959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tcBorders>
              <w:top w:val="nil"/>
            </w:tcBorders>
            <w:vAlign w:val="top"/>
          </w:tcPr>
          <w:p w14:paraId="3D0331A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3550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714D189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3659037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78B1929C">
            <w:pPr>
              <w:widowControl/>
              <w:kinsoku w:val="0"/>
              <w:autoSpaceDE w:val="0"/>
              <w:autoSpaceDN w:val="0"/>
              <w:adjustRightInd w:val="0"/>
              <w:snapToGrid w:val="0"/>
              <w:spacing w:before="52" w:line="228" w:lineRule="auto"/>
              <w:ind w:left="56"/>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8"/>
                <w:kern w:val="0"/>
                <w:sz w:val="19"/>
                <w:szCs w:val="19"/>
                <w:lang w:eastAsia="en-US"/>
              </w:rPr>
              <w:t>5</w:t>
            </w:r>
            <w:r>
              <w:rPr>
                <w:rFonts w:ascii="宋体" w:hAnsi="宋体" w:eastAsia="宋体" w:cs="宋体"/>
                <w:snapToGrid w:val="0"/>
                <w:color w:val="000000"/>
                <w:spacing w:val="8"/>
                <w:kern w:val="0"/>
                <w:sz w:val="19"/>
                <w:szCs w:val="19"/>
                <w:lang w:eastAsia="en-US"/>
              </w:rPr>
              <w:t>.属于三类内部事务信息</w:t>
            </w:r>
          </w:p>
        </w:tc>
        <w:tc>
          <w:tcPr>
            <w:tcW w:w="687" w:type="dxa"/>
            <w:vAlign w:val="top"/>
          </w:tcPr>
          <w:p w14:paraId="307EDEF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F4FCED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D4BDE2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5F3D30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32EFD2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3C2113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5870EE0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751B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1458A6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750C96B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7FADBFBD">
            <w:pPr>
              <w:widowControl/>
              <w:kinsoku w:val="0"/>
              <w:autoSpaceDE w:val="0"/>
              <w:autoSpaceDN w:val="0"/>
              <w:adjustRightInd w:val="0"/>
              <w:snapToGrid w:val="0"/>
              <w:spacing w:before="53" w:line="228" w:lineRule="auto"/>
              <w:ind w:left="53"/>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8"/>
                <w:kern w:val="0"/>
                <w:sz w:val="19"/>
                <w:szCs w:val="19"/>
                <w:lang w:eastAsia="en-US"/>
              </w:rPr>
              <w:t>6</w:t>
            </w:r>
            <w:r>
              <w:rPr>
                <w:rFonts w:ascii="宋体" w:hAnsi="宋体" w:eastAsia="宋体" w:cs="宋体"/>
                <w:snapToGrid w:val="0"/>
                <w:color w:val="000000"/>
                <w:spacing w:val="8"/>
                <w:kern w:val="0"/>
                <w:sz w:val="19"/>
                <w:szCs w:val="19"/>
                <w:lang w:eastAsia="en-US"/>
              </w:rPr>
              <w:t>.属于四类过程性信息</w:t>
            </w:r>
          </w:p>
        </w:tc>
        <w:tc>
          <w:tcPr>
            <w:tcW w:w="687" w:type="dxa"/>
            <w:vAlign w:val="top"/>
          </w:tcPr>
          <w:p w14:paraId="17C140C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5EDB78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09793F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71E1F7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F47AA0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332656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1151482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359C0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4FE167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15F077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5E3C4F27">
            <w:pPr>
              <w:widowControl/>
              <w:kinsoku w:val="0"/>
              <w:autoSpaceDE w:val="0"/>
              <w:autoSpaceDN w:val="0"/>
              <w:adjustRightInd w:val="0"/>
              <w:snapToGrid w:val="0"/>
              <w:spacing w:before="55" w:line="228" w:lineRule="auto"/>
              <w:ind w:left="57"/>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7"/>
                <w:kern w:val="0"/>
                <w:sz w:val="19"/>
                <w:szCs w:val="19"/>
                <w:lang w:eastAsia="en-US"/>
              </w:rPr>
              <w:t>7</w:t>
            </w:r>
            <w:r>
              <w:rPr>
                <w:rFonts w:ascii="宋体" w:hAnsi="宋体" w:eastAsia="宋体" w:cs="宋体"/>
                <w:snapToGrid w:val="0"/>
                <w:color w:val="000000"/>
                <w:spacing w:val="7"/>
                <w:kern w:val="0"/>
                <w:sz w:val="19"/>
                <w:szCs w:val="19"/>
                <w:lang w:eastAsia="en-US"/>
              </w:rPr>
              <w:t>.属于行政执法案卷</w:t>
            </w:r>
          </w:p>
        </w:tc>
        <w:tc>
          <w:tcPr>
            <w:tcW w:w="687" w:type="dxa"/>
            <w:vAlign w:val="top"/>
          </w:tcPr>
          <w:p w14:paraId="6330BA1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FFB13C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9E5F6B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AE2961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822481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88A636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5CFE263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26CAB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75" w:type="dxa"/>
            <w:vMerge w:val="continue"/>
            <w:tcBorders>
              <w:top w:val="nil"/>
              <w:bottom w:val="nil"/>
            </w:tcBorders>
            <w:vAlign w:val="top"/>
          </w:tcPr>
          <w:p w14:paraId="00381E3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768523C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14B0758A">
            <w:pPr>
              <w:widowControl/>
              <w:kinsoku w:val="0"/>
              <w:autoSpaceDE w:val="0"/>
              <w:autoSpaceDN w:val="0"/>
              <w:adjustRightInd w:val="0"/>
              <w:snapToGrid w:val="0"/>
              <w:spacing w:before="55" w:line="229" w:lineRule="auto"/>
              <w:ind w:left="53"/>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7"/>
                <w:kern w:val="0"/>
                <w:sz w:val="19"/>
                <w:szCs w:val="19"/>
                <w:lang w:eastAsia="en-US"/>
              </w:rPr>
              <w:t>8</w:t>
            </w:r>
            <w:r>
              <w:rPr>
                <w:rFonts w:ascii="宋体" w:hAnsi="宋体" w:eastAsia="宋体" w:cs="宋体"/>
                <w:snapToGrid w:val="0"/>
                <w:color w:val="000000"/>
                <w:spacing w:val="7"/>
                <w:kern w:val="0"/>
                <w:sz w:val="19"/>
                <w:szCs w:val="19"/>
                <w:lang w:eastAsia="en-US"/>
              </w:rPr>
              <w:t>.属于行政查询事项</w:t>
            </w:r>
          </w:p>
        </w:tc>
        <w:tc>
          <w:tcPr>
            <w:tcW w:w="687" w:type="dxa"/>
            <w:vAlign w:val="top"/>
          </w:tcPr>
          <w:p w14:paraId="441C46B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037996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B90E6B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9BA615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E1C740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BA2D32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02ADBBC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40C6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1BAF68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14:paraId="22C0C973">
            <w:pPr>
              <w:widowControl/>
              <w:kinsoku w:val="0"/>
              <w:autoSpaceDE w:val="0"/>
              <w:autoSpaceDN w:val="0"/>
              <w:adjustRightInd w:val="0"/>
              <w:snapToGrid w:val="0"/>
              <w:spacing w:before="232" w:line="288" w:lineRule="auto"/>
              <w:ind w:left="51" w:right="84" w:firstLine="9"/>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（四）无</w:t>
            </w:r>
            <w:r>
              <w:rPr>
                <w:rFonts w:ascii="宋体" w:hAnsi="宋体" w:eastAsia="宋体" w:cs="宋体"/>
                <w:snapToGrid w:val="0"/>
                <w:color w:val="000000"/>
                <w:spacing w:val="7"/>
                <w:kern w:val="0"/>
                <w:sz w:val="19"/>
                <w:szCs w:val="19"/>
                <w:lang w:eastAsia="en-US"/>
              </w:rPr>
              <w:t>法提供</w:t>
            </w:r>
          </w:p>
        </w:tc>
        <w:tc>
          <w:tcPr>
            <w:tcW w:w="3214" w:type="dxa"/>
            <w:vAlign w:val="top"/>
          </w:tcPr>
          <w:p w14:paraId="5541C665">
            <w:pPr>
              <w:widowControl/>
              <w:kinsoku w:val="0"/>
              <w:autoSpaceDE w:val="0"/>
              <w:autoSpaceDN w:val="0"/>
              <w:adjustRightInd w:val="0"/>
              <w:snapToGrid w:val="0"/>
              <w:spacing w:before="55" w:line="227" w:lineRule="auto"/>
              <w:ind w:left="67"/>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7"/>
                <w:kern w:val="0"/>
                <w:sz w:val="19"/>
                <w:szCs w:val="19"/>
                <w:lang w:eastAsia="en-US"/>
              </w:rPr>
              <w:t>1</w:t>
            </w:r>
            <w:r>
              <w:rPr>
                <w:rFonts w:ascii="宋体" w:hAnsi="宋体" w:eastAsia="宋体" w:cs="宋体"/>
                <w:snapToGrid w:val="0"/>
                <w:color w:val="000000"/>
                <w:spacing w:val="7"/>
                <w:kern w:val="0"/>
                <w:sz w:val="19"/>
                <w:szCs w:val="19"/>
                <w:lang w:eastAsia="en-US"/>
              </w:rPr>
              <w:t>.本机关不掌握相关政府信息</w:t>
            </w:r>
          </w:p>
        </w:tc>
        <w:tc>
          <w:tcPr>
            <w:tcW w:w="687" w:type="dxa"/>
            <w:vAlign w:val="top"/>
          </w:tcPr>
          <w:p w14:paraId="009B849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088F0D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206A9F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B510E5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1A7F67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01D512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2E77B45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28A2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2D883B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614EBD8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31EFC3FA">
            <w:pPr>
              <w:widowControl/>
              <w:kinsoku w:val="0"/>
              <w:autoSpaceDE w:val="0"/>
              <w:autoSpaceDN w:val="0"/>
              <w:adjustRightInd w:val="0"/>
              <w:snapToGrid w:val="0"/>
              <w:spacing w:before="57" w:line="228" w:lineRule="auto"/>
              <w:ind w:left="54"/>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8"/>
                <w:kern w:val="0"/>
                <w:sz w:val="19"/>
                <w:szCs w:val="19"/>
                <w:lang w:eastAsia="en-US"/>
              </w:rPr>
              <w:t>2</w:t>
            </w:r>
            <w:r>
              <w:rPr>
                <w:rFonts w:ascii="宋体" w:hAnsi="宋体" w:eastAsia="宋体" w:cs="宋体"/>
                <w:snapToGrid w:val="0"/>
                <w:color w:val="000000"/>
                <w:spacing w:val="8"/>
                <w:kern w:val="0"/>
                <w:sz w:val="19"/>
                <w:szCs w:val="19"/>
                <w:lang w:eastAsia="en-US"/>
              </w:rPr>
              <w:t>.没有现成信息需要另行制作</w:t>
            </w:r>
          </w:p>
        </w:tc>
        <w:tc>
          <w:tcPr>
            <w:tcW w:w="687" w:type="dxa"/>
            <w:vAlign w:val="top"/>
          </w:tcPr>
          <w:p w14:paraId="310E54E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3176AE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4D2C0F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A9F171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99EE9A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1B54BA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344E5DC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3258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052ACA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0DD9F58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2098C072">
            <w:pPr>
              <w:widowControl/>
              <w:kinsoku w:val="0"/>
              <w:autoSpaceDE w:val="0"/>
              <w:autoSpaceDN w:val="0"/>
              <w:adjustRightInd w:val="0"/>
              <w:snapToGrid w:val="0"/>
              <w:spacing w:before="57" w:line="228" w:lineRule="auto"/>
              <w:ind w:left="56"/>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8"/>
                <w:kern w:val="0"/>
                <w:sz w:val="19"/>
                <w:szCs w:val="19"/>
                <w:lang w:eastAsia="en-US"/>
              </w:rPr>
              <w:t>3</w:t>
            </w:r>
            <w:r>
              <w:rPr>
                <w:rFonts w:ascii="宋体" w:hAnsi="宋体" w:eastAsia="宋体" w:cs="宋体"/>
                <w:snapToGrid w:val="0"/>
                <w:color w:val="000000"/>
                <w:spacing w:val="8"/>
                <w:kern w:val="0"/>
                <w:sz w:val="19"/>
                <w:szCs w:val="19"/>
                <w:lang w:eastAsia="en-US"/>
              </w:rPr>
              <w:t>.补正后申请内容仍不明确</w:t>
            </w:r>
          </w:p>
        </w:tc>
        <w:tc>
          <w:tcPr>
            <w:tcW w:w="687" w:type="dxa"/>
            <w:vAlign w:val="top"/>
          </w:tcPr>
          <w:p w14:paraId="75C2F4E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4D919D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661369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A410F7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C017D8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B77883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7251957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66C6B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6089C14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14:paraId="06D30200">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18AEE9D0">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3E04F0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72FF50F">
            <w:pPr>
              <w:widowControl/>
              <w:kinsoku w:val="0"/>
              <w:autoSpaceDE w:val="0"/>
              <w:autoSpaceDN w:val="0"/>
              <w:adjustRightInd w:val="0"/>
              <w:snapToGrid w:val="0"/>
              <w:spacing w:before="62" w:line="289" w:lineRule="auto"/>
              <w:ind w:left="57" w:right="84" w:firstLine="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（五）不予处理</w:t>
            </w:r>
          </w:p>
        </w:tc>
        <w:tc>
          <w:tcPr>
            <w:tcW w:w="3214" w:type="dxa"/>
            <w:vAlign w:val="top"/>
          </w:tcPr>
          <w:p w14:paraId="053CEE26">
            <w:pPr>
              <w:widowControl/>
              <w:kinsoku w:val="0"/>
              <w:autoSpaceDE w:val="0"/>
              <w:autoSpaceDN w:val="0"/>
              <w:adjustRightInd w:val="0"/>
              <w:snapToGrid w:val="0"/>
              <w:spacing w:before="58" w:line="227" w:lineRule="auto"/>
              <w:ind w:left="67"/>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6"/>
                <w:kern w:val="0"/>
                <w:sz w:val="19"/>
                <w:szCs w:val="19"/>
                <w:lang w:eastAsia="en-US"/>
              </w:rPr>
              <w:t>1</w:t>
            </w:r>
            <w:r>
              <w:rPr>
                <w:rFonts w:ascii="宋体" w:hAnsi="宋体" w:eastAsia="宋体" w:cs="宋体"/>
                <w:snapToGrid w:val="0"/>
                <w:color w:val="000000"/>
                <w:spacing w:val="6"/>
                <w:kern w:val="0"/>
                <w:sz w:val="19"/>
                <w:szCs w:val="19"/>
                <w:lang w:eastAsia="en-US"/>
              </w:rPr>
              <w:t>.信访举报投诉类申请</w:t>
            </w:r>
          </w:p>
        </w:tc>
        <w:tc>
          <w:tcPr>
            <w:tcW w:w="687" w:type="dxa"/>
            <w:vAlign w:val="top"/>
          </w:tcPr>
          <w:p w14:paraId="2C1FD06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9CAA53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21E52F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DE78A2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E16B87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8C5328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75F202C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032D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75" w:type="dxa"/>
            <w:vMerge w:val="continue"/>
            <w:tcBorders>
              <w:top w:val="nil"/>
              <w:bottom w:val="nil"/>
            </w:tcBorders>
            <w:vAlign w:val="top"/>
          </w:tcPr>
          <w:p w14:paraId="44D270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781EE7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3869EBAC">
            <w:pPr>
              <w:widowControl/>
              <w:kinsoku w:val="0"/>
              <w:autoSpaceDE w:val="0"/>
              <w:autoSpaceDN w:val="0"/>
              <w:adjustRightInd w:val="0"/>
              <w:snapToGrid w:val="0"/>
              <w:spacing w:before="60" w:line="228" w:lineRule="auto"/>
              <w:ind w:left="54"/>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6"/>
                <w:kern w:val="0"/>
                <w:sz w:val="19"/>
                <w:szCs w:val="19"/>
                <w:lang w:eastAsia="en-US"/>
              </w:rPr>
              <w:t>2</w:t>
            </w:r>
            <w:r>
              <w:rPr>
                <w:rFonts w:ascii="宋体" w:hAnsi="宋体" w:eastAsia="宋体" w:cs="宋体"/>
                <w:snapToGrid w:val="0"/>
                <w:color w:val="000000"/>
                <w:spacing w:val="6"/>
                <w:kern w:val="0"/>
                <w:sz w:val="19"/>
                <w:szCs w:val="19"/>
                <w:lang w:eastAsia="en-US"/>
              </w:rPr>
              <w:t>.重复申请</w:t>
            </w:r>
          </w:p>
        </w:tc>
        <w:tc>
          <w:tcPr>
            <w:tcW w:w="687" w:type="dxa"/>
            <w:vAlign w:val="top"/>
          </w:tcPr>
          <w:p w14:paraId="4303C6D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314DE3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292EDB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F604C8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066226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2CFC16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611AA22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7676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75" w:type="dxa"/>
            <w:vMerge w:val="continue"/>
            <w:tcBorders>
              <w:top w:val="nil"/>
              <w:bottom w:val="nil"/>
            </w:tcBorders>
            <w:vAlign w:val="top"/>
          </w:tcPr>
          <w:p w14:paraId="42D0F5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4121D5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78F70F1A">
            <w:pPr>
              <w:widowControl/>
              <w:kinsoku w:val="0"/>
              <w:autoSpaceDE w:val="0"/>
              <w:autoSpaceDN w:val="0"/>
              <w:adjustRightInd w:val="0"/>
              <w:snapToGrid w:val="0"/>
              <w:spacing w:before="60" w:line="227" w:lineRule="auto"/>
              <w:ind w:left="56"/>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7"/>
                <w:kern w:val="0"/>
                <w:sz w:val="19"/>
                <w:szCs w:val="19"/>
                <w:lang w:eastAsia="en-US"/>
              </w:rPr>
              <w:t>3</w:t>
            </w:r>
            <w:r>
              <w:rPr>
                <w:rFonts w:ascii="宋体" w:hAnsi="宋体" w:eastAsia="宋体" w:cs="宋体"/>
                <w:snapToGrid w:val="0"/>
                <w:color w:val="000000"/>
                <w:spacing w:val="7"/>
                <w:kern w:val="0"/>
                <w:sz w:val="19"/>
                <w:szCs w:val="19"/>
                <w:lang w:eastAsia="en-US"/>
              </w:rPr>
              <w:t>.要求提供公开出版物</w:t>
            </w:r>
          </w:p>
        </w:tc>
        <w:tc>
          <w:tcPr>
            <w:tcW w:w="687" w:type="dxa"/>
            <w:vAlign w:val="top"/>
          </w:tcPr>
          <w:p w14:paraId="2E9C28C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15AC70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765B04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535909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BEDAC2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65B708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112CEC5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3ADCF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3FAA61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54ABF1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3E6C296A">
            <w:pPr>
              <w:widowControl/>
              <w:kinsoku w:val="0"/>
              <w:autoSpaceDE w:val="0"/>
              <w:autoSpaceDN w:val="0"/>
              <w:adjustRightInd w:val="0"/>
              <w:snapToGrid w:val="0"/>
              <w:spacing w:before="59" w:line="228" w:lineRule="auto"/>
              <w:ind w:left="51"/>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8"/>
                <w:kern w:val="0"/>
                <w:sz w:val="19"/>
                <w:szCs w:val="19"/>
                <w:lang w:eastAsia="en-US"/>
              </w:rPr>
              <w:t>4</w:t>
            </w:r>
            <w:r>
              <w:rPr>
                <w:rFonts w:ascii="宋体" w:hAnsi="宋体" w:eastAsia="宋体" w:cs="宋体"/>
                <w:snapToGrid w:val="0"/>
                <w:color w:val="000000"/>
                <w:spacing w:val="8"/>
                <w:kern w:val="0"/>
                <w:sz w:val="19"/>
                <w:szCs w:val="19"/>
                <w:lang w:eastAsia="en-US"/>
              </w:rPr>
              <w:t>.无正当理由大量反复申请</w:t>
            </w:r>
          </w:p>
        </w:tc>
        <w:tc>
          <w:tcPr>
            <w:tcW w:w="687" w:type="dxa"/>
            <w:vAlign w:val="top"/>
          </w:tcPr>
          <w:p w14:paraId="3B59842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852C21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337D4A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35C70C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8A1E13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B264F8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59206C0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012C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775" w:type="dxa"/>
            <w:vMerge w:val="continue"/>
            <w:tcBorders>
              <w:top w:val="nil"/>
              <w:bottom w:val="nil"/>
            </w:tcBorders>
            <w:vAlign w:val="top"/>
          </w:tcPr>
          <w:p w14:paraId="0449C7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34F2A7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38AE8514">
            <w:pPr>
              <w:widowControl/>
              <w:kinsoku w:val="0"/>
              <w:autoSpaceDE w:val="0"/>
              <w:autoSpaceDN w:val="0"/>
              <w:adjustRightInd w:val="0"/>
              <w:snapToGrid w:val="0"/>
              <w:spacing w:before="139" w:line="288" w:lineRule="auto"/>
              <w:ind w:left="55" w:right="51"/>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15"/>
                <w:kern w:val="0"/>
                <w:sz w:val="19"/>
                <w:szCs w:val="19"/>
                <w:lang w:eastAsia="en-US"/>
              </w:rPr>
              <w:t>5</w:t>
            </w:r>
            <w:r>
              <w:rPr>
                <w:rFonts w:ascii="宋体" w:hAnsi="宋体" w:eastAsia="宋体" w:cs="宋体"/>
                <w:snapToGrid w:val="0"/>
                <w:color w:val="000000"/>
                <w:spacing w:val="15"/>
                <w:kern w:val="0"/>
                <w:sz w:val="19"/>
                <w:szCs w:val="19"/>
                <w:lang w:eastAsia="en-US"/>
              </w:rPr>
              <w:t>.要求行政机关确认或重新出具已</w:t>
            </w:r>
            <w:r>
              <w:rPr>
                <w:rFonts w:ascii="宋体" w:hAnsi="宋体" w:eastAsia="宋体" w:cs="宋体"/>
                <w:snapToGrid w:val="0"/>
                <w:color w:val="000000"/>
                <w:spacing w:val="7"/>
                <w:kern w:val="0"/>
                <w:sz w:val="19"/>
                <w:szCs w:val="19"/>
                <w:lang w:eastAsia="en-US"/>
              </w:rPr>
              <w:t>获取信息</w:t>
            </w:r>
          </w:p>
        </w:tc>
        <w:tc>
          <w:tcPr>
            <w:tcW w:w="687" w:type="dxa"/>
            <w:vAlign w:val="top"/>
          </w:tcPr>
          <w:p w14:paraId="21C17D2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BCB13E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5F6542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E59F3C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38EB7E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A4DA2D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2562B51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2BF97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75" w:type="dxa"/>
            <w:vMerge w:val="continue"/>
            <w:tcBorders>
              <w:top w:val="nil"/>
              <w:bottom w:val="nil"/>
            </w:tcBorders>
            <w:vAlign w:val="top"/>
          </w:tcPr>
          <w:p w14:paraId="4AAF85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14:paraId="5A81FF6D">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2DDFEEDC">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6E829F8C">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00E2EF52">
            <w:pPr>
              <w:widowControl/>
              <w:kinsoku w:val="0"/>
              <w:autoSpaceDE w:val="0"/>
              <w:autoSpaceDN w:val="0"/>
              <w:adjustRightInd w:val="0"/>
              <w:snapToGrid w:val="0"/>
              <w:spacing w:before="62" w:line="289" w:lineRule="auto"/>
              <w:ind w:left="51" w:right="84" w:firstLine="9"/>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（六）其</w:t>
            </w:r>
            <w:r>
              <w:rPr>
                <w:rFonts w:ascii="宋体" w:hAnsi="宋体" w:eastAsia="宋体" w:cs="宋体"/>
                <w:snapToGrid w:val="0"/>
                <w:color w:val="000000"/>
                <w:spacing w:val="7"/>
                <w:kern w:val="0"/>
                <w:sz w:val="19"/>
                <w:szCs w:val="19"/>
                <w:lang w:eastAsia="en-US"/>
              </w:rPr>
              <w:t>他处理</w:t>
            </w:r>
          </w:p>
        </w:tc>
        <w:tc>
          <w:tcPr>
            <w:tcW w:w="3214" w:type="dxa"/>
            <w:vAlign w:val="top"/>
          </w:tcPr>
          <w:p w14:paraId="2CCA6CF2">
            <w:pPr>
              <w:widowControl/>
              <w:kinsoku w:val="0"/>
              <w:autoSpaceDE w:val="0"/>
              <w:autoSpaceDN w:val="0"/>
              <w:adjustRightInd w:val="0"/>
              <w:snapToGrid w:val="0"/>
              <w:spacing w:before="61" w:line="281" w:lineRule="auto"/>
              <w:ind w:left="50" w:right="51" w:firstLine="16"/>
              <w:jc w:val="both"/>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2"/>
                <w:kern w:val="0"/>
                <w:sz w:val="19"/>
                <w:szCs w:val="19"/>
                <w:lang w:eastAsia="en-US"/>
              </w:rPr>
              <w:t>1</w:t>
            </w:r>
            <w:r>
              <w:rPr>
                <w:rFonts w:ascii="宋体" w:hAnsi="宋体" w:eastAsia="宋体" w:cs="宋体"/>
                <w:snapToGrid w:val="0"/>
                <w:color w:val="000000"/>
                <w:spacing w:val="2"/>
                <w:kern w:val="0"/>
                <w:sz w:val="19"/>
                <w:szCs w:val="19"/>
                <w:lang w:eastAsia="en-US"/>
              </w:rPr>
              <w:t>.申请人无正当理由逾期不补正、行</w:t>
            </w:r>
            <w:r>
              <w:rPr>
                <w:rFonts w:ascii="宋体" w:hAnsi="宋体" w:eastAsia="宋体" w:cs="宋体"/>
                <w:snapToGrid w:val="0"/>
                <w:color w:val="000000"/>
                <w:spacing w:val="16"/>
                <w:kern w:val="0"/>
                <w:sz w:val="19"/>
                <w:szCs w:val="19"/>
                <w:lang w:eastAsia="en-US"/>
              </w:rPr>
              <w:t>政机关不再处理其政府信息公开申</w:t>
            </w:r>
            <w:r>
              <w:rPr>
                <w:rFonts w:ascii="宋体" w:hAnsi="宋体" w:eastAsia="宋体" w:cs="宋体"/>
                <w:snapToGrid w:val="0"/>
                <w:color w:val="000000"/>
                <w:spacing w:val="2"/>
                <w:kern w:val="0"/>
                <w:sz w:val="19"/>
                <w:szCs w:val="19"/>
                <w:lang w:eastAsia="en-US"/>
              </w:rPr>
              <w:t>请</w:t>
            </w:r>
          </w:p>
        </w:tc>
        <w:tc>
          <w:tcPr>
            <w:tcW w:w="687" w:type="dxa"/>
            <w:vAlign w:val="top"/>
          </w:tcPr>
          <w:p w14:paraId="6B6C676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F344CB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99FE07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5D3BA2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49E624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720A3A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2432161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1B7D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775" w:type="dxa"/>
            <w:vMerge w:val="continue"/>
            <w:tcBorders>
              <w:top w:val="nil"/>
              <w:bottom w:val="nil"/>
            </w:tcBorders>
            <w:vAlign w:val="top"/>
          </w:tcPr>
          <w:p w14:paraId="2920C8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2EB99E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37941CFB">
            <w:pPr>
              <w:widowControl/>
              <w:kinsoku w:val="0"/>
              <w:autoSpaceDE w:val="0"/>
              <w:autoSpaceDN w:val="0"/>
              <w:adjustRightInd w:val="0"/>
              <w:snapToGrid w:val="0"/>
              <w:spacing w:before="64" w:line="280" w:lineRule="auto"/>
              <w:ind w:left="53" w:right="49"/>
              <w:jc w:val="both"/>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12"/>
                <w:kern w:val="0"/>
                <w:sz w:val="19"/>
                <w:szCs w:val="19"/>
                <w:lang w:eastAsia="en-US"/>
              </w:rPr>
              <w:t>2</w:t>
            </w:r>
            <w:r>
              <w:rPr>
                <w:rFonts w:ascii="宋体" w:hAnsi="宋体" w:eastAsia="宋体" w:cs="宋体"/>
                <w:snapToGrid w:val="0"/>
                <w:color w:val="000000"/>
                <w:spacing w:val="12"/>
                <w:kern w:val="0"/>
                <w:sz w:val="19"/>
                <w:szCs w:val="19"/>
                <w:lang w:eastAsia="en-US"/>
              </w:rPr>
              <w:t>.申请人逾期未按收费通知要求缴</w:t>
            </w:r>
            <w:r>
              <w:rPr>
                <w:rFonts w:ascii="宋体" w:hAnsi="宋体" w:eastAsia="宋体" w:cs="宋体"/>
                <w:snapToGrid w:val="0"/>
                <w:color w:val="000000"/>
                <w:spacing w:val="3"/>
                <w:kern w:val="0"/>
                <w:sz w:val="19"/>
                <w:szCs w:val="19"/>
                <w:lang w:eastAsia="en-US"/>
              </w:rPr>
              <w:t>纳费用、行政机关不再处理其政府信</w:t>
            </w:r>
            <w:r>
              <w:rPr>
                <w:rFonts w:ascii="宋体" w:hAnsi="宋体" w:eastAsia="宋体" w:cs="宋体"/>
                <w:snapToGrid w:val="0"/>
                <w:color w:val="000000"/>
                <w:spacing w:val="7"/>
                <w:kern w:val="0"/>
                <w:sz w:val="19"/>
                <w:szCs w:val="19"/>
                <w:lang w:eastAsia="en-US"/>
              </w:rPr>
              <w:t>息公开申请</w:t>
            </w:r>
          </w:p>
        </w:tc>
        <w:tc>
          <w:tcPr>
            <w:tcW w:w="687" w:type="dxa"/>
            <w:vAlign w:val="top"/>
          </w:tcPr>
          <w:p w14:paraId="62CD4B0D">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p w14:paraId="4ADF29A6">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en-US"/>
              </w:rPr>
            </w:pPr>
          </w:p>
        </w:tc>
        <w:tc>
          <w:tcPr>
            <w:tcW w:w="687" w:type="dxa"/>
            <w:vAlign w:val="top"/>
          </w:tcPr>
          <w:p w14:paraId="16DB103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87E058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4ED717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477AF8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ADB305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2191094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35CAB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5" w:type="dxa"/>
            <w:vMerge w:val="continue"/>
            <w:tcBorders>
              <w:top w:val="nil"/>
              <w:bottom w:val="nil"/>
            </w:tcBorders>
            <w:vAlign w:val="top"/>
          </w:tcPr>
          <w:p w14:paraId="56E3ED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3AAA0D8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4" w:type="dxa"/>
            <w:vAlign w:val="top"/>
          </w:tcPr>
          <w:p w14:paraId="16553734">
            <w:pPr>
              <w:widowControl/>
              <w:kinsoku w:val="0"/>
              <w:autoSpaceDE w:val="0"/>
              <w:autoSpaceDN w:val="0"/>
              <w:adjustRightInd w:val="0"/>
              <w:snapToGrid w:val="0"/>
              <w:spacing w:before="65" w:line="229" w:lineRule="auto"/>
              <w:ind w:left="56"/>
              <w:jc w:val="left"/>
              <w:textAlignment w:val="baseline"/>
              <w:rPr>
                <w:rFonts w:ascii="宋体" w:hAnsi="宋体" w:eastAsia="宋体" w:cs="宋体"/>
                <w:snapToGrid w:val="0"/>
                <w:color w:val="000000"/>
                <w:kern w:val="0"/>
                <w:sz w:val="19"/>
                <w:szCs w:val="19"/>
                <w:lang w:eastAsia="en-US"/>
              </w:rPr>
            </w:pPr>
            <w:r>
              <w:rPr>
                <w:rFonts w:ascii="Times New Roman" w:hAnsi="Times New Roman" w:eastAsia="宋体" w:cs="宋体"/>
                <w:snapToGrid w:val="0"/>
                <w:color w:val="000000"/>
                <w:spacing w:val="3"/>
                <w:kern w:val="0"/>
                <w:sz w:val="19"/>
                <w:szCs w:val="19"/>
                <w:lang w:eastAsia="en-US"/>
              </w:rPr>
              <w:t>3</w:t>
            </w:r>
            <w:r>
              <w:rPr>
                <w:rFonts w:ascii="宋体" w:hAnsi="宋体" w:eastAsia="宋体" w:cs="宋体"/>
                <w:snapToGrid w:val="0"/>
                <w:color w:val="000000"/>
                <w:spacing w:val="3"/>
                <w:kern w:val="0"/>
                <w:sz w:val="19"/>
                <w:szCs w:val="19"/>
                <w:lang w:eastAsia="en-US"/>
              </w:rPr>
              <w:t>.其他</w:t>
            </w:r>
          </w:p>
        </w:tc>
        <w:tc>
          <w:tcPr>
            <w:tcW w:w="687" w:type="dxa"/>
            <w:vAlign w:val="top"/>
          </w:tcPr>
          <w:p w14:paraId="5D4680A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BB6DBC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EED42E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D7EE90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56B2FAF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389500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25BD5FF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40438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75" w:type="dxa"/>
            <w:vMerge w:val="continue"/>
            <w:tcBorders>
              <w:top w:val="nil"/>
            </w:tcBorders>
            <w:vAlign w:val="top"/>
          </w:tcPr>
          <w:p w14:paraId="738B6C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156" w:type="dxa"/>
            <w:gridSpan w:val="2"/>
            <w:vAlign w:val="top"/>
          </w:tcPr>
          <w:p w14:paraId="42294C9B">
            <w:pPr>
              <w:widowControl/>
              <w:kinsoku w:val="0"/>
              <w:autoSpaceDE w:val="0"/>
              <w:autoSpaceDN w:val="0"/>
              <w:adjustRightInd w:val="0"/>
              <w:snapToGrid w:val="0"/>
              <w:spacing w:before="67" w:line="230" w:lineRule="auto"/>
              <w:ind w:left="6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（七）总计</w:t>
            </w:r>
          </w:p>
        </w:tc>
        <w:tc>
          <w:tcPr>
            <w:tcW w:w="687" w:type="dxa"/>
            <w:vAlign w:val="top"/>
          </w:tcPr>
          <w:p w14:paraId="7AB4C69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AF5494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2B9DDE6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BA212D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75D4F4D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428AABA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1A5C35F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r w14:paraId="1243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4931" w:type="dxa"/>
            <w:gridSpan w:val="3"/>
            <w:vAlign w:val="top"/>
          </w:tcPr>
          <w:p w14:paraId="33871D0B">
            <w:pPr>
              <w:widowControl/>
              <w:kinsoku w:val="0"/>
              <w:autoSpaceDE w:val="0"/>
              <w:autoSpaceDN w:val="0"/>
              <w:adjustRightInd w:val="0"/>
              <w:snapToGrid w:val="0"/>
              <w:spacing w:before="67" w:line="228" w:lineRule="auto"/>
              <w:ind w:left="7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四、结转下年度继续办理</w:t>
            </w:r>
          </w:p>
        </w:tc>
        <w:tc>
          <w:tcPr>
            <w:tcW w:w="687" w:type="dxa"/>
            <w:vAlign w:val="top"/>
          </w:tcPr>
          <w:p w14:paraId="3F0B4DC7">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0</w:t>
            </w:r>
          </w:p>
        </w:tc>
        <w:tc>
          <w:tcPr>
            <w:tcW w:w="687" w:type="dxa"/>
            <w:vAlign w:val="top"/>
          </w:tcPr>
          <w:p w14:paraId="6688D19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10C5422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6820168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31ADF04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87" w:type="dxa"/>
            <w:vAlign w:val="top"/>
          </w:tcPr>
          <w:p w14:paraId="0CACF28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96" w:type="dxa"/>
            <w:vAlign w:val="top"/>
          </w:tcPr>
          <w:p w14:paraId="05BC3DA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bl>
    <w:p w14:paraId="18BBD81D">
      <w:pPr>
        <w:rPr>
          <w:rFonts w:ascii="Arial" w:hAnsi="Arial" w:eastAsia="Arial" w:cs="Arial"/>
          <w:sz w:val="21"/>
          <w:szCs w:val="21"/>
        </w:rPr>
        <w:sectPr>
          <w:footerReference r:id="rId3" w:type="default"/>
          <w:pgSz w:w="11906" w:h="16839"/>
          <w:pgMar w:top="1431" w:right="1014" w:bottom="1721" w:left="1127" w:header="0" w:footer="1436" w:gutter="0"/>
          <w:cols w:space="720" w:num="1"/>
        </w:sectPr>
      </w:pPr>
    </w:p>
    <w:p w14:paraId="79751520">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40EDA0A4">
      <w:pPr>
        <w:numPr>
          <w:ilvl w:val="0"/>
          <w:numId w:val="0"/>
        </w:numPr>
        <w:ind w:firstLine="640" w:firstLineChars="200"/>
        <w:jc w:val="left"/>
        <w:rPr>
          <w:rFonts w:hint="eastAsia" w:ascii="黑体" w:hAnsi="黑体" w:eastAsia="黑体" w:cs="黑体"/>
          <w:i w:val="0"/>
          <w:iCs w:val="0"/>
          <w:caps w:val="0"/>
          <w:color w:val="000000"/>
          <w:spacing w:val="0"/>
          <w:sz w:val="32"/>
          <w:szCs w:val="32"/>
          <w:shd w:val="clear" w:fill="FFFFFF"/>
          <w:lang w:eastAsia="en-US"/>
        </w:rPr>
      </w:pPr>
      <w:r>
        <w:rPr>
          <w:rFonts w:hint="eastAsia" w:ascii="黑体" w:hAnsi="黑体" w:eastAsia="黑体" w:cs="黑体"/>
          <w:i w:val="0"/>
          <w:iCs w:val="0"/>
          <w:caps w:val="0"/>
          <w:color w:val="000000"/>
          <w:spacing w:val="0"/>
          <w:sz w:val="32"/>
          <w:szCs w:val="32"/>
          <w:shd w:val="clear" w:fill="FFFFFF"/>
          <w:lang w:eastAsia="en-US"/>
        </w:rPr>
        <w:t>四、政府信息公开行政复议、行政诉讼情况</w:t>
      </w:r>
    </w:p>
    <w:tbl>
      <w:tblPr>
        <w:tblStyle w:val="5"/>
        <w:tblpPr w:leftFromText="180" w:rightFromText="180" w:vertAnchor="text" w:horzAnchor="page" w:tblpX="1236" w:tblpY="111"/>
        <w:tblOverlap w:val="never"/>
        <w:tblW w:w="974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8"/>
        <w:gridCol w:w="648"/>
        <w:gridCol w:w="648"/>
        <w:gridCol w:w="648"/>
        <w:gridCol w:w="648"/>
        <w:gridCol w:w="648"/>
        <w:gridCol w:w="648"/>
        <w:gridCol w:w="649"/>
        <w:gridCol w:w="649"/>
        <w:gridCol w:w="649"/>
        <w:gridCol w:w="649"/>
        <w:gridCol w:w="649"/>
        <w:gridCol w:w="649"/>
        <w:gridCol w:w="649"/>
        <w:gridCol w:w="658"/>
      </w:tblGrid>
      <w:tr w14:paraId="05EFF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250" w:type="dxa"/>
            <w:gridSpan w:val="5"/>
            <w:vAlign w:val="top"/>
          </w:tcPr>
          <w:p w14:paraId="521F1C10">
            <w:pPr>
              <w:widowControl/>
              <w:kinsoku w:val="0"/>
              <w:autoSpaceDE w:val="0"/>
              <w:autoSpaceDN w:val="0"/>
              <w:adjustRightInd w:val="0"/>
              <w:snapToGrid w:val="0"/>
              <w:spacing w:before="62" w:line="229" w:lineRule="auto"/>
              <w:ind w:left="122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行政复议</w:t>
            </w:r>
          </w:p>
        </w:tc>
        <w:tc>
          <w:tcPr>
            <w:tcW w:w="6497" w:type="dxa"/>
            <w:gridSpan w:val="10"/>
            <w:vAlign w:val="top"/>
          </w:tcPr>
          <w:p w14:paraId="49662921">
            <w:pPr>
              <w:widowControl/>
              <w:kinsoku w:val="0"/>
              <w:autoSpaceDE w:val="0"/>
              <w:autoSpaceDN w:val="0"/>
              <w:adjustRightInd w:val="0"/>
              <w:snapToGrid w:val="0"/>
              <w:spacing w:before="62" w:line="229" w:lineRule="auto"/>
              <w:ind w:left="284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行政诉讼</w:t>
            </w:r>
          </w:p>
        </w:tc>
      </w:tr>
      <w:tr w14:paraId="59DF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658" w:type="dxa"/>
            <w:vMerge w:val="restart"/>
            <w:tcBorders>
              <w:bottom w:val="nil"/>
            </w:tcBorders>
            <w:vAlign w:val="top"/>
          </w:tcPr>
          <w:p w14:paraId="505B712B">
            <w:pPr>
              <w:widowControl/>
              <w:kinsoku w:val="0"/>
              <w:autoSpaceDE w:val="0"/>
              <w:autoSpaceDN w:val="0"/>
              <w:adjustRightInd w:val="0"/>
              <w:snapToGrid w:val="0"/>
              <w:spacing w:before="221" w:line="288" w:lineRule="auto"/>
              <w:ind w:left="129" w:right="125" w:firstLine="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结果</w:t>
            </w:r>
            <w:r>
              <w:rPr>
                <w:rFonts w:ascii="宋体" w:hAnsi="宋体" w:eastAsia="宋体" w:cs="宋体"/>
                <w:snapToGrid w:val="0"/>
                <w:color w:val="000000"/>
                <w:spacing w:val="3"/>
                <w:kern w:val="0"/>
                <w:sz w:val="19"/>
                <w:szCs w:val="19"/>
                <w:lang w:eastAsia="en-US"/>
              </w:rPr>
              <w:t>维持</w:t>
            </w:r>
          </w:p>
        </w:tc>
        <w:tc>
          <w:tcPr>
            <w:tcW w:w="648" w:type="dxa"/>
            <w:vMerge w:val="restart"/>
            <w:tcBorders>
              <w:bottom w:val="nil"/>
            </w:tcBorders>
            <w:vAlign w:val="top"/>
          </w:tcPr>
          <w:p w14:paraId="3FF7C0BB">
            <w:pPr>
              <w:widowControl/>
              <w:kinsoku w:val="0"/>
              <w:autoSpaceDE w:val="0"/>
              <w:autoSpaceDN w:val="0"/>
              <w:adjustRightInd w:val="0"/>
              <w:snapToGrid w:val="0"/>
              <w:spacing w:before="220" w:line="289" w:lineRule="auto"/>
              <w:ind w:left="121" w:right="125"/>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结果纠正</w:t>
            </w:r>
          </w:p>
        </w:tc>
        <w:tc>
          <w:tcPr>
            <w:tcW w:w="648" w:type="dxa"/>
            <w:vMerge w:val="restart"/>
            <w:tcBorders>
              <w:bottom w:val="nil"/>
            </w:tcBorders>
            <w:vAlign w:val="top"/>
          </w:tcPr>
          <w:p w14:paraId="365D14A0">
            <w:pPr>
              <w:widowControl/>
              <w:kinsoku w:val="0"/>
              <w:autoSpaceDE w:val="0"/>
              <w:autoSpaceDN w:val="0"/>
              <w:adjustRightInd w:val="0"/>
              <w:snapToGrid w:val="0"/>
              <w:spacing w:before="220" w:line="289" w:lineRule="auto"/>
              <w:ind w:left="122" w:right="123" w:hanging="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其他</w:t>
            </w:r>
            <w:r>
              <w:rPr>
                <w:rFonts w:ascii="宋体" w:hAnsi="宋体" w:eastAsia="宋体" w:cs="宋体"/>
                <w:snapToGrid w:val="0"/>
                <w:color w:val="000000"/>
                <w:spacing w:val="2"/>
                <w:kern w:val="0"/>
                <w:sz w:val="19"/>
                <w:szCs w:val="19"/>
                <w:lang w:eastAsia="en-US"/>
              </w:rPr>
              <w:t>结果</w:t>
            </w:r>
          </w:p>
        </w:tc>
        <w:tc>
          <w:tcPr>
            <w:tcW w:w="648" w:type="dxa"/>
            <w:vMerge w:val="restart"/>
            <w:tcBorders>
              <w:bottom w:val="nil"/>
            </w:tcBorders>
            <w:vAlign w:val="top"/>
          </w:tcPr>
          <w:p w14:paraId="115200E3">
            <w:pPr>
              <w:widowControl/>
              <w:kinsoku w:val="0"/>
              <w:autoSpaceDE w:val="0"/>
              <w:autoSpaceDN w:val="0"/>
              <w:adjustRightInd w:val="0"/>
              <w:snapToGrid w:val="0"/>
              <w:spacing w:before="220" w:line="289" w:lineRule="auto"/>
              <w:ind w:left="129" w:right="123" w:firstLine="12"/>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尚未</w:t>
            </w:r>
            <w:r>
              <w:rPr>
                <w:rFonts w:ascii="宋体" w:hAnsi="宋体" w:eastAsia="宋体" w:cs="宋体"/>
                <w:snapToGrid w:val="0"/>
                <w:color w:val="000000"/>
                <w:kern w:val="0"/>
                <w:sz w:val="19"/>
                <w:szCs w:val="19"/>
                <w:lang w:eastAsia="en-US"/>
              </w:rPr>
              <w:t>审结</w:t>
            </w:r>
          </w:p>
        </w:tc>
        <w:tc>
          <w:tcPr>
            <w:tcW w:w="648" w:type="dxa"/>
            <w:vMerge w:val="restart"/>
            <w:tcBorders>
              <w:bottom w:val="nil"/>
            </w:tcBorders>
            <w:vAlign w:val="top"/>
          </w:tcPr>
          <w:p w14:paraId="62D796B0">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14:paraId="45387D56">
            <w:pPr>
              <w:widowControl/>
              <w:kinsoku w:val="0"/>
              <w:autoSpaceDE w:val="0"/>
              <w:autoSpaceDN w:val="0"/>
              <w:adjustRightInd w:val="0"/>
              <w:snapToGrid w:val="0"/>
              <w:spacing w:before="62" w:line="230" w:lineRule="auto"/>
              <w:ind w:left="124"/>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总计</w:t>
            </w:r>
          </w:p>
        </w:tc>
        <w:tc>
          <w:tcPr>
            <w:tcW w:w="3243" w:type="dxa"/>
            <w:gridSpan w:val="5"/>
            <w:vAlign w:val="top"/>
          </w:tcPr>
          <w:p w14:paraId="5B3C66BB">
            <w:pPr>
              <w:widowControl/>
              <w:kinsoku w:val="0"/>
              <w:autoSpaceDE w:val="0"/>
              <w:autoSpaceDN w:val="0"/>
              <w:adjustRightInd w:val="0"/>
              <w:snapToGrid w:val="0"/>
              <w:spacing w:before="54" w:line="229" w:lineRule="auto"/>
              <w:ind w:left="825"/>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未经复议直接起诉</w:t>
            </w:r>
          </w:p>
        </w:tc>
        <w:tc>
          <w:tcPr>
            <w:tcW w:w="3254" w:type="dxa"/>
            <w:gridSpan w:val="5"/>
            <w:vAlign w:val="top"/>
          </w:tcPr>
          <w:p w14:paraId="441FDEDA">
            <w:pPr>
              <w:widowControl/>
              <w:kinsoku w:val="0"/>
              <w:autoSpaceDE w:val="0"/>
              <w:autoSpaceDN w:val="0"/>
              <w:adjustRightInd w:val="0"/>
              <w:snapToGrid w:val="0"/>
              <w:spacing w:before="54" w:line="229" w:lineRule="auto"/>
              <w:ind w:left="113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复议后起诉</w:t>
            </w:r>
          </w:p>
        </w:tc>
      </w:tr>
      <w:tr w14:paraId="107A4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658" w:type="dxa"/>
            <w:vMerge w:val="continue"/>
            <w:tcBorders>
              <w:top w:val="nil"/>
            </w:tcBorders>
            <w:vAlign w:val="top"/>
          </w:tcPr>
          <w:p w14:paraId="31C749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5AB7D5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298B3D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60E09D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03D842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Align w:val="top"/>
          </w:tcPr>
          <w:p w14:paraId="3A27E6EE">
            <w:pPr>
              <w:widowControl/>
              <w:kinsoku w:val="0"/>
              <w:autoSpaceDE w:val="0"/>
              <w:autoSpaceDN w:val="0"/>
              <w:adjustRightInd w:val="0"/>
              <w:snapToGrid w:val="0"/>
              <w:spacing w:before="58" w:line="270" w:lineRule="auto"/>
              <w:ind w:left="124" w:right="121" w:firstLine="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结果</w:t>
            </w:r>
            <w:r>
              <w:rPr>
                <w:rFonts w:ascii="宋体" w:hAnsi="宋体" w:eastAsia="宋体" w:cs="宋体"/>
                <w:snapToGrid w:val="0"/>
                <w:color w:val="000000"/>
                <w:spacing w:val="3"/>
                <w:kern w:val="0"/>
                <w:sz w:val="19"/>
                <w:szCs w:val="19"/>
                <w:lang w:eastAsia="en-US"/>
              </w:rPr>
              <w:t>维持</w:t>
            </w:r>
          </w:p>
        </w:tc>
        <w:tc>
          <w:tcPr>
            <w:tcW w:w="648" w:type="dxa"/>
            <w:vAlign w:val="top"/>
          </w:tcPr>
          <w:p w14:paraId="195D0915">
            <w:pPr>
              <w:widowControl/>
              <w:kinsoku w:val="0"/>
              <w:autoSpaceDE w:val="0"/>
              <w:autoSpaceDN w:val="0"/>
              <w:adjustRightInd w:val="0"/>
              <w:snapToGrid w:val="0"/>
              <w:spacing w:before="58" w:line="270" w:lineRule="auto"/>
              <w:ind w:left="126" w:right="12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结果纠正</w:t>
            </w:r>
          </w:p>
        </w:tc>
        <w:tc>
          <w:tcPr>
            <w:tcW w:w="649" w:type="dxa"/>
            <w:vAlign w:val="top"/>
          </w:tcPr>
          <w:p w14:paraId="47C7304C">
            <w:pPr>
              <w:widowControl/>
              <w:kinsoku w:val="0"/>
              <w:autoSpaceDE w:val="0"/>
              <w:autoSpaceDN w:val="0"/>
              <w:adjustRightInd w:val="0"/>
              <w:snapToGrid w:val="0"/>
              <w:spacing w:before="58" w:line="270" w:lineRule="auto"/>
              <w:ind w:left="127" w:right="119" w:hanging="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其他</w:t>
            </w:r>
            <w:r>
              <w:rPr>
                <w:rFonts w:ascii="宋体" w:hAnsi="宋体" w:eastAsia="宋体" w:cs="宋体"/>
                <w:snapToGrid w:val="0"/>
                <w:color w:val="000000"/>
                <w:spacing w:val="2"/>
                <w:kern w:val="0"/>
                <w:sz w:val="19"/>
                <w:szCs w:val="19"/>
                <w:lang w:eastAsia="en-US"/>
              </w:rPr>
              <w:t>结果</w:t>
            </w:r>
          </w:p>
        </w:tc>
        <w:tc>
          <w:tcPr>
            <w:tcW w:w="649" w:type="dxa"/>
            <w:vAlign w:val="top"/>
          </w:tcPr>
          <w:p w14:paraId="0CEB8080">
            <w:pPr>
              <w:widowControl/>
              <w:kinsoku w:val="0"/>
              <w:autoSpaceDE w:val="0"/>
              <w:autoSpaceDN w:val="0"/>
              <w:adjustRightInd w:val="0"/>
              <w:snapToGrid w:val="0"/>
              <w:spacing w:before="58" w:line="270" w:lineRule="auto"/>
              <w:ind w:left="135" w:right="118" w:firstLine="12"/>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尚未</w:t>
            </w:r>
            <w:r>
              <w:rPr>
                <w:rFonts w:ascii="宋体" w:hAnsi="宋体" w:eastAsia="宋体" w:cs="宋体"/>
                <w:snapToGrid w:val="0"/>
                <w:color w:val="000000"/>
                <w:kern w:val="0"/>
                <w:sz w:val="19"/>
                <w:szCs w:val="19"/>
                <w:lang w:eastAsia="en-US"/>
              </w:rPr>
              <w:t>审结</w:t>
            </w:r>
          </w:p>
        </w:tc>
        <w:tc>
          <w:tcPr>
            <w:tcW w:w="649" w:type="dxa"/>
            <w:vAlign w:val="top"/>
          </w:tcPr>
          <w:p w14:paraId="5A3C718A">
            <w:pPr>
              <w:widowControl/>
              <w:kinsoku w:val="0"/>
              <w:autoSpaceDE w:val="0"/>
              <w:autoSpaceDN w:val="0"/>
              <w:adjustRightInd w:val="0"/>
              <w:snapToGrid w:val="0"/>
              <w:spacing w:before="212" w:line="230" w:lineRule="auto"/>
              <w:ind w:left="132"/>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总计</w:t>
            </w:r>
          </w:p>
        </w:tc>
        <w:tc>
          <w:tcPr>
            <w:tcW w:w="649" w:type="dxa"/>
            <w:vAlign w:val="top"/>
          </w:tcPr>
          <w:p w14:paraId="5A1C9A45">
            <w:pPr>
              <w:widowControl/>
              <w:kinsoku w:val="0"/>
              <w:autoSpaceDE w:val="0"/>
              <w:autoSpaceDN w:val="0"/>
              <w:adjustRightInd w:val="0"/>
              <w:snapToGrid w:val="0"/>
              <w:spacing w:before="58" w:line="270" w:lineRule="auto"/>
              <w:ind w:left="131" w:right="115" w:firstLine="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结果</w:t>
            </w:r>
            <w:r>
              <w:rPr>
                <w:rFonts w:ascii="宋体" w:hAnsi="宋体" w:eastAsia="宋体" w:cs="宋体"/>
                <w:snapToGrid w:val="0"/>
                <w:color w:val="000000"/>
                <w:spacing w:val="3"/>
                <w:kern w:val="0"/>
                <w:sz w:val="19"/>
                <w:szCs w:val="19"/>
                <w:lang w:eastAsia="en-US"/>
              </w:rPr>
              <w:t>维持</w:t>
            </w:r>
          </w:p>
        </w:tc>
        <w:tc>
          <w:tcPr>
            <w:tcW w:w="649" w:type="dxa"/>
            <w:vAlign w:val="top"/>
          </w:tcPr>
          <w:p w14:paraId="4A5F7929">
            <w:pPr>
              <w:widowControl/>
              <w:kinsoku w:val="0"/>
              <w:autoSpaceDE w:val="0"/>
              <w:autoSpaceDN w:val="0"/>
              <w:adjustRightInd w:val="0"/>
              <w:snapToGrid w:val="0"/>
              <w:spacing w:before="58" w:line="270" w:lineRule="auto"/>
              <w:ind w:left="131" w:right="11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结果纠正</w:t>
            </w:r>
          </w:p>
        </w:tc>
        <w:tc>
          <w:tcPr>
            <w:tcW w:w="649" w:type="dxa"/>
            <w:vAlign w:val="top"/>
          </w:tcPr>
          <w:p w14:paraId="272FAD62">
            <w:pPr>
              <w:widowControl/>
              <w:kinsoku w:val="0"/>
              <w:autoSpaceDE w:val="0"/>
              <w:autoSpaceDN w:val="0"/>
              <w:adjustRightInd w:val="0"/>
              <w:snapToGrid w:val="0"/>
              <w:spacing w:before="58" w:line="270" w:lineRule="auto"/>
              <w:ind w:left="132" w:right="115" w:hanging="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其他</w:t>
            </w:r>
            <w:r>
              <w:rPr>
                <w:rFonts w:ascii="宋体" w:hAnsi="宋体" w:eastAsia="宋体" w:cs="宋体"/>
                <w:snapToGrid w:val="0"/>
                <w:color w:val="000000"/>
                <w:spacing w:val="2"/>
                <w:kern w:val="0"/>
                <w:sz w:val="19"/>
                <w:szCs w:val="19"/>
                <w:lang w:eastAsia="en-US"/>
              </w:rPr>
              <w:t>结果</w:t>
            </w:r>
          </w:p>
        </w:tc>
        <w:tc>
          <w:tcPr>
            <w:tcW w:w="649" w:type="dxa"/>
            <w:vAlign w:val="top"/>
          </w:tcPr>
          <w:p w14:paraId="3EF9D826">
            <w:pPr>
              <w:widowControl/>
              <w:kinsoku w:val="0"/>
              <w:autoSpaceDE w:val="0"/>
              <w:autoSpaceDN w:val="0"/>
              <w:adjustRightInd w:val="0"/>
              <w:snapToGrid w:val="0"/>
              <w:spacing w:before="58" w:line="270" w:lineRule="auto"/>
              <w:ind w:left="140" w:right="113" w:firstLine="12"/>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尚未</w:t>
            </w:r>
            <w:r>
              <w:rPr>
                <w:rFonts w:ascii="宋体" w:hAnsi="宋体" w:eastAsia="宋体" w:cs="宋体"/>
                <w:snapToGrid w:val="0"/>
                <w:color w:val="000000"/>
                <w:kern w:val="0"/>
                <w:sz w:val="19"/>
                <w:szCs w:val="19"/>
                <w:lang w:eastAsia="en-US"/>
              </w:rPr>
              <w:t>审结</w:t>
            </w:r>
          </w:p>
        </w:tc>
        <w:tc>
          <w:tcPr>
            <w:tcW w:w="658" w:type="dxa"/>
            <w:vAlign w:val="top"/>
          </w:tcPr>
          <w:p w14:paraId="4B58A1E3">
            <w:pPr>
              <w:widowControl/>
              <w:kinsoku w:val="0"/>
              <w:autoSpaceDE w:val="0"/>
              <w:autoSpaceDN w:val="0"/>
              <w:adjustRightInd w:val="0"/>
              <w:snapToGrid w:val="0"/>
              <w:spacing w:before="212" w:line="230" w:lineRule="auto"/>
              <w:ind w:left="13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总计</w:t>
            </w:r>
          </w:p>
        </w:tc>
      </w:tr>
      <w:tr w14:paraId="32A6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658" w:type="dxa"/>
            <w:vAlign w:val="top"/>
          </w:tcPr>
          <w:p w14:paraId="268F024E">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8" w:type="dxa"/>
            <w:vAlign w:val="top"/>
          </w:tcPr>
          <w:p w14:paraId="45F56E7E">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8" w:type="dxa"/>
            <w:vAlign w:val="top"/>
          </w:tcPr>
          <w:p w14:paraId="36A6B3F0">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8" w:type="dxa"/>
            <w:vAlign w:val="top"/>
          </w:tcPr>
          <w:p w14:paraId="4018AD59">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8" w:type="dxa"/>
            <w:vAlign w:val="top"/>
          </w:tcPr>
          <w:p w14:paraId="0AF895F3">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8" w:type="dxa"/>
            <w:vAlign w:val="top"/>
          </w:tcPr>
          <w:p w14:paraId="40FB4556">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8" w:type="dxa"/>
            <w:vAlign w:val="top"/>
          </w:tcPr>
          <w:p w14:paraId="385E69DB">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9" w:type="dxa"/>
            <w:vAlign w:val="top"/>
          </w:tcPr>
          <w:p w14:paraId="27133262">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9" w:type="dxa"/>
            <w:vAlign w:val="top"/>
          </w:tcPr>
          <w:p w14:paraId="04FCD3D7">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9" w:type="dxa"/>
            <w:vAlign w:val="top"/>
          </w:tcPr>
          <w:p w14:paraId="5B917FBE">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9" w:type="dxa"/>
            <w:vAlign w:val="top"/>
          </w:tcPr>
          <w:p w14:paraId="360BF37D">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9" w:type="dxa"/>
            <w:vAlign w:val="top"/>
          </w:tcPr>
          <w:p w14:paraId="57D74FCA">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9" w:type="dxa"/>
            <w:vAlign w:val="top"/>
          </w:tcPr>
          <w:p w14:paraId="4C5D5835">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49" w:type="dxa"/>
            <w:vAlign w:val="top"/>
          </w:tcPr>
          <w:p w14:paraId="695E2632">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c>
          <w:tcPr>
            <w:tcW w:w="658" w:type="dxa"/>
            <w:vAlign w:val="top"/>
          </w:tcPr>
          <w:p w14:paraId="3A1072D0">
            <w:pPr>
              <w:widowControl/>
              <w:numPr>
                <w:ilvl w:val="0"/>
                <w:numId w:val="0"/>
              </w:numPr>
              <w:kinsoku w:val="0"/>
              <w:autoSpaceDE w:val="0"/>
              <w:autoSpaceDN w:val="0"/>
              <w:adjustRightInd w:val="0"/>
              <w:snapToGrid w:val="0"/>
              <w:spacing w:line="240" w:lineRule="auto"/>
              <w:ind w:leftChars="0"/>
              <w:jc w:val="distribute"/>
              <w:textAlignment w:val="baseline"/>
              <w:rPr>
                <w:rFonts w:ascii="Arial" w:hAnsi="Arial" w:eastAsia="Arial" w:cs="Arial"/>
                <w:snapToGrid w:val="0"/>
                <w:color w:val="000000"/>
                <w:kern w:val="0"/>
                <w:sz w:val="21"/>
                <w:szCs w:val="21"/>
                <w:lang w:eastAsia="en-US"/>
              </w:rPr>
            </w:pPr>
            <w:r>
              <w:rPr>
                <w:rFonts w:hint="eastAsia" w:ascii="Arial" w:hAnsi="Arial" w:eastAsia="宋体" w:cs="Arial"/>
                <w:snapToGrid w:val="0"/>
                <w:color w:val="000000"/>
                <w:kern w:val="0"/>
                <w:sz w:val="21"/>
                <w:szCs w:val="21"/>
                <w:lang w:val="en-US" w:eastAsia="zh-CN"/>
              </w:rPr>
              <w:t>0</w:t>
            </w:r>
          </w:p>
        </w:tc>
      </w:tr>
    </w:tbl>
    <w:p w14:paraId="3C212EE5">
      <w:pPr>
        <w:widowControl/>
        <w:kinsoku w:val="0"/>
        <w:autoSpaceDE w:val="0"/>
        <w:autoSpaceDN w:val="0"/>
        <w:adjustRightInd w:val="0"/>
        <w:snapToGrid w:val="0"/>
        <w:spacing w:before="60" w:line="240" w:lineRule="auto"/>
        <w:jc w:val="left"/>
        <w:textAlignment w:val="baseline"/>
        <w:rPr>
          <w:rFonts w:ascii="Arial" w:hAnsi="Arial" w:eastAsia="Arial" w:cs="Arial"/>
          <w:snapToGrid w:val="0"/>
          <w:color w:val="000000"/>
          <w:kern w:val="0"/>
          <w:szCs w:val="21"/>
          <w:lang w:eastAsia="en-US"/>
        </w:rPr>
      </w:pPr>
    </w:p>
    <w:p w14:paraId="70E068C0">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14:paraId="3D5668B6">
      <w:pPr>
        <w:numPr>
          <w:ilvl w:val="0"/>
          <w:numId w:val="0"/>
        </w:numPr>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五、</w:t>
      </w:r>
      <w:r>
        <w:rPr>
          <w:rFonts w:hint="eastAsia" w:ascii="黑体" w:hAnsi="黑体" w:eastAsia="黑体" w:cs="黑体"/>
          <w:i w:val="0"/>
          <w:iCs w:val="0"/>
          <w:caps w:val="0"/>
          <w:color w:val="000000"/>
          <w:spacing w:val="0"/>
          <w:sz w:val="32"/>
          <w:szCs w:val="32"/>
          <w:shd w:val="clear" w:fill="FFFFFF"/>
        </w:rPr>
        <w:t>存在的主要问题及改进情况</w:t>
      </w:r>
    </w:p>
    <w:p w14:paraId="271C4283">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上年度存在问题整改情况</w:t>
      </w:r>
    </w:p>
    <w:p w14:paraId="6B902F7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仿宋_GB2312" w:hAnsi="宋体" w:eastAsia="仿宋_GB2312" w:cs="仿宋_GB2312"/>
          <w:i w:val="0"/>
          <w:iCs w:val="0"/>
          <w:caps w:val="0"/>
          <w:color w:val="000000"/>
          <w:spacing w:val="0"/>
          <w:kern w:val="2"/>
          <w:sz w:val="32"/>
          <w:szCs w:val="32"/>
          <w:shd w:val="clear"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fill="FFFFFF"/>
          <w:lang w:val="en-US" w:eastAsia="zh-CN" w:bidi="ar-SA"/>
        </w:rPr>
        <w:t>一是立足乡村工作实际，通过政府网站、村务公开栏聚焦民生热点痛点，切实推进全过程公开、全方位回应关切、全流程优化政务服务、全链条加强政务信息管理、全环节夯实工作基础；二是组织乡纪委不定期对6个村的公开内容进行专项检查，重点是财务收支明细、重大项目建设进展以及村级事务决策流程等关键板块的信息更新与准确性，并与原始资料进行对比，确保群众能够及时、准确地掌握村级信息。</w:t>
      </w:r>
    </w:p>
    <w:p w14:paraId="25C11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2"/>
          <w:szCs w:val="32"/>
          <w:shd w:val="clear" w:fill="FFFFFF"/>
        </w:rPr>
        <w:t>（二）本年度存在问题及下一步改进措施</w:t>
      </w:r>
    </w:p>
    <w:p w14:paraId="15965BDC">
      <w:pPr>
        <w:numPr>
          <w:ilvl w:val="0"/>
          <w:numId w:val="0"/>
        </w:numPr>
        <w:ind w:firstLine="640" w:firstLineChars="200"/>
        <w:jc w:val="left"/>
        <w:rPr>
          <w:rFonts w:hint="eastAsia" w:ascii="仿宋_GB2312" w:hAnsi="Calibri" w:eastAsia="仿宋_GB2312" w:cs="仿宋_GB2312"/>
          <w:i w:val="0"/>
          <w:iCs w:val="0"/>
          <w:caps w:val="0"/>
          <w:color w:val="333333"/>
          <w:spacing w:val="0"/>
          <w:sz w:val="32"/>
          <w:szCs w:val="32"/>
          <w:shd w:val="clear" w:fill="FFFFFF"/>
          <w:lang w:eastAsia="zh-CN"/>
        </w:rPr>
      </w:pPr>
      <w:r>
        <w:rPr>
          <w:rFonts w:hint="eastAsia" w:ascii="仿宋_GB2312" w:hAnsi="Calibri" w:eastAsia="仿宋_GB2312" w:cs="仿宋_GB2312"/>
          <w:i w:val="0"/>
          <w:iCs w:val="0"/>
          <w:caps w:val="0"/>
          <w:color w:val="333333"/>
          <w:spacing w:val="0"/>
          <w:sz w:val="32"/>
          <w:szCs w:val="32"/>
          <w:shd w:val="clear" w:fill="FFFFFF"/>
          <w:lang w:eastAsia="zh-CN"/>
        </w:rPr>
        <w:t>存在问题：政府网站的群众关注度不高；制定“三审”制度不够彻底。如：一些常见错敏词被反复推送。</w:t>
      </w:r>
    </w:p>
    <w:p w14:paraId="20D3629D">
      <w:pPr>
        <w:numPr>
          <w:ilvl w:val="0"/>
          <w:numId w:val="0"/>
        </w:numPr>
        <w:ind w:firstLine="640" w:firstLineChars="200"/>
        <w:jc w:val="left"/>
        <w:rPr>
          <w:rFonts w:hint="eastAsia" w:ascii="仿宋_GB2312" w:hAnsi="Calibri" w:eastAsia="仿宋_GB2312" w:cs="仿宋_GB2312"/>
          <w:i w:val="0"/>
          <w:iCs w:val="0"/>
          <w:caps w:val="0"/>
          <w:color w:val="333333"/>
          <w:spacing w:val="0"/>
          <w:sz w:val="32"/>
          <w:szCs w:val="32"/>
          <w:shd w:val="clear" w:fill="FFFFFF"/>
          <w:lang w:eastAsia="zh-CN"/>
        </w:rPr>
      </w:pPr>
      <w:r>
        <w:rPr>
          <w:rFonts w:hint="eastAsia" w:ascii="仿宋_GB2312" w:hAnsi="Calibri" w:eastAsia="仿宋_GB2312" w:cs="仿宋_GB2312"/>
          <w:i w:val="0"/>
          <w:iCs w:val="0"/>
          <w:caps w:val="0"/>
          <w:color w:val="333333"/>
          <w:spacing w:val="0"/>
          <w:sz w:val="32"/>
          <w:szCs w:val="32"/>
          <w:shd w:val="clear" w:fill="FFFFFF"/>
          <w:lang w:eastAsia="zh-CN"/>
        </w:rPr>
        <w:t>改进措施：一是创新政府网站的素材内容，提高网站的吸引力，在召开“板凳会”、村民代表大会、各类讲座时加大对政府网站的宣传力度，强化意见征集、回应关切等栏目的互动性，联合各部门开设“政府开放日”等活动。二是对拟稿人员、股室负责人、分管领导进行业务培训，定期召开信息审核会，加大涉及个人隐私政务信息的排查工作，杜绝出现隐私信息泄露、错敏字及公文的格式错误等问题，认真梳理以往县级下发的问题清单，做好自查自纠。</w:t>
      </w:r>
    </w:p>
    <w:p w14:paraId="7A2D954E">
      <w:pPr>
        <w:numPr>
          <w:ilvl w:val="0"/>
          <w:numId w:val="0"/>
        </w:numPr>
        <w:ind w:firstLine="640" w:firstLineChars="200"/>
        <w:jc w:val="left"/>
        <w:rPr>
          <w:rFonts w:hint="eastAsia" w:ascii="黑体" w:hAnsi="黑体" w:eastAsia="黑体" w:cs="黑体"/>
          <w:i w:val="0"/>
          <w:iCs w:val="0"/>
          <w:caps w:val="0"/>
          <w:color w:val="000000"/>
          <w:spacing w:val="0"/>
          <w:sz w:val="32"/>
          <w:szCs w:val="32"/>
          <w:shd w:val="clear" w:fill="FFFFFF"/>
          <w:lang w:val="en-US" w:eastAsia="zh-CN"/>
        </w:rPr>
      </w:pPr>
    </w:p>
    <w:p w14:paraId="246C7197">
      <w:pPr>
        <w:numPr>
          <w:ilvl w:val="0"/>
          <w:numId w:val="0"/>
        </w:numPr>
        <w:ind w:firstLine="640" w:firstLineChars="200"/>
        <w:jc w:val="left"/>
        <w:rPr>
          <w:rFonts w:hint="eastAsia" w:ascii="黑体" w:hAnsi="黑体" w:eastAsia="黑体" w:cs="黑体"/>
          <w:i w:val="0"/>
          <w:iCs w:val="0"/>
          <w:caps w:val="0"/>
          <w:color w:val="000000"/>
          <w:spacing w:val="0"/>
          <w:sz w:val="32"/>
          <w:szCs w:val="32"/>
          <w:shd w:val="clear" w:fill="FFFFFF"/>
          <w:lang w:val="en-US" w:eastAsia="zh-CN"/>
        </w:rPr>
      </w:pPr>
    </w:p>
    <w:p w14:paraId="6A3E0533">
      <w:pPr>
        <w:numPr>
          <w:ilvl w:val="0"/>
          <w:numId w:val="0"/>
        </w:numPr>
        <w:ind w:firstLine="640" w:firstLineChars="200"/>
        <w:jc w:val="left"/>
        <w:rPr>
          <w:rFonts w:hint="eastAsia" w:ascii="黑体" w:hAnsi="黑体" w:eastAsia="黑体" w:cs="黑体"/>
          <w:i w:val="0"/>
          <w:iCs w:val="0"/>
          <w:caps w:val="0"/>
          <w:color w:val="000000"/>
          <w:spacing w:val="0"/>
          <w:sz w:val="32"/>
          <w:szCs w:val="32"/>
          <w:shd w:val="clear" w:fill="FFFFFF"/>
          <w:lang w:val="en-US" w:eastAsia="zh-CN"/>
        </w:rPr>
      </w:pPr>
    </w:p>
    <w:p w14:paraId="50A1BDC9">
      <w:pPr>
        <w:numPr>
          <w:ilvl w:val="0"/>
          <w:numId w:val="0"/>
        </w:numPr>
        <w:ind w:firstLine="640" w:firstLineChars="200"/>
        <w:jc w:val="left"/>
        <w:rPr>
          <w:rFonts w:hint="eastAsia" w:ascii="黑体" w:hAnsi="黑体" w:eastAsia="黑体" w:cs="黑体"/>
          <w:i w:val="0"/>
          <w:iCs w:val="0"/>
          <w:caps w:val="0"/>
          <w:color w:val="000000"/>
          <w:spacing w:val="0"/>
          <w:sz w:val="32"/>
          <w:szCs w:val="32"/>
          <w:shd w:val="clear" w:fill="FFFFFF"/>
          <w:lang w:val="en-US" w:eastAsia="en-US"/>
        </w:rPr>
      </w:pPr>
      <w:r>
        <w:rPr>
          <w:rFonts w:hint="eastAsia" w:ascii="黑体" w:hAnsi="黑体" w:eastAsia="黑体" w:cs="黑体"/>
          <w:i w:val="0"/>
          <w:iCs w:val="0"/>
          <w:caps w:val="0"/>
          <w:color w:val="000000"/>
          <w:spacing w:val="0"/>
          <w:sz w:val="32"/>
          <w:szCs w:val="32"/>
          <w:shd w:val="clear" w:fill="FFFFFF"/>
          <w:lang w:val="en-US" w:eastAsia="zh-CN"/>
        </w:rPr>
        <w:t>六、</w:t>
      </w:r>
      <w:r>
        <w:rPr>
          <w:rFonts w:hint="eastAsia" w:ascii="黑体" w:hAnsi="黑体" w:eastAsia="黑体" w:cs="黑体"/>
          <w:i w:val="0"/>
          <w:iCs w:val="0"/>
          <w:caps w:val="0"/>
          <w:color w:val="000000"/>
          <w:spacing w:val="0"/>
          <w:sz w:val="32"/>
          <w:szCs w:val="32"/>
          <w:shd w:val="clear" w:fill="FFFFFF"/>
          <w:lang w:val="en-US" w:eastAsia="en-US"/>
        </w:rPr>
        <w:t>其他需要报告的事项</w:t>
      </w:r>
    </w:p>
    <w:p w14:paraId="71D690B5">
      <w:pPr>
        <w:keepNext w:val="0"/>
        <w:keepLines w:val="0"/>
        <w:pageBreakBefore w:val="0"/>
        <w:widowControl/>
        <w:kinsoku w:val="0"/>
        <w:wordWrap/>
        <w:overflowPunct/>
        <w:topLinePunct w:val="0"/>
        <w:autoSpaceDE w:val="0"/>
        <w:autoSpaceDN w:val="0"/>
        <w:bidi w:val="0"/>
        <w:adjustRightInd w:val="0"/>
        <w:snapToGrid w:val="0"/>
        <w:spacing w:line="365" w:lineRule="auto"/>
        <w:ind w:firstLine="640" w:firstLineChars="200"/>
        <w:textAlignment w:val="baseline"/>
        <w:rPr>
          <w:rFonts w:hint="eastAsia" w:ascii="仿宋_GB2312" w:hAnsi="仿宋_GB2312" w:eastAsia="仿宋_GB2312" w:cs="仿宋_GB2312"/>
          <w:sz w:val="32"/>
          <w:szCs w:val="32"/>
          <w:lang w:eastAsia="zh-CN"/>
        </w:rPr>
        <w:sectPr>
          <w:footerReference r:id="rId4" w:type="default"/>
          <w:pgSz w:w="11906" w:h="16839"/>
          <w:pgMar w:top="1431" w:right="1231" w:bottom="1717" w:left="1597" w:header="0" w:footer="1436" w:gutter="0"/>
          <w:cols w:space="720" w:num="1"/>
        </w:sectPr>
      </w:pPr>
      <w:r>
        <w:rPr>
          <w:rFonts w:hint="eastAsia" w:ascii="仿宋_GB2312" w:hAnsi="仿宋_GB2312" w:eastAsia="仿宋_GB2312" w:cs="仿宋_GB2312"/>
          <w:snapToGrid w:val="0"/>
          <w:color w:val="000000"/>
          <w:kern w:val="0"/>
          <w:sz w:val="32"/>
          <w:szCs w:val="32"/>
          <w:lang w:eastAsia="en-US"/>
        </w:rPr>
        <w:t>按照《国务院办公厅关于印发〈政府信息公开信息处理费管理办法〉的通知》（国办函〔</w:t>
      </w:r>
      <w:r>
        <w:rPr>
          <w:rFonts w:hint="eastAsia" w:ascii="Times New Roman" w:hAnsi="Times New Roman" w:eastAsia="仿宋_GB2312" w:cs="仿宋_GB2312"/>
          <w:snapToGrid w:val="0"/>
          <w:color w:val="000000"/>
          <w:kern w:val="0"/>
          <w:sz w:val="32"/>
          <w:szCs w:val="32"/>
          <w:lang w:eastAsia="en-US"/>
        </w:rPr>
        <w:t>2020</w:t>
      </w:r>
      <w:r>
        <w:rPr>
          <w:rFonts w:hint="eastAsia" w:ascii="仿宋_GB2312" w:hAnsi="仿宋_GB2312" w:eastAsia="仿宋_GB2312" w:cs="仿宋_GB2312"/>
          <w:snapToGrid w:val="0"/>
          <w:color w:val="000000"/>
          <w:kern w:val="0"/>
          <w:sz w:val="32"/>
          <w:szCs w:val="32"/>
          <w:lang w:eastAsia="en-US"/>
        </w:rPr>
        <w:t>〕</w:t>
      </w:r>
      <w:r>
        <w:rPr>
          <w:rFonts w:hint="eastAsia" w:ascii="Times New Roman" w:hAnsi="Times New Roman" w:eastAsia="仿宋_GB2312" w:cs="仿宋_GB2312"/>
          <w:snapToGrid w:val="0"/>
          <w:color w:val="000000"/>
          <w:kern w:val="0"/>
          <w:sz w:val="32"/>
          <w:szCs w:val="32"/>
          <w:lang w:eastAsia="en-US"/>
        </w:rPr>
        <w:t>109</w:t>
      </w:r>
      <w:r>
        <w:rPr>
          <w:rFonts w:hint="eastAsia" w:ascii="仿宋_GB2312" w:hAnsi="仿宋_GB2312" w:eastAsia="仿宋_GB2312" w:cs="仿宋_GB2312"/>
          <w:snapToGrid w:val="0"/>
          <w:color w:val="000000"/>
          <w:kern w:val="0"/>
          <w:sz w:val="32"/>
          <w:szCs w:val="32"/>
          <w:lang w:eastAsia="en-US"/>
        </w:rPr>
        <w:t>号）规定的按件、按量收费标准，本年度没有产生信息公开处理费</w:t>
      </w:r>
      <w:r>
        <w:rPr>
          <w:rFonts w:hint="eastAsia" w:ascii="仿宋_GB2312" w:hAnsi="仿宋_GB2312" w:eastAsia="仿宋_GB2312" w:cs="仿宋_GB2312"/>
          <w:snapToGrid w:val="0"/>
          <w:color w:val="000000"/>
          <w:kern w:val="0"/>
          <w:sz w:val="32"/>
          <w:szCs w:val="32"/>
          <w:lang w:eastAsia="zh-CN"/>
        </w:rPr>
        <w:t>。</w:t>
      </w:r>
    </w:p>
    <w:p w14:paraId="6E56BFF0">
      <w:pPr>
        <w:numPr>
          <w:ilvl w:val="0"/>
          <w:numId w:val="0"/>
        </w:numPr>
        <w:ind w:firstLine="640" w:firstLineChars="200"/>
        <w:jc w:val="left"/>
        <w:rPr>
          <w:rFonts w:hint="eastAsia" w:ascii="仿宋_GB2312" w:hAnsi="Calibri" w:eastAsia="仿宋_GB2312" w:cs="仿宋_GB2312"/>
          <w:i w:val="0"/>
          <w:iCs w:val="0"/>
          <w:caps w:val="0"/>
          <w:color w:val="333333"/>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F516">
    <w:pPr>
      <w:kinsoku w:val="0"/>
      <w:autoSpaceDE w:val="0"/>
      <w:autoSpaceDN w:val="0"/>
      <w:adjustRightInd w:val="0"/>
      <w:snapToGrid w:val="0"/>
      <w:spacing w:line="181" w:lineRule="auto"/>
      <w:ind w:left="470"/>
      <w:jc w:val="left"/>
      <w:textAlignment w:val="baseline"/>
      <w:rPr>
        <w:rFonts w:ascii="FangSong_GB2312" w:hAnsi="FangSong_GB2312" w:eastAsia="FangSong_GB2312" w:cs="FangSong_GB2312"/>
        <w:snapToGrid w:val="0"/>
        <w:color w:val="000000"/>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w:t>
    </w:r>
    <w:r>
      <w:rPr>
        <w:rFonts w:ascii="Times New Roman" w:hAnsi="Times New Roman" w:eastAsia="FangSong_GB2312" w:cs="FangSong_GB2312"/>
        <w:snapToGrid w:val="0"/>
        <w:color w:val="000000"/>
        <w:spacing w:val="-4"/>
        <w:kern w:val="0"/>
        <w:sz w:val="28"/>
        <w:szCs w:val="28"/>
        <w:lang w:val="en-US" w:eastAsia="en-US" w:bidi="ar-SA"/>
      </w:rPr>
      <w:t>9</w:t>
    </w:r>
    <w:r>
      <w:rPr>
        <w:rFonts w:ascii="FangSong_GB2312" w:hAnsi="FangSong_GB2312" w:eastAsia="FangSong_GB2312" w:cs="FangSong_GB2312"/>
        <w:snapToGrid w:val="0"/>
        <w:color w:val="000000"/>
        <w:spacing w:val="-4"/>
        <w:kern w:val="0"/>
        <w:sz w:val="28"/>
        <w:szCs w:val="28"/>
        <w:lang w:val="en-US" w:eastAsia="en-US"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81BB">
    <w:pPr>
      <w:kinsoku w:val="0"/>
      <w:autoSpaceDE w:val="0"/>
      <w:autoSpaceDN w:val="0"/>
      <w:adjustRightInd w:val="0"/>
      <w:snapToGrid w:val="0"/>
      <w:spacing w:line="178" w:lineRule="auto"/>
      <w:jc w:val="left"/>
      <w:textAlignment w:val="baseline"/>
      <w:rPr>
        <w:rFonts w:ascii="FangSong_GB2312" w:hAnsi="FangSong_GB2312" w:eastAsia="FangSong_GB2312" w:cs="FangSong_GB2312"/>
        <w:snapToGrid w:val="0"/>
        <w:color w:val="000000"/>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w:t>
    </w:r>
    <w:r>
      <w:rPr>
        <w:rFonts w:ascii="Times New Roman" w:hAnsi="Times New Roman" w:eastAsia="FangSong_GB2312" w:cs="FangSong_GB2312"/>
        <w:snapToGrid w:val="0"/>
        <w:color w:val="000000"/>
        <w:spacing w:val="-4"/>
        <w:kern w:val="0"/>
        <w:sz w:val="28"/>
        <w:szCs w:val="28"/>
        <w:lang w:val="en-US" w:eastAsia="en-US" w:bidi="ar-SA"/>
      </w:rPr>
      <w:t>7</w:t>
    </w:r>
    <w:r>
      <w:rPr>
        <w:rFonts w:ascii="FangSong_GB2312" w:hAnsi="FangSong_GB2312" w:eastAsia="FangSong_GB2312" w:cs="FangSong_GB2312"/>
        <w:snapToGrid w:val="0"/>
        <w:color w:val="000000"/>
        <w:spacing w:val="-4"/>
        <w:kern w:val="0"/>
        <w:sz w:val="28"/>
        <w:szCs w:val="28"/>
        <w:lang w:val="en-US" w:eastAsia="en-US" w:bidi="ar-S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9A1A6"/>
    <w:multiLevelType w:val="singleLevel"/>
    <w:tmpl w:val="DDB9A1A6"/>
    <w:lvl w:ilvl="0" w:tentative="0">
      <w:start w:val="2"/>
      <w:numFmt w:val="chineseCounting"/>
      <w:suff w:val="nothing"/>
      <w:lvlText w:val="%1、"/>
      <w:lvlJc w:val="left"/>
      <w:rPr>
        <w:rFonts w:hint="eastAsia"/>
      </w:rPr>
    </w:lvl>
  </w:abstractNum>
  <w:abstractNum w:abstractNumId="1">
    <w:nsid w:val="EF73EEBB"/>
    <w:multiLevelType w:val="singleLevel"/>
    <w:tmpl w:val="EF73EEBB"/>
    <w:lvl w:ilvl="0" w:tentative="0">
      <w:start w:val="1"/>
      <w:numFmt w:val="chineseCounting"/>
      <w:suff w:val="nothing"/>
      <w:lvlText w:val="（%1）"/>
      <w:lvlJc w:val="left"/>
      <w:rPr>
        <w:rFonts w:hint="eastAsia"/>
      </w:rPr>
    </w:lvl>
  </w:abstractNum>
  <w:abstractNum w:abstractNumId="2">
    <w:nsid w:val="28163BB9"/>
    <w:multiLevelType w:val="singleLevel"/>
    <w:tmpl w:val="28163BB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06501"/>
    <w:rsid w:val="058938CF"/>
    <w:rsid w:val="2AAB7A0F"/>
    <w:rsid w:val="37406501"/>
    <w:rsid w:val="3B36162E"/>
    <w:rsid w:val="44EB05B7"/>
    <w:rsid w:val="792D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2657</Words>
  <Characters>2806</Characters>
  <Lines>0</Lines>
  <Paragraphs>0</Paragraphs>
  <TotalTime>14</TotalTime>
  <ScaleCrop>false</ScaleCrop>
  <LinksUpToDate>false</LinksUpToDate>
  <CharactersWithSpaces>2806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2025-01-06T07:18:00Z</dcterms:created>
  <dc:creator>M鹿夫人M</dc:creator>
  <cp:lastModifiedBy>M鹿夫人M</cp:lastModifiedBy>
  <dcterms:modified xsi:type="dcterms:W3CDTF">2025-01-13T02:39:29Z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AF4625766C434793816F906C024BB7D6_13</vt:lpwstr>
  </property>
  <property fmtid="{D5CDD505-2E9C-101B-9397-08002B2CF9AE}" pid="4" name="KSOTemplateDocerSaveRecord">
    <vt:lpwstr>eyJoZGlkIjoiNDUyOThlNDQ3OTI1NTVkODdiODBhNTA3ZTM1NzlhYTMiLCJ1c2VySWQiOiIyODU2NzMxOTEifQ==</vt:lpwstr>
  </property>
</Properties>
</file>