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35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金寨县自然资源和规划局2024年政务信息</w:t>
      </w:r>
    </w:p>
    <w:p w14:paraId="78358F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公开工作年度报告</w:t>
      </w:r>
    </w:p>
    <w:p w14:paraId="35DDFC7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6146B2D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《中华人民共和国政府信息公开条例》（国务院令第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《国务院办公厅政府信息与政务公开办公室关于印发〈中华人民共和国政府信息公开工作年度报告格式〉的通知》（国办公开办函〔2021〕30号）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并结合我局工作实际编制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本报告中所列数据的统计期限自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日止。报告的电子版可在金寨县信息公开网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下载。如对本报告有任何疑问，请与金寨县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自然资源和规划局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联系（地址：金寨县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莲花山路自然资源局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4楼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0564-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7356813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237300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 w14:paraId="14B470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7562C78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，我局高度重视并积极推进政府信息公开工作，认真贯彻落实好上级相关文件要求，确保政府信息全面、及时、准确公开，严格按照县政务公开办工作部署，对政务公开进行规范化管理，提高工作的透明度和公信力。紧密结合本单位工作实际，积极推进政务公开工作有序开展。</w:t>
      </w:r>
    </w:p>
    <w:p w14:paraId="50D6984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2024年我局细化分解年度政务公开任务，扎实推动各项任务落实，做到常规性信息每周有更新、重点类信息每月有动态、阶段性工作每季有结果。增强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自然资源领域基层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公开力度，围绕用地审批、国有土地使用权出让、国土空间规划编制、农村集体土地征收等栏目，及时收集信息，注重加工整理，强化信息公开；追求政策解读信息公开深度，通过探索图片解读、文字解读、召开新闻发布会等形式，对自然资源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shd w:val="clear" w:fill="FFFFFF"/>
          <w:lang w:val="en-US" w:eastAsia="zh-CN"/>
        </w:rPr>
        <w:t>政策进行常态化解读，强化解读实效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6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6"/>
          <w:sz w:val="32"/>
          <w:szCs w:val="32"/>
          <w:shd w:val="clear" w:fill="FFFFFF"/>
          <w:lang w:val="en-US" w:eastAsia="zh-CN"/>
        </w:rPr>
        <w:t>全年主动公开信息1047条。</w:t>
      </w:r>
    </w:p>
    <w:p w14:paraId="26FD4DA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高度重视依申请公开工作，严格落实线下无办件要求，线上与线下收件及时录入依申请系统，依据《安徽省政府信息公开申请办理答复规范》进行规范答复。2024年，受理申请23件、上年结转3件，均按时答复。无政府信息公开行政复议、行政诉讼情况。</w:t>
      </w:r>
    </w:p>
    <w:p w14:paraId="227DFB9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（三）政府信息管理方面。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按照上级要求，梳理优化规范性文件网络格式，及时清理废止失效文件；二是按照上级工作要求，积极参与自然资源领域基层政务公开工作测评，并根据反馈结果，积极对接整改；三是定期排查已发布政务信息，发现错敏词汇、错误信息，及时修正。</w:t>
      </w:r>
    </w:p>
    <w:p w14:paraId="176140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（四）政府信息公开平台建设。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按照政务公开工作具体要求，及时进行平台信息录入、更新等工作，坚持以自然资源领域基层政务公开标准目录为指引，积极对接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市自然资源和规划局和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县政务公开办优化栏目设置、规范发布信息内容，逐步提升重点领域政务公开整体水平。</w:t>
      </w:r>
    </w:p>
    <w:p w14:paraId="7BAA07C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）监督保障方面。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持续巩固完善“主要负责同志亲自过问、分管负责同志具体负责、办公室牵头抓总、各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室密切配合”的工作体制，真正做到机构、人员、任务和责任落实到位。明确专人负责网上日常监测，排查公开不及时、信息有误等情况，并根据季度考核反馈的问题清单和整改台账，及时整改落实。</w:t>
      </w:r>
    </w:p>
    <w:p w14:paraId="23075BC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58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D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A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23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65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01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C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46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8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9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9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0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1BF3CA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29B754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78466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 w14:paraId="5F17EC4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上一年度改进情况：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提升工作人员业务能力，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纳入局党组理论学习中心组学习内容，组织业务人员学习，重点学习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依申请公开答复注意事项。优化依申请公开处理流程，明确依申请公开各环节的工作要求和办理时限，建立快速通道，对于简单申请快速处理答复。</w:t>
      </w:r>
    </w:p>
    <w:p w14:paraId="6335DB5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存在问题：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2024年，我局政府信息公开工作虽然取得了一定进展和成效，但仍存在一些问题。一是部分栏目公开内容不够全面，公开形式不够丰富；二是信息公开的及时性需进一步加强。</w:t>
      </w:r>
    </w:p>
    <w:p w14:paraId="04A75BF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下一步举措：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年，我局将针对以上问题，积极改进。一是充实完善公开内容，梳理汇总各股室可公开政府信息，同时丰富政府信息公开形式，确保政务信息公开工作质量；二是建立定期更新排查机制，坚持每天动态更新，每个月全面排查1次各栏目信息公开情况，确保及时按照要求更新发布信息。</w:t>
      </w:r>
    </w:p>
    <w:p w14:paraId="50B9258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 w14:paraId="1EE533B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37C0704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587" w:left="1587" w:header="851" w:footer="102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5161915</wp:posOffset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45pt;margin-top:13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B9ZctYAAAAL&#10;AQAADwAAAGRycy9kb3ducmV2LnhtbE2PPU/DMBCGdyT+g3VIbNR2EDQNcTpUYmGjoErd3PiaRPgj&#10;st00+fdcJxjv7tF7z1tvZ2fZhDENwSuQKwEMfRvM4DsF31/vTyWwlLU32gaPChZMsG3u72pdmXD1&#10;nzjtc8coxKdKK+hzHivOU9uj02kVRvR0O4fodKYxdtxEfaVwZ3khxCt3evD0odcj7npsf/YXp2A9&#10;HwKOCXd4PE9t7IeltB+LUo8PUrwByzjnPxhu+qQODTmdwsWbxKyCUhYbQhUUa+p0A6QQtDkpeJYv&#10;AnhT8/8dml9QSwMEFAAAAAgAh07iQJ5OWZLtAQAA1QMAAA4AAABkcnMvZTJvRG9jLnhtbK1TS27b&#10;MBDdF8gdCO5jKQZiuILpoI2RoEDRFkh7AJqiLAL8gUNbcg/Q3qCrbrrvuXyODinJKZJNFtlIM5yZ&#10;N/Meh6ub3mhykAGUs4xezUpKpBWuVnbH6Levd5dLSiByW3PtrGT0KIHerC/erDpfyblrna5lIAhi&#10;oeo8o22MvioKEK00HGbOS4vBxgXDI7phV9SBd4hudDEvy0XRuVD74IQEwNPNEKQjYngJoGsaJeTG&#10;ib2RNg6oQWoekRK0ygNd52mbRor4uWlARqIZRaYxf7EJ2tv0LdYrXu0C960S4wj8JSM84WS4stj0&#10;DLXhkZN9UM+gjBLBgWviTDhTDESyIsjiqnyizUPLvcxcUGrwZ9Hh9WDFp8OXQFTN6IISyw1e+OnX&#10;z9Pvv6c/P8giydN5qDDrwWNe7N+7HpdmOgc8TKz7Jpj0Rz4E4yju8Syu7CMRqWg5Xy5LDAmMTQ7i&#10;F4/lPkC8l86QZDAa8PayqPzwEeKQOqWkbtbdKa3zDWpLOkbfXs+vc8E5guDaplyZd2GESZSG0ZMV&#10;+20/8ty6+og08XVg+9aF75R0uBuMWnwKlOgPFqVPazQZYTK2k8GtwEJGIyWDeRuHddv7oHZtXsA0&#10;EPh3+4gEMq80xtAb9UgO3nZWZtzMtE7/+znr8TWu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H1ly1gAAAAsBAAAPAAAAAAAAAAEAIAAAACIAAABkcnMvZG93bnJldi54bWxQSwECFAAUAAAACACH&#10;TuJAnk5Zku0BAADVAwAADgAAAAAAAAABACAAAAAl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5F4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124D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124D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6DF0"/>
    <w:rsid w:val="02D70915"/>
    <w:rsid w:val="175216E8"/>
    <w:rsid w:val="1CBF4E0D"/>
    <w:rsid w:val="200C5A5F"/>
    <w:rsid w:val="277377BE"/>
    <w:rsid w:val="2EE87ECD"/>
    <w:rsid w:val="2F125A73"/>
    <w:rsid w:val="3EAA3966"/>
    <w:rsid w:val="3EC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/>
      <w:kern w:val="0"/>
      <w:sz w:val="32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2432</Words>
  <Characters>2516</Characters>
  <Lines>0</Lines>
  <Paragraphs>0</Paragraphs>
  <TotalTime>83</TotalTime>
  <ScaleCrop>false</ScaleCrop>
  <LinksUpToDate>false</LinksUpToDate>
  <CharactersWithSpaces>2521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2023-10-07T07:33:00Z</dcterms:created>
  <dc:creator>Administrator</dc:creator>
  <cp:lastModifiedBy>610674371qqcom</cp:lastModifiedBy>
  <dcterms:modified xsi:type="dcterms:W3CDTF">2025-01-10T00:19:13Z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1194611A8F0B4D819FCADDE4F0E7E364_13</vt:lpwstr>
  </property>
  <property fmtid="{D5CDD505-2E9C-101B-9397-08002B2CF9AE}" pid="4" name="KSOTemplateDocerSaveRecord">
    <vt:lpwstr>eyJoZGlkIjoiNGM3MmNjYjhhMDNkNDRmZjM2NGUwM2Q2NzFkOWI2N2QiLCJ1c2VySWQiOiI1NDIwNDcwIn0=</vt:lpwstr>
  </property>
</Properties>
</file>