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D2BD">
      <w:pPr>
        <w:widowControl/>
        <w:shd w:val="clear" w:color="auto" w:fill="FFFFFF"/>
        <w:rPr>
          <w:rFonts w:ascii="Times New Roman" w:hAnsi="Times New Roman" w:eastAsia="仿宋_GB2312" w:cs="Times New Roman"/>
          <w:color w:val="000000"/>
          <w:kern w:val="0"/>
          <w:sz w:val="24"/>
          <w:szCs w:val="32"/>
        </w:rPr>
      </w:pPr>
    </w:p>
    <w:p w14:paraId="7A21D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601" w:lineRule="atLeast"/>
        <w:ind w:left="0" w:right="0" w:firstLine="0"/>
        <w:jc w:val="center"/>
        <w:rPr>
          <w:rFonts w:hint="eastAsia" w:ascii="方正小标宋简体" w:hAnsi="方正小标宋简体" w:eastAsia="方正小标宋简体" w:cs="方正小标宋简体"/>
          <w:b w:val="0"/>
          <w:bCs w:val="0"/>
          <w:i w:val="0"/>
          <w:iCs w:val="0"/>
          <w:caps w:val="0"/>
          <w:color w:val="404040" w:themeColor="text1" w:themeTint="BF"/>
          <w:spacing w:val="0"/>
          <w:sz w:val="44"/>
          <w:szCs w:val="44"/>
          <w:shd w:val="clear" w:fill="FFFFFF"/>
          <w14:textFill>
            <w14:solidFill>
              <w14:schemeClr w14:val="tx1">
                <w14:lumMod w14:val="75000"/>
                <w14:lumOff w14:val="25000"/>
              </w14:schemeClr>
            </w14:solidFill>
          </w14:textFill>
        </w:rPr>
      </w:pPr>
      <w:r>
        <w:rPr>
          <w:rFonts w:hint="eastAsia" w:ascii="方正小标宋简体" w:hAnsi="方正小标宋简体" w:eastAsia="方正小标宋简体" w:cs="方正小标宋简体"/>
          <w:b w:val="0"/>
          <w:bCs w:val="0"/>
          <w:i w:val="0"/>
          <w:iCs w:val="0"/>
          <w:caps w:val="0"/>
          <w:color w:val="404040" w:themeColor="text1" w:themeTint="BF"/>
          <w:spacing w:val="0"/>
          <w:sz w:val="44"/>
          <w:szCs w:val="44"/>
          <w:shd w:val="clear" w:fill="FFFFFF"/>
          <w14:textFill>
            <w14:solidFill>
              <w14:schemeClr w14:val="tx1">
                <w14:lumMod w14:val="75000"/>
                <w14:lumOff w14:val="25000"/>
              </w14:schemeClr>
            </w14:solidFill>
          </w14:textFill>
        </w:rPr>
        <w:t>金寨县文化旅游体育局202</w:t>
      </w:r>
      <w:r>
        <w:rPr>
          <w:rFonts w:hint="eastAsia" w:ascii="方正小标宋简体" w:hAnsi="方正小标宋简体" w:eastAsia="方正小标宋简体" w:cs="方正小标宋简体"/>
          <w:b w:val="0"/>
          <w:bCs w:val="0"/>
          <w:i w:val="0"/>
          <w:iCs w:val="0"/>
          <w:caps w:val="0"/>
          <w:color w:val="404040" w:themeColor="text1" w:themeTint="BF"/>
          <w:spacing w:val="0"/>
          <w:sz w:val="44"/>
          <w:szCs w:val="44"/>
          <w:shd w:val="clear" w:fill="FFFFFF"/>
          <w:lang w:val="en-US" w:eastAsia="zh-CN"/>
          <w14:textFill>
            <w14:solidFill>
              <w14:schemeClr w14:val="tx1">
                <w14:lumMod w14:val="75000"/>
                <w14:lumOff w14:val="25000"/>
              </w14:schemeClr>
            </w14:solidFill>
          </w14:textFill>
        </w:rPr>
        <w:t>4</w:t>
      </w:r>
      <w:r>
        <w:rPr>
          <w:rFonts w:hint="eastAsia" w:ascii="方正小标宋简体" w:hAnsi="方正小标宋简体" w:eastAsia="方正小标宋简体" w:cs="方正小标宋简体"/>
          <w:b w:val="0"/>
          <w:bCs w:val="0"/>
          <w:i w:val="0"/>
          <w:iCs w:val="0"/>
          <w:caps w:val="0"/>
          <w:color w:val="404040" w:themeColor="text1" w:themeTint="BF"/>
          <w:spacing w:val="0"/>
          <w:sz w:val="44"/>
          <w:szCs w:val="44"/>
          <w:shd w:val="clear" w:fill="FFFFFF"/>
          <w14:textFill>
            <w14:solidFill>
              <w14:schemeClr w14:val="tx1">
                <w14:lumMod w14:val="75000"/>
                <w14:lumOff w14:val="25000"/>
              </w14:schemeClr>
            </w14:solidFill>
          </w14:textFill>
        </w:rPr>
        <w:t>年政府信息公开工作年度报告</w:t>
      </w:r>
    </w:p>
    <w:p w14:paraId="0743C70C">
      <w:pPr>
        <w:ind w:firstLine="640" w:firstLineChars="200"/>
        <w:rPr>
          <w:rFonts w:ascii="楷体" w:hAnsi="楷体" w:eastAsia="楷体" w:cs="楷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ascii="仿宋_GB2312" w:hAnsi="宋体"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本报告依据《中华人民共和国政府信息公开条例》（国务院令第</w:t>
      </w:r>
      <w:r>
        <w:rPr>
          <w:rFonts w:hint="eastAsia" w:ascii="仿宋_GB2312" w:hAnsi="宋体"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711号，以下简称（新《条例》)和《关于做好2024年度政府信息公开年度报告编制和发布的工作提示》要求编制而成。报告中使用数据统计期限为202</w:t>
      </w:r>
      <w:r>
        <w:rPr>
          <w:rFonts w:hint="eastAsia" w:ascii="仿宋_GB2312" w:hAnsi="宋体"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4</w:t>
      </w:r>
      <w:r>
        <w:rPr>
          <w:rFonts w:hint="eastAsia" w:ascii="仿宋_GB2312" w:hAnsi="宋体"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年1月1日至12月31日，本年度报告电子版可在</w:t>
      </w:r>
      <w:r>
        <w:rPr>
          <w:rFonts w:hint="eastAsia" w:ascii="仿宋_GB2312" w:hAnsi="宋体"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金寨县</w:t>
      </w:r>
      <w:r>
        <w:rPr>
          <w:rFonts w:hint="eastAsia" w:ascii="仿宋_GB2312" w:hAnsi="宋体"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人民政府门户网站“政府信息公开年度报告”查看、下载。如对本报告有任何疑问，请与金寨县文化旅游体育局办公室联系（地址：金寨县江店新城区江环北路金寨县文化中心</w:t>
      </w:r>
      <w:r>
        <w:rPr>
          <w:rFonts w:hint="eastAsia" w:ascii="仿宋_GB2312" w:hAnsi="宋体"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二</w:t>
      </w:r>
      <w:r>
        <w:rPr>
          <w:rFonts w:hint="eastAsia" w:ascii="仿宋_GB2312" w:hAnsi="宋体"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楼，电话：0564--7356638，邮编：237321）。</w:t>
      </w:r>
    </w:p>
    <w:p w14:paraId="14B47092">
      <w:pPr>
        <w:widowControl/>
        <w:shd w:val="clear" w:color="auto" w:fill="FFFFFF"/>
        <w:spacing w:before="0" w:beforeAutospacing="0" w:after="0" w:afterAutospacing="0"/>
        <w:ind w:firstLine="420"/>
        <w:jc w:val="both"/>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一、总体情况</w:t>
      </w:r>
    </w:p>
    <w:p w14:paraId="6589B3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ascii="楷体" w:hAnsi="楷体" w:eastAsia="楷体" w:cs="楷体"/>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（一）主动公开</w:t>
      </w:r>
    </w:p>
    <w:p w14:paraId="0A6921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我局紧紧围绕中心工作全面推动文化体育旅游领域公开，使人民群众获取政务信息更加方便快捷。</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一是全面公开部门网站信息，做到应公开尽公开、及时更新完善部门信息，</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202</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4</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年</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部门网站</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累计主动公开信息</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446余</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条。</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二是更新细化</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两化”领域</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栏目</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信息</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主动</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公开金寨县公共文化</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服务信息110</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余条、旅游活动信息</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110</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余条，正面回应</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群众</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关切</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主动快速公开社会热点和群众关切的文体旅问题。</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三</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是</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加强</w:t>
      </w:r>
      <w:r>
        <w:rPr>
          <w:rFonts w:hint="eastAsia" w:ascii="仿宋_GB2312" w:hAnsi="仿宋_GB2312" w:eastAsia="仿宋_GB2312" w:cs="仿宋_GB2312"/>
          <w:color w:val="404040" w:themeColor="text1" w:themeTint="BF"/>
          <w:sz w:val="32"/>
          <w:szCs w:val="32"/>
          <w14:textFill>
            <w14:solidFill>
              <w14:schemeClr w14:val="tx1">
                <w14:lumMod w14:val="75000"/>
                <w14:lumOff w14:val="25000"/>
              </w14:schemeClr>
            </w14:solidFill>
          </w14:textFill>
        </w:rPr>
        <w:t>重点领域</w:t>
      </w:r>
      <w:r>
        <w:rPr>
          <w:rFonts w:hint="eastAsia" w:ascii="仿宋_GB2312" w:hAnsi="仿宋_GB2312" w:eastAsia="仿宋_GB2312" w:cs="仿宋_GB2312"/>
          <w:color w:val="404040" w:themeColor="text1" w:themeTint="BF"/>
          <w:sz w:val="32"/>
          <w:szCs w:val="32"/>
          <w:lang w:val="en-US" w:eastAsia="zh-CN"/>
          <w14:textFill>
            <w14:solidFill>
              <w14:schemeClr w14:val="tx1">
                <w14:lumMod w14:val="75000"/>
                <w14:lumOff w14:val="25000"/>
              </w14:schemeClr>
            </w14:solidFill>
          </w14:textFill>
        </w:rPr>
        <w:t>栏目信息公开工作，全面公开重点领域工作信息50余条。</w:t>
      </w:r>
    </w:p>
    <w:p w14:paraId="0A9D2A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hint="eastAsia" w:ascii="楷体" w:hAnsi="楷体" w:eastAsia="楷体" w:cs="楷体"/>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（二）依申请公开。</w:t>
      </w:r>
    </w:p>
    <w:p w14:paraId="438E3A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我局严格按照《</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金寨县文旅体育局政府信息依申请公开制度</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》开展依申请公开工作，</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明确各项办理程序和各项环节手续，畅通受理渠道，有效满足群众对各项信息需求。202</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4</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年，我局共收到政府信息依申请公开申请</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0</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件，办结</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0</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件，未出现因政府信息公开被申请行政复议、提起行政诉讼和接受行政申诉、举报的情况。</w:t>
      </w:r>
    </w:p>
    <w:p w14:paraId="5C04A5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hint="eastAsia" w:ascii="楷体" w:hAnsi="楷体" w:eastAsia="楷体" w:cs="楷体"/>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（三）政府信息管理。</w:t>
      </w:r>
    </w:p>
    <w:p w14:paraId="637EF6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Calibri" w:hAnsi="Calibri" w:eastAsia="仿宋_GB2312" w:cs="Calibri"/>
          <w:i w:val="0"/>
          <w:iCs w:val="0"/>
          <w:caps w:val="0"/>
          <w:color w:val="404040" w:themeColor="text1" w:themeTint="BF"/>
          <w:spacing w:val="0"/>
          <w:sz w:val="21"/>
          <w:szCs w:val="21"/>
          <w:lang w:eastAsia="zh-CN"/>
          <w14:textFill>
            <w14:solidFill>
              <w14:schemeClr w14:val="tx1">
                <w14:lumMod w14:val="75000"/>
                <w14:lumOff w14:val="25000"/>
              </w14:schemeClr>
            </w14:solidFill>
          </w14:textFill>
        </w:rPr>
      </w:pP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县文旅体育局高度重视</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政务信息管理</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工作</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力求做到</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信息发布准确、安全、高效</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一是</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坚持规范性文件定期和专项清理相结合，失效、废止、修订类文件及时清理，规范性文件目录下文件与继续有效文件目录相对应并按发布时间依次有序公开。</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公开的</w:t>
      </w:r>
      <w:r>
        <w:rPr>
          <w:rFonts w:hint="eastAsia" w:ascii="仿宋_GB2312" w:hAnsi="仿宋_GB2312" w:eastAsia="仿宋_GB2312" w:cs="仿宋_GB2312"/>
          <w:color w:val="404040" w:themeColor="text1" w:themeTint="BF"/>
          <w:sz w:val="32"/>
          <w:szCs w:val="32"/>
          <w14:textFill>
            <w14:solidFill>
              <w14:schemeClr w14:val="tx1">
                <w14:lumMod w14:val="75000"/>
                <w14:lumOff w14:val="25000"/>
              </w14:schemeClr>
            </w14:solidFill>
          </w14:textFill>
        </w:rPr>
        <w:t>规范性文件格式规范、公开制度完善</w:t>
      </w:r>
      <w:r>
        <w:rPr>
          <w:rFonts w:hint="eastAsia" w:ascii="仿宋_GB2312" w:hAnsi="仿宋_GB2312" w:eastAsia="仿宋_GB2312" w:cs="仿宋_GB2312"/>
          <w:color w:val="404040" w:themeColor="text1" w:themeTint="BF"/>
          <w:sz w:val="32"/>
          <w:szCs w:val="32"/>
          <w:lang w:eastAsia="zh-CN"/>
          <w14:textFill>
            <w14:solidFill>
              <w14:schemeClr w14:val="tx1">
                <w14:lumMod w14:val="75000"/>
                <w14:lumOff w14:val="25000"/>
              </w14:schemeClr>
            </w14:solidFill>
          </w14:textFill>
        </w:rPr>
        <w:t>。</w:t>
      </w:r>
      <w:r>
        <w:rPr>
          <w:rFonts w:hint="eastAsia" w:ascii="仿宋_GB2312" w:hAnsi="仿宋_GB2312" w:eastAsia="仿宋_GB2312" w:cs="仿宋_GB2312"/>
          <w:color w:val="404040" w:themeColor="text1" w:themeTint="BF"/>
          <w:sz w:val="32"/>
          <w:szCs w:val="32"/>
          <w:lang w:val="en-US" w:eastAsia="zh-CN"/>
          <w14:textFill>
            <w14:solidFill>
              <w14:schemeClr w14:val="tx1">
                <w14:lumMod w14:val="75000"/>
                <w14:lumOff w14:val="25000"/>
              </w14:schemeClr>
            </w14:solidFill>
          </w14:textFill>
        </w:rPr>
        <w:t>二是严格落实</w:t>
      </w:r>
      <w:r>
        <w:rPr>
          <w:rFonts w:hint="eastAsia" w:ascii="仿宋_GB2312" w:hAnsi="仿宋_GB2312" w:eastAsia="仿宋_GB2312" w:cs="仿宋_GB2312"/>
          <w:color w:val="404040" w:themeColor="text1" w:themeTint="BF"/>
          <w:sz w:val="32"/>
          <w:szCs w:val="32"/>
          <w14:textFill>
            <w14:solidFill>
              <w14:schemeClr w14:val="tx1">
                <w14:lumMod w14:val="75000"/>
                <w14:lumOff w14:val="25000"/>
              </w14:schemeClr>
            </w14:solidFill>
          </w14:textFill>
        </w:rPr>
        <w:t>保密</w:t>
      </w:r>
      <w:r>
        <w:rPr>
          <w:rFonts w:hint="eastAsia" w:ascii="仿宋_GB2312" w:hAnsi="仿宋_GB2312" w:eastAsia="仿宋_GB2312" w:cs="仿宋_GB2312"/>
          <w:color w:val="404040" w:themeColor="text1" w:themeTint="BF"/>
          <w:sz w:val="32"/>
          <w:szCs w:val="32"/>
          <w:lang w:val="en-US" w:eastAsia="zh-CN"/>
          <w14:textFill>
            <w14:solidFill>
              <w14:schemeClr w14:val="tx1">
                <w14:lumMod w14:val="75000"/>
                <w14:lumOff w14:val="25000"/>
              </w14:schemeClr>
            </w14:solidFill>
          </w14:textFill>
        </w:rPr>
        <w:t>工作</w:t>
      </w:r>
      <w:r>
        <w:rPr>
          <w:rFonts w:hint="eastAsia" w:ascii="仿宋_GB2312" w:hAnsi="仿宋_GB2312" w:eastAsia="仿宋_GB2312" w:cs="仿宋_GB2312"/>
          <w:color w:val="404040" w:themeColor="text1" w:themeTint="BF"/>
          <w:sz w:val="32"/>
          <w:szCs w:val="32"/>
          <w14:textFill>
            <w14:solidFill>
              <w14:schemeClr w14:val="tx1">
                <w14:lumMod w14:val="75000"/>
                <w14:lumOff w14:val="25000"/>
              </w14:schemeClr>
            </w14:solidFill>
          </w14:textFill>
        </w:rPr>
        <w:t>、</w:t>
      </w:r>
      <w:r>
        <w:rPr>
          <w:rFonts w:hint="eastAsia" w:ascii="仿宋_GB2312" w:hAnsi="仿宋_GB2312" w:eastAsia="仿宋_GB2312" w:cs="仿宋_GB2312"/>
          <w:color w:val="404040" w:themeColor="text1" w:themeTint="BF"/>
          <w:sz w:val="32"/>
          <w:szCs w:val="32"/>
          <w:lang w:val="en-US" w:eastAsia="zh-CN"/>
          <w14:textFill>
            <w14:solidFill>
              <w14:schemeClr w14:val="tx1">
                <w14:lumMod w14:val="75000"/>
                <w14:lumOff w14:val="25000"/>
              </w14:schemeClr>
            </w14:solidFill>
          </w14:textFill>
        </w:rPr>
        <w:t>贯彻执行</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信息发布审核制度</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推动</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政务公开工作制度化、规范化</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p>
    <w:p w14:paraId="665047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hint="eastAsia" w:ascii="楷体" w:hAnsi="楷体" w:eastAsia="楷体" w:cs="楷体"/>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（四）政府信息公开平台建设情况。</w:t>
      </w:r>
    </w:p>
    <w:p w14:paraId="398F7E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一是</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加强对我局</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部门网站的</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管理维护，</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明确</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专人负责。定期发布本单位相关动态及政府信息，针对</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群众日常来电</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咨询</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的问题进行公开，及时回应群众关切，增强政府信息公开的主动性、实效性。二是</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加强对基层政务公开标准化</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规范化平台信息的更新和维护</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丰富网站发布内容</w:t>
      </w:r>
      <w:r>
        <w:rPr>
          <w:rFonts w:hint="eastAsia" w:ascii="仿宋_GB2312" w:hAnsi="Calibri" w:eastAsia="仿宋_GB2312" w:cs="仿宋_GB2312"/>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全面公开本部门活动信息</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w:t>
      </w:r>
    </w:p>
    <w:p w14:paraId="481586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hint="eastAsia" w:ascii="楷体" w:hAnsi="楷体" w:eastAsia="楷体" w:cs="楷体"/>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（五）监督保障。</w:t>
      </w:r>
    </w:p>
    <w:p w14:paraId="7A8B0D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404040" w:themeColor="text1" w:themeTint="BF"/>
          <w:spacing w:val="0"/>
          <w:sz w:val="21"/>
          <w:szCs w:val="21"/>
          <w14:textFill>
            <w14:solidFill>
              <w14:schemeClr w14:val="tx1">
                <w14:lumMod w14:val="75000"/>
                <w14:lumOff w14:val="25000"/>
              </w14:schemeClr>
            </w14:solidFill>
          </w14:textFill>
        </w:rPr>
      </w:pP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一是</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以信息公开日常监测为</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依据</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，推动政务公开工作落实。局办公室发挥统筹协调作用，梳理存在的问题，明确整改责任清单，推动各项任务在时间节点前顺利完成。</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二是</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认真落实整改。结合第三方机构测评结果和市县季度测评情况通报，</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针对我局</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政务公开的短板弱项，与责任股室</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对接，及时做好整改，并举一反三，加强人员培训和日常监管，规范</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我局</w:t>
      </w:r>
      <w:r>
        <w:rPr>
          <w:rFonts w:hint="eastAsia" w:ascii="仿宋_GB2312" w:hAnsi="Calibri" w:eastAsia="仿宋_GB2312" w:cs="仿宋_GB2312"/>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政府网站信息</w:t>
      </w:r>
      <w:r>
        <w:rPr>
          <w:rFonts w:hint="eastAsia" w:ascii="仿宋_GB2312" w:hAnsi="Calibri" w:eastAsia="仿宋_GB2312" w:cs="仿宋_GB2312"/>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w:t>
      </w:r>
    </w:p>
    <w:p w14:paraId="23075BC7">
      <w:pPr>
        <w:widowControl/>
        <w:shd w:val="clear" w:color="auto" w:fill="FFFFFF"/>
        <w:spacing w:before="0" w:beforeAutospacing="0" w:after="0" w:afterAutospacing="0"/>
        <w:ind w:firstLine="420"/>
        <w:jc w:val="both"/>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现行有效件数</w:t>
            </w:r>
          </w:p>
        </w:tc>
      </w:tr>
      <w:tr w14:paraId="54EC9BC6">
        <w:tblPrEx>
          <w:tblCellMar>
            <w:top w:w="0" w:type="dxa"/>
            <w:left w:w="0" w:type="dxa"/>
            <w:bottom w:w="0" w:type="dxa"/>
            <w:right w:w="0" w:type="dxa"/>
          </w:tblCellMar>
        </w:tblPrEx>
        <w:trPr>
          <w:trHeight w:val="258"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both"/>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　</w:t>
            </w:r>
            <w: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t xml:space="preserve">         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t>0</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t>0</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第二十条第（五）项</w:t>
            </w:r>
          </w:p>
        </w:tc>
      </w:tr>
      <w:tr w14:paraId="51DF5545">
        <w:tblPrEx>
          <w:tblCellMar>
            <w:top w:w="0" w:type="dxa"/>
            <w:left w:w="0" w:type="dxa"/>
            <w:bottom w:w="0" w:type="dxa"/>
            <w:right w:w="0" w:type="dxa"/>
          </w:tblCellMar>
        </w:tblPrEx>
        <w:trPr>
          <w:trHeight w:val="32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eastAsia" w:ascii="仿宋_GB2312" w:hAnsi="Times New Roman" w:eastAsia="仿宋_GB2312" w:cs="Times New Roman"/>
                <w:color w:val="404040" w:themeColor="text1" w:themeTint="BF"/>
                <w:sz w:val="32"/>
                <w:szCs w:val="32"/>
                <w:lang w:val="en-US" w:eastAsia="zh-CN"/>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1"/>
                <w:szCs w:val="21"/>
                <w:lang w:val="en-US" w:eastAsia="zh-CN"/>
                <w14:textFill>
                  <w14:solidFill>
                    <w14:schemeClr w14:val="tx1">
                      <w14:lumMod w14:val="75000"/>
                      <w14:lumOff w14:val="25000"/>
                    </w14:schemeClr>
                  </w14:solidFill>
                </w14:textFill>
              </w:rPr>
              <w:t>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t>23</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ascii="宋体" w:hAnsi="宋体" w:eastAsia="宋体" w:cs="宋体"/>
                <w:color w:val="404040" w:themeColor="text1" w:themeTint="BF"/>
                <w:kern w:val="0"/>
                <w:sz w:val="20"/>
                <w:szCs w:val="20"/>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lang w:val="en-US" w:eastAsia="zh-CN"/>
                <w14:textFill>
                  <w14:solidFill>
                    <w14:schemeClr w14:val="tx1">
                      <w14:lumMod w14:val="75000"/>
                      <w14:lumOff w14:val="25000"/>
                    </w14:schemeClr>
                  </w14:solidFill>
                </w14:textFill>
              </w:rPr>
              <w:t>0</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eastAsia" w:ascii="宋体" w:hAnsi="Times New Roman" w:eastAsia="仿宋_GB2312" w:cs="Times New Roman"/>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Times New Roman" w:eastAsia="仿宋_GB2312" w:cs="Times New Roman"/>
                <w:color w:val="404040" w:themeColor="text1" w:themeTint="BF"/>
                <w:sz w:val="24"/>
                <w:szCs w:val="24"/>
                <w:lang w:val="en-US" w:eastAsia="zh-CN"/>
                <w14:textFill>
                  <w14:solidFill>
                    <w14:schemeClr w14:val="tx1">
                      <w14:lumMod w14:val="75000"/>
                      <w14:lumOff w14:val="25000"/>
                    </w14:schemeClr>
                  </w14:solidFill>
                </w14:textFill>
              </w:rPr>
              <w:t>0</w:t>
            </w:r>
          </w:p>
        </w:tc>
      </w:tr>
    </w:tbl>
    <w:p w14:paraId="1149A0CB">
      <w:pPr>
        <w:widowControl/>
        <w:shd w:val="clear" w:color="auto" w:fill="FFFFFF"/>
        <w:spacing w:before="0" w:beforeAutospacing="0" w:after="0" w:afterAutospacing="0"/>
        <w:ind w:firstLine="420"/>
        <w:jc w:val="both"/>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楷体" w:hAnsi="楷体" w:eastAsia="楷体" w:cs="楷体"/>
                <w:color w:val="404040" w:themeColor="text1" w:themeTint="BF"/>
                <w:kern w:val="0"/>
                <w:sz w:val="20"/>
                <w:szCs w:val="20"/>
                <w14:textFill>
                  <w14:solidFill>
                    <w14:schemeClr w14:val="tx1">
                      <w14:lumMod w14:val="75000"/>
                      <w14:lumOff w14:val="25000"/>
                    </w14:schemeClr>
                  </w14:solidFill>
                </w14:textFill>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商业</w:t>
            </w:r>
          </w:p>
          <w:p w14:paraId="0BC1677C">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科研</w:t>
            </w:r>
          </w:p>
          <w:p w14:paraId="38A86C81">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404040" w:themeColor="text1" w:themeTint="BF"/>
                <w:sz w:val="32"/>
                <w:szCs w:val="32"/>
                <w:lang w:val="en-US" w:eastAsia="zh-CN"/>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eastAsia" w:ascii="仿宋_GB2312" w:hAnsi="Times New Roman" w:eastAsia="仿宋_GB2312" w:cs="Times New Roman"/>
                <w:color w:val="404040" w:themeColor="text1" w:themeTint="BF"/>
                <w:sz w:val="32"/>
                <w:szCs w:val="32"/>
                <w:lang w:val="en-US" w:eastAsia="zh-CN"/>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tcPr>
          <w:p w14:paraId="3C958CC7">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2A7378">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6E10EB">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BEA1D6">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5BD5A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679F4B">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7B79C2">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4EEAAAE0">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（二）部分公开</w:t>
            </w:r>
            <w:r>
              <w:rPr>
                <w:rFonts w:hint="eastAsia" w:ascii="楷体" w:hAnsi="楷体" w:eastAsia="楷体" w:cs="楷体"/>
                <w:color w:val="404040" w:themeColor="text1" w:themeTint="BF"/>
                <w:kern w:val="0"/>
                <w:sz w:val="20"/>
                <w:szCs w:val="20"/>
                <w14:textFill>
                  <w14:solidFill>
                    <w14:schemeClr w14:val="tx1">
                      <w14:lumMod w14:val="75000"/>
                      <w14:lumOff w14:val="25000"/>
                    </w14:schemeClr>
                  </w14:solidFill>
                </w14:textFill>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E93BC9">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ED332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6AD38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FE12F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865C28">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F9EFB7">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56E38A3">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E04173">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B2F459">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1FA66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D6D6DC">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CDABAE">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5FC16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593F56B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108FCD">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468BF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04D53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DA27B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E90E4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0DD2B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1F93368">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153A95">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1530BB">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6E5FC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41957D">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375436">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F236F8">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7480BFD">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6730AE">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E66C3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E75C9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E859A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E504E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816EA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112152D">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0472EA">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06CAD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6F07F8">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B4F7C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2E90A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84FCB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7148D0C">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13AE2CF">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EAD347">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FCC020">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6933EB">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FD60A7">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6295D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4BF151B">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346008">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2E70E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13116A3">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AACBC0">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E1DA5A">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1037B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A86A25A">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C86DC6">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E893E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E2C02C">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86283C">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C8DED6">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7EF1E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0D515D">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2DE6F4">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902E57">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B2915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41A76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D9FB6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A0D699">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C588906">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A51929">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400C2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8201B6">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D09E7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63A20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C2E96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0BDC57D">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9E755E">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DA74C3">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C0103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2A9A30">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6E048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948F0D">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3BA5E11">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FED11F">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9B31D3">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5AFE09">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1863B0">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8179E7">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3DC633">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B296926">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2B593B">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C3A390">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05678A">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19F630">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1A248D">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281D8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EE3687B">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3DB100">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3183C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23ECFD">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E4A46C">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F1BD3E">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918A0A">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22352DA">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FD677F">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20E8CE">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CCFC1E">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9BAA0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49EE88">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4E26230">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565365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501E8FC">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65C1073">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D4677DA">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70A54AE">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DD8A40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049937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14:paraId="12718D51">
            <w:pPr>
              <w:widowControl/>
              <w:jc w:val="cente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pPr>
          </w:p>
          <w:p w14:paraId="714950F7">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BF002E">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EE051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0FCC97">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A1B808">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00B46F">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278C56">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006B6A4">
            <w:pPr>
              <w:widowControl/>
              <w:jc w:val="cente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pPr>
          </w:p>
          <w:p w14:paraId="0BBB5735">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CB896E">
            <w:pPr>
              <w:widowControl/>
              <w:jc w:val="center"/>
              <w:rPr>
                <w:rFonts w:hint="eastAsia"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36AE4C">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FA3E62">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71C8A9">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BBBC94">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50788C">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266A195">
            <w:pPr>
              <w:widowControl/>
              <w:jc w:val="cente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pPr>
          </w:p>
          <w:p w14:paraId="15E552F3">
            <w:pPr>
              <w:widowControl/>
              <w:jc w:val="center"/>
              <w:rPr>
                <w:rFonts w:ascii="仿宋_GB2312" w:hAnsi="Times New Roman" w:eastAsia="仿宋_GB2312" w:cs="Times New Roman"/>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518DC97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24F75AB5">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4C2046F7">
            <w:pPr>
              <w:widowControl/>
              <w:jc w:val="cente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bl>
    <w:p w14:paraId="5EDB8FF7">
      <w:pPr>
        <w:widowControl/>
        <w:shd w:val="clear" w:color="auto" w:fill="FFFFFF"/>
        <w:jc w:val="center"/>
        <w:rPr>
          <w:rFonts w:ascii="宋体" w:hAnsi="宋体" w:eastAsia="宋体" w:cs="宋体"/>
          <w:color w:val="404040" w:themeColor="text1" w:themeTint="BF"/>
          <w:sz w:val="24"/>
          <w:szCs w:val="24"/>
          <w14:textFill>
            <w14:solidFill>
              <w14:schemeClr w14:val="tx1">
                <w14:lumMod w14:val="75000"/>
                <w14:lumOff w14:val="25000"/>
              </w14:schemeClr>
            </w14:solidFill>
          </w14:textFill>
        </w:rPr>
      </w:pPr>
    </w:p>
    <w:p w14:paraId="765DC666">
      <w:pPr>
        <w:widowControl/>
        <w:shd w:val="clear" w:color="auto" w:fill="FFFFFF"/>
        <w:spacing w:before="0" w:beforeAutospacing="0" w:after="0" w:afterAutospacing="0"/>
        <w:ind w:firstLine="420"/>
        <w:jc w:val="both"/>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四、政府信息公开行政复议、行政诉讼情况</w:t>
      </w:r>
    </w:p>
    <w:p w14:paraId="29B7540F">
      <w:pPr>
        <w:widowControl/>
        <w:shd w:val="clear" w:color="auto" w:fill="FFFFFF"/>
        <w:jc w:val="center"/>
        <w:rPr>
          <w:rFonts w:ascii="宋体" w:hAnsi="宋体" w:eastAsia="宋体" w:cs="宋体"/>
          <w:color w:val="404040" w:themeColor="text1" w:themeTint="BF"/>
          <w:sz w:val="24"/>
          <w:szCs w:val="24"/>
          <w14:textFill>
            <w14:solidFill>
              <w14:schemeClr w14:val="tx1">
                <w14:lumMod w14:val="75000"/>
                <w14:lumOff w14:val="25000"/>
              </w14:schemeClr>
            </w14:solidFill>
          </w14:textFill>
        </w:rPr>
      </w:pP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其他</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尚未</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其他</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尚未</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其他</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尚未</w:t>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br w:type="textWrapping"/>
            </w: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20"/>
                <w:szCs w:val="20"/>
                <w14:textFill>
                  <w14:solidFill>
                    <w14:schemeClr w14:val="tx1">
                      <w14:lumMod w14:val="75000"/>
                      <w14:lumOff w14:val="25000"/>
                    </w14:schemeClr>
                  </w14:solidFill>
                </w14:textFill>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161B64B8">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013D8D8B">
            <w:pPr>
              <w:widowControl/>
              <w:jc w:val="center"/>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widowControl/>
              <w:jc w:val="center"/>
              <w:rPr>
                <w:rFonts w:ascii="宋体" w:hAnsi="Times New Roman" w:eastAsia="仿宋_GB2312" w:cs="Times New Roman"/>
                <w:color w:val="404040" w:themeColor="text1" w:themeTint="BF"/>
                <w:sz w:val="24"/>
                <w:szCs w:val="24"/>
                <w14:textFill>
                  <w14:solidFill>
                    <w14:schemeClr w14:val="tx1">
                      <w14:lumMod w14:val="75000"/>
                      <w14:lumOff w14:val="25000"/>
                    </w14:schemeClr>
                  </w14:solidFill>
                </w14:textFill>
              </w:rPr>
            </w:pPr>
            <w:r>
              <w:rPr>
                <w:rFonts w:ascii="Calibri" w:hAnsi="Calibri" w:eastAsia="仿宋_GB2312" w:cs="Calibri"/>
                <w:color w:val="404040" w:themeColor="text1" w:themeTint="BF"/>
                <w:kern w:val="0"/>
                <w:sz w:val="20"/>
                <w:szCs w:val="20"/>
                <w14:textFill>
                  <w14:solidFill>
                    <w14:schemeClr w14:val="tx1">
                      <w14:lumMod w14:val="75000"/>
                      <w14:lumOff w14:val="25000"/>
                    </w14:schemeClr>
                  </w14:solidFill>
                </w14:textFill>
              </w:rPr>
              <w:t> </w:t>
            </w:r>
            <w:r>
              <w:rPr>
                <w:rFonts w:hint="eastAsia" w:ascii="Calibri" w:hAnsi="Calibri" w:eastAsia="仿宋_GB2312" w:cs="Calibri"/>
                <w:color w:val="404040" w:themeColor="text1" w:themeTint="BF"/>
                <w:kern w:val="0"/>
                <w:sz w:val="20"/>
                <w:szCs w:val="20"/>
                <w:lang w:val="en-US" w:eastAsia="zh-CN"/>
                <w14:textFill>
                  <w14:solidFill>
                    <w14:schemeClr w14:val="tx1">
                      <w14:lumMod w14:val="75000"/>
                      <w14:lumOff w14:val="25000"/>
                    </w14:schemeClr>
                  </w14:solidFill>
                </w14:textFill>
              </w:rPr>
              <w:t>0</w:t>
            </w:r>
          </w:p>
        </w:tc>
      </w:tr>
    </w:tbl>
    <w:p w14:paraId="0C9FCDD1">
      <w:pPr>
        <w:widowControl/>
        <w:jc w:val="left"/>
        <w:rPr>
          <w:rFonts w:ascii="仿宋_GB2312" w:hAnsi="Times New Roman" w:eastAsia="仿宋_GB2312" w:cs="Times New Roman"/>
          <w:color w:val="404040" w:themeColor="text1" w:themeTint="BF"/>
          <w:sz w:val="32"/>
          <w:szCs w:val="32"/>
          <w14:textFill>
            <w14:solidFill>
              <w14:schemeClr w14:val="tx1">
                <w14:lumMod w14:val="75000"/>
                <w14:lumOff w14:val="25000"/>
              </w14:schemeClr>
            </w14:solidFill>
          </w14:textFill>
        </w:rPr>
      </w:pPr>
    </w:p>
    <w:p w14:paraId="178466E7">
      <w:pPr>
        <w:widowControl/>
        <w:shd w:val="clear" w:color="auto" w:fill="FFFFFF"/>
        <w:spacing w:before="0" w:beforeAutospacing="0" w:after="0" w:afterAutospacing="0"/>
        <w:ind w:firstLine="420"/>
        <w:jc w:val="both"/>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五、存在的主要问题及改进情况</w:t>
      </w:r>
    </w:p>
    <w:p w14:paraId="65386731">
      <w:pPr>
        <w:ind w:firstLine="643" w:firstLineChars="200"/>
        <w:rPr>
          <w:rFonts w:hint="default" w:ascii="仿宋_GB2312" w:hAnsi="微软雅黑" w:eastAsia="仿宋_GB2312" w:cs="仿宋_GB2312"/>
          <w:color w:val="404040" w:themeColor="text1" w:themeTint="BF"/>
          <w:kern w:val="0"/>
          <w:sz w:val="32"/>
          <w:szCs w:val="32"/>
          <w:lang w:val="en-US" w:eastAsia="zh-CN"/>
          <w14:textFill>
            <w14:solidFill>
              <w14:schemeClr w14:val="tx1">
                <w14:lumMod w14:val="75000"/>
                <w14:lumOff w14:val="25000"/>
              </w14:schemeClr>
            </w14:solidFill>
          </w14:textFill>
        </w:rPr>
      </w:pPr>
      <w:r>
        <w:rPr>
          <w:rFonts w:hint="eastAsia" w:ascii="楷体" w:hAnsi="楷体" w:eastAsia="楷体" w:cs="楷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（一）存在的主要问题：</w:t>
      </w:r>
      <w:r>
        <w:rPr>
          <w:rFonts w:hint="eastAsia" w:ascii="仿宋_GB2312" w:hAnsi="微软雅黑" w:eastAsia="仿宋_GB2312" w:cs="仿宋_GB2312"/>
          <w:color w:val="404040" w:themeColor="text1" w:themeTint="BF"/>
          <w:kern w:val="0"/>
          <w:sz w:val="32"/>
          <w:szCs w:val="32"/>
          <w14:textFill>
            <w14:solidFill>
              <w14:schemeClr w14:val="tx1">
                <w14:lumMod w14:val="75000"/>
                <w14:lumOff w14:val="25000"/>
              </w14:schemeClr>
            </w14:solidFill>
          </w14:textFill>
        </w:rPr>
        <w:t>政策解读的信息发布量偏少，政策解读的效果有待加强，</w:t>
      </w:r>
      <w:r>
        <w:rPr>
          <w:rFonts w:hint="eastAsia" w:ascii="仿宋_GB2312" w:hAnsi="微软雅黑" w:eastAsia="仿宋_GB2312" w:cs="仿宋_GB2312"/>
          <w:color w:val="404040" w:themeColor="text1" w:themeTint="BF"/>
          <w:kern w:val="0"/>
          <w:sz w:val="32"/>
          <w:szCs w:val="32"/>
          <w:lang w:val="en-US" w:eastAsia="zh-CN"/>
          <w14:textFill>
            <w14:solidFill>
              <w14:schemeClr w14:val="tx1">
                <w14:lumMod w14:val="75000"/>
                <w14:lumOff w14:val="25000"/>
              </w14:schemeClr>
            </w14:solidFill>
          </w14:textFill>
        </w:rPr>
        <w:t>表现为</w:t>
      </w:r>
      <w:r>
        <w:rPr>
          <w:rFonts w:hint="eastAsia" w:ascii="仿宋_GB2312" w:hAnsi="微软雅黑" w:eastAsia="仿宋_GB2312" w:cs="仿宋_GB2312"/>
          <w:color w:val="404040" w:themeColor="text1" w:themeTint="BF"/>
          <w:kern w:val="0"/>
          <w:sz w:val="32"/>
          <w:szCs w:val="32"/>
          <w14:textFill>
            <w14:solidFill>
              <w14:schemeClr w14:val="tx1">
                <w14:lumMod w14:val="75000"/>
                <w14:lumOff w14:val="25000"/>
              </w14:schemeClr>
            </w14:solidFill>
          </w14:textFill>
        </w:rPr>
        <w:t>图片音视频解读材料和向社会征求意见收集情况及采纳情况等重点领域信息公开工作</w:t>
      </w:r>
      <w:r>
        <w:rPr>
          <w:rFonts w:hint="eastAsia" w:ascii="仿宋_GB2312" w:hAnsi="微软雅黑" w:eastAsia="仿宋_GB2312" w:cs="仿宋_GB2312"/>
          <w:color w:val="404040" w:themeColor="text1" w:themeTint="BF"/>
          <w:kern w:val="0"/>
          <w:sz w:val="32"/>
          <w:szCs w:val="32"/>
          <w:lang w:val="en-US" w:eastAsia="zh-CN"/>
          <w14:textFill>
            <w14:solidFill>
              <w14:schemeClr w14:val="tx1">
                <w14:lumMod w14:val="75000"/>
                <w14:lumOff w14:val="25000"/>
              </w14:schemeClr>
            </w14:solidFill>
          </w14:textFill>
        </w:rPr>
        <w:t>方面资料较少。</w:t>
      </w:r>
      <w:bookmarkStart w:id="0" w:name="_GoBack"/>
      <w:bookmarkEnd w:id="0"/>
    </w:p>
    <w:p w14:paraId="54DE61B5">
      <w:pPr>
        <w:ind w:firstLine="643" w:firstLineChars="200"/>
        <w:rPr>
          <w:rFonts w:hint="eastAsia" w:ascii="仿宋_GB2312" w:hAnsi="微软雅黑" w:eastAsia="仿宋_GB2312" w:cs="仿宋_GB2312"/>
          <w:color w:val="404040" w:themeColor="text1" w:themeTint="BF"/>
          <w:kern w:val="0"/>
          <w:sz w:val="32"/>
          <w:szCs w:val="32"/>
          <w14:textFill>
            <w14:solidFill>
              <w14:schemeClr w14:val="tx1">
                <w14:lumMod w14:val="75000"/>
                <w14:lumOff w14:val="25000"/>
              </w14:schemeClr>
            </w14:solidFill>
          </w14:textFill>
        </w:rPr>
      </w:pPr>
      <w:r>
        <w:rPr>
          <w:rFonts w:hint="eastAsia" w:ascii="楷体" w:hAnsi="楷体" w:eastAsia="楷体" w:cs="楷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（二）改进情况：</w:t>
      </w:r>
      <w:r>
        <w:rPr>
          <w:rFonts w:hint="eastAsia" w:ascii="仿宋_GB2312" w:hAnsi="微软雅黑" w:eastAsia="仿宋_GB2312" w:cs="仿宋_GB2312"/>
          <w:color w:val="404040" w:themeColor="text1" w:themeTint="BF"/>
          <w:kern w:val="0"/>
          <w:sz w:val="32"/>
          <w:szCs w:val="32"/>
          <w:lang w:val="en-US" w:eastAsia="zh-CN"/>
          <w14:textFill>
            <w14:solidFill>
              <w14:schemeClr w14:val="tx1">
                <w14:lumMod w14:val="75000"/>
                <w14:lumOff w14:val="25000"/>
              </w14:schemeClr>
            </w14:solidFill>
          </w14:textFill>
        </w:rPr>
        <w:t>一是针对上年度存在的问题进行整改，及时公开群众关切的问题，积极回应群众诉求，公开的信息做到全面具体。二是继续</w:t>
      </w:r>
      <w:r>
        <w:rPr>
          <w:rFonts w:hint="eastAsia" w:ascii="仿宋_GB2312" w:hAnsi="微软雅黑" w:eastAsia="仿宋_GB2312" w:cs="仿宋_GB2312"/>
          <w:color w:val="404040" w:themeColor="text1" w:themeTint="BF"/>
          <w:kern w:val="0"/>
          <w:sz w:val="32"/>
          <w:szCs w:val="32"/>
          <w14:textFill>
            <w14:solidFill>
              <w14:schemeClr w14:val="tx1">
                <w14:lumMod w14:val="75000"/>
                <w14:lumOff w14:val="25000"/>
              </w14:schemeClr>
            </w14:solidFill>
          </w14:textFill>
        </w:rPr>
        <w:t>坚持从群众视角着力强化政策发布、解读和回应，提高政民互动水平和为民服务实效，不断提升人民群众获得感和满意度。</w:t>
      </w:r>
    </w:p>
    <w:p w14:paraId="50B92585">
      <w:pPr>
        <w:widowControl/>
        <w:shd w:val="clear" w:color="auto" w:fill="FFFFFF"/>
        <w:spacing w:before="0" w:beforeAutospacing="0" w:after="0" w:afterAutospacing="0"/>
        <w:ind w:firstLine="420"/>
        <w:jc w:val="both"/>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hint="eastAsia" w:ascii="黑体" w:hAnsi="黑体" w:eastAsia="黑体" w:cs="黑体"/>
          <w:b/>
          <w:bCs/>
          <w:i w:val="0"/>
          <w:iCs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六、其他需要报告的事项</w:t>
      </w:r>
    </w:p>
    <w:p w14:paraId="37A462A4">
      <w:pPr>
        <w:ind w:firstLine="640" w:firstLineChars="200"/>
        <w:rPr>
          <w:rFonts w:hint="eastAsia" w:ascii="仿宋_GB2312" w:hAnsi="微软雅黑" w:eastAsia="仿宋_GB2312" w:cs="仿宋_GB2312"/>
          <w:color w:val="404040" w:themeColor="text1" w:themeTint="BF"/>
          <w:kern w:val="0"/>
          <w:sz w:val="32"/>
          <w:szCs w:val="32"/>
          <w14:textFill>
            <w14:solidFill>
              <w14:schemeClr w14:val="tx1">
                <w14:lumMod w14:val="75000"/>
                <w14:lumOff w14:val="25000"/>
              </w14:schemeClr>
            </w14:solidFill>
          </w14:textFill>
        </w:rPr>
      </w:pPr>
      <w:r>
        <w:rPr>
          <w:rFonts w:hint="eastAsia" w:ascii="仿宋_GB2312" w:hAnsi="微软雅黑" w:eastAsia="仿宋_GB2312" w:cs="仿宋_GB2312"/>
          <w:color w:val="404040" w:themeColor="text1" w:themeTint="BF"/>
          <w:kern w:val="0"/>
          <w:sz w:val="32"/>
          <w:szCs w:val="32"/>
          <w:lang w:val="en-US" w:eastAsia="zh-CN"/>
          <w14:textFill>
            <w14:solidFill>
              <w14:schemeClr w14:val="tx1">
                <w14:lumMod w14:val="75000"/>
                <w14:lumOff w14:val="25000"/>
              </w14:schemeClr>
            </w14:solidFill>
          </w14:textFill>
        </w:rPr>
        <w:t>按照《国务院办公厅关于印发〈政府信息公开信息处理费管理办法〉 的通知》（国办函〔2020〕109号）规定的按件、按量收费标准，本年度没有产生信息公开处理费。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819AA"/>
    <w:rsid w:val="0E0A56D8"/>
    <w:rsid w:val="0E5E7EC3"/>
    <w:rsid w:val="180477CA"/>
    <w:rsid w:val="198F3191"/>
    <w:rsid w:val="19B9669C"/>
    <w:rsid w:val="1DC74E09"/>
    <w:rsid w:val="1E3502E0"/>
    <w:rsid w:val="2CA156F3"/>
    <w:rsid w:val="2F457D55"/>
    <w:rsid w:val="350A4E2C"/>
    <w:rsid w:val="3BF23D03"/>
    <w:rsid w:val="40DC4AF4"/>
    <w:rsid w:val="43E0778A"/>
    <w:rsid w:val="484C7D5F"/>
    <w:rsid w:val="52EA3518"/>
    <w:rsid w:val="5A862E7C"/>
    <w:rsid w:val="61744FEB"/>
    <w:rsid w:val="67CD1A06"/>
    <w:rsid w:val="67E76904"/>
    <w:rsid w:val="69121D50"/>
    <w:rsid w:val="69EA5CDC"/>
    <w:rsid w:val="6CEA1A52"/>
    <w:rsid w:val="6F5778B8"/>
    <w:rsid w:val="70041B6B"/>
    <w:rsid w:val="791E4FA3"/>
    <w:rsid w:val="7E3075F0"/>
    <w:rsid w:val="7E99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1227</Words>
  <Characters>1271</Characters>
  <Lines>0</Lines>
  <Paragraphs>0</Paragraphs>
  <TotalTime>433</TotalTime>
  <ScaleCrop>false</ScaleCrop>
  <LinksUpToDate>false</LinksUpToDate>
  <CharactersWithSpaces>1287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2025-01-14T00:35:15Z</cp:lastPrinted>
  <dcterms:modified xsi:type="dcterms:W3CDTF">2025-01-14T06:46:50Z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CAAC13E11F9148FDAA42C459376C5EE0_13</vt:lpwstr>
  </property>
  <property fmtid="{D5CDD505-2E9C-101B-9397-08002B2CF9AE}" pid="4" name="KSOTemplateDocerSaveRecord">
    <vt:lpwstr>eyJoZGlkIjoiODlhYzczMjZkOTQ5ZTU4M2E0YTdjY2IzOTg0MzQzMTkifQ==</vt:lpwstr>
  </property>
</Properties>
</file>