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桃岭乡“桃心窝”为民服务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工作方案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spacing w:after="0" w:line="540" w:lineRule="exact"/>
        <w:jc w:val="center"/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44"/>
          <w:sz w:val="32"/>
          <w:szCs w:val="32"/>
          <w:lang w:val="en-US" w:eastAsia="zh-CN" w:bidi="ar"/>
        </w:rPr>
        <w:t>《桃岭乡“桃心窝”为民服务工作方案》随文印发，请遵照执行。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12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金寨县桃岭乡人民政府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default" w:ascii="方正小标宋简体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2024年7月28日      </w:t>
      </w:r>
    </w:p>
    <w:p>
      <w:pPr>
        <w:spacing w:after="0" w:line="540" w:lineRule="exact"/>
        <w:jc w:val="center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spacing w:after="0" w:line="540" w:lineRule="exact"/>
        <w:jc w:val="both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桃岭乡“桃心窝”为民服务工作方案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为进一步坚持和发展新时代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“枫桥经验”，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深入践行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“新时代六尺巷工作法”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积极创建信访法治乡，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全面构建桃岭乡基层社会治理新格局，结合当前工作实际，制定本工作方案。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i w:val="0"/>
          <w:snapToGrid w:val="0"/>
          <w:color w:val="auto"/>
          <w:kern w:val="0"/>
          <w:sz w:val="32"/>
          <w:szCs w:val="32"/>
          <w:lang w:val="en-US" w:eastAsia="zh-CN" w:bidi="ar"/>
        </w:rPr>
        <w:t>有效整合基层治理各方力量，统筹推进桃岭乡为民办实事、平安建设等工作，创新打造“桃心窝”为民服务品牌，落实矛盾纠纷排查化解关口前置、重心下移，最大限度将各类风险和矛盾防范在源头、化解在基层，切实落实“六减一增”，有效提升基层社会治理效能，确保我乡基层社会治理走深走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推进措施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87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1"/>
          <w:sz w:val="32"/>
          <w:szCs w:val="32"/>
          <w:lang w:val="en-US" w:eastAsia="zh-CN"/>
        </w:rPr>
        <w:t>1.成立领导小组。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由乡党委书记陈茂娟任组长，吴迪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杜方旭、傅贤悦、刘玉璟、舒贻双、</w:t>
      </w:r>
      <w:r>
        <w:rPr>
          <w:rFonts w:hint="eastAsia" w:ascii="Times New Roman" w:hAnsi="Times New Roman" w:eastAsia="仿宋_GB2312" w:cs="仿宋_GB2312"/>
          <w:b w:val="0"/>
          <w:i w:val="0"/>
          <w:snapToGrid w:val="0"/>
          <w:color w:val="auto"/>
          <w:spacing w:val="11"/>
          <w:kern w:val="0"/>
          <w:sz w:val="32"/>
          <w:szCs w:val="32"/>
          <w:lang w:val="en-US" w:eastAsia="zh-CN" w:bidi="ar"/>
        </w:rPr>
        <w:t>李峰、王良武、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spacing w:val="11"/>
          <w:sz w:val="32"/>
          <w:szCs w:val="32"/>
          <w:lang w:val="en-US" w:eastAsia="zh-CN"/>
        </w:rPr>
        <w:t>刘涛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i w:val="0"/>
          <w:snapToGrid w:val="0"/>
          <w:color w:val="auto"/>
          <w:kern w:val="0"/>
          <w:sz w:val="32"/>
          <w:szCs w:val="32"/>
          <w:lang w:val="en-US" w:eastAsia="zh-CN" w:bidi="ar"/>
        </w:rPr>
        <w:t>孙明义、张家枝、邓敏、刘当根、段昌塬、刘天灵任副组长，领导全乡基层治理工作，办公室设在乡平安办。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2.组建工作专班。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在乡平安办现有人员及原16名“红色评议员”队伍基础上，抽调乡政府精干力量，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  <w:t>协同各包片村干全力推进为民办实事各项工作。专班分为走访宣传组、政策解答组、监督考核组，</w:t>
      </w:r>
      <w:r>
        <w:rPr>
          <w:rFonts w:hint="eastAsia" w:ascii="Times New Roman" w:hAnsi="Times New Roman" w:eastAsia="仿宋_GB2312" w:cs="仿宋_GB2312"/>
          <w:b/>
          <w:bCs/>
          <w:i w:val="0"/>
          <w:snapToGrid/>
          <w:color w:val="auto"/>
          <w:sz w:val="32"/>
          <w:szCs w:val="32"/>
          <w:lang w:val="en-US" w:eastAsia="zh-CN"/>
        </w:rPr>
        <w:t>走访宣讲组（简称走访组）：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  <w:t>组长李峰，组员为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乡平安办现有人员、“红色评议员”、各村驻村干部及包片乡、村干部；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政策解答组（简称解答组）：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组长刘玉璟，组员为张烽、郑学国、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  <w:t>张贤、程梅、王真、郭亮、赵孔涛、张家权、王梓阳、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pacing w:val="-6"/>
          <w:sz w:val="32"/>
          <w:szCs w:val="32"/>
          <w:lang w:val="en-US" w:eastAsia="zh-CN"/>
        </w:rPr>
        <w:t>杨荣奎；</w:t>
      </w:r>
      <w:r>
        <w:rPr>
          <w:rFonts w:hint="eastAsia" w:ascii="Times New Roman" w:hAnsi="Times New Roman" w:eastAsia="仿宋_GB2312" w:cs="仿宋_GB2312"/>
          <w:b/>
          <w:bCs/>
          <w:i w:val="0"/>
          <w:snapToGrid/>
          <w:color w:val="auto"/>
          <w:spacing w:val="-6"/>
          <w:sz w:val="32"/>
          <w:szCs w:val="32"/>
          <w:lang w:val="en-US" w:eastAsia="zh-CN"/>
        </w:rPr>
        <w:t>监督考核组（简称考核组）：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pacing w:val="-6"/>
          <w:sz w:val="32"/>
          <w:szCs w:val="32"/>
          <w:lang w:val="en-US" w:eastAsia="zh-CN"/>
        </w:rPr>
        <w:t>组长傅贤悦，组员为孙明义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  <w:t>、孙正中、王真、王璜。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3.压实工作职责。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lang w:val="en-US" w:eastAsia="zh-CN"/>
        </w:rPr>
        <w:t>领导小组负责统筹全乡基层治理工作。走访宣讲组负责牵头各片区走访、调处等工作，开展法治宣传教育，现场回应群众关于民政、建房、修路等各类政策疑问，主动归集信访、纠纷等内业资料。政策解答组负责提供政策解读支持，承担典型案例、宣传报道等信息稿件的撰写职责。考核组负责对走访组、宣传组的工作进度进行监督评估，建立成员考核档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1.坚持实干为要。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专班工作人员及各村两委要树牢以人民为中心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的发展思想，各村党支部书记要牵头组织包片村干积极参与到包片走访工作中去，充分发挥“传帮带”作用，充分锻炼年轻干部群众工作能力。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2.发挥先锋作用。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重在群众矛盾纠纷化解的工作一线中发挥党员干部先锋模范作用，在乡、村各党支部建立为民服务党小组，将专班党员纳入特定党小组进行管理，将推深做实为民服务工作和发挥党员先锋模范作用有机结合，促进群众矛盾诉求化解在基层一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3.有效下沉一线。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走访组每月不低于5天时间下沉一线走访，每季度完成一次整片走访。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要通过“板凳会”及入户一对一宣讲等形式，及时发现包片内的各类矛盾纠纷、风险隐患的苗头，做好政策解释、情绪疏导、矛盾化解等工作，防止小事变大和风险转化。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43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4.设置办理时限。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走访组开展工作过程中，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能够现场调处的矛盾纠纷要立刻化解，实现矛盾不上交、争议不搁置、服务不缺位。如现场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无法解决，要细致分析，通过当事人亲友邻里找准问题症结，讲明道理赢共识、想方设法解争议。48小时仍未取得进展，需上报领导组办公室研判。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仿宋_GB2312"/>
          <w:b w:val="0"/>
          <w:bCs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5.构建共治体系</w:t>
      </w:r>
      <w:r>
        <w:rPr>
          <w:rFonts w:hint="eastAsia" w:ascii="Times New Roman" w:hAnsi="Times New Roman" w:eastAsia="仿宋_GB2312" w:cs="仿宋_GB2312"/>
          <w:b/>
          <w:bCs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除正常收集渠道外，要拓展群众诉求收集渠道，如项目、民政、妇联、信访值班等工作开展过程中，收集掌握的群众诉求须第一时间反馈领导组办公室，调度走访组到场解决。要充分发挥司法、民政、妇联、群团等部门专业优势，积极构建共同治理格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90" w:lineRule="exact"/>
        <w:ind w:right="0" w:rightChars="0"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6.严格考核奖惩。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考核组按季度对专班工作进行评估，结果运用到乡、村干部积分制考核中，领导组办公室可根据考核结果，适时调整专班人员。对于红色评议员按照每月500-800元发放补贴，季度考核优秀等次的800元/月，合格等次的650元/月，较差等次的500元/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红色评议员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年度考核较差等次或连续两个季度完成走访化解任务低于80%的人员实行动态调整。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1.明确工作导向。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sz w:val="32"/>
          <w:szCs w:val="32"/>
          <w:highlight w:val="none"/>
          <w:lang w:val="en-US" w:eastAsia="zh-CN"/>
        </w:rPr>
        <w:t>为民服务工作旨在加强干部与群众的血脉联系，通过群众会、板凳会等形式，常态化开展入户走访，面对面解决群众诉求及矛盾，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sz w:val="32"/>
          <w:szCs w:val="32"/>
          <w:lang w:val="en-US" w:eastAsia="zh-CN"/>
        </w:rPr>
        <w:t>提高群众满意度，增强党委、政府公信力。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i w:val="0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2.注重方式方法。</w:t>
      </w:r>
      <w:r>
        <w:rPr>
          <w:rFonts w:hint="eastAsia" w:ascii="Times New Roman" w:hAnsi="Times New Roman" w:eastAsia="仿宋_GB2312" w:cs="仿宋_GB2312"/>
          <w:b w:val="0"/>
          <w:i w:val="0"/>
          <w:snapToGrid/>
          <w:color w:val="auto"/>
          <w:sz w:val="32"/>
          <w:szCs w:val="32"/>
          <w:highlight w:val="none"/>
          <w:lang w:val="en-US" w:eastAsia="zh-CN"/>
        </w:rPr>
        <w:t>工作人员在联系群众过程要注重方式方法，坚持传承“六尺巷”工作法蕴含的道德内涵，做到语言得体，沟通有效，严禁杜绝言行不当，激化群众矛盾等行为。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3.积极营造氛围。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要注重总结提炼基层社会治理工作经验做法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highlight w:val="none"/>
          <w:lang w:val="en-US" w:eastAsia="zh-CN"/>
        </w:rPr>
        <w:t>，领导组办公室每季度在县级及以上媒体刊发一篇及以上报道，深入挖掘为民办实事工作中典型案例，广泛宣传，传播正面能量。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auto"/>
          <w:sz w:val="32"/>
          <w:szCs w:val="32"/>
          <w:highlight w:val="none"/>
          <w:lang w:val="en-US" w:eastAsia="zh-CN"/>
        </w:rPr>
        <w:t>4.严肃工作纪律</w:t>
      </w:r>
      <w:r>
        <w:rPr>
          <w:rFonts w:hint="eastAsia" w:ascii="Times New Roman" w:hAnsi="Times New Roman" w:eastAsia="仿宋_GB2312" w:cs="仿宋_GB2312"/>
          <w:b/>
          <w:bCs/>
          <w:i w:val="0"/>
          <w:snapToGrid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snapToGrid/>
          <w:color w:val="auto"/>
          <w:sz w:val="32"/>
          <w:szCs w:val="32"/>
          <w:highlight w:val="none"/>
          <w:lang w:val="en-US" w:eastAsia="zh-CN"/>
        </w:rPr>
        <w:t>工作人员须严格遵守工作纪律，确保走访不走过场，工作不流于形式，严禁占用村级资源，用餐、用车等执行乡干部包片统一规定。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footerReference r:id="rId4" w:type="default"/>
      <w:pgSz w:w="11906" w:h="16838"/>
      <w:pgMar w:top="1701" w:right="1531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mJhNmFjNDRkYThiZjBhOTNmZTI1ZDUxMWJhY2UifQ=="/>
  </w:docVars>
  <w:rsids>
    <w:rsidRoot w:val="35343984"/>
    <w:rsid w:val="00D97BA9"/>
    <w:rsid w:val="25721CD0"/>
    <w:rsid w:val="2DF039D1"/>
    <w:rsid w:val="35343984"/>
    <w:rsid w:val="42DA493A"/>
    <w:rsid w:val="565A0C96"/>
    <w:rsid w:val="74F65277"/>
    <w:rsid w:val="7C444E7E"/>
    <w:rsid w:val="7D7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2024-07-28T10:12:00Z</dcterms:created>
  <dc:creator>宏哥</dc:creator>
  <cp:lastModifiedBy>白小黑</cp:lastModifiedBy>
  <cp:lastPrinted>2024-07-29T04:07:00Z</cp:lastPrinted>
  <dcterms:modified xsi:type="dcterms:W3CDTF">2025-01-19T07:52:26Z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BB34AEB156364BFCAC32DC0AE1CECC7E</vt:lpwstr>
  </property>
</Properties>
</file>