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13229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六安市洁美再生物资回收有限公司废塑料加工综合利用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六安市洁美再生物资回收有限公司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废塑料加工综合利用项目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代码：2408-341524-04-05-605939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项目租赁位于安徽金寨经济开发区（现代产业园区）金水路以北安徽中晟宏伟新材料公司循环经济产业园现有A3栋闲置厂房，建筑面积约5824平方米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项目主体工程设置废塑料清洗线1条，造粒线4条，购置破碎机、色选机、静电分选机、材质机、硅胶机、空分级、甩干机、塑料造粒机等生产设备，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后可形成年产再生塑料粒子4000吨的生产能力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清污分流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喷淋塔废水、清洗废水与循环冷却定期排水依托循环经济产业园污水处理设施（处理工艺：气浮沉淀A2/O+MBR生物膜处理）处理后回用于清洗工艺；生活污水经厂区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金寨现代产业园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2.严格落实《报告表》中提出的各项废气污染防治措施，撕碎、破碎、挤出造粒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/>
        </w:rPr>
        <w:t>废气：在各熔融造粒生产线造粒机出料产气口设置集气罩+软帘，废气收集后经一套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“气旋混动喷淋塔+除雾+多层过滤棉+二级活性炭”处理后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须通过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根不低于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m高排气筒（DA00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）达标排放；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厂区应加强生产管理、设备检修等，确保厂界无组织排放大气污染物达标。活性炭应按使用周期要求及时更换。</w:t>
      </w:r>
    </w:p>
    <w:p w14:paraId="16DD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项目废气中有组织排放的非甲烷总烃、厂界无组织丙烯腈执行《固定源挥发性有机物综合排放标准 第6部分：其他行业》（DB34/4812.6-2024）中相关限值要求；其他项目废气排放执行《合成树脂工业污染物排放标准》（GB31572-2015）中相关排放限值要求，无组织苯乙烯排放执行《恶臭污染物排放标准》(GB14554-93)中相关排放限值要求；厂区内无组织排放的非甲烷总烃执行《挥发性有机物无组织排放控制标准》（G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B37822-2019）中特别排放限值要求。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3.通过优化生产车间设备布局、选用低噪声设备、安装减振基座和建筑隔声等措施减小噪声污染，确保厂区边界噪声达到《工业企业厂界环境噪声排放标准》（GB12348-2008）中3类标准要求。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4.做好固体废物的分类暂存、转运、无害化处置工作。一般工业固废综合利用；生活垃圾交由环卫部门统一处置；废活性炭、废包装桶、废机油、含油劳保废品、废滤网滤渣等危险废物应按照《危险废物贮存污染控制标准》（GB18597-2023）《危险废物识别标志设施技术规范》（HJ1276-2022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6.严格落实《报告表》中提出的各项环境风险防范措施，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六安市洁美再生物资回收有限公司废塑料加工综合利用项目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7C36FE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1885674E">
      <w:pPr>
        <w:rPr>
          <w:rFonts w:hint="eastAsia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68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10"/>
          <w:sz w:val="32"/>
          <w:szCs w:val="32"/>
        </w:rPr>
        <w:t>月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kern w:val="10"/>
          <w:sz w:val="32"/>
          <w:szCs w:val="32"/>
        </w:rPr>
        <w:t>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hint="default"/>
          <w:lang w:val="en-US" w:eastAsia="zh-CN"/>
        </w:rPr>
      </w:pPr>
    </w:p>
    <w:p w14:paraId="3CD27D4E">
      <w:pPr>
        <w:rPr>
          <w:rFonts w:hint="default"/>
          <w:lang w:val="en-US" w:eastAsia="zh-CN"/>
        </w:rPr>
      </w:pPr>
    </w:p>
    <w:p w14:paraId="1D6A7FB1">
      <w:pPr>
        <w:rPr>
          <w:rFonts w:hint="default"/>
          <w:lang w:val="en-US" w:eastAsia="zh-CN"/>
        </w:rPr>
      </w:pPr>
    </w:p>
    <w:p w14:paraId="7D51EAFD">
      <w:pPr>
        <w:rPr>
          <w:rFonts w:hint="default"/>
          <w:lang w:val="en-US" w:eastAsia="zh-CN"/>
        </w:rPr>
      </w:pPr>
    </w:p>
    <w:p w14:paraId="722097D1">
      <w:pPr>
        <w:rPr>
          <w:rFonts w:hint="default"/>
          <w:lang w:val="en-US" w:eastAsia="zh-CN"/>
        </w:rPr>
      </w:pPr>
    </w:p>
    <w:p w14:paraId="02C4F153">
      <w:pPr>
        <w:rPr>
          <w:rFonts w:hint="default"/>
          <w:lang w:val="en-US" w:eastAsia="zh-CN"/>
        </w:rPr>
      </w:pPr>
    </w:p>
    <w:p w14:paraId="296288C1">
      <w:pPr>
        <w:rPr>
          <w:rFonts w:hint="default"/>
          <w:lang w:val="en-US" w:eastAsia="zh-CN"/>
        </w:rPr>
      </w:pPr>
    </w:p>
    <w:p w14:paraId="11680C05">
      <w:pPr>
        <w:rPr>
          <w:rFonts w:hint="default"/>
          <w:lang w:val="en-US" w:eastAsia="zh-CN"/>
        </w:rPr>
      </w:pPr>
    </w:p>
    <w:p w14:paraId="4AB1ECC8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65" w:tblpY="9645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6E8DDAB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37E6055C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6A23A300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1546</Words>
  <Characters>1695</Characters>
  <Lines>7</Lines>
  <Paragraphs>2</Paragraphs>
  <TotalTime>15</TotalTime>
  <ScaleCrop>false</ScaleCrop>
  <LinksUpToDate>false</LinksUpToDate>
  <CharactersWithSpaces>6068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2025-01-14T03:29:51Z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