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049FB">
      <w:pPr>
        <w:spacing w:line="220" w:lineRule="atLeast"/>
        <w:rPr>
          <w:rFonts w:hint="eastAsia" w:ascii="微软雅黑" w:hAnsi="微软雅黑" w:cs="Arial"/>
          <w:sz w:val="36"/>
          <w:szCs w:val="45"/>
        </w:rPr>
      </w:pPr>
      <w:r>
        <w:rPr>
          <w:rFonts w:hint="eastAsia" w:ascii="微软雅黑" w:hAnsi="微软雅黑" w:cs="Arial"/>
          <w:sz w:val="36"/>
          <w:szCs w:val="45"/>
        </w:rPr>
        <w:t>金寨县公安局2022年政府信息公开工作年度报告</w:t>
      </w:r>
    </w:p>
    <w:p w14:paraId="642D8716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 w:firstLineChars="200"/>
        <w:jc w:val="both"/>
        <w:outlineLvl w:val="0"/>
        <w:rPr>
          <w:rFonts w:ascii="微软雅黑" w:hAnsi="微软雅黑" w:cs="Arial"/>
          <w:color w:val="333333"/>
          <w:kern w:val="36"/>
          <w:sz w:val="42"/>
          <w:szCs w:val="42"/>
        </w:rPr>
      </w:pPr>
      <w:r>
        <w:rPr>
          <w:rFonts w:hint="eastAsia" w:ascii="仿宋" w:hAnsi="仿宋" w:eastAsia="仿宋" w:cs="Tahoma"/>
          <w:color w:val="333333"/>
          <w:kern w:val="2"/>
          <w:sz w:val="30"/>
          <w:szCs w:val="30"/>
        </w:rPr>
        <w:t>本报告依据《中华人民共和国政府信息公开条例》（国务院令第711号，以下简称新《条例》）和金寨县政务公开办公室《关于做好2022年度政府信息公开年度报告编制和发布工作的通知》（金政公开〔2023〕1号）要求编制而成。全文包括总体情况、主动公开政府信息情况、收到和处理政府信息公开申请情况、存在的主要问题和改进情况和其他需要报告的事项，电子版可在金寨县信息公开平台（</w:t>
      </w:r>
      <w:r>
        <w:fldChar w:fldCharType="begin"/>
      </w:r>
      <w:r>
        <w:instrText xml:space="preserve"> HYPERLINK "http://www.ahjinzhai.gov.cn/public/index.html" </w:instrText>
      </w:r>
      <w:r>
        <w:fldChar w:fldCharType="separate"/>
      </w:r>
      <w:r>
        <w:rPr>
          <w:rFonts w:hint="eastAsia" w:ascii="仿宋" w:hAnsi="仿宋" w:eastAsia="仿宋" w:cs="Tahoma"/>
          <w:color w:val="333333"/>
          <w:kern w:val="2"/>
          <w:sz w:val="30"/>
        </w:rPr>
        <w:t>http://www.ahjinzhai.gov.cn/public/index.html</w:t>
      </w:r>
      <w:r>
        <w:rPr>
          <w:rFonts w:hint="eastAsia" w:ascii="仿宋" w:hAnsi="仿宋" w:eastAsia="仿宋" w:cs="Tahoma"/>
          <w:color w:val="333333"/>
          <w:kern w:val="2"/>
          <w:sz w:val="30"/>
        </w:rPr>
        <w:fldChar w:fldCharType="end"/>
      </w:r>
      <w:r>
        <w:rPr>
          <w:rFonts w:hint="eastAsia" w:ascii="仿宋" w:hAnsi="仿宋" w:eastAsia="仿宋" w:cs="Tahoma"/>
          <w:color w:val="333333"/>
          <w:kern w:val="2"/>
          <w:sz w:val="30"/>
          <w:szCs w:val="30"/>
        </w:rPr>
        <w:t>）下载。如对本报告有任何疑问，请与金寨县公安局行政审批服务股联系（地址：安徽省金寨县现代产业园区金梧桐创业园金寨政务服务中心二楼，邮编：237300，电话：0564-7051055）。</w:t>
      </w:r>
    </w:p>
    <w:p w14:paraId="1F2BBFBF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2"/>
          <w:szCs w:val="32"/>
        </w:rPr>
        <w:t>一、总体情况</w:t>
      </w:r>
    </w:p>
    <w:p w14:paraId="31B2E4D1">
      <w:pPr>
        <w:shd w:val="clear" w:color="auto" w:fill="FFFFFF"/>
        <w:autoSpaceDE w:val="0"/>
        <w:adjustRightInd/>
        <w:snapToGrid/>
        <w:spacing w:after="0" w:line="560" w:lineRule="exact"/>
        <w:ind w:firstLine="600" w:firstLineChars="2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Tahoma"/>
          <w:color w:val="333333"/>
          <w:sz w:val="30"/>
          <w:szCs w:val="30"/>
        </w:rPr>
        <w:t>2</w:t>
      </w:r>
      <w:r>
        <w:rPr>
          <w:rFonts w:hint="eastAsia" w:ascii="仿宋" w:hAnsi="仿宋" w:eastAsia="仿宋" w:cs="Tahoma"/>
          <w:color w:val="333333"/>
          <w:kern w:val="2"/>
          <w:sz w:val="30"/>
          <w:szCs w:val="30"/>
        </w:rPr>
        <w:t>022年，金寨县公安局根据县政务公开办工作统一部署和要求，把政府信息公开工作作为重点工作推进，确保信息公开全面、及时、准确、无差错。全年公开政府信息共3188条。</w:t>
      </w:r>
    </w:p>
    <w:p w14:paraId="4C3E4E2F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0"/>
          <w:szCs w:val="30"/>
        </w:rPr>
        <w:t>（一）主动公开情况</w:t>
      </w:r>
    </w:p>
    <w:p w14:paraId="5DC5F7FD">
      <w:pPr>
        <w:shd w:val="clear" w:color="auto" w:fill="FFFFFF"/>
        <w:autoSpaceDE w:val="0"/>
        <w:adjustRightInd/>
        <w:snapToGrid/>
        <w:spacing w:after="0" w:line="560" w:lineRule="exact"/>
        <w:ind w:firstLine="600" w:firstLineChars="2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Tahoma"/>
          <w:color w:val="333333"/>
          <w:kern w:val="2"/>
          <w:sz w:val="30"/>
          <w:szCs w:val="30"/>
        </w:rPr>
        <w:t>2022年，我局公开公安机关各类警务信息共计2492条，其中重点领域信息公开691条，公共服务类信息337条，政策解读信息171条，回应关切信息62条，公开人大代表建议、政协委员提案办理结果4条，公开行政许可、行政处罚结果共计600余条。及时更新“两化”专题户籍管理领域信息，年度累计公开信息252条。</w:t>
      </w:r>
    </w:p>
    <w:p w14:paraId="36CFFAA5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0"/>
          <w:szCs w:val="30"/>
        </w:rPr>
        <w:t>（二）依申请公开情况</w:t>
      </w:r>
    </w:p>
    <w:p w14:paraId="4E6EABC7">
      <w:pPr>
        <w:shd w:val="clear" w:color="auto" w:fill="FFFFFF"/>
        <w:autoSpaceDE w:val="0"/>
        <w:adjustRightInd/>
        <w:snapToGrid/>
        <w:spacing w:after="0"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Tahoma"/>
          <w:color w:val="333333"/>
          <w:sz w:val="30"/>
        </w:rPr>
        <w:t>我局认真贯彻落实《金寨县政府信息依申请公开制度</w:t>
      </w:r>
      <w:r>
        <w:rPr>
          <w:rFonts w:hint="eastAsia" w:ascii="仿宋" w:hAnsi="仿宋" w:eastAsia="仿宋" w:cs="Tahoma"/>
          <w:color w:val="333333"/>
          <w:sz w:val="30"/>
          <w:szCs w:val="30"/>
        </w:rPr>
        <w:t>》，深入研究并妥善处理新情况、新问题，注意加强与申请人的主动沟通，做到依法有据、严谨规范、慎重稳妥。年度共受理线上依申请公开办件1件，在规定时限内向申请人回复1件，</w:t>
      </w:r>
      <w:r>
        <w:rPr>
          <w:rFonts w:hint="eastAsia" w:ascii="仿宋" w:hAnsi="仿宋" w:eastAsia="仿宋" w:cs="Arial"/>
          <w:color w:val="000000"/>
          <w:sz w:val="32"/>
          <w:szCs w:val="32"/>
          <w:shd w:val="clear" w:color="auto" w:fill="FFFFFF"/>
        </w:rPr>
        <w:t>未发生行政复议和行政诉讼案件</w:t>
      </w:r>
      <w:r>
        <w:rPr>
          <w:rFonts w:hint="eastAsia" w:ascii="仿宋" w:hAnsi="仿宋" w:eastAsia="仿宋" w:cs="Tahoma"/>
          <w:color w:val="333333"/>
          <w:sz w:val="30"/>
          <w:szCs w:val="30"/>
        </w:rPr>
        <w:t>。</w:t>
      </w:r>
    </w:p>
    <w:p w14:paraId="2D3235C2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0"/>
          <w:szCs w:val="30"/>
        </w:rPr>
        <w:t>（三）政府信息管理情况</w:t>
      </w:r>
    </w:p>
    <w:p w14:paraId="29C55BA6">
      <w:pPr>
        <w:shd w:val="clear" w:color="auto" w:fill="FFFFFF"/>
        <w:autoSpaceDE w:val="0"/>
        <w:adjustRightInd/>
        <w:snapToGrid/>
        <w:spacing w:after="0"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Tahoma"/>
          <w:color w:val="333333"/>
          <w:sz w:val="30"/>
          <w:szCs w:val="30"/>
          <w:shd w:val="clear" w:color="auto" w:fill="FFFFFF"/>
        </w:rPr>
        <w:t>加强政府信息公开相关制度建设，严格落实政府信息公开“三审”制度，确保公文日常管理严格规范。</w:t>
      </w:r>
      <w:r>
        <w:rPr>
          <w:rFonts w:hint="eastAsia" w:ascii="仿宋" w:hAnsi="仿宋" w:eastAsia="仿宋" w:cs="Tahoma"/>
          <w:color w:val="333333"/>
          <w:sz w:val="30"/>
          <w:szCs w:val="30"/>
        </w:rPr>
        <w:t>严格执行信息公开保密审查制度，按照《保密法》及《保密法实施条例》要求，加强信息公开保密审查，</w:t>
      </w:r>
      <w:r>
        <w:rPr>
          <w:rFonts w:hint="eastAsia" w:ascii="仿宋" w:hAnsi="仿宋" w:eastAsia="仿宋" w:cs="Arial"/>
          <w:color w:val="000000"/>
          <w:sz w:val="30"/>
          <w:szCs w:val="30"/>
          <w:shd w:val="clear" w:color="auto" w:fill="FFFFFF"/>
        </w:rPr>
        <w:t>全面排查涉及个人隐私和重大错误等不规范内容的公开信息。</w:t>
      </w:r>
    </w:p>
    <w:p w14:paraId="0ECBD86D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0"/>
          <w:szCs w:val="30"/>
        </w:rPr>
        <w:t>（四）政府信息公开平台建设情况</w:t>
      </w:r>
    </w:p>
    <w:p w14:paraId="6F356932">
      <w:pPr>
        <w:widowControl w:val="0"/>
        <w:shd w:val="clear" w:color="auto" w:fill="FFFFFF"/>
        <w:autoSpaceDE w:val="0"/>
        <w:adjustRightInd/>
        <w:snapToGrid/>
        <w:spacing w:after="300" w:line="560" w:lineRule="exact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宋体"/>
          <w:color w:val="333333"/>
          <w:spacing w:val="15"/>
          <w:sz w:val="30"/>
          <w:szCs w:val="30"/>
        </w:rPr>
        <w:t>    依托县政府门户网站，主动公开政务(执法)信息，充分发挥政府网站信息公开第一平台作用。按照县政务公开办要求，及时调整主动公开和“两化”专题公开目录，主动公开了金寨县公安局的基本情况、工作职责、机构设置、工作信息及政务公开内容。</w:t>
      </w:r>
    </w:p>
    <w:p w14:paraId="3D408050">
      <w:pPr>
        <w:widowControl w:val="0"/>
        <w:shd w:val="clear" w:color="auto" w:fill="FFFFFF"/>
        <w:autoSpaceDE w:val="0"/>
        <w:adjustRightInd/>
        <w:snapToGrid/>
        <w:spacing w:after="0"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0"/>
          <w:szCs w:val="30"/>
        </w:rPr>
        <w:t>（五）监督保障</w:t>
      </w:r>
    </w:p>
    <w:p w14:paraId="225C4932">
      <w:pPr>
        <w:shd w:val="clear" w:color="auto" w:fill="FFFFFF"/>
        <w:autoSpaceDE w:val="0"/>
        <w:adjustRightInd/>
        <w:snapToGrid/>
        <w:spacing w:after="0"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Arial"/>
          <w:color w:val="333333"/>
          <w:sz w:val="30"/>
        </w:rPr>
        <w:t>2022年，我局根据局领导班子成员分工调整等人事调整情况，及时调整政府信息公开工作领导小组一次，现由局党委委员、</w:t>
      </w:r>
      <w:r>
        <w:rPr>
          <w:rFonts w:hint="eastAsia" w:ascii="仿宋" w:hAnsi="仿宋" w:eastAsia="仿宋" w:cs="Arial"/>
          <w:color w:val="333333"/>
          <w:sz w:val="30"/>
          <w:szCs w:val="30"/>
          <w:shd w:val="clear" w:color="auto" w:fill="FFFFFF"/>
        </w:rPr>
        <w:t>县纪委、县监察委员会派驻纪检监察组组长宋祖杰任</w:t>
      </w:r>
      <w:r>
        <w:rPr>
          <w:rFonts w:hint="eastAsia" w:ascii="仿宋" w:hAnsi="仿宋" w:eastAsia="仿宋" w:cs="Arial"/>
          <w:color w:val="333333"/>
          <w:sz w:val="30"/>
        </w:rPr>
        <w:t>组长，明确局行政审批服务股为办理政府信息公开事务的责任机构</w:t>
      </w:r>
      <w:r>
        <w:rPr>
          <w:rFonts w:hint="eastAsia" w:ascii="仿宋" w:hAnsi="仿宋" w:eastAsia="仿宋" w:cs="Arial"/>
          <w:color w:val="333333"/>
          <w:sz w:val="30"/>
          <w:szCs w:val="30"/>
          <w:shd w:val="clear" w:color="auto" w:fill="FFFFFF"/>
        </w:rPr>
        <w:t>，每季度对照监测结果及时反馈整改。</w:t>
      </w:r>
    </w:p>
    <w:p w14:paraId="30735140">
      <w:pPr>
        <w:widowControl w:val="0"/>
        <w:shd w:val="clear" w:color="auto" w:fill="FFFFFF"/>
        <w:autoSpaceDE w:val="0"/>
        <w:adjustRightInd/>
        <w:snapToGrid/>
        <w:spacing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2"/>
          <w:szCs w:val="32"/>
        </w:rPr>
        <w:t>二、主动公开政府信息情况</w:t>
      </w:r>
    </w:p>
    <w:tbl>
      <w:tblPr>
        <w:tblStyle w:val="3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1DA3E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8AC7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5DFF7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B2EC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28C7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7BE16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F300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数</w:t>
            </w:r>
          </w:p>
        </w:tc>
      </w:tr>
      <w:tr w14:paraId="5CF243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E92CC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28D9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4445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D2E5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</w:tr>
      <w:tr w14:paraId="7BB64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DCAC1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7D60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F285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DADDC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</w:t>
            </w:r>
          </w:p>
        </w:tc>
      </w:tr>
      <w:tr w14:paraId="2E47B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D696F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614F3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140F6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1D49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52DEE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03C5E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9E6B5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68782</w:t>
            </w:r>
          </w:p>
        </w:tc>
      </w:tr>
      <w:tr w14:paraId="520DDC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9588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 w14:paraId="37E55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74238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4BF6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5616D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F40268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43F4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158293</w:t>
            </w:r>
            <w:bookmarkStart w:id="0" w:name="_GoBack"/>
            <w:bookmarkEnd w:id="0"/>
          </w:p>
        </w:tc>
      </w:tr>
      <w:tr w14:paraId="031738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D31DD3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3711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326</w:t>
            </w:r>
          </w:p>
        </w:tc>
      </w:tr>
      <w:tr w14:paraId="4C061E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41AF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10BBC1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32B4F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5573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1D69F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8B5DA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EF675">
            <w:pPr>
              <w:widowControl w:val="0"/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  <w:t>0</w:t>
            </w:r>
          </w:p>
        </w:tc>
      </w:tr>
    </w:tbl>
    <w:p w14:paraId="4BAF4328">
      <w:pPr>
        <w:widowControl w:val="0"/>
        <w:shd w:val="clear" w:color="auto" w:fill="FFFFFF"/>
        <w:autoSpaceDE w:val="0"/>
        <w:adjustRightInd/>
        <w:snapToGrid/>
        <w:spacing w:line="560" w:lineRule="exact"/>
        <w:ind w:firstLine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Tahoma"/>
          <w:color w:val="333333"/>
          <w:sz w:val="32"/>
          <w:szCs w:val="32"/>
        </w:rPr>
        <w:t>三、收到和处理政府信息公开申请情况</w:t>
      </w:r>
    </w:p>
    <w:tbl>
      <w:tblPr>
        <w:tblStyle w:val="3"/>
        <w:tblW w:w="97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20A1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EBFF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38482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 w14:paraId="6EB9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1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7E1D6CE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8407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9148B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FE1DC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 w14:paraId="62528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1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82FFE1C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1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F6F221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4C2FF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</w:t>
            </w:r>
          </w:p>
          <w:p w14:paraId="61A6AEF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25BB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</w:t>
            </w:r>
          </w:p>
          <w:p w14:paraId="6F61D32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6308B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2596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FA3C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7F1A105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3DDA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9FAC4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0813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EFBB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15EDD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52A42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403FF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8B064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07FBE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</w:p>
        </w:tc>
      </w:tr>
      <w:tr w14:paraId="11E2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5D3318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2DD52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7525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D219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9C02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B6F9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D82C8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FD8BA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</w:tr>
      <w:tr w14:paraId="0993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F0357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A42B0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E6966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718F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423E4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9BD6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42A25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0652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9CDA0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</w:p>
        </w:tc>
      </w:tr>
      <w:tr w14:paraId="0DA7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1CE8CA7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B278FA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3566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A53C0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8C7D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CDD7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92C2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8A14F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EAA05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6D65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E3B765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6677BD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89C87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88511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EDC4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807C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17EC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03EFF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5ACF7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494D6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6525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2A6F4A5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399925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E880D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E11D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9166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4E35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A3E6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44FD8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A52C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0D62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229B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52AD19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182DAB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EFCF14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9E6A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FF40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E7FC4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2E9B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273E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C6E4D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77EE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597CF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C2D6A3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3DBF13A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552B90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1AD89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37003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2C9D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22A59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67EE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0B24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55BC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0374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57FA581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14AAEC3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21C79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79AD6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9B80E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B30F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370E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597C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4A1F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D41A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3CC32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AEC544E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D92C40A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5F39BE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8BBC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4C83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707CE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3B6F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9B0B6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7012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9AD53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6603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D97D9B0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500EEBC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D44E72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23CE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45B8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E84A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281D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1559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04AD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1CF5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3A807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FA4623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355E270E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E926F6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7AB57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F6C3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F180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9A40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E9F7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744F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51AD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130CD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EED97D7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59F7C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C0F26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92D23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CB12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FE69D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DB914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8B28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69A9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288DB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6DA9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8A7649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5C3E94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4BC259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88E68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ACCB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2973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B42E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1760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2436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6D0B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559C7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9E464A5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C5756F8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3135C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CF61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14DBE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5BB8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4409D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D320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4DD7B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AF3E1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59A58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3D54650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1E0859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5DADDC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2E02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5276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C8FF2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05A2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A068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9D56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F7F5C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40FA6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5A12AA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85CF3B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5FF525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D3DE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5483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C48B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8AA6F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7EA6A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A1B0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E36B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7B18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25931C5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F8CBEAF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C1C36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4D74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16B9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E07E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7EB3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6D06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09B4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C036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6713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135FB0E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DC3ADC1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68AD7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57BD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1308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3B2F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5124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A6A1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CC8F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9B10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1612A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B5F8316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D24CAB9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E93D8A">
            <w:pPr>
              <w:autoSpaceDE w:val="0"/>
              <w:adjustRightInd/>
              <w:snapToGrid/>
              <w:spacing w:after="0" w:line="560" w:lineRule="exact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B41A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1CE72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726D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B6B9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2A87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041E5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B355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164BE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D87C93D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B4ABD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E738C">
            <w:pPr>
              <w:autoSpaceDE w:val="0"/>
              <w:adjustRightInd/>
              <w:snapToGrid/>
              <w:spacing w:after="0" w:line="560" w:lineRule="exact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9E359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AA26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F6C3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CF99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2714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7CB57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6E98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1F668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D24C8C9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ABF28CA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4ABCC">
            <w:pPr>
              <w:autoSpaceDE w:val="0"/>
              <w:adjustRightInd/>
              <w:snapToGrid/>
              <w:spacing w:after="0" w:line="560" w:lineRule="exact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D432E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01DC8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9DE27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8CE3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C9AC5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1581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833C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53E9B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98E72FB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FC2DD05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43D42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D031C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5F3D4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3C99D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EE94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893A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C4448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B4599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  <w:tr w14:paraId="05B04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vMerge w:val="continue"/>
            <w:tcBorders>
              <w:top w:val="nil"/>
              <w:left w:val="single" w:color="auto" w:sz="4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62E0252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6707F3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B67B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304C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BD9A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53EFF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7F9B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7A87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DA4C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1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</w:tr>
      <w:tr w14:paraId="35524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6F452">
            <w:pPr>
              <w:autoSpaceDE w:val="0"/>
              <w:adjustRightInd/>
              <w:snapToGrid/>
              <w:spacing w:after="0" w:line="56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B4997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EE7C8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09AC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DC330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C0D6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1E18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  <w:r>
              <w:rPr>
                <w:rFonts w:ascii="Calibri" w:hAnsi="Calibri" w:eastAsia="仿宋_GB2312" w:cs="宋体"/>
                <w:sz w:val="20"/>
                <w:szCs w:val="20"/>
              </w:rPr>
              <w:t xml:space="preserve"> 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D309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sz w:val="20"/>
                <w:szCs w:val="20"/>
              </w:rPr>
              <w:t>0</w:t>
            </w:r>
          </w:p>
        </w:tc>
      </w:tr>
    </w:tbl>
    <w:p w14:paraId="7A3D9005">
      <w:pPr>
        <w:shd w:val="clear" w:color="auto" w:fill="FFFFFF"/>
        <w:autoSpaceDE w:val="0"/>
        <w:adjustRightInd/>
        <w:snapToGrid/>
        <w:spacing w:line="560" w:lineRule="exact"/>
        <w:ind w:firstLine="42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Arial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3"/>
        <w:tblW w:w="97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7264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DB7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9F00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 w14:paraId="66F99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460D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8EB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  <w:p w14:paraId="33E0340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0437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  <w:p w14:paraId="6DAF1F1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A361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</w:p>
          <w:p w14:paraId="7EB366F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8FD7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CA5A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94C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 w14:paraId="11ACA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65C51C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C8C889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2F3EFE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4A099A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A42E61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2C8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  <w:p w14:paraId="44428E2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7DA3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  <w:p w14:paraId="54074C7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558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  <w:p w14:paraId="105575B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E8F3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</w:p>
          <w:p w14:paraId="590F692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B7C01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D51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  <w:p w14:paraId="6E7FC20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8C76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</w:t>
            </w:r>
          </w:p>
          <w:p w14:paraId="148E6A5A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6F5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</w:p>
          <w:p w14:paraId="05A41C3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FDF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</w:t>
            </w:r>
          </w:p>
          <w:p w14:paraId="4D053C8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375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 w14:paraId="3157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CDEE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658D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43202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B8B4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DF4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40140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5C2F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DB0DC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6F5B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362C5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0FD53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766D9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FF3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0623D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8508">
            <w:pPr>
              <w:autoSpaceDE w:val="0"/>
              <w:adjustRightInd/>
              <w:snapToGrid/>
              <w:spacing w:after="0" w:line="5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0</w:t>
            </w:r>
          </w:p>
        </w:tc>
      </w:tr>
    </w:tbl>
    <w:p w14:paraId="65022F1D">
      <w:pPr>
        <w:shd w:val="clear" w:color="auto" w:fill="FFFFFF"/>
        <w:autoSpaceDE w:val="0"/>
        <w:adjustRightInd/>
        <w:snapToGrid/>
        <w:spacing w:after="0" w:line="560" w:lineRule="exact"/>
        <w:ind w:left="64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Arial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2AA8A0F9">
      <w:pPr>
        <w:shd w:val="clear" w:color="auto" w:fill="FFFFFF"/>
        <w:autoSpaceDE w:val="0"/>
        <w:adjustRightInd/>
        <w:snapToGrid/>
        <w:spacing w:after="0" w:line="560" w:lineRule="exact"/>
        <w:ind w:firstLine="600" w:firstLineChars="2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Arial"/>
          <w:color w:val="333333"/>
          <w:sz w:val="30"/>
          <w:szCs w:val="30"/>
          <w:shd w:val="clear" w:color="auto" w:fill="FFFFFF"/>
        </w:rPr>
        <w:t>主要问题：一是2022年度全县公安机关政务公开的常态工作仍以基本信息发布为主，规范性文件未产生信息。二是重大决策预公开、政策解读等类目信息公开的方式方法还比较单一。</w:t>
      </w:r>
    </w:p>
    <w:p w14:paraId="566E5743">
      <w:pPr>
        <w:shd w:val="clear" w:color="auto" w:fill="FFFFFF"/>
        <w:autoSpaceDE w:val="0"/>
        <w:adjustRightInd/>
        <w:snapToGrid/>
        <w:spacing w:line="560" w:lineRule="exact"/>
        <w:ind w:firstLine="6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Arial"/>
          <w:color w:val="333333"/>
          <w:sz w:val="30"/>
          <w:szCs w:val="30"/>
          <w:shd w:val="clear" w:color="auto" w:fill="FFFFFF"/>
        </w:rPr>
        <w:t>改进情况：一是着力强化部门文件发布工作，重点强化规范性文件起草工作。二是通过多种方式不断扩大群众、媒体对公安机关公共事务决策和执行过程的参与度，着力形成有效沟通和良性互动。</w:t>
      </w:r>
    </w:p>
    <w:p w14:paraId="0A9B87F7">
      <w:pPr>
        <w:shd w:val="clear" w:color="auto" w:fill="FFFFFF"/>
        <w:autoSpaceDE w:val="0"/>
        <w:adjustRightInd/>
        <w:snapToGrid/>
        <w:spacing w:after="0" w:line="560" w:lineRule="exact"/>
        <w:ind w:firstLine="640" w:firstLineChars="2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黑体" w:hAnsi="黑体" w:eastAsia="黑体" w:cs="Arial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 w14:paraId="30D4C185">
      <w:pPr>
        <w:shd w:val="clear" w:color="auto" w:fill="FFFFFF"/>
        <w:autoSpaceDE w:val="0"/>
        <w:adjustRightInd/>
        <w:snapToGrid/>
        <w:spacing w:line="560" w:lineRule="exact"/>
        <w:ind w:firstLine="640" w:firstLineChars="200"/>
        <w:jc w:val="both"/>
        <w:rPr>
          <w:rFonts w:hint="eastAsia" w:ascii="微软雅黑" w:hAnsi="微软雅黑" w:cs="Arial"/>
          <w:color w:val="333333"/>
          <w:sz w:val="21"/>
          <w:szCs w:val="21"/>
        </w:rPr>
      </w:pPr>
      <w:r>
        <w:rPr>
          <w:rFonts w:hint="eastAsia" w:ascii="仿宋" w:hAnsi="仿宋" w:eastAsia="仿宋" w:cs="Arial"/>
          <w:color w:val="333333"/>
          <w:sz w:val="32"/>
          <w:szCs w:val="32"/>
          <w:shd w:val="clear" w:color="auto" w:fill="FFFFFF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p w14:paraId="52528AB5">
      <w:pPr>
        <w:spacing w:line="220" w:lineRule="atLeast"/>
        <w:rPr>
          <w:sz w:val="3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B33010"/>
    <w:rsid w:val="00D31D50"/>
    <w:rsid w:val="00F6256F"/>
    <w:rsid w:val="FEF2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link w:val="6"/>
    <w:qFormat/>
    <w:uiPriority w:val="9"/>
    <w:pPr>
      <w:adjustRightInd/>
      <w:snapToGrid/>
      <w:spacing w:before="161" w:after="161"/>
      <w:outlineLvl w:val="0"/>
    </w:pPr>
    <w:rPr>
      <w:rFonts w:ascii="宋体" w:hAnsi="宋体" w:eastAsia="宋体" w:cs="宋体"/>
      <w:kern w:val="36"/>
      <w:sz w:val="48"/>
      <w:szCs w:val="4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333333"/>
      <w:u w:val="none"/>
      <w:shd w:val="clear" w:color="auto" w:fill="auto"/>
    </w:rPr>
  </w:style>
  <w:style w:type="character" w:customStyle="1" w:styleId="6">
    <w:name w:val="标题 1 Char"/>
    <w:basedOn w:val="4"/>
    <w:link w:val="2"/>
    <w:qFormat/>
    <w:uiPriority w:val="9"/>
    <w:rPr>
      <w:rFonts w:ascii="宋体" w:hAnsi="宋体" w:eastAsia="宋体" w:cs="宋体"/>
      <w:kern w:val="36"/>
      <w:sz w:val="48"/>
      <w:szCs w:val="48"/>
    </w:rPr>
  </w:style>
  <w:style w:type="paragraph" w:customStyle="1" w:styleId="7">
    <w:name w:val="p"/>
    <w:basedOn w:val="1"/>
    <w:qFormat/>
    <w:uiPriority w:val="0"/>
    <w:pPr>
      <w:adjustRightInd/>
      <w:snapToGrid/>
      <w:spacing w:after="0"/>
    </w:pPr>
    <w:rPr>
      <w:rFonts w:ascii="宋体" w:hAnsi="宋体" w:eastAsia="宋体" w:cs="宋体"/>
      <w:sz w:val="24"/>
      <w:szCs w:val="24"/>
    </w:rPr>
  </w:style>
  <w:style w:type="character" w:customStyle="1" w:styleId="8">
    <w:name w:val="16"/>
    <w:basedOn w:val="4"/>
    <w:qFormat/>
    <w:uiPriority w:val="0"/>
  </w:style>
  <w:style w:type="character" w:customStyle="1" w:styleId="9">
    <w:name w:val="15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416</Words>
  <Characters>2375</Characters>
  <Lines>19</Lines>
  <Paragraphs>5</Paragraphs>
  <TotalTime>2</TotalTime>
  <ScaleCrop>false</ScaleCrop>
  <LinksUpToDate>false</LinksUpToDate>
  <CharactersWithSpaces>2786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suma</cp:lastModifiedBy>
  <dcterms:modified xsi:type="dcterms:W3CDTF">2025-02-18T11:32:52Z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96C431F8C8A0A6A864FFB3677C87C4E0_42</vt:lpwstr>
  </property>
</Properties>
</file>