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706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rPr>
        <w:t>金寨县人民政府2021年政府信息公开工作年度报告</w:t>
      </w:r>
    </w:p>
    <w:p w14:paraId="1F000B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14:paraId="6F6500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本报告依据《中华人民共和国政府信息公开条例》（国务院令第711号）和《六安市政务公开办公室关于做好政府信息公开年度报告编制和发布工作的通知》(六政务公开办〔2021]64号)要求编制而成。本报告中使用数据统计期限为2021年1月1日至12月31日。如对本报告有任何疑问，请与金寨县人民政府办公室政务公开办联系（地址：金寨县行政中心828室，电话：0564--7356132，邮编：237300）。</w:t>
      </w:r>
    </w:p>
    <w:p w14:paraId="035431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一、总体情况</w:t>
      </w:r>
    </w:p>
    <w:p w14:paraId="07C00A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2021年，金寨县政府深入推进基层政务公开标准化规范化，信息公开质效显著提升，全年公开政府信息112627条。</w:t>
      </w:r>
    </w:p>
    <w:p w14:paraId="7E0556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42"/>
        <w:jc w:val="both"/>
        <w:rPr>
          <w:rFonts w:hint="eastAsia" w:ascii="方正楷体_GBK" w:hAnsi="方正楷体_GBK" w:eastAsia="方正楷体_GBK" w:cs="方正楷体_GBK"/>
          <w:b w:val="0"/>
          <w:bCs w:val="0"/>
          <w:i w:val="0"/>
          <w:iCs w:val="0"/>
          <w:caps w:val="0"/>
          <w:color w:val="auto"/>
          <w:spacing w:val="0"/>
          <w:sz w:val="32"/>
          <w:szCs w:val="32"/>
        </w:rPr>
      </w:pPr>
      <w:r>
        <w:rPr>
          <w:rFonts w:hint="eastAsia" w:ascii="方正楷体_GBK" w:hAnsi="方正楷体_GBK" w:eastAsia="方正楷体_GBK" w:cs="方正楷体_GBK"/>
          <w:b w:val="0"/>
          <w:bCs w:val="0"/>
          <w:i w:val="0"/>
          <w:iCs w:val="0"/>
          <w:caps w:val="0"/>
          <w:color w:val="auto"/>
          <w:spacing w:val="0"/>
          <w:sz w:val="32"/>
          <w:szCs w:val="32"/>
          <w:shd w:val="clear" w:fill="FFFFFF"/>
        </w:rPr>
        <w:t>（一）主动公开情况</w:t>
      </w:r>
    </w:p>
    <w:p w14:paraId="51C800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一是做好重点领域信息主动公开</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围绕市场规则标准和监管执法信息，财政预决算、三公经费、财政专项资金等财政信息，卫生科普、疫情情况等疫情防控信息等重点领域，建立信息常态发布机制，全年发布重点领域信息1489条。同时做好各类规划主动公开，建立规划专题，设立五大类规划栏目，发布各类规划信息119条。</w:t>
      </w:r>
    </w:p>
    <w:p w14:paraId="7309FA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二是做好规范性文件发布</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全面清理规范性文件。以县政府和县政府办公室名义印发的行政规范性文件共129件，其中继续有效88件、失效48件；以县政府部门名义印发的行政规范性文件共144件，其中继续有效52件，失效92件；以乡镇政府名义印发的行政规范性文件继续有效108件。建立政策文件库，实现规范性文件全面归集和全生命周期管理。</w:t>
      </w:r>
    </w:p>
    <w:p w14:paraId="241AE0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三是是做好政策解读和回应关切。</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建立健全解读机制，按照“谁起草谁解读”原则，做好政策文件和解读方案、解读材料同步组织、同步审签、同步部署，共发布政策解读信息629条。健全线上线下咨询制度，在线咨询问题在规定时间内完成回复，在政府服务大厅设置政策咨询综合服务窗口。同时，通过市长热线、书记信箱、线上访谈等线上政策咨询回复，多渠道提升政策咨询服务水平，及时回应关切。共发布主动回应信息1139条。</w:t>
      </w:r>
    </w:p>
    <w:p w14:paraId="1A9808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Times New Roman" w:hAnsi="Times New Roman" w:eastAsia="方正仿宋_GBK" w:cs="Times New Roman"/>
          <w:i w:val="0"/>
          <w:iCs w:val="0"/>
          <w:caps w:val="0"/>
          <w:color w:val="auto"/>
          <w:spacing w:val="0"/>
          <w:sz w:val="32"/>
          <w:szCs w:val="32"/>
        </w:rPr>
      </w:pPr>
      <w:r>
        <w:rPr>
          <w:rFonts w:hint="default" w:ascii="方正楷体_GBK" w:hAnsi="方正楷体_GBK" w:eastAsia="方正楷体_GBK" w:cs="方正楷体_GBK"/>
          <w:b w:val="0"/>
          <w:bCs w:val="0"/>
          <w:i w:val="0"/>
          <w:iCs w:val="0"/>
          <w:caps w:val="0"/>
          <w:color w:val="auto"/>
          <w:spacing w:val="0"/>
          <w:sz w:val="32"/>
          <w:szCs w:val="32"/>
          <w:shd w:val="clear" w:fill="FFFFFF"/>
        </w:rPr>
        <w:t>（二）依申请公开情况。</w:t>
      </w:r>
      <w:r>
        <w:rPr>
          <w:rFonts w:hint="default" w:ascii="Times New Roman" w:hAnsi="Times New Roman" w:eastAsia="方正仿宋_GBK" w:cs="Times New Roman"/>
          <w:i w:val="0"/>
          <w:iCs w:val="0"/>
          <w:caps w:val="0"/>
          <w:color w:val="auto"/>
          <w:spacing w:val="0"/>
          <w:sz w:val="32"/>
          <w:szCs w:val="32"/>
          <w:shd w:val="clear" w:fill="FFFFFF"/>
        </w:rPr>
        <w:t>完成依申请公开平台线上数据转移，修改完善依申请制度，全年受理依申请公开32件，其中线下申请2件，线上申请30件，发生1起行政复议，未发生行政诉讼案件。</w:t>
      </w:r>
    </w:p>
    <w:p w14:paraId="7D4106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42"/>
        <w:jc w:val="left"/>
        <w:rPr>
          <w:rFonts w:hint="default" w:ascii="Times New Roman" w:hAnsi="Times New Roman" w:eastAsia="方正仿宋_GBK" w:cs="Times New Roman"/>
          <w:i w:val="0"/>
          <w:iCs w:val="0"/>
          <w:caps w:val="0"/>
          <w:color w:val="auto"/>
          <w:spacing w:val="0"/>
          <w:sz w:val="32"/>
          <w:szCs w:val="32"/>
        </w:rPr>
      </w:pPr>
      <w:r>
        <w:rPr>
          <w:rFonts w:hint="default" w:ascii="方正楷体_GBK" w:hAnsi="方正楷体_GBK" w:eastAsia="方正楷体_GBK" w:cs="方正楷体_GBK"/>
          <w:b w:val="0"/>
          <w:bCs w:val="0"/>
          <w:i w:val="0"/>
          <w:iCs w:val="0"/>
          <w:caps w:val="0"/>
          <w:color w:val="auto"/>
          <w:spacing w:val="0"/>
          <w:kern w:val="0"/>
          <w:sz w:val="32"/>
          <w:szCs w:val="32"/>
          <w:shd w:val="clear" w:fill="FFFFFF"/>
          <w:lang w:val="en-US" w:eastAsia="zh-CN" w:bidi="ar"/>
        </w:rPr>
        <w:t>（三）政府信息管理情况。</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健全信息源头追溯机制，明确“谁产生、谁发布，谁发布、谁负责”的责任体系，新修订制度10条，进一步规范信息发布、管理、归档等工作。联合网信部门常态化开展重大错别字和泄漏隐私等信息排查，信息管理工作更加规范。</w:t>
      </w:r>
    </w:p>
    <w:p w14:paraId="3E3CF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42"/>
        <w:jc w:val="left"/>
        <w:rPr>
          <w:rFonts w:hint="default" w:ascii="Times New Roman" w:hAnsi="Times New Roman" w:eastAsia="方正仿宋_GBK" w:cs="Times New Roman"/>
          <w:i w:val="0"/>
          <w:iCs w:val="0"/>
          <w:caps w:val="0"/>
          <w:color w:val="auto"/>
          <w:spacing w:val="0"/>
          <w:sz w:val="32"/>
          <w:szCs w:val="32"/>
        </w:rPr>
      </w:pPr>
      <w:r>
        <w:rPr>
          <w:rFonts w:hint="default" w:ascii="方正楷体_GBK" w:hAnsi="方正楷体_GBK" w:eastAsia="方正楷体_GBK" w:cs="方正楷体_GBK"/>
          <w:b w:val="0"/>
          <w:bCs w:val="0"/>
          <w:i w:val="0"/>
          <w:iCs w:val="0"/>
          <w:caps w:val="0"/>
          <w:color w:val="auto"/>
          <w:spacing w:val="0"/>
          <w:kern w:val="0"/>
          <w:sz w:val="32"/>
          <w:szCs w:val="32"/>
          <w:shd w:val="clear" w:fill="FFFFFF"/>
          <w:lang w:val="en-US" w:eastAsia="zh-CN" w:bidi="ar"/>
        </w:rPr>
        <w:t>（四）政府信息公开平台建设情况。</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按照“一台四区”设置功能分区，在县政务服务大厅建成县政务公开专区，同步推进四个乡镇专区建设。畅通政府网站和两微一端的信息共享，确保信息同源。</w:t>
      </w:r>
    </w:p>
    <w:p w14:paraId="1CBF61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both"/>
        <w:rPr>
          <w:rFonts w:hint="default" w:ascii="Times New Roman" w:hAnsi="Times New Roman" w:eastAsia="方正仿宋_GBK" w:cs="Times New Roman"/>
          <w:i w:val="0"/>
          <w:iCs w:val="0"/>
          <w:caps w:val="0"/>
          <w:color w:val="auto"/>
          <w:spacing w:val="0"/>
          <w:sz w:val="32"/>
          <w:szCs w:val="32"/>
        </w:rPr>
      </w:pPr>
      <w:r>
        <w:rPr>
          <w:rFonts w:hint="default" w:ascii="方正楷体_GBK" w:hAnsi="方正楷体_GBK" w:eastAsia="方正楷体_GBK" w:cs="方正楷体_GBK"/>
          <w:b w:val="0"/>
          <w:bCs w:val="0"/>
          <w:i w:val="0"/>
          <w:iCs w:val="0"/>
          <w:caps w:val="0"/>
          <w:color w:val="auto"/>
          <w:spacing w:val="0"/>
          <w:kern w:val="0"/>
          <w:sz w:val="32"/>
          <w:szCs w:val="32"/>
          <w:shd w:val="clear" w:fill="FFFFFF"/>
          <w:lang w:val="en-US" w:eastAsia="zh-CN" w:bidi="ar"/>
        </w:rPr>
        <w:t>（五）监督保障情况。</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实行“一季度一监测，一季度一通报”，加强问题整改。县政府定期听取政务公开工作情况汇报，落实政府信息公开社会评议和责任追究制度，本年度未发生责任追究事件。将政务公开纳入政府绩效考核体系且分值权重不低于4%。全年开展培训6次，培训人数近360人次。同时实行政务公开经办人员跟班学习制度，由县政务公开办对口辅导，跟班学习后成绩提升明显。</w:t>
      </w:r>
    </w:p>
    <w:p w14:paraId="13F574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42"/>
        <w:jc w:val="both"/>
        <w:rPr>
          <w:rFonts w:hint="default" w:ascii="Times New Roman" w:hAnsi="Times New Roman" w:eastAsia="微软雅黑" w:cs="Times New Roman"/>
          <w:i w:val="0"/>
          <w:iCs w:val="0"/>
          <w:caps w:val="0"/>
          <w:color w:val="auto"/>
          <w:spacing w:val="0"/>
          <w:sz w:val="21"/>
          <w:szCs w:val="21"/>
        </w:rPr>
      </w:pPr>
    </w:p>
    <w:p w14:paraId="634225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方正黑体_GBK" w:hAnsi="方正黑体_GBK" w:eastAsia="方正黑体_GBK" w:cs="方正黑体_GBK"/>
          <w:b w:val="0"/>
          <w:bCs w:val="0"/>
          <w:i w:val="0"/>
          <w:iCs w:val="0"/>
          <w:caps w:val="0"/>
          <w:color w:val="auto"/>
          <w:spacing w:val="0"/>
          <w:sz w:val="21"/>
          <w:szCs w:val="21"/>
        </w:rPr>
      </w:pPr>
      <w:r>
        <w:rPr>
          <w:rFonts w:hint="eastAsia" w:ascii="方正黑体_GBK" w:hAnsi="方正黑体_GBK" w:eastAsia="方正黑体_GBK" w:cs="方正黑体_GBK"/>
          <w:b w:val="0"/>
          <w:bCs w:val="0"/>
          <w:i w:val="0"/>
          <w:iCs w:val="0"/>
          <w:caps w:val="0"/>
          <w:color w:val="auto"/>
          <w:spacing w:val="0"/>
          <w:sz w:val="32"/>
          <w:szCs w:val="32"/>
          <w:shd w:val="clear" w:fill="FFFFFF"/>
        </w:rPr>
        <w:t>二、主动公开政府信息情况</w:t>
      </w:r>
    </w:p>
    <w:p w14:paraId="648794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42"/>
        <w:jc w:val="both"/>
        <w:rPr>
          <w:rFonts w:hint="default" w:ascii="Times New Roman" w:hAnsi="Times New Roman" w:eastAsia="微软雅黑" w:cs="Times New Roman"/>
          <w:i w:val="0"/>
          <w:iCs w:val="0"/>
          <w:caps w:val="0"/>
          <w:color w:val="auto"/>
          <w:spacing w:val="0"/>
          <w:sz w:val="21"/>
          <w:szCs w:val="21"/>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5"/>
        <w:gridCol w:w="2435"/>
        <w:gridCol w:w="2435"/>
        <w:gridCol w:w="2435"/>
      </w:tblGrid>
      <w:tr w14:paraId="641B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15B6EB0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第二十条第（一）项</w:t>
            </w:r>
          </w:p>
        </w:tc>
      </w:tr>
      <w:tr w14:paraId="4CA2C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3083B2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4FAE54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502471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1E06BF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现行有效件数</w:t>
            </w:r>
          </w:p>
        </w:tc>
      </w:tr>
      <w:tr w14:paraId="26707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4E3AD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7C5AD4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2D49807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0  </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03A7BF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0 </w:t>
            </w:r>
          </w:p>
        </w:tc>
      </w:tr>
      <w:tr w14:paraId="1ABF8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A51C6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19E314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 140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54A914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140</w:t>
            </w:r>
          </w:p>
        </w:tc>
        <w:tc>
          <w:tcPr>
            <w:tcW w:w="2435" w:type="dxa"/>
            <w:tcBorders>
              <w:top w:val="nil"/>
              <w:left w:val="nil"/>
              <w:bottom w:val="single" w:color="auto" w:sz="8" w:space="0"/>
              <w:right w:val="single" w:color="auto" w:sz="8" w:space="0"/>
            </w:tcBorders>
            <w:shd w:val="clear" w:color="auto" w:fill="FFFFFF"/>
            <w:tcMar>
              <w:left w:w="57" w:type="dxa"/>
              <w:right w:w="57" w:type="dxa"/>
            </w:tcMar>
            <w:vAlign w:val="center"/>
          </w:tcPr>
          <w:p w14:paraId="5A551F9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249</w:t>
            </w:r>
          </w:p>
        </w:tc>
      </w:tr>
      <w:tr w14:paraId="0CE8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9016D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第二十条第（五）项</w:t>
            </w:r>
          </w:p>
        </w:tc>
      </w:tr>
      <w:tr w14:paraId="4B97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55F279B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426C89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本年处理决定数量</w:t>
            </w:r>
          </w:p>
        </w:tc>
      </w:tr>
      <w:tr w14:paraId="6ECE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7ED9E3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0AA7FE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cs="Times New Roman"/>
                <w:i w:val="0"/>
                <w:iCs w:val="0"/>
                <w:caps w:val="0"/>
                <w:color w:val="auto"/>
                <w:spacing w:val="0"/>
                <w:kern w:val="0"/>
                <w:sz w:val="21"/>
                <w:szCs w:val="21"/>
                <w:lang w:val="en-US" w:eastAsia="zh-CN" w:bidi="ar"/>
              </w:rPr>
              <w:t>78496</w:t>
            </w:r>
          </w:p>
        </w:tc>
      </w:tr>
      <w:tr w14:paraId="4D95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D2D1E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第二十条第（六）项</w:t>
            </w:r>
          </w:p>
        </w:tc>
      </w:tr>
      <w:tr w14:paraId="2B49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3E05D7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1EA270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本年处理决定数量</w:t>
            </w:r>
          </w:p>
        </w:tc>
      </w:tr>
      <w:tr w14:paraId="754A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1B3AC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3E9566C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eastAsia="宋体" w:cs="Times New Roman"/>
                <w:i w:val="0"/>
                <w:iCs w:val="0"/>
                <w:caps w:val="0"/>
                <w:color w:val="auto"/>
                <w:spacing w:val="0"/>
                <w:kern w:val="0"/>
                <w:sz w:val="20"/>
                <w:szCs w:val="20"/>
                <w:lang w:val="en-US" w:eastAsia="zh-CN" w:bidi="ar"/>
              </w:rPr>
              <w:t>127423</w:t>
            </w:r>
            <w:bookmarkStart w:id="0" w:name="_GoBack"/>
            <w:bookmarkEnd w:id="0"/>
          </w:p>
        </w:tc>
      </w:tr>
      <w:tr w14:paraId="410B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5455DE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15CF68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307</w:t>
            </w:r>
          </w:p>
        </w:tc>
      </w:tr>
      <w:tr w14:paraId="07D3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4691A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第二十条第（八）项</w:t>
            </w:r>
          </w:p>
        </w:tc>
      </w:tr>
      <w:tr w14:paraId="6507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C1AA7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56E7BA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本年收费金额（单位：万元）</w:t>
            </w:r>
          </w:p>
        </w:tc>
      </w:tr>
      <w:tr w14:paraId="15D7B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18B74E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0"/>
                <w:szCs w:val="20"/>
                <w:lang w:val="en-US" w:eastAsia="zh-CN" w:bidi="ar"/>
              </w:rPr>
              <w:t>行政事业性收费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3FE6A7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i w:val="0"/>
                <w:iCs w:val="0"/>
                <w:caps w:val="0"/>
                <w:color w:val="auto"/>
                <w:spacing w:val="0"/>
                <w:kern w:val="0"/>
                <w:sz w:val="22"/>
                <w:szCs w:val="22"/>
                <w:lang w:val="en-US" w:eastAsia="zh-CN" w:bidi="ar"/>
              </w:rPr>
              <w:t>6144</w:t>
            </w:r>
          </w:p>
        </w:tc>
      </w:tr>
    </w:tbl>
    <w:p w14:paraId="0AD32F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0" w:firstLineChars="0"/>
        <w:jc w:val="left"/>
        <w:rPr>
          <w:rFonts w:hint="default" w:ascii="Times New Roman" w:hAnsi="Times New Roman" w:eastAsia="微软雅黑" w:cs="Times New Roman"/>
          <w:i w:val="0"/>
          <w:iCs w:val="0"/>
          <w:caps w:val="0"/>
          <w:color w:val="auto"/>
          <w:spacing w:val="0"/>
          <w:sz w:val="21"/>
          <w:szCs w:val="21"/>
        </w:rPr>
      </w:pPr>
    </w:p>
    <w:p w14:paraId="0AE97F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方正黑体_GBK" w:hAnsi="方正黑体_GBK" w:eastAsia="方正黑体_GBK" w:cs="方正黑体_GBK"/>
          <w:b w:val="0"/>
          <w:bCs w:val="0"/>
          <w:i w:val="0"/>
          <w:iCs w:val="0"/>
          <w:caps w:val="0"/>
          <w:color w:val="auto"/>
          <w:spacing w:val="0"/>
          <w:sz w:val="32"/>
          <w:szCs w:val="32"/>
          <w:shd w:val="clear" w:fill="FFFFFF"/>
        </w:rPr>
      </w:pPr>
      <w:r>
        <w:rPr>
          <w:rFonts w:hint="default" w:ascii="方正黑体_GBK" w:hAnsi="方正黑体_GBK" w:eastAsia="方正黑体_GBK" w:cs="方正黑体_GBK"/>
          <w:b w:val="0"/>
          <w:bCs w:val="0"/>
          <w:i w:val="0"/>
          <w:iCs w:val="0"/>
          <w:caps w:val="0"/>
          <w:color w:val="auto"/>
          <w:spacing w:val="0"/>
          <w:sz w:val="32"/>
          <w:szCs w:val="32"/>
          <w:shd w:val="clear" w:fill="FFFFFF"/>
          <w:lang w:val="en-US" w:eastAsia="zh-CN"/>
        </w:rPr>
        <w:t>三、收到和处理政府信息公开申请情况</w:t>
      </w:r>
    </w:p>
    <w:p w14:paraId="60D56F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0" w:firstLineChars="0"/>
        <w:jc w:val="left"/>
        <w:rPr>
          <w:rFonts w:hint="default" w:ascii="Times New Roman" w:hAnsi="Times New Roman" w:eastAsia="微软雅黑" w:cs="Times New Roman"/>
          <w:i w:val="0"/>
          <w:iCs w:val="0"/>
          <w:caps w:val="0"/>
          <w:color w:val="auto"/>
          <w:spacing w:val="0"/>
          <w:sz w:val="21"/>
          <w:szCs w:val="21"/>
        </w:rPr>
      </w:pPr>
    </w:p>
    <w:tbl>
      <w:tblPr>
        <w:tblStyle w:val="4"/>
        <w:tblW w:w="968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55"/>
        <w:gridCol w:w="833"/>
        <w:gridCol w:w="2378"/>
        <w:gridCol w:w="11"/>
        <w:gridCol w:w="945"/>
        <w:gridCol w:w="11"/>
        <w:gridCol w:w="730"/>
        <w:gridCol w:w="11"/>
        <w:gridCol w:w="720"/>
        <w:gridCol w:w="11"/>
        <w:gridCol w:w="870"/>
        <w:gridCol w:w="11"/>
        <w:gridCol w:w="1077"/>
        <w:gridCol w:w="11"/>
        <w:gridCol w:w="682"/>
        <w:gridCol w:w="11"/>
        <w:gridCol w:w="704"/>
        <w:gridCol w:w="11"/>
      </w:tblGrid>
      <w:tr w14:paraId="408560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1"/>
          <w:wAfter w:w="11" w:type="dxa"/>
          <w:trHeight w:val="330" w:hRule="atLeast"/>
          <w:jc w:val="center"/>
        </w:trPr>
        <w:tc>
          <w:tcPr>
            <w:tcW w:w="3866"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14:paraId="225B7A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（本列数据的勾稽关系为：第一项加第二项之和，等于第三项加第四项之和）</w:t>
            </w:r>
          </w:p>
        </w:tc>
        <w:tc>
          <w:tcPr>
            <w:tcW w:w="5805" w:type="dxa"/>
            <w:gridSpan w:val="14"/>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14:paraId="1E7D31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申请人情况</w:t>
            </w:r>
          </w:p>
        </w:tc>
      </w:tr>
      <w:tr w14:paraId="6F7508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1" w:type="dxa"/>
          <w:trHeight w:val="330" w:hRule="atLeast"/>
          <w:jc w:val="center"/>
        </w:trPr>
        <w:tc>
          <w:tcPr>
            <w:tcW w:w="3866"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14:paraId="27037C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956" w:type="dxa"/>
            <w:gridSpan w:val="2"/>
            <w:vMerge w:val="restart"/>
            <w:tcBorders>
              <w:top w:val="nil"/>
              <w:left w:val="nil"/>
              <w:bottom w:val="single" w:color="auto" w:sz="8" w:space="0"/>
              <w:right w:val="single" w:color="auto" w:sz="8" w:space="0"/>
            </w:tcBorders>
            <w:shd w:val="clear" w:color="auto" w:fill="FFFFFF"/>
            <w:tcMar>
              <w:left w:w="57" w:type="dxa"/>
              <w:right w:w="57" w:type="dxa"/>
            </w:tcMar>
            <w:vAlign w:val="center"/>
          </w:tcPr>
          <w:p w14:paraId="1D84CC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自然人</w:t>
            </w:r>
          </w:p>
        </w:tc>
        <w:tc>
          <w:tcPr>
            <w:tcW w:w="4134"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590B1B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法人或其他组织</w:t>
            </w:r>
          </w:p>
        </w:tc>
        <w:tc>
          <w:tcPr>
            <w:tcW w:w="715" w:type="dxa"/>
            <w:gridSpan w:val="2"/>
            <w:vMerge w:val="restart"/>
            <w:tcBorders>
              <w:top w:val="single" w:color="auto" w:sz="8" w:space="0"/>
              <w:left w:val="nil"/>
              <w:bottom w:val="outset" w:color="auto" w:sz="8" w:space="0"/>
              <w:right w:val="single" w:color="auto" w:sz="8" w:space="0"/>
            </w:tcBorders>
            <w:shd w:val="clear" w:color="auto" w:fill="FFFFFF"/>
            <w:tcMar>
              <w:left w:w="108" w:type="dxa"/>
              <w:right w:w="108" w:type="dxa"/>
            </w:tcMar>
            <w:vAlign w:val="center"/>
          </w:tcPr>
          <w:p w14:paraId="348794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总计</w:t>
            </w:r>
          </w:p>
        </w:tc>
      </w:tr>
      <w:tr w14:paraId="364599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1" w:type="dxa"/>
          <w:trHeight w:val="330" w:hRule="atLeast"/>
          <w:jc w:val="center"/>
        </w:trPr>
        <w:tc>
          <w:tcPr>
            <w:tcW w:w="3866"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14:paraId="0CF4D4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956" w:type="dxa"/>
            <w:gridSpan w:val="2"/>
            <w:vMerge w:val="continue"/>
            <w:tcBorders>
              <w:top w:val="nil"/>
              <w:left w:val="nil"/>
              <w:bottom w:val="single" w:color="auto" w:sz="8" w:space="0"/>
              <w:right w:val="single" w:color="auto" w:sz="8" w:space="0"/>
            </w:tcBorders>
            <w:shd w:val="clear" w:color="auto" w:fill="FFFFFF"/>
            <w:tcMar>
              <w:left w:w="57" w:type="dxa"/>
              <w:right w:w="57" w:type="dxa"/>
            </w:tcMar>
            <w:vAlign w:val="center"/>
          </w:tcPr>
          <w:p w14:paraId="1FA2F3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74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25B3FF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商业企业</w:t>
            </w:r>
          </w:p>
        </w:tc>
        <w:tc>
          <w:tcPr>
            <w:tcW w:w="73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1AA093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科研机构</w:t>
            </w:r>
          </w:p>
        </w:tc>
        <w:tc>
          <w:tcPr>
            <w:tcW w:w="881"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98B29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社会公益组织</w:t>
            </w:r>
          </w:p>
        </w:tc>
        <w:tc>
          <w:tcPr>
            <w:tcW w:w="1088"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4AFBF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法律服务机构</w:t>
            </w:r>
          </w:p>
        </w:tc>
        <w:tc>
          <w:tcPr>
            <w:tcW w:w="693"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400CB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其他</w:t>
            </w:r>
          </w:p>
        </w:tc>
        <w:tc>
          <w:tcPr>
            <w:tcW w:w="715" w:type="dxa"/>
            <w:gridSpan w:val="2"/>
            <w:vMerge w:val="continue"/>
            <w:tcBorders>
              <w:top w:val="single" w:color="auto" w:sz="8" w:space="0"/>
              <w:left w:val="nil"/>
              <w:bottom w:val="outset" w:color="auto" w:sz="8" w:space="0"/>
              <w:right w:val="single" w:color="auto" w:sz="8" w:space="0"/>
            </w:tcBorders>
            <w:shd w:val="clear" w:color="auto" w:fill="FFFFFF"/>
            <w:tcMar>
              <w:left w:w="108" w:type="dxa"/>
              <w:right w:w="108" w:type="dxa"/>
            </w:tcMar>
            <w:vAlign w:val="center"/>
          </w:tcPr>
          <w:p w14:paraId="49E9DE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r>
      <w:tr w14:paraId="462962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1" w:type="dxa"/>
          <w:trHeight w:val="330" w:hRule="atLeast"/>
          <w:jc w:val="center"/>
        </w:trPr>
        <w:tc>
          <w:tcPr>
            <w:tcW w:w="386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24C76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一、本年新收政府信息公开申请数量</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2EF8B9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32</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22D9AE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F8405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3DA858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9BCFA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5078B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0FDA8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32</w:t>
            </w:r>
          </w:p>
        </w:tc>
      </w:tr>
      <w:tr w14:paraId="1D2E37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1" w:type="dxa"/>
          <w:trHeight w:val="330" w:hRule="atLeast"/>
          <w:jc w:val="center"/>
        </w:trPr>
        <w:tc>
          <w:tcPr>
            <w:tcW w:w="386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54C8C1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二、上年结转政府信息公开申请数量</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F194E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74E4AC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7711D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BE9C7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70390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0DF953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3AB6C5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r>
      <w:tr w14:paraId="2566A0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7B1914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三、本年度办理结果</w:t>
            </w:r>
          </w:p>
        </w:tc>
        <w:tc>
          <w:tcPr>
            <w:tcW w:w="322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4244B7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（一）予以公开</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3857E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27</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405E1E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73136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0FA894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018AA2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1C3D9D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715" w:type="dxa"/>
            <w:gridSpan w:val="2"/>
            <w:tcBorders>
              <w:top w:val="single" w:color="auto" w:sz="8" w:space="0"/>
              <w:left w:val="nil"/>
              <w:bottom w:val="single" w:color="auto" w:sz="8" w:space="0"/>
              <w:right w:val="single" w:color="auto" w:sz="8" w:space="0"/>
            </w:tcBorders>
            <w:shd w:val="clear" w:color="auto" w:fill="FFFFFF"/>
            <w:tcMar>
              <w:left w:w="57" w:type="dxa"/>
              <w:right w:w="57" w:type="dxa"/>
            </w:tcMar>
            <w:vAlign w:val="top"/>
          </w:tcPr>
          <w:p w14:paraId="045E40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27 </w:t>
            </w:r>
          </w:p>
        </w:tc>
      </w:tr>
      <w:tr w14:paraId="3ED89D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606589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322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7CF1CE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（二）部分公开（区分处理的，只计这一情形，不计其他情形）</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5D7CF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710FF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BF7F3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12B574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201ED6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23C905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EF6F9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w:t>
            </w:r>
          </w:p>
          <w:p w14:paraId="7F9B16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63E0A6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41D9A5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14:paraId="531FFE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（三）不予公开</w:t>
            </w: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A3946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1.属于国家秘密</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F2561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0EDE8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EA507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D35CF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722AB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6B866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single" w:color="auto" w:sz="8" w:space="0"/>
              <w:left w:val="nil"/>
              <w:bottom w:val="single" w:color="auto" w:sz="8" w:space="0"/>
              <w:right w:val="single" w:color="auto" w:sz="8" w:space="0"/>
            </w:tcBorders>
            <w:shd w:val="clear" w:color="auto" w:fill="FFFFFF"/>
            <w:tcMar>
              <w:left w:w="57" w:type="dxa"/>
              <w:right w:w="57" w:type="dxa"/>
            </w:tcMar>
            <w:vAlign w:val="top"/>
          </w:tcPr>
          <w:p w14:paraId="502B95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0010E9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7D19DE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4073A9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84B2A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2.其他法律行政法规禁止公开</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DC1D4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B66D5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A813C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56334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BA0B8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E5FF1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2A920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164573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4E5058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3EB283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CAC7A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3.危及“三安全一稳定”</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1667A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0640D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BA21E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1AEF1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28C26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06D69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DD1FD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685D8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31A20C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76ADFC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81F0A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4.保护第三方合法权益</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4F785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3</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7634A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D01C5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689C1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C3F79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3F48D0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E31EB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3</w:t>
            </w:r>
          </w:p>
        </w:tc>
      </w:tr>
      <w:tr w14:paraId="0949F5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3A15C4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271FB6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97910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5.属于三类内部事务信息</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300EC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DA9F8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33898F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07C9F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28AF8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36538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64279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2CECFD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45E5F5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737BF8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F086B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6.属于四类过程性信息</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55885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D9BE0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B5686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7C6EC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36E6F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03518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336BB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432FE2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076709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695123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2FE8C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7.属于行政执法案卷</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4347F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1</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E1058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21A64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BB79C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6BDCB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A569E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B4C1E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1 </w:t>
            </w:r>
          </w:p>
        </w:tc>
      </w:tr>
      <w:tr w14:paraId="570558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6CD959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36844D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3BDEF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8.属于行政查询事项</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3FE281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D9CF7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DFD53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B5F00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71581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BA1E2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47158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6E6F89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034545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14:paraId="485066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（四）无法提供</w:t>
            </w: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2AAFD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1.本机关不掌握相关政府信息</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26796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02AD4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D8E8E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5463E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2F763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8B545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4A0D7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180CB3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1805D3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175539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6C6E0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2.没有现成信息需要另行制作</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B886B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98ECC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3784D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29F99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1B0CC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37C9B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640D8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40C7EA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0E0B5A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75B51B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119F6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3.补正后申请内容仍不明确</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9445F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F9260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15FF4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13766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ADE8B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EED33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7D47B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1C590D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31A159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14:paraId="426E04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（五）不予处理</w:t>
            </w: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9A516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1.信访举报投诉类申请</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F56D2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51573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2BDE4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DDCD4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76BCA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397AC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25FF4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73E87C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7E21E9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4085D8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CFFF9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2.重复申请</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049CB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54316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5CC48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A1FCC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664CF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39870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4EEC0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69112C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0B0F10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1FFDF3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C0CF5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3.要求提供公开出版物</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FA8DD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0A5FE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2C50A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454A56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34F7E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A586C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5F3B9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1B770A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0A3521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27EEC4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68FC3A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4.无正当理由大量反复申请</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6D0DD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7D207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25574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D6F89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01853F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0F033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B9031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5ACB1E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400809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49DC9E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outset" w:color="auto" w:sz="8" w:space="0"/>
              <w:right w:val="single" w:color="auto" w:sz="8" w:space="0"/>
            </w:tcBorders>
            <w:shd w:val="clear" w:color="auto" w:fill="FFFFFF"/>
            <w:tcMar>
              <w:left w:w="57" w:type="dxa"/>
              <w:right w:w="57" w:type="dxa"/>
            </w:tcMar>
            <w:vAlign w:val="center"/>
          </w:tcPr>
          <w:p w14:paraId="0F8A54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5.要求行政机关确认或重新出具已获取信息</w:t>
            </w:r>
          </w:p>
        </w:tc>
        <w:tc>
          <w:tcPr>
            <w:tcW w:w="956" w:type="dxa"/>
            <w:gridSpan w:val="2"/>
            <w:tcBorders>
              <w:top w:val="nil"/>
              <w:left w:val="nil"/>
              <w:bottom w:val="outset" w:color="auto" w:sz="8" w:space="0"/>
              <w:right w:val="single" w:color="auto" w:sz="8" w:space="0"/>
            </w:tcBorders>
            <w:shd w:val="clear" w:color="auto" w:fill="FFFFFF"/>
            <w:tcMar>
              <w:left w:w="57" w:type="dxa"/>
              <w:right w:w="57" w:type="dxa"/>
            </w:tcMar>
            <w:vAlign w:val="top"/>
          </w:tcPr>
          <w:p w14:paraId="30B200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outset" w:color="auto" w:sz="8" w:space="0"/>
              <w:right w:val="single" w:color="auto" w:sz="8" w:space="0"/>
            </w:tcBorders>
            <w:shd w:val="clear" w:color="auto" w:fill="FFFFFF"/>
            <w:tcMar>
              <w:left w:w="57" w:type="dxa"/>
              <w:right w:w="57" w:type="dxa"/>
            </w:tcMar>
            <w:vAlign w:val="top"/>
          </w:tcPr>
          <w:p w14:paraId="1619D3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outset" w:color="auto" w:sz="8" w:space="0"/>
              <w:right w:val="single" w:color="auto" w:sz="8" w:space="0"/>
            </w:tcBorders>
            <w:shd w:val="clear" w:color="auto" w:fill="FFFFFF"/>
            <w:tcMar>
              <w:left w:w="57" w:type="dxa"/>
              <w:right w:w="57" w:type="dxa"/>
            </w:tcMar>
            <w:vAlign w:val="top"/>
          </w:tcPr>
          <w:p w14:paraId="0FEDEB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outset" w:color="auto" w:sz="8" w:space="0"/>
              <w:right w:val="single" w:color="auto" w:sz="8" w:space="0"/>
            </w:tcBorders>
            <w:shd w:val="clear" w:color="auto" w:fill="FFFFFF"/>
            <w:tcMar>
              <w:left w:w="57" w:type="dxa"/>
              <w:right w:w="57" w:type="dxa"/>
            </w:tcMar>
            <w:vAlign w:val="top"/>
          </w:tcPr>
          <w:p w14:paraId="63445D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outset" w:color="auto" w:sz="8" w:space="0"/>
              <w:right w:val="single" w:color="auto" w:sz="8" w:space="0"/>
            </w:tcBorders>
            <w:shd w:val="clear" w:color="auto" w:fill="FFFFFF"/>
            <w:tcMar>
              <w:left w:w="57" w:type="dxa"/>
              <w:right w:w="57" w:type="dxa"/>
            </w:tcMar>
            <w:vAlign w:val="top"/>
          </w:tcPr>
          <w:p w14:paraId="447BA2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outset" w:color="auto" w:sz="8" w:space="0"/>
              <w:right w:val="single" w:color="auto" w:sz="8" w:space="0"/>
            </w:tcBorders>
            <w:shd w:val="clear" w:color="auto" w:fill="FFFFFF"/>
            <w:tcMar>
              <w:left w:w="57" w:type="dxa"/>
              <w:right w:w="57" w:type="dxa"/>
            </w:tcMar>
            <w:vAlign w:val="top"/>
          </w:tcPr>
          <w:p w14:paraId="35219A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outset" w:color="auto" w:sz="8" w:space="0"/>
              <w:right w:val="single" w:color="auto" w:sz="8" w:space="0"/>
            </w:tcBorders>
            <w:shd w:val="clear" w:color="auto" w:fill="FFFFFF"/>
            <w:tcMar>
              <w:left w:w="57" w:type="dxa"/>
              <w:right w:w="57" w:type="dxa"/>
            </w:tcMar>
            <w:vAlign w:val="top"/>
          </w:tcPr>
          <w:p w14:paraId="685782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69DA2D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3DEED4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14:paraId="1C52CB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（六）其他处理</w:t>
            </w: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0C7478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1.申请人无正当理由逾期不补正、行政机关不再处理其政府信息公开申请</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483363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1BD10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76D11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4FE59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24AA74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2B4930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7BD1C9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0192CC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36C3D2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070DC2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047BEB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2.申请人逾期未按收费通知要求缴纳费用、行政机关不再处理其政府信息公开申请</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4D2079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46BF93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6DD7B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CB3B3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1D1C52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175DC7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3EE83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r>
      <w:tr w14:paraId="742A35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7A027D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83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14:paraId="1BECBD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2389"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31AF42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3.其他</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0892BA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1</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9335C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7096E5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1CC99A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06062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054F16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2013F9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1</w:t>
            </w:r>
          </w:p>
        </w:tc>
      </w:tr>
      <w:tr w14:paraId="7594EB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655"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14:paraId="7E040B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p>
        </w:tc>
        <w:tc>
          <w:tcPr>
            <w:tcW w:w="322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541002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（七）总计</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1C4A43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32</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6620D3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5FBA4D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0 </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2F1F7A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416295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7544C8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1E514C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32</w:t>
            </w:r>
          </w:p>
        </w:tc>
      </w:tr>
      <w:tr w14:paraId="1809A4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1" w:type="dxa"/>
          <w:trHeight w:val="330" w:hRule="atLeast"/>
          <w:jc w:val="center"/>
        </w:trPr>
        <w:tc>
          <w:tcPr>
            <w:tcW w:w="386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79AD4E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四、结转下年度继续办理</w:t>
            </w:r>
          </w:p>
        </w:tc>
        <w:tc>
          <w:tcPr>
            <w:tcW w:w="956"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2F74F6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74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00039E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73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3B5165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881"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1A8DBD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1088"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145B80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69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14:paraId="3D4D48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c>
          <w:tcPr>
            <w:tcW w:w="715" w:type="dxa"/>
            <w:gridSpan w:val="2"/>
            <w:tcBorders>
              <w:top w:val="nil"/>
              <w:left w:val="nil"/>
              <w:bottom w:val="single" w:color="auto" w:sz="8" w:space="0"/>
              <w:right w:val="single" w:color="auto" w:sz="8" w:space="0"/>
            </w:tcBorders>
            <w:shd w:val="clear" w:color="auto" w:fill="FFFFFF"/>
            <w:tcMar>
              <w:left w:w="57" w:type="dxa"/>
              <w:right w:w="57" w:type="dxa"/>
            </w:tcMar>
            <w:vAlign w:val="top"/>
          </w:tcPr>
          <w:p w14:paraId="5D1094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Times New Roman" w:hAnsi="Times New Roman" w:eastAsia="方正仿宋_GBK" w:cs="Times New Roman"/>
                <w:b w:val="0"/>
                <w:bCs w:val="0"/>
                <w:i w:val="0"/>
                <w:iCs w:val="0"/>
                <w:caps w:val="0"/>
                <w:color w:val="auto"/>
                <w:spacing w:val="0"/>
                <w:sz w:val="20"/>
                <w:szCs w:val="20"/>
                <w:shd w:val="clear" w:fill="FFFFFF"/>
              </w:rPr>
            </w:pPr>
            <w:r>
              <w:rPr>
                <w:rFonts w:hint="default" w:ascii="Times New Roman" w:hAnsi="Times New Roman" w:eastAsia="方正仿宋_GBK" w:cs="Times New Roman"/>
                <w:b w:val="0"/>
                <w:bCs w:val="0"/>
                <w:i w:val="0"/>
                <w:iCs w:val="0"/>
                <w:caps w:val="0"/>
                <w:color w:val="auto"/>
                <w:spacing w:val="0"/>
                <w:sz w:val="20"/>
                <w:szCs w:val="20"/>
                <w:shd w:val="clear" w:fill="FFFFFF"/>
                <w:lang w:val="en-US" w:eastAsia="zh-CN"/>
              </w:rPr>
              <w:t>   0</w:t>
            </w:r>
          </w:p>
        </w:tc>
      </w:tr>
    </w:tbl>
    <w:p w14:paraId="2BA0B6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 </w:t>
      </w:r>
    </w:p>
    <w:p w14:paraId="07A5FA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方正黑体_GBK" w:hAnsi="方正黑体_GBK" w:eastAsia="方正黑体_GBK" w:cs="方正黑体_GBK"/>
          <w:b w:val="0"/>
          <w:bCs w:val="0"/>
          <w:i w:val="0"/>
          <w:iCs w:val="0"/>
          <w:caps w:val="0"/>
          <w:color w:val="auto"/>
          <w:spacing w:val="0"/>
          <w:sz w:val="32"/>
          <w:szCs w:val="32"/>
          <w:shd w:val="clear" w:fill="FFFFFF"/>
        </w:rPr>
      </w:pPr>
      <w:r>
        <w:rPr>
          <w:rFonts w:hint="default" w:ascii="方正黑体_GBK" w:hAnsi="方正黑体_GBK" w:eastAsia="方正黑体_GBK" w:cs="方正黑体_GBK"/>
          <w:b w:val="0"/>
          <w:bCs w:val="0"/>
          <w:i w:val="0"/>
          <w:iCs w:val="0"/>
          <w:caps w:val="0"/>
          <w:color w:val="auto"/>
          <w:spacing w:val="0"/>
          <w:sz w:val="32"/>
          <w:szCs w:val="32"/>
          <w:shd w:val="clear" w:fill="FFFFFF"/>
          <w:lang w:val="en-US" w:eastAsia="zh-CN"/>
        </w:rPr>
        <w:t>四、政府信息公开行政复议、行政诉讼情况</w:t>
      </w:r>
    </w:p>
    <w:p w14:paraId="60AEC5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宋体" w:cs="Times New Roman"/>
          <w:i w:val="0"/>
          <w:iCs w:val="0"/>
          <w:caps w:val="0"/>
          <w:color w:val="auto"/>
          <w:spacing w:val="0"/>
          <w:kern w:val="0"/>
          <w:sz w:val="24"/>
          <w:szCs w:val="24"/>
          <w:shd w:val="clear" w:fill="FFFFFF"/>
          <w:lang w:val="en-US" w:eastAsia="zh-CN" w:bidi="ar"/>
        </w:rPr>
        <w:t> </w:t>
      </w:r>
    </w:p>
    <w:tbl>
      <w:tblPr>
        <w:tblStyle w:val="4"/>
        <w:tblW w:w="8259"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506"/>
        <w:gridCol w:w="493"/>
        <w:gridCol w:w="493"/>
        <w:gridCol w:w="493"/>
        <w:gridCol w:w="450"/>
        <w:gridCol w:w="675"/>
        <w:gridCol w:w="600"/>
        <w:gridCol w:w="610"/>
        <w:gridCol w:w="632"/>
        <w:gridCol w:w="515"/>
        <w:gridCol w:w="600"/>
        <w:gridCol w:w="578"/>
        <w:gridCol w:w="557"/>
        <w:gridCol w:w="547"/>
        <w:gridCol w:w="510"/>
      </w:tblGrid>
      <w:tr w14:paraId="2E9E52CD">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0" w:type="dxa"/>
            <w:left w:w="0" w:type="dxa"/>
            <w:bottom w:w="0" w:type="dxa"/>
            <w:right w:w="0" w:type="dxa"/>
          </w:tblCellMar>
        </w:tblPrEx>
        <w:trPr>
          <w:trHeight w:val="610" w:hRule="atLeast"/>
        </w:trPr>
        <w:tc>
          <w:tcPr>
            <w:tcW w:w="243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6FF3F7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320" w:leftChars="100" w:right="0" w:firstLine="314"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w w:val="75"/>
                <w:kern w:val="0"/>
                <w:sz w:val="21"/>
                <w:szCs w:val="21"/>
                <w:fitText w:val="630" w:id="994514336"/>
                <w:lang w:val="en-US" w:eastAsia="zh-CN" w:bidi="ar"/>
              </w:rPr>
              <w:t>行政复议</w:t>
            </w:r>
          </w:p>
        </w:tc>
        <w:tc>
          <w:tcPr>
            <w:tcW w:w="5824" w:type="dxa"/>
            <w:gridSpan w:val="10"/>
            <w:tcBorders>
              <w:top w:val="outset" w:color="auto" w:sz="6" w:space="0"/>
              <w:left w:val="outset" w:color="auto" w:sz="6" w:space="0"/>
              <w:bottom w:val="outset" w:color="auto" w:sz="6" w:space="0"/>
              <w:right w:val="outset" w:color="auto" w:sz="6" w:space="0"/>
            </w:tcBorders>
            <w:shd w:val="clear" w:color="auto" w:fill="FFFFFF"/>
            <w:vAlign w:val="center"/>
          </w:tcPr>
          <w:p w14:paraId="301499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行政诉讼</w:t>
            </w:r>
          </w:p>
        </w:tc>
      </w:tr>
      <w:tr w14:paraId="58E25B54">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610" w:hRule="atLeast"/>
        </w:trPr>
        <w:tc>
          <w:tcPr>
            <w:tcW w:w="506"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3235EF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3A75B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维持</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A3BFD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7A911F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纠正</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67A7C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其他</w:t>
            </w:r>
          </w:p>
          <w:p w14:paraId="0BE84B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tc>
        <w:tc>
          <w:tcPr>
            <w:tcW w:w="49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2C8673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尚未</w:t>
            </w:r>
          </w:p>
          <w:p w14:paraId="229AD9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审结</w:t>
            </w:r>
          </w:p>
        </w:tc>
        <w:tc>
          <w:tcPr>
            <w:tcW w:w="45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F749D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总计</w:t>
            </w:r>
          </w:p>
        </w:tc>
        <w:tc>
          <w:tcPr>
            <w:tcW w:w="303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593E8D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未经复议直接起诉</w:t>
            </w:r>
          </w:p>
        </w:tc>
        <w:tc>
          <w:tcPr>
            <w:tcW w:w="279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63C1D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复议后起诉</w:t>
            </w:r>
          </w:p>
        </w:tc>
      </w:tr>
      <w:tr w14:paraId="6CB7EB2B">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2395" w:hRule="atLeast"/>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1C4ECF7">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A6870A8">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6400208">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9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29A7EE6">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45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7132CDD">
            <w:pPr>
              <w:keepNext w:val="0"/>
              <w:keepLines w:val="0"/>
              <w:pageBreakBefore w:val="0"/>
              <w:widowControl/>
              <w:kinsoku/>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iCs w:val="0"/>
                <w:caps w:val="0"/>
                <w:color w:val="auto"/>
                <w:spacing w:val="0"/>
                <w:sz w:val="21"/>
                <w:szCs w:val="21"/>
              </w:rPr>
            </w:pP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005DD2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776B69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维持</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2FD4A2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39BFE6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纠正</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14:paraId="41A01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其他</w:t>
            </w:r>
          </w:p>
          <w:p w14:paraId="60921D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14:paraId="31E767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尚未</w:t>
            </w:r>
          </w:p>
          <w:p w14:paraId="2343B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审结</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14:paraId="2A3E62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总计</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046CC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687100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维持</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14:paraId="0B2C9C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p w14:paraId="123102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纠正</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14:paraId="361148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其他</w:t>
            </w:r>
          </w:p>
          <w:p w14:paraId="0EBBF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结果</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14:paraId="72C631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i w:val="0"/>
                <w:iCs w:val="0"/>
                <w:caps w:val="0"/>
                <w:color w:val="auto"/>
                <w:spacing w:val="0"/>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尚未</w:t>
            </w:r>
          </w:p>
          <w:p w14:paraId="78025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审结</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14:paraId="7D82E7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总计</w:t>
            </w:r>
          </w:p>
        </w:tc>
      </w:tr>
      <w:tr w14:paraId="57637D70">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0" w:type="dxa"/>
            <w:left w:w="0" w:type="dxa"/>
            <w:bottom w:w="0" w:type="dxa"/>
            <w:right w:w="0" w:type="dxa"/>
          </w:tblCellMar>
        </w:tblPrEx>
        <w:trPr>
          <w:trHeight w:val="668" w:hRule="atLeast"/>
        </w:trPr>
        <w:tc>
          <w:tcPr>
            <w:tcW w:w="506" w:type="dxa"/>
            <w:tcBorders>
              <w:top w:val="outset" w:color="auto" w:sz="6" w:space="0"/>
              <w:left w:val="outset" w:color="auto" w:sz="6" w:space="0"/>
              <w:bottom w:val="outset" w:color="auto" w:sz="6" w:space="0"/>
              <w:right w:val="outset" w:color="auto" w:sz="6" w:space="0"/>
            </w:tcBorders>
            <w:shd w:val="clear" w:color="auto" w:fill="FFFFFF"/>
            <w:vAlign w:val="center"/>
          </w:tcPr>
          <w:p w14:paraId="5CABD9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i w:val="0"/>
                <w:iCs w:val="0"/>
                <w:caps w:val="0"/>
                <w:color w:val="auto"/>
                <w:spacing w:val="0"/>
                <w:kern w:val="0"/>
                <w:sz w:val="21"/>
                <w:szCs w:val="21"/>
                <w:lang w:val="en-US" w:eastAsia="zh-CN" w:bidi="ar"/>
              </w:rPr>
              <w:t>1</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6784B2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2C549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93" w:type="dxa"/>
            <w:tcBorders>
              <w:top w:val="outset" w:color="auto" w:sz="6" w:space="0"/>
              <w:left w:val="outset" w:color="auto" w:sz="6" w:space="0"/>
              <w:bottom w:val="outset" w:color="auto" w:sz="6" w:space="0"/>
              <w:right w:val="outset" w:color="auto" w:sz="6" w:space="0"/>
            </w:tcBorders>
            <w:shd w:val="clear" w:color="auto" w:fill="FFFFFF"/>
            <w:vAlign w:val="center"/>
          </w:tcPr>
          <w:p w14:paraId="053BA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450" w:type="dxa"/>
            <w:tcBorders>
              <w:top w:val="outset" w:color="auto" w:sz="6" w:space="0"/>
              <w:left w:val="outset" w:color="auto" w:sz="6" w:space="0"/>
              <w:bottom w:val="outset" w:color="auto" w:sz="6" w:space="0"/>
              <w:right w:val="outset" w:color="auto" w:sz="6" w:space="0"/>
            </w:tcBorders>
            <w:shd w:val="clear" w:color="auto" w:fill="FFFFFF"/>
            <w:vAlign w:val="center"/>
          </w:tcPr>
          <w:p w14:paraId="7AABBC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i w:val="0"/>
                <w:iCs w:val="0"/>
                <w:caps w:val="0"/>
                <w:color w:val="auto"/>
                <w:spacing w:val="0"/>
                <w:kern w:val="0"/>
                <w:sz w:val="21"/>
                <w:szCs w:val="21"/>
                <w:lang w:val="en-US" w:eastAsia="zh-CN" w:bidi="ar"/>
              </w:rPr>
              <w:t>1</w:t>
            </w:r>
          </w:p>
        </w:tc>
        <w:tc>
          <w:tcPr>
            <w:tcW w:w="675" w:type="dxa"/>
            <w:tcBorders>
              <w:top w:val="outset" w:color="auto" w:sz="6" w:space="0"/>
              <w:left w:val="outset" w:color="auto" w:sz="6" w:space="0"/>
              <w:bottom w:val="outset" w:color="auto" w:sz="6" w:space="0"/>
              <w:right w:val="outset" w:color="auto" w:sz="6" w:space="0"/>
            </w:tcBorders>
            <w:shd w:val="clear" w:color="auto" w:fill="FFFFFF"/>
            <w:vAlign w:val="center"/>
          </w:tcPr>
          <w:p w14:paraId="58C1B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4B73B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10" w:type="dxa"/>
            <w:tcBorders>
              <w:top w:val="outset" w:color="auto" w:sz="6" w:space="0"/>
              <w:left w:val="outset" w:color="auto" w:sz="6" w:space="0"/>
              <w:bottom w:val="outset" w:color="auto" w:sz="6" w:space="0"/>
              <w:right w:val="outset" w:color="auto" w:sz="6" w:space="0"/>
            </w:tcBorders>
            <w:shd w:val="clear" w:color="auto" w:fill="FFFFFF"/>
            <w:vAlign w:val="center"/>
          </w:tcPr>
          <w:p w14:paraId="34EA5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32" w:type="dxa"/>
            <w:tcBorders>
              <w:top w:val="outset" w:color="auto" w:sz="6" w:space="0"/>
              <w:left w:val="outset" w:color="auto" w:sz="6" w:space="0"/>
              <w:bottom w:val="outset" w:color="auto" w:sz="6" w:space="0"/>
              <w:right w:val="outset" w:color="auto" w:sz="6" w:space="0"/>
            </w:tcBorders>
            <w:shd w:val="clear" w:color="auto" w:fill="FFFFFF"/>
            <w:vAlign w:val="center"/>
          </w:tcPr>
          <w:p w14:paraId="313AA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15" w:type="dxa"/>
            <w:tcBorders>
              <w:top w:val="outset" w:color="auto" w:sz="6" w:space="0"/>
              <w:left w:val="outset" w:color="auto" w:sz="6" w:space="0"/>
              <w:bottom w:val="outset" w:color="auto" w:sz="6" w:space="0"/>
              <w:right w:val="outset" w:color="auto" w:sz="6" w:space="0"/>
            </w:tcBorders>
            <w:shd w:val="clear" w:color="auto" w:fill="FFFFFF"/>
            <w:vAlign w:val="center"/>
          </w:tcPr>
          <w:p w14:paraId="5A50F3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600" w:type="dxa"/>
            <w:tcBorders>
              <w:top w:val="outset" w:color="auto" w:sz="6" w:space="0"/>
              <w:left w:val="outset" w:color="auto" w:sz="6" w:space="0"/>
              <w:bottom w:val="outset" w:color="auto" w:sz="6" w:space="0"/>
              <w:right w:val="outset" w:color="auto" w:sz="6" w:space="0"/>
            </w:tcBorders>
            <w:shd w:val="clear" w:color="auto" w:fill="FFFFFF"/>
            <w:vAlign w:val="center"/>
          </w:tcPr>
          <w:p w14:paraId="1054D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78" w:type="dxa"/>
            <w:tcBorders>
              <w:top w:val="outset" w:color="auto" w:sz="6" w:space="0"/>
              <w:left w:val="outset" w:color="auto" w:sz="6" w:space="0"/>
              <w:bottom w:val="outset" w:color="auto" w:sz="6" w:space="0"/>
              <w:right w:val="outset" w:color="auto" w:sz="6" w:space="0"/>
            </w:tcBorders>
            <w:shd w:val="clear" w:color="auto" w:fill="FFFFFF"/>
            <w:vAlign w:val="center"/>
          </w:tcPr>
          <w:p w14:paraId="3EC9BE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57" w:type="dxa"/>
            <w:tcBorders>
              <w:top w:val="outset" w:color="auto" w:sz="6" w:space="0"/>
              <w:left w:val="outset" w:color="auto" w:sz="6" w:space="0"/>
              <w:bottom w:val="outset" w:color="auto" w:sz="6" w:space="0"/>
              <w:right w:val="outset" w:color="auto" w:sz="6" w:space="0"/>
            </w:tcBorders>
            <w:shd w:val="clear" w:color="auto" w:fill="FFFFFF"/>
            <w:vAlign w:val="center"/>
          </w:tcPr>
          <w:p w14:paraId="32A8C4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14:paraId="1E5DCD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c>
          <w:tcPr>
            <w:tcW w:w="510" w:type="dxa"/>
            <w:tcBorders>
              <w:top w:val="outset" w:color="auto" w:sz="6" w:space="0"/>
              <w:left w:val="outset" w:color="auto" w:sz="6" w:space="0"/>
              <w:bottom w:val="outset" w:color="auto" w:sz="6" w:space="0"/>
              <w:right w:val="outset" w:color="auto" w:sz="6" w:space="0"/>
            </w:tcBorders>
            <w:shd w:val="clear" w:color="auto" w:fill="FFFFFF"/>
            <w:vAlign w:val="center"/>
          </w:tcPr>
          <w:p w14:paraId="4246D3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firstLineChars="200"/>
              <w:jc w:val="both"/>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i w:val="0"/>
                <w:iCs w:val="0"/>
                <w:caps w:val="0"/>
                <w:color w:val="auto"/>
                <w:spacing w:val="0"/>
                <w:kern w:val="0"/>
                <w:sz w:val="21"/>
                <w:szCs w:val="21"/>
                <w:lang w:val="en-US" w:eastAsia="zh-CN" w:bidi="ar"/>
              </w:rPr>
              <w:t>0</w:t>
            </w:r>
          </w:p>
        </w:tc>
      </w:tr>
    </w:tbl>
    <w:p w14:paraId="6F1515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Times New Roman" w:hAnsi="Times New Roman" w:eastAsia="微软雅黑" w:cs="Times New Roman"/>
          <w:i w:val="0"/>
          <w:iCs w:val="0"/>
          <w:caps w:val="0"/>
          <w:color w:val="auto"/>
          <w:spacing w:val="0"/>
          <w:sz w:val="21"/>
          <w:szCs w:val="21"/>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 </w:t>
      </w:r>
    </w:p>
    <w:p w14:paraId="4800C6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五、存在主要问题及改进情况</w:t>
      </w:r>
    </w:p>
    <w:p w14:paraId="350E0E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方正楷体_GBK" w:hAnsi="方正楷体_GBK" w:eastAsia="方正楷体_GBK" w:cs="方正楷体_GBK"/>
          <w:b w:val="0"/>
          <w:bCs w:val="0"/>
          <w:i w:val="0"/>
          <w:iCs w:val="0"/>
          <w:caps w:val="0"/>
          <w:color w:val="auto"/>
          <w:spacing w:val="0"/>
          <w:sz w:val="32"/>
          <w:szCs w:val="32"/>
        </w:rPr>
      </w:pPr>
      <w:r>
        <w:rPr>
          <w:rFonts w:hint="eastAsia" w:ascii="方正楷体_GBK" w:hAnsi="方正楷体_GBK" w:eastAsia="方正楷体_GBK" w:cs="方正楷体_GBK"/>
          <w:b w:val="0"/>
          <w:bCs w:val="0"/>
          <w:i w:val="0"/>
          <w:iCs w:val="0"/>
          <w:caps w:val="0"/>
          <w:color w:val="auto"/>
          <w:spacing w:val="0"/>
          <w:kern w:val="0"/>
          <w:sz w:val="32"/>
          <w:szCs w:val="32"/>
          <w:shd w:val="clear" w:fill="FFFFFF"/>
          <w:lang w:val="en-US" w:eastAsia="zh-CN" w:bidi="ar"/>
        </w:rPr>
        <w:t>（一）2021年存在的主要问题和改进情况</w:t>
      </w:r>
    </w:p>
    <w:p w14:paraId="1FE308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主要问题：一是</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规范性文件清理不到位，归集情况差，群众获取信息不便捷。</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二是</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疫情防控常态化信息公开不及时，通过手机短信、公示公告公开的及时，通过政府网站公开的滞后。</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三是</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信息公开质量不高。文件的文号、发布日期、公开日期、类型等公开不全，群众检索困难。</w:t>
      </w:r>
    </w:p>
    <w:p w14:paraId="58DDE3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改进情况</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一是</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全面梳理全县规范性文件，建立政策文件库，集中发布规范性文件，方便群众检索查询。</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二是</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多渠道公开疫情防控常态化信息，在保留短信、公示公告等公开方式的前提下，加强政府网站的主阵地作用，开设疫情防控专栏。同时，加强政策咨询平台建设，及时回应群众关切。</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三是</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规范信息发布，召开专门培训会议，要求严格按照规范公开信息。</w:t>
      </w:r>
    </w:p>
    <w:p w14:paraId="77EC4A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方正楷体_GBK" w:hAnsi="方正楷体_GBK" w:eastAsia="方正楷体_GBK" w:cs="方正楷体_GBK"/>
          <w:b w:val="0"/>
          <w:bCs w:val="0"/>
          <w:i w:val="0"/>
          <w:iCs w:val="0"/>
          <w:caps w:val="0"/>
          <w:color w:val="auto"/>
          <w:spacing w:val="0"/>
          <w:kern w:val="0"/>
          <w:sz w:val="32"/>
          <w:szCs w:val="32"/>
          <w:shd w:val="clear" w:fill="FFFFFF"/>
          <w:lang w:val="en-US" w:eastAsia="zh-CN" w:bidi="ar"/>
        </w:rPr>
      </w:pPr>
      <w:r>
        <w:rPr>
          <w:rFonts w:hint="default" w:ascii="方正楷体_GBK" w:hAnsi="方正楷体_GBK" w:eastAsia="方正楷体_GBK" w:cs="方正楷体_GBK"/>
          <w:b w:val="0"/>
          <w:bCs w:val="0"/>
          <w:i w:val="0"/>
          <w:iCs w:val="0"/>
          <w:caps w:val="0"/>
          <w:color w:val="auto"/>
          <w:spacing w:val="0"/>
          <w:kern w:val="0"/>
          <w:sz w:val="32"/>
          <w:szCs w:val="32"/>
          <w:shd w:val="clear" w:fill="FFFFFF"/>
          <w:lang w:val="en-US" w:eastAsia="zh-CN" w:bidi="ar"/>
        </w:rPr>
        <w:t>（二）当前存在的主要问题和改进措施</w:t>
      </w:r>
    </w:p>
    <w:p w14:paraId="22593C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存在问题：一是乡镇和部门公开水平参差不齐。</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部分乡镇和部门存在为公开而公开、集中时间公开等现象，没有将政务公开嵌入权力运行全流程、政务服务全过程。</w:t>
      </w: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二是</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信息公开栏目设置不优，存在少数重复栏目，部分单位（如经济开发区）目录设置不科学，群众获取信息不快捷。</w:t>
      </w:r>
    </w:p>
    <w:p w14:paraId="4DA53C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shd w:val="clear" w:fill="FFFFFF"/>
          <w:lang w:val="en-US" w:eastAsia="zh-CN" w:bidi="ar"/>
        </w:rPr>
        <w:t>改进措施</w:t>
      </w:r>
      <w:r>
        <w:rPr>
          <w:rFonts w:hint="default" w:ascii="Times New Roman" w:hAnsi="Times New Roman" w:eastAsia="方正仿宋_GBK" w:cs="Times New Roman"/>
          <w:b w:val="0"/>
          <w:bCs w:val="0"/>
          <w:i w:val="0"/>
          <w:iCs w:val="0"/>
          <w:caps w:val="0"/>
          <w:color w:val="auto"/>
          <w:spacing w:val="0"/>
          <w:kern w:val="0"/>
          <w:sz w:val="32"/>
          <w:szCs w:val="32"/>
          <w:shd w:val="clear" w:fill="FFFFFF"/>
          <w:lang w:val="en-US" w:eastAsia="zh-CN" w:bidi="ar"/>
        </w:rPr>
        <w:t>：一是强化业务培训。坚持培训常态化，利用整改会、新闻发布会等，全面培训信息公开的重要性和质量要求，提高全县政务公开水平。二是优化公开栏目。在充分征求意见的基础上，进一步优化政府信息公开栏目，重新制定开发区信息公开目录，确保栏目科学、逻辑性强，方便群众获取信息。</w:t>
      </w:r>
    </w:p>
    <w:p w14:paraId="785453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fill="FFFFFF"/>
          <w:lang w:val="en-US" w:eastAsia="zh-CN" w:bidi="ar"/>
        </w:rPr>
        <w:t>六、其他需要报告的事项</w:t>
      </w:r>
    </w:p>
    <w:p w14:paraId="0EEBF1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完成村务公开事项清单编制工作，编制一级栏目5个，二级栏目37个，并制定公开内容要素，9月完成所有乡镇村务公开线上内容发布。</w:t>
      </w:r>
    </w:p>
    <w:p w14:paraId="0D3B74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按照《国务院办公厅关于印发〈政府信息公开信息处理费管理办法〉的通知》（国办函〔2020〕109号）规定的按件、按量收费标准，本年度没有产生信息公开处理费。</w:t>
      </w:r>
    </w:p>
    <w:p w14:paraId="1DE75B03">
      <w:pPr>
        <w:ind w:left="0" w:leftChars="0" w:firstLine="0" w:firstLineChars="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GUzOGY0YzZiZmIwNTZkNzI5NDgwYjQ0OGRkYjkifQ=="/>
  </w:docVars>
  <w:rsids>
    <w:rsidRoot w:val="1E9708F2"/>
    <w:rsid w:val="1E9708F2"/>
    <w:rsid w:val="37FED116"/>
    <w:rsid w:val="48FF5633"/>
    <w:rsid w:val="6FBFF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2804</Words>
  <Characters>2925</Characters>
  <Lines>0</Lines>
  <Paragraphs>0</Paragraphs>
  <TotalTime>2</TotalTime>
  <ScaleCrop>false</ScaleCrop>
  <LinksUpToDate>false</LinksUpToDate>
  <CharactersWithSpaces>3122</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2024-07-02T19:36:00Z</dcterms:created>
  <dc:creator>北辰</dc:creator>
  <cp:lastModifiedBy>suma</cp:lastModifiedBy>
  <dcterms:modified xsi:type="dcterms:W3CDTF">2025-02-18T12:56:58Z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7024023E2E93F20D1A13B467BAB3EF11_43</vt:lpwstr>
  </property>
</Properties>
</file>