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23178">
      <w:pPr>
        <w:widowControl/>
        <w:shd w:val="clear" w:color="auto" w:fill="FFFFFF"/>
        <w:rPr>
          <w:rFonts w:ascii="Times New Roman" w:hAnsi="Times New Roman" w:eastAsia="仿宋_GB2312" w:cs="Times New Roman"/>
          <w:color w:val="000000"/>
          <w:kern w:val="0"/>
          <w:sz w:val="24"/>
          <w:szCs w:val="32"/>
        </w:rPr>
      </w:pPr>
    </w:p>
    <w:p w14:paraId="61A0A13B">
      <w:pPr>
        <w:widowControl/>
        <w:shd w:val="clear" w:color="auto" w:fill="FFFFFF"/>
        <w:jc w:val="center"/>
        <w:rPr>
          <w:rFonts w:ascii="Times New Roman" w:hAnsi="Times New Roman" w:eastAsia="方正小标宋简体" w:cs="Times New Roman"/>
          <w:color w:val="000000"/>
          <w:kern w:val="0"/>
          <w:sz w:val="44"/>
          <w:szCs w:val="44"/>
        </w:rPr>
      </w:pPr>
      <w:bookmarkStart w:id="0" w:name="_GoBack"/>
      <w:r>
        <w:rPr>
          <w:rFonts w:hint="eastAsia" w:ascii="Times New Roman" w:hAnsi="Times New Roman" w:eastAsia="方正小标宋简体" w:cs="Times New Roman"/>
          <w:color w:val="000000"/>
          <w:kern w:val="0"/>
          <w:sz w:val="44"/>
          <w:szCs w:val="44"/>
        </w:rPr>
        <w:t>金寨县长岭乡2024年政府信息公开年度报告</w:t>
      </w:r>
      <w:bookmarkEnd w:id="0"/>
    </w:p>
    <w:p w14:paraId="0C4A6AC7">
      <w:pPr>
        <w:widowControl/>
        <w:shd w:val="clear" w:color="auto" w:fill="FFFFFF"/>
        <w:ind w:firstLine="480"/>
        <w:rPr>
          <w:rFonts w:ascii="Times New Roman" w:hAnsi="Times New Roman" w:eastAsia="仿宋_GB2312" w:cs="Times New Roman"/>
          <w:color w:val="000000"/>
          <w:kern w:val="0"/>
          <w:sz w:val="24"/>
          <w:szCs w:val="32"/>
        </w:rPr>
      </w:pPr>
      <w:r>
        <w:rPr>
          <w:rFonts w:hint="eastAsia" w:ascii="仿宋" w:hAnsi="仿宋" w:eastAsia="仿宋" w:cs="仿宋"/>
          <w:color w:val="000000"/>
          <w:sz w:val="32"/>
          <w:szCs w:val="32"/>
          <w:shd w:val="clear" w:color="auto" w:fill="FFFFFF"/>
        </w:rPr>
        <w:t>本报告依据《中华人民共和国政府信息公开条例》（国务院令第711号）和《国务院办公厅政府信息与政务公开办公室关于印发〈中华人民共和国政府信息公开工作年度报告格式〉的通知》（国办公开办函〔2021〕30号）要求</w:t>
      </w:r>
      <w:r>
        <w:rPr>
          <w:rFonts w:ascii="仿宋" w:hAnsi="仿宋" w:eastAsia="仿宋" w:cs="仿宋"/>
          <w:color w:val="000000"/>
          <w:sz w:val="32"/>
          <w:szCs w:val="32"/>
          <w:shd w:val="clear" w:color="auto" w:fill="FFFFFF"/>
        </w:rPr>
        <w:t>编制而成</w:t>
      </w:r>
      <w:r>
        <w:rPr>
          <w:rFonts w:hint="eastAsia" w:ascii="仿宋" w:hAnsi="仿宋" w:eastAsia="仿宋" w:cs="仿宋"/>
          <w:color w:val="000000"/>
          <w:sz w:val="32"/>
          <w:szCs w:val="32"/>
          <w:shd w:val="clear" w:color="auto" w:fill="FFFFFF"/>
        </w:rPr>
        <w:t>。本报告中使用数据统计期限为</w:t>
      </w:r>
      <w:r>
        <w:rPr>
          <w:rFonts w:ascii="Times New Roman" w:hAnsi="Times New Roman" w:eastAsia="宋体" w:cs="Times New Roman"/>
          <w:color w:val="000000"/>
          <w:sz w:val="32"/>
          <w:szCs w:val="32"/>
          <w:shd w:val="clear" w:color="auto" w:fill="FFFFFF"/>
        </w:rPr>
        <w:t>202</w:t>
      </w:r>
      <w:r>
        <w:rPr>
          <w:rFonts w:hint="eastAsia" w:ascii="Times New Roman" w:hAnsi="Times New Roman" w:eastAsia="宋体" w:cs="Times New Roman"/>
          <w:color w:val="000000"/>
          <w:sz w:val="32"/>
          <w:szCs w:val="32"/>
          <w:shd w:val="clear" w:color="auto" w:fill="FFFFFF"/>
        </w:rPr>
        <w:t>4</w:t>
      </w:r>
      <w:r>
        <w:rPr>
          <w:rFonts w:hint="eastAsia" w:ascii="仿宋" w:hAnsi="仿宋" w:eastAsia="仿宋" w:cs="仿宋"/>
          <w:color w:val="000000"/>
          <w:sz w:val="32"/>
          <w:szCs w:val="32"/>
          <w:shd w:val="clear" w:color="auto" w:fill="FFFFFF"/>
        </w:rPr>
        <w:t>年</w:t>
      </w:r>
      <w:r>
        <w:rPr>
          <w:rFonts w:ascii="Times New Roman" w:hAnsi="Times New Roman" w:eastAsia="宋体" w:cs="Times New Roman"/>
          <w:color w:val="000000"/>
          <w:sz w:val="32"/>
          <w:szCs w:val="32"/>
          <w:shd w:val="clear" w:color="auto" w:fill="FFFFFF"/>
        </w:rPr>
        <w:t>1</w:t>
      </w:r>
      <w:r>
        <w:rPr>
          <w:rFonts w:hint="eastAsia" w:ascii="仿宋" w:hAnsi="仿宋" w:eastAsia="仿宋" w:cs="仿宋"/>
          <w:color w:val="000000"/>
          <w:sz w:val="32"/>
          <w:szCs w:val="32"/>
          <w:shd w:val="clear" w:color="auto" w:fill="FFFFFF"/>
        </w:rPr>
        <w:t>月</w:t>
      </w:r>
      <w:r>
        <w:rPr>
          <w:rFonts w:ascii="Times New Roman" w:hAnsi="Times New Roman" w:eastAsia="宋体" w:cs="Times New Roman"/>
          <w:color w:val="000000"/>
          <w:sz w:val="32"/>
          <w:szCs w:val="32"/>
          <w:shd w:val="clear" w:color="auto" w:fill="FFFFFF"/>
        </w:rPr>
        <w:t>1</w:t>
      </w:r>
      <w:r>
        <w:rPr>
          <w:rFonts w:hint="eastAsia" w:ascii="仿宋" w:hAnsi="仿宋" w:eastAsia="仿宋" w:cs="仿宋"/>
          <w:color w:val="000000"/>
          <w:sz w:val="32"/>
          <w:szCs w:val="32"/>
          <w:shd w:val="clear" w:color="auto" w:fill="FFFFFF"/>
        </w:rPr>
        <w:t>日至</w:t>
      </w:r>
      <w:r>
        <w:rPr>
          <w:rFonts w:ascii="Times New Roman" w:hAnsi="Times New Roman" w:eastAsia="宋体" w:cs="Times New Roman"/>
          <w:color w:val="000000"/>
          <w:sz w:val="32"/>
          <w:szCs w:val="32"/>
          <w:shd w:val="clear" w:color="auto" w:fill="FFFFFF"/>
        </w:rPr>
        <w:t>12</w:t>
      </w:r>
      <w:r>
        <w:rPr>
          <w:rFonts w:hint="eastAsia" w:ascii="仿宋" w:hAnsi="仿宋" w:eastAsia="仿宋" w:cs="仿宋"/>
          <w:color w:val="000000"/>
          <w:sz w:val="32"/>
          <w:szCs w:val="32"/>
          <w:shd w:val="clear" w:color="auto" w:fill="FFFFFF"/>
        </w:rPr>
        <w:t>月</w:t>
      </w:r>
      <w:r>
        <w:rPr>
          <w:rFonts w:ascii="Times New Roman" w:hAnsi="Times New Roman" w:eastAsia="宋体" w:cs="Times New Roman"/>
          <w:color w:val="000000"/>
          <w:sz w:val="32"/>
          <w:szCs w:val="32"/>
          <w:shd w:val="clear" w:color="auto" w:fill="FFFFFF"/>
        </w:rPr>
        <w:t>31</w:t>
      </w:r>
      <w:r>
        <w:rPr>
          <w:rFonts w:hint="eastAsia" w:ascii="仿宋" w:hAnsi="仿宋" w:eastAsia="仿宋" w:cs="仿宋"/>
          <w:color w:val="000000"/>
          <w:sz w:val="32"/>
          <w:szCs w:val="32"/>
          <w:shd w:val="clear" w:color="auto" w:fill="FFFFFF"/>
        </w:rPr>
        <w:t>日。如对本报告有任何疑问，请与金寨县长岭乡人民政府办公室联系（地址：金寨县长岭乡政府二楼</w:t>
      </w:r>
      <w:r>
        <w:rPr>
          <w:rFonts w:ascii="Times New Roman" w:hAnsi="Times New Roman" w:eastAsia="宋体" w:cs="Times New Roman"/>
          <w:color w:val="000000"/>
          <w:sz w:val="32"/>
          <w:szCs w:val="32"/>
          <w:shd w:val="clear" w:color="auto" w:fill="FFFFFF"/>
        </w:rPr>
        <w:t>204</w:t>
      </w:r>
      <w:r>
        <w:rPr>
          <w:rFonts w:hint="eastAsia" w:ascii="仿宋" w:hAnsi="仿宋" w:eastAsia="仿宋" w:cs="仿宋"/>
          <w:color w:val="000000"/>
          <w:sz w:val="32"/>
          <w:szCs w:val="32"/>
          <w:shd w:val="clear" w:color="auto" w:fill="FFFFFF"/>
        </w:rPr>
        <w:t>办公室，电话：</w:t>
      </w:r>
      <w:r>
        <w:rPr>
          <w:rFonts w:ascii="Times New Roman" w:hAnsi="Times New Roman" w:eastAsia="宋体" w:cs="Times New Roman"/>
          <w:color w:val="000000"/>
          <w:sz w:val="32"/>
          <w:szCs w:val="32"/>
          <w:shd w:val="clear" w:color="auto" w:fill="FFFFFF"/>
        </w:rPr>
        <w:t>0564--7545001</w:t>
      </w:r>
      <w:r>
        <w:rPr>
          <w:rFonts w:hint="eastAsia" w:ascii="仿宋" w:hAnsi="仿宋" w:eastAsia="仿宋" w:cs="仿宋"/>
          <w:color w:val="000000"/>
          <w:sz w:val="32"/>
          <w:szCs w:val="32"/>
          <w:shd w:val="clear" w:color="auto" w:fill="FFFFFF"/>
        </w:rPr>
        <w:t>，邮编：</w:t>
      </w:r>
      <w:r>
        <w:rPr>
          <w:rFonts w:ascii="Times New Roman" w:hAnsi="Times New Roman" w:eastAsia="宋体" w:cs="Times New Roman"/>
          <w:color w:val="000000"/>
          <w:sz w:val="32"/>
          <w:szCs w:val="32"/>
          <w:shd w:val="clear" w:color="auto" w:fill="FFFFFF"/>
        </w:rPr>
        <w:t>237344</w:t>
      </w:r>
      <w:r>
        <w:rPr>
          <w:rFonts w:hint="eastAsia" w:ascii="仿宋" w:hAnsi="仿宋" w:eastAsia="仿宋" w:cs="仿宋"/>
          <w:color w:val="000000"/>
          <w:sz w:val="32"/>
          <w:szCs w:val="32"/>
          <w:shd w:val="clear" w:color="auto" w:fill="FFFFFF"/>
        </w:rPr>
        <w:t>）。</w:t>
      </w:r>
    </w:p>
    <w:p w14:paraId="1DEF1C87">
      <w:pPr>
        <w:pStyle w:val="7"/>
        <w:widowControl/>
        <w:numPr>
          <w:ilvl w:val="0"/>
          <w:numId w:val="1"/>
        </w:numPr>
        <w:shd w:val="clear" w:color="auto" w:fill="FFFFFF"/>
        <w:ind w:firstLineChars="0"/>
        <w:rPr>
          <w:rFonts w:hint="eastAsia" w:ascii="宋体" w:hAnsi="宋体" w:eastAsia="宋体" w:cs="宋体"/>
          <w:b/>
          <w:color w:val="000000"/>
          <w:kern w:val="0"/>
          <w:sz w:val="32"/>
          <w:szCs w:val="32"/>
          <w:shd w:val="clear" w:color="auto" w:fill="FFFFFF"/>
        </w:rPr>
      </w:pPr>
      <w:r>
        <w:rPr>
          <w:rFonts w:hint="eastAsia" w:ascii="宋体" w:hAnsi="宋体" w:eastAsia="宋体" w:cs="宋体"/>
          <w:b/>
          <w:color w:val="000000"/>
          <w:kern w:val="0"/>
          <w:sz w:val="32"/>
          <w:szCs w:val="32"/>
          <w:shd w:val="clear" w:color="auto" w:fill="FFFFFF"/>
        </w:rPr>
        <w:t>总体情况</w:t>
      </w:r>
    </w:p>
    <w:p w14:paraId="79261E69">
      <w:pPr>
        <w:pStyle w:val="4"/>
        <w:shd w:val="clear" w:color="auto" w:fill="FFFFFF"/>
        <w:wordWrap w:val="0"/>
        <w:spacing w:before="0" w:beforeAutospacing="0" w:after="0" w:afterAutospacing="0"/>
        <w:ind w:firstLine="641"/>
        <w:rPr>
          <w:rFonts w:ascii="Calibri" w:hAnsi="Calibri" w:cs="Calibri"/>
          <w:color w:val="000000"/>
        </w:rPr>
      </w:pPr>
      <w:r>
        <w:rPr>
          <w:rFonts w:hint="eastAsia" w:ascii="方正仿宋_GB2312" w:hAnsi="Calibri" w:eastAsia="方正仿宋_GB2312" w:cs="Calibri"/>
          <w:b/>
          <w:bCs/>
          <w:color w:val="000000"/>
          <w:sz w:val="32"/>
          <w:szCs w:val="32"/>
          <w:shd w:val="clear" w:color="auto" w:fill="FFFFFF"/>
        </w:rPr>
        <w:t>（一）主动公开情况。</w:t>
      </w:r>
      <w:r>
        <w:rPr>
          <w:rFonts w:hint="eastAsia" w:ascii="仿宋_GB2312" w:hAnsi="Calibri" w:eastAsia="仿宋_GB2312" w:cs="Calibri"/>
          <w:color w:val="000000"/>
          <w:sz w:val="32"/>
          <w:szCs w:val="32"/>
          <w:shd w:val="clear" w:color="auto" w:fill="FFFFFF"/>
        </w:rPr>
        <w:t>金寨县长岭乡人民政府聚焦年度重点工作任务，持续深化重点领域信息公开，突出行政权力、财政资金等内容，共发布权力运行结果信息</w:t>
      </w:r>
      <w:r>
        <w:rPr>
          <w:rFonts w:hint="eastAsia" w:ascii="Times New Roman" w:hAnsi="Times New Roman" w:cs="Times New Roman"/>
          <w:color w:val="000000"/>
          <w:sz w:val="32"/>
          <w:szCs w:val="32"/>
          <w:shd w:val="clear" w:color="auto" w:fill="FFFFFF"/>
        </w:rPr>
        <w:t>42</w:t>
      </w:r>
      <w:r>
        <w:rPr>
          <w:rFonts w:hint="eastAsia" w:ascii="仿宋_GB2312" w:hAnsi="Calibri" w:eastAsia="仿宋_GB2312" w:cs="Calibri"/>
          <w:color w:val="000000"/>
          <w:sz w:val="32"/>
          <w:szCs w:val="32"/>
          <w:shd w:val="clear" w:color="auto" w:fill="FFFFFF"/>
        </w:rPr>
        <w:t>条，财政专项资金管理和使用情况信息</w:t>
      </w:r>
      <w:r>
        <w:rPr>
          <w:rFonts w:hint="eastAsia" w:ascii="Times New Roman" w:hAnsi="Times New Roman" w:cs="Times New Roman"/>
          <w:color w:val="000000"/>
          <w:sz w:val="32"/>
          <w:szCs w:val="32"/>
          <w:shd w:val="clear" w:color="auto" w:fill="FFFFFF"/>
        </w:rPr>
        <w:t>279</w:t>
      </w:r>
      <w:r>
        <w:rPr>
          <w:rFonts w:hint="eastAsia" w:ascii="仿宋_GB2312" w:hAnsi="Calibri" w:eastAsia="仿宋_GB2312" w:cs="Calibri"/>
          <w:color w:val="000000"/>
          <w:sz w:val="32"/>
          <w:szCs w:val="32"/>
          <w:shd w:val="clear" w:color="auto" w:fill="FFFFFF"/>
        </w:rPr>
        <w:t>条。积极回应群众关切，根据当前社会不同关注点。突出就业创业、社会救助、村务公开等民生热点信息及时有效公开，不断提升标准化规范化水平，保障群众获取信息更方便、更快捷，</w:t>
      </w:r>
      <w:r>
        <w:rPr>
          <w:rFonts w:hint="eastAsia" w:ascii="仿宋" w:hAnsi="仿宋" w:eastAsia="仿宋"/>
          <w:color w:val="000000"/>
          <w:sz w:val="32"/>
          <w:szCs w:val="32"/>
          <w:shd w:val="clear" w:color="auto" w:fill="FFFFFF"/>
        </w:rPr>
        <w:t>全年共发布各类信息</w:t>
      </w:r>
      <w:r>
        <w:rPr>
          <w:rFonts w:hint="eastAsia" w:ascii="仿宋_GB2312" w:hAnsi="等线" w:eastAsia="仿宋_GB2312"/>
          <w:color w:val="333333"/>
          <w:sz w:val="32"/>
          <w:szCs w:val="32"/>
        </w:rPr>
        <w:t>3428条，</w:t>
      </w:r>
      <w:r>
        <w:rPr>
          <w:rFonts w:hint="eastAsia" w:ascii="仿宋_GB2312" w:hAnsi="Calibri" w:eastAsia="仿宋_GB2312" w:cs="Calibri"/>
          <w:color w:val="000000"/>
          <w:sz w:val="32"/>
          <w:szCs w:val="32"/>
          <w:shd w:val="clear" w:color="auto" w:fill="FFFFFF"/>
        </w:rPr>
        <w:t>两化领域主动公开信息</w:t>
      </w:r>
      <w:r>
        <w:rPr>
          <w:rFonts w:hint="eastAsia" w:ascii="仿宋_GB2312" w:hAnsi="等线" w:eastAsia="仿宋_GB2312"/>
          <w:color w:val="333333"/>
          <w:sz w:val="32"/>
          <w:szCs w:val="32"/>
        </w:rPr>
        <w:t>1881</w:t>
      </w:r>
      <w:r>
        <w:rPr>
          <w:rFonts w:hint="eastAsia" w:ascii="仿宋_GB2312" w:hAnsi="Calibri" w:eastAsia="仿宋_GB2312" w:cs="Calibri"/>
          <w:color w:val="000000"/>
          <w:sz w:val="32"/>
          <w:szCs w:val="32"/>
          <w:shd w:val="clear" w:color="auto" w:fill="FFFFFF"/>
        </w:rPr>
        <w:t>条。</w:t>
      </w:r>
    </w:p>
    <w:p w14:paraId="4669AB43">
      <w:pPr>
        <w:pStyle w:val="4"/>
        <w:shd w:val="clear" w:color="auto" w:fill="FFFFFF"/>
        <w:wordWrap w:val="0"/>
        <w:spacing w:before="0" w:beforeAutospacing="0" w:after="0" w:afterAutospacing="0"/>
        <w:ind w:firstLine="641"/>
        <w:rPr>
          <w:rFonts w:hint="eastAsia" w:ascii="仿宋" w:hAnsi="仿宋" w:eastAsia="仿宋"/>
          <w:color w:val="000000"/>
          <w:sz w:val="32"/>
          <w:szCs w:val="32"/>
          <w:shd w:val="clear" w:color="auto" w:fill="FFFFFF"/>
        </w:rPr>
      </w:pPr>
      <w:r>
        <w:rPr>
          <w:rFonts w:hint="eastAsia" w:ascii="方正仿宋_GB2312" w:hAnsi="Calibri" w:eastAsia="方正仿宋_GB2312" w:cs="Calibri"/>
          <w:b/>
          <w:bCs/>
          <w:color w:val="000000"/>
          <w:sz w:val="32"/>
          <w:szCs w:val="32"/>
          <w:shd w:val="clear" w:color="auto" w:fill="FFFFFF"/>
        </w:rPr>
        <w:t>（二）依申请公开。</w:t>
      </w:r>
      <w:r>
        <w:rPr>
          <w:rFonts w:hint="eastAsia" w:ascii="仿宋_GB2312" w:hAnsi="Calibri" w:eastAsia="仿宋_GB2312" w:cs="Calibri"/>
          <w:color w:val="000000"/>
          <w:sz w:val="32"/>
          <w:szCs w:val="32"/>
          <w:shd w:val="clear" w:color="auto" w:fill="FFFFFF"/>
        </w:rPr>
        <w:t>长岭乡坚持以制度促规范，以规范促公开，严格按照上级要求维护政府信息公开指南，及时关注线上线下等平台信息，保证各途径依申请公开渠道畅通有效，严格落实政府信息公开审核签发机制。2024年10月31日</w:t>
      </w:r>
      <w:r>
        <w:rPr>
          <w:rFonts w:hint="eastAsia" w:ascii="仿宋" w:hAnsi="仿宋" w:eastAsia="仿宋"/>
          <w:color w:val="000000"/>
          <w:sz w:val="32"/>
          <w:szCs w:val="32"/>
          <w:shd w:val="clear" w:color="auto" w:fill="FFFFFF"/>
        </w:rPr>
        <w:t>长岭乡收到</w:t>
      </w:r>
      <w:r>
        <w:rPr>
          <w:rFonts w:ascii="Times New Roman" w:hAnsi="Times New Roman" w:cs="Times New Roman"/>
          <w:color w:val="000000"/>
          <w:sz w:val="32"/>
          <w:szCs w:val="32"/>
          <w:shd w:val="clear" w:color="auto" w:fill="FFFFFF"/>
        </w:rPr>
        <w:t>1</w:t>
      </w:r>
      <w:r>
        <w:rPr>
          <w:rFonts w:hint="eastAsia" w:ascii="仿宋" w:hAnsi="仿宋" w:eastAsia="仿宋"/>
          <w:color w:val="000000"/>
          <w:sz w:val="32"/>
          <w:szCs w:val="32"/>
          <w:shd w:val="clear" w:color="auto" w:fill="FFFFFF"/>
        </w:rPr>
        <w:t>件依申请公开的诉求，已及时登记审核并按时答复办结，未发生行政复议。</w:t>
      </w:r>
      <w:r>
        <w:rPr>
          <w:rFonts w:ascii="Times New Roman" w:hAnsi="Times New Roman" w:cs="Times New Roman"/>
          <w:color w:val="000000"/>
          <w:sz w:val="32"/>
          <w:szCs w:val="32"/>
          <w:shd w:val="clear" w:color="auto" w:fill="FFFFFF"/>
        </w:rPr>
        <w:t>202</w:t>
      </w:r>
      <w:r>
        <w:rPr>
          <w:rFonts w:hint="eastAsia" w:ascii="Times New Roman" w:hAnsi="Times New Roman" w:cs="Times New Roman"/>
          <w:color w:val="000000"/>
          <w:sz w:val="32"/>
          <w:szCs w:val="32"/>
          <w:shd w:val="clear" w:color="auto" w:fill="FFFFFF"/>
        </w:rPr>
        <w:t>4</w:t>
      </w:r>
      <w:r>
        <w:rPr>
          <w:rFonts w:hint="eastAsia" w:ascii="仿宋" w:hAnsi="仿宋" w:eastAsia="仿宋"/>
          <w:color w:val="000000"/>
          <w:sz w:val="32"/>
          <w:szCs w:val="32"/>
          <w:shd w:val="clear" w:color="auto" w:fill="FFFFFF"/>
        </w:rPr>
        <w:t>年无上年结转和未办结情况</w:t>
      </w:r>
    </w:p>
    <w:p w14:paraId="5EDC12C3">
      <w:pPr>
        <w:pStyle w:val="4"/>
        <w:shd w:val="clear" w:color="auto" w:fill="FFFFFF"/>
        <w:wordWrap w:val="0"/>
        <w:spacing w:before="0" w:beforeAutospacing="0" w:after="0" w:afterAutospacing="0"/>
        <w:ind w:firstLine="641"/>
        <w:rPr>
          <w:rFonts w:ascii="Calibri" w:hAnsi="Calibri" w:cs="Calibri"/>
          <w:color w:val="000000"/>
        </w:rPr>
      </w:pPr>
      <w:r>
        <w:rPr>
          <w:rFonts w:hint="eastAsia" w:ascii="方正仿宋_GB2312" w:hAnsi="Calibri" w:eastAsia="方正仿宋_GB2312" w:cs="Calibri"/>
          <w:b/>
          <w:bCs/>
          <w:color w:val="000000"/>
          <w:sz w:val="32"/>
          <w:szCs w:val="32"/>
          <w:shd w:val="clear" w:color="auto" w:fill="FFFFFF"/>
        </w:rPr>
        <w:t>（三）政府信息管理。</w:t>
      </w:r>
      <w:r>
        <w:rPr>
          <w:rFonts w:hint="eastAsia" w:ascii="仿宋_GB2312" w:hAnsi="Calibri" w:eastAsia="仿宋_GB2312" w:cs="Calibri"/>
          <w:color w:val="000000"/>
          <w:sz w:val="32"/>
          <w:szCs w:val="32"/>
          <w:shd w:val="clear" w:color="auto" w:fill="FFFFFF"/>
        </w:rPr>
        <w:t>加强政策文件格式学习、调整，及时清理已失效文件。持续加强政府信息公开质量，加强信息审核力度，严格落实信息发布审核制度，规范开展政府信息公开工作，杜绝错误敏感信息上传，确保发布信息及时、完整、权威、准确。</w:t>
      </w:r>
      <w:r>
        <w:rPr>
          <w:rFonts w:ascii="Times New Roman" w:hAnsi="Times New Roman" w:cs="Times New Roman"/>
          <w:color w:val="000000"/>
          <w:sz w:val="32"/>
          <w:szCs w:val="32"/>
          <w:shd w:val="clear" w:color="auto" w:fill="FFFFFF"/>
        </w:rPr>
        <w:t>202</w:t>
      </w:r>
      <w:r>
        <w:rPr>
          <w:rFonts w:hint="eastAsia" w:ascii="Times New Roman" w:hAnsi="Times New Roman" w:cs="Times New Roman"/>
          <w:color w:val="000000"/>
          <w:sz w:val="32"/>
          <w:szCs w:val="32"/>
          <w:shd w:val="clear" w:color="auto" w:fill="FFFFFF"/>
        </w:rPr>
        <w:t>4</w:t>
      </w:r>
      <w:r>
        <w:rPr>
          <w:rFonts w:hint="eastAsia" w:ascii="仿宋_GB2312" w:hAnsi="Calibri" w:eastAsia="仿宋_GB2312" w:cs="Calibri"/>
          <w:color w:val="000000"/>
          <w:sz w:val="32"/>
          <w:szCs w:val="32"/>
          <w:shd w:val="clear" w:color="auto" w:fill="FFFFFF"/>
        </w:rPr>
        <w:t>年未因政府信息公开引发负面舆情事件。</w:t>
      </w:r>
    </w:p>
    <w:p w14:paraId="3BC8B27C">
      <w:pPr>
        <w:pStyle w:val="4"/>
        <w:shd w:val="clear" w:color="auto" w:fill="FFFFFF"/>
        <w:wordWrap w:val="0"/>
        <w:spacing w:before="0" w:beforeAutospacing="0" w:after="0" w:afterAutospacing="0"/>
        <w:ind w:firstLine="641"/>
        <w:rPr>
          <w:rFonts w:ascii="Calibri" w:hAnsi="Calibri" w:cs="Calibri"/>
          <w:color w:val="000000"/>
        </w:rPr>
      </w:pPr>
      <w:r>
        <w:rPr>
          <w:rFonts w:hint="eastAsia" w:ascii="方正仿宋_GB2312" w:hAnsi="Calibri" w:eastAsia="方正仿宋_GB2312" w:cs="Calibri"/>
          <w:b/>
          <w:bCs/>
          <w:color w:val="000000"/>
          <w:sz w:val="32"/>
          <w:szCs w:val="32"/>
          <w:shd w:val="clear" w:color="auto" w:fill="FFFFFF"/>
        </w:rPr>
        <w:t>（四）政府信息公开平台建设。</w:t>
      </w:r>
      <w:r>
        <w:rPr>
          <w:rFonts w:hint="eastAsia" w:ascii="仿宋_GB2312" w:eastAsia="仿宋_GB2312"/>
          <w:color w:val="000000"/>
          <w:sz w:val="32"/>
          <w:szCs w:val="32"/>
          <w:shd w:val="clear" w:color="auto" w:fill="FFFFFF"/>
        </w:rPr>
        <w:t>针对信息公开年报、信息公开指南、隐私保障等方面，</w:t>
      </w:r>
      <w:r>
        <w:rPr>
          <w:rFonts w:ascii="仿宋_GB2312" w:hAnsi="Times New Roman" w:eastAsia="仿宋_GB2312" w:cs="Times New Roman"/>
          <w:color w:val="000000"/>
          <w:sz w:val="32"/>
          <w:szCs w:val="32"/>
          <w:shd w:val="clear" w:color="auto" w:fill="FFFFFF"/>
        </w:rPr>
        <w:t>对错敏字、敏感信息、网站标签、</w:t>
      </w:r>
      <w:r>
        <w:rPr>
          <w:rFonts w:hint="eastAsia" w:ascii="仿宋_GB2312" w:eastAsia="仿宋_GB2312"/>
          <w:color w:val="000000"/>
          <w:sz w:val="32"/>
          <w:szCs w:val="32"/>
          <w:shd w:val="clear" w:color="auto" w:fill="FFFFFF"/>
        </w:rPr>
        <w:t>无效</w:t>
      </w:r>
      <w:r>
        <w:rPr>
          <w:rFonts w:ascii="仿宋_GB2312" w:hAnsi="Times New Roman" w:eastAsia="仿宋_GB2312" w:cs="Times New Roman"/>
          <w:color w:val="000000"/>
          <w:sz w:val="32"/>
          <w:szCs w:val="32"/>
          <w:shd w:val="clear" w:color="auto" w:fill="FFFFFF"/>
        </w:rPr>
        <w:t>链接</w:t>
      </w:r>
      <w:r>
        <w:rPr>
          <w:rFonts w:hint="eastAsia" w:ascii="仿宋_GB2312" w:eastAsia="仿宋_GB2312"/>
          <w:color w:val="000000"/>
          <w:sz w:val="32"/>
          <w:szCs w:val="32"/>
          <w:shd w:val="clear" w:color="auto" w:fill="FFFFFF"/>
        </w:rPr>
        <w:t>等，进行常态化巡查整改</w:t>
      </w:r>
      <w:r>
        <w:rPr>
          <w:rFonts w:ascii="仿宋_GB2312" w:hAnsi="Times New Roman" w:eastAsia="仿宋_GB2312" w:cs="Times New Roman"/>
          <w:color w:val="000000"/>
          <w:sz w:val="32"/>
          <w:szCs w:val="32"/>
          <w:shd w:val="clear" w:color="auto" w:fill="FFFFFF"/>
        </w:rPr>
        <w:t>，确保信息发布的准确性</w:t>
      </w:r>
      <w:r>
        <w:rPr>
          <w:rFonts w:hint="eastAsia" w:ascii="仿宋_GB2312" w:eastAsia="仿宋_GB2312"/>
          <w:color w:val="000000"/>
          <w:sz w:val="32"/>
          <w:szCs w:val="32"/>
          <w:shd w:val="clear" w:color="auto" w:fill="FFFFFF"/>
        </w:rPr>
        <w:t>。用活政务公开专区，依托</w:t>
      </w:r>
      <w:r>
        <w:rPr>
          <w:rFonts w:ascii="仿宋_GB2312" w:hAnsi="Times New Roman" w:eastAsia="仿宋_GB2312" w:cs="Times New Roman"/>
          <w:color w:val="000000"/>
          <w:sz w:val="32"/>
          <w:szCs w:val="32"/>
          <w:shd w:val="clear" w:color="auto" w:fill="FFFFFF"/>
        </w:rPr>
        <w:t>政务公开专区</w:t>
      </w:r>
      <w:r>
        <w:rPr>
          <w:rFonts w:hint="eastAsia" w:ascii="仿宋_GB2312" w:eastAsia="仿宋_GB2312"/>
          <w:color w:val="000000"/>
          <w:sz w:val="32"/>
          <w:szCs w:val="32"/>
          <w:shd w:val="clear" w:color="auto" w:fill="FFFFFF"/>
        </w:rPr>
        <w:t>开</w:t>
      </w:r>
      <w:r>
        <w:rPr>
          <w:rFonts w:ascii="仿宋_GB2312" w:hAnsi="Times New Roman" w:eastAsia="仿宋_GB2312" w:cs="Times New Roman"/>
          <w:color w:val="000000"/>
          <w:sz w:val="32"/>
          <w:szCs w:val="32"/>
          <w:shd w:val="clear" w:color="auto" w:fill="FFFFFF"/>
        </w:rPr>
        <w:t>展</w:t>
      </w:r>
      <w:r>
        <w:rPr>
          <w:rFonts w:hint="eastAsia" w:ascii="Times New Roman" w:hAnsi="Times New Roman" w:cs="Times New Roman"/>
          <w:color w:val="000000"/>
          <w:sz w:val="32"/>
          <w:szCs w:val="32"/>
          <w:shd w:val="clear" w:color="auto" w:fill="FFFFFF"/>
        </w:rPr>
        <w:t>“</w:t>
      </w:r>
      <w:r>
        <w:rPr>
          <w:rFonts w:ascii="仿宋_GB2312" w:hAnsi="Times New Roman" w:eastAsia="仿宋_GB2312" w:cs="Times New Roman"/>
          <w:color w:val="000000"/>
          <w:sz w:val="32"/>
          <w:szCs w:val="32"/>
          <w:shd w:val="clear" w:color="auto" w:fill="FFFFFF"/>
        </w:rPr>
        <w:t>为民解难</w:t>
      </w:r>
      <w:r>
        <w:rPr>
          <w:rFonts w:ascii="Times New Roman" w:hAnsi="Times New Roman" w:cs="Times New Roman"/>
          <w:color w:val="000000"/>
          <w:sz w:val="32"/>
          <w:szCs w:val="32"/>
          <w:shd w:val="clear" w:color="auto" w:fill="FFFFFF"/>
        </w:rPr>
        <w:t>”</w:t>
      </w:r>
      <w:r>
        <w:rPr>
          <w:rFonts w:hint="eastAsia" w:ascii="仿宋_GB2312" w:eastAsia="仿宋_GB2312"/>
          <w:color w:val="000000"/>
          <w:sz w:val="32"/>
          <w:szCs w:val="32"/>
          <w:shd w:val="clear" w:color="auto" w:fill="FFFFFF"/>
        </w:rPr>
        <w:t>相关政策宣传活动，为咨询企业、群众解惑答疑</w:t>
      </w:r>
      <w:r>
        <w:rPr>
          <w:rFonts w:ascii="仿宋_GB2312" w:hAnsi="Times New Roman" w:eastAsia="仿宋_GB2312" w:cs="Times New Roman"/>
          <w:color w:val="000000"/>
          <w:sz w:val="32"/>
          <w:szCs w:val="32"/>
          <w:shd w:val="clear" w:color="auto" w:fill="FFFFFF"/>
        </w:rPr>
        <w:t>。</w:t>
      </w:r>
      <w:r>
        <w:rPr>
          <w:rFonts w:hint="eastAsia" w:ascii="仿宋_GB2312" w:hAnsi="Calibri" w:eastAsia="仿宋_GB2312" w:cs="Calibri"/>
          <w:color w:val="000000"/>
          <w:sz w:val="32"/>
          <w:szCs w:val="32"/>
          <w:shd w:val="clear" w:color="auto" w:fill="FFFFFF"/>
        </w:rPr>
        <w:t>。</w:t>
      </w:r>
    </w:p>
    <w:p w14:paraId="1D740B40">
      <w:pPr>
        <w:pStyle w:val="4"/>
        <w:shd w:val="clear" w:color="auto" w:fill="FFFFFF"/>
        <w:wordWrap w:val="0"/>
        <w:spacing w:before="0" w:beforeAutospacing="0" w:after="0" w:afterAutospacing="0"/>
        <w:ind w:firstLine="641"/>
        <w:rPr>
          <w:rFonts w:ascii="Calibri" w:hAnsi="Calibri" w:cs="Calibri"/>
          <w:color w:val="000000"/>
        </w:rPr>
      </w:pPr>
      <w:r>
        <w:rPr>
          <w:rFonts w:hint="eastAsia" w:ascii="方正仿宋_GB2312" w:hAnsi="Calibri" w:eastAsia="方正仿宋_GB2312" w:cs="Calibri"/>
          <w:b/>
          <w:bCs/>
          <w:color w:val="000000"/>
          <w:sz w:val="32"/>
          <w:szCs w:val="32"/>
          <w:shd w:val="clear" w:color="auto" w:fill="FFFFFF"/>
        </w:rPr>
        <w:t>（五）政府信息公开监督保障。</w:t>
      </w:r>
      <w:r>
        <w:rPr>
          <w:rFonts w:hint="eastAsia" w:ascii="仿宋_GB2312" w:eastAsia="仿宋_GB2312"/>
          <w:color w:val="000000"/>
          <w:sz w:val="32"/>
          <w:szCs w:val="32"/>
          <w:shd w:val="clear" w:color="auto" w:fill="FFFFFF"/>
        </w:rPr>
        <w:t>动态调整政务公开工作领导小组成员，</w:t>
      </w:r>
      <w:r>
        <w:rPr>
          <w:rFonts w:ascii="仿宋_GB2312" w:hAnsi="Times New Roman" w:eastAsia="仿宋_GB2312" w:cs="Times New Roman"/>
          <w:color w:val="000000"/>
          <w:sz w:val="32"/>
          <w:szCs w:val="32"/>
          <w:shd w:val="clear" w:color="auto" w:fill="FFFFFF"/>
        </w:rPr>
        <w:t>明确政务公开工作的主要目标</w:t>
      </w:r>
      <w:r>
        <w:rPr>
          <w:rFonts w:hint="eastAsia" w:ascii="仿宋_GB2312" w:eastAsia="仿宋_GB2312"/>
          <w:color w:val="000000"/>
          <w:sz w:val="32"/>
          <w:szCs w:val="32"/>
          <w:shd w:val="clear" w:color="auto" w:fill="FFFFFF"/>
        </w:rPr>
        <w:t>、</w:t>
      </w:r>
      <w:r>
        <w:rPr>
          <w:rFonts w:ascii="仿宋_GB2312" w:hAnsi="Times New Roman" w:eastAsia="仿宋_GB2312" w:cs="Times New Roman"/>
          <w:color w:val="000000"/>
          <w:sz w:val="32"/>
          <w:szCs w:val="32"/>
          <w:shd w:val="clear" w:color="auto" w:fill="FFFFFF"/>
        </w:rPr>
        <w:t>基本要求、工作任务和措施</w:t>
      </w:r>
      <w:r>
        <w:rPr>
          <w:rFonts w:hint="eastAsia" w:ascii="仿宋_GB2312" w:eastAsia="仿宋_GB2312"/>
          <w:color w:val="000000"/>
          <w:sz w:val="32"/>
          <w:szCs w:val="32"/>
          <w:shd w:val="clear" w:color="auto" w:fill="FFFFFF"/>
        </w:rPr>
        <w:t>，将政务公开工作纳入经办人员的重要考核内容。</w:t>
      </w:r>
      <w:r>
        <w:rPr>
          <w:rFonts w:ascii="仿宋_GB2312" w:hAnsi="Times New Roman" w:eastAsia="仿宋_GB2312" w:cs="Times New Roman"/>
          <w:color w:val="000000"/>
          <w:sz w:val="32"/>
          <w:szCs w:val="32"/>
          <w:shd w:val="clear" w:color="auto" w:fill="FFFFFF"/>
        </w:rPr>
        <w:t>每季度召开</w:t>
      </w:r>
      <w:r>
        <w:rPr>
          <w:rFonts w:hint="eastAsia" w:ascii="仿宋_GB2312" w:eastAsia="仿宋_GB2312"/>
          <w:color w:val="000000"/>
          <w:sz w:val="32"/>
          <w:szCs w:val="32"/>
          <w:shd w:val="clear" w:color="auto" w:fill="FFFFFF"/>
        </w:rPr>
        <w:t>一次业务培训会暨反馈问题整改会议</w:t>
      </w:r>
      <w:r>
        <w:rPr>
          <w:rFonts w:ascii="仿宋_GB2312" w:hAnsi="Times New Roman" w:eastAsia="仿宋_GB2312" w:cs="Times New Roman"/>
          <w:color w:val="000000"/>
          <w:sz w:val="32"/>
          <w:szCs w:val="32"/>
          <w:shd w:val="clear" w:color="auto" w:fill="FFFFFF"/>
        </w:rPr>
        <w:t>，开展日常业务培训</w:t>
      </w:r>
      <w:r>
        <w:rPr>
          <w:rFonts w:hint="eastAsia" w:ascii="仿宋_GB2312" w:eastAsia="仿宋_GB2312"/>
          <w:color w:val="000000"/>
          <w:sz w:val="32"/>
          <w:szCs w:val="32"/>
          <w:shd w:val="clear" w:color="auto" w:fill="FFFFFF"/>
        </w:rPr>
        <w:t>，有效提升全乡政务公开能力和水平。</w:t>
      </w:r>
      <w:r>
        <w:rPr>
          <w:rFonts w:ascii="Times New Roman" w:hAnsi="Times New Roman" w:cs="Times New Roman"/>
          <w:color w:val="000000"/>
          <w:sz w:val="32"/>
          <w:szCs w:val="32"/>
          <w:shd w:val="clear" w:color="auto" w:fill="FFFFFF"/>
        </w:rPr>
        <w:t>202</w:t>
      </w:r>
      <w:r>
        <w:rPr>
          <w:rFonts w:hint="eastAsia" w:ascii="Times New Roman" w:hAnsi="Times New Roman" w:cs="Times New Roman"/>
          <w:color w:val="000000"/>
          <w:sz w:val="32"/>
          <w:szCs w:val="32"/>
          <w:shd w:val="clear" w:color="auto" w:fill="FFFFFF"/>
        </w:rPr>
        <w:t>4</w:t>
      </w:r>
      <w:r>
        <w:rPr>
          <w:rFonts w:hint="eastAsia" w:ascii="仿宋_GB2312" w:hAnsi="Calibri" w:eastAsia="仿宋_GB2312" w:cs="Calibri"/>
          <w:color w:val="000000"/>
          <w:sz w:val="32"/>
          <w:szCs w:val="32"/>
          <w:shd w:val="clear" w:color="auto" w:fill="FFFFFF"/>
        </w:rPr>
        <w:t>年长岭乡主动接受各单位和群众的社会监督，社会评议良好，未产生责任追究相关问题和结果</w:t>
      </w:r>
    </w:p>
    <w:p w14:paraId="07E065AE">
      <w:pPr>
        <w:widowControl/>
        <w:shd w:val="clear" w:color="auto" w:fill="FFFFFF"/>
        <w:rPr>
          <w:rFonts w:hint="eastAsia" w:ascii="宋体" w:hAnsi="宋体" w:eastAsia="宋体" w:cs="宋体"/>
          <w:b/>
          <w:color w:val="000000"/>
          <w:kern w:val="0"/>
          <w:sz w:val="24"/>
          <w:shd w:val="clear" w:color="auto" w:fill="FFFFFF"/>
        </w:rPr>
      </w:pPr>
    </w:p>
    <w:p w14:paraId="46A96601">
      <w:pPr>
        <w:widowControl/>
        <w:shd w:val="clear" w:color="auto" w:fill="FFFFFF"/>
        <w:ind w:firstLine="964" w:firstLineChars="300"/>
        <w:rPr>
          <w:rFonts w:hint="eastAsia" w:ascii="宋体" w:hAnsi="宋体" w:eastAsia="宋体" w:cs="宋体"/>
          <w:color w:val="000000"/>
          <w:kern w:val="0"/>
          <w:sz w:val="32"/>
          <w:szCs w:val="32"/>
        </w:rPr>
      </w:pPr>
      <w:r>
        <w:rPr>
          <w:rFonts w:hint="eastAsia" w:ascii="宋体" w:hAnsi="宋体" w:eastAsia="宋体" w:cs="宋体"/>
          <w:b/>
          <w:color w:val="000000"/>
          <w:kern w:val="0"/>
          <w:sz w:val="32"/>
          <w:szCs w:val="32"/>
          <w:shd w:val="clear" w:color="auto" w:fill="FFFFFF"/>
        </w:rPr>
        <w:t>二、主动公开政府信息情况</w:t>
      </w:r>
    </w:p>
    <w:tbl>
      <w:tblPr>
        <w:tblStyle w:val="5"/>
        <w:tblW w:w="9740" w:type="dxa"/>
        <w:jc w:val="center"/>
        <w:tblLayout w:type="fixed"/>
        <w:tblCellMar>
          <w:top w:w="0" w:type="dxa"/>
          <w:left w:w="0" w:type="dxa"/>
          <w:bottom w:w="0" w:type="dxa"/>
          <w:right w:w="0" w:type="dxa"/>
        </w:tblCellMar>
      </w:tblPr>
      <w:tblGrid>
        <w:gridCol w:w="2435"/>
        <w:gridCol w:w="2435"/>
        <w:gridCol w:w="2435"/>
        <w:gridCol w:w="2435"/>
      </w:tblGrid>
      <w:tr w14:paraId="01A6D7DE">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6BBB0B21">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第二十条第（一）项</w:t>
            </w:r>
          </w:p>
        </w:tc>
      </w:tr>
      <w:tr w14:paraId="244F6F86">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8B4224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31932A2D">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75C5CA73">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3FF4904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现行有效件数</w:t>
            </w:r>
          </w:p>
        </w:tc>
      </w:tr>
      <w:tr w14:paraId="46A4097E">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67633F6">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4FB4146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14:paraId="4A7F511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14:paraId="1156B68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14:paraId="13D5987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E0CFB1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7308A246">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14:paraId="2D46553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14:paraId="7E40B7B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14:paraId="087B2C18">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445E55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第二十条第（五）项</w:t>
            </w:r>
          </w:p>
        </w:tc>
      </w:tr>
      <w:tr w14:paraId="2F212D0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8575C1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4A76156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5D6C086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6CA0A84">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00225A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Cs w:val="21"/>
              </w:rPr>
              <w:t>59</w:t>
            </w:r>
          </w:p>
        </w:tc>
      </w:tr>
      <w:tr w14:paraId="41AA350E">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148B5E38">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第二十条第（六）项</w:t>
            </w:r>
          </w:p>
        </w:tc>
      </w:tr>
      <w:tr w14:paraId="6901D8F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9C22218">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67A2BB8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1D4BDFAF">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6EDD6F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6D5CD45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23</w:t>
            </w:r>
          </w:p>
        </w:tc>
      </w:tr>
      <w:tr w14:paraId="3704C09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2D105A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27D1CF2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14:paraId="360246E1">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4C5D6541">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第二十条第（八）项</w:t>
            </w:r>
          </w:p>
        </w:tc>
      </w:tr>
      <w:tr w14:paraId="0F2CB19C">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065FE88">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33E2644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本年收费金额（单位：万元）</w:t>
            </w:r>
          </w:p>
        </w:tc>
      </w:tr>
      <w:tr w14:paraId="487A985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0A676A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4D22BB5C">
            <w:pPr>
              <w:jc w:val="center"/>
              <w:rPr>
                <w:rFonts w:ascii="宋体" w:hAnsi="Times New Roman" w:eastAsia="仿宋_GB2312" w:cs="Times New Roman"/>
                <w:color w:val="000000"/>
                <w:sz w:val="24"/>
              </w:rPr>
            </w:pPr>
            <w:r>
              <w:rPr>
                <w:rFonts w:hint="eastAsia" w:ascii="宋体" w:hAnsi="Times New Roman" w:eastAsia="仿宋_GB2312" w:cs="Times New Roman"/>
                <w:color w:val="000000"/>
                <w:sz w:val="24"/>
              </w:rPr>
              <w:t>0</w:t>
            </w:r>
          </w:p>
        </w:tc>
      </w:tr>
    </w:tbl>
    <w:p w14:paraId="2232BB8A">
      <w:pPr>
        <w:widowControl/>
        <w:shd w:val="clear" w:color="auto" w:fill="FFFFFF"/>
        <w:ind w:firstLine="643" w:firstLineChars="200"/>
        <w:rPr>
          <w:rFonts w:hint="eastAsia" w:ascii="宋体" w:hAnsi="宋体" w:eastAsia="宋体" w:cs="宋体"/>
          <w:b/>
          <w:color w:val="000000"/>
          <w:kern w:val="0"/>
          <w:sz w:val="32"/>
          <w:szCs w:val="32"/>
          <w:shd w:val="clear" w:color="auto" w:fill="FFFFFF"/>
        </w:rPr>
      </w:pPr>
      <w:r>
        <w:rPr>
          <w:rFonts w:hint="eastAsia" w:ascii="宋体" w:hAnsi="宋体" w:eastAsia="宋体" w:cs="宋体"/>
          <w:b/>
          <w:color w:val="000000"/>
          <w:kern w:val="0"/>
          <w:sz w:val="32"/>
          <w:szCs w:val="32"/>
          <w:shd w:val="clear" w:color="auto" w:fill="FFFFFF"/>
        </w:rPr>
        <w:t>三、收到和处理政府信息公开申请情况</w:t>
      </w:r>
    </w:p>
    <w:tbl>
      <w:tblPr>
        <w:tblStyle w:val="5"/>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6802D1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0F515BA0">
            <w:pPr>
              <w:widowControl/>
              <w:jc w:val="left"/>
              <w:rPr>
                <w:rFonts w:ascii="仿宋_GB2312" w:hAnsi="Times New Roman" w:eastAsia="仿宋_GB2312" w:cs="Times New Roman"/>
                <w:color w:val="000000"/>
                <w:sz w:val="32"/>
                <w:szCs w:val="32"/>
              </w:rPr>
            </w:pPr>
            <w:r>
              <w:rPr>
                <w:rFonts w:ascii="楷体" w:hAnsi="楷体" w:eastAsia="楷体" w:cs="楷体"/>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14:paraId="3F34CF5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申请人情况</w:t>
            </w:r>
          </w:p>
        </w:tc>
      </w:tr>
      <w:tr w14:paraId="177C39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4F23BC74">
            <w:pPr>
              <w:rPr>
                <w:rFonts w:ascii="宋体" w:hAnsi="Times New Roman" w:eastAsia="仿宋_GB2312" w:cs="Times New Roman"/>
                <w:color w:val="000000"/>
                <w:sz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14:paraId="29018D4D">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3B9690AD">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14:paraId="1A38FE3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7F5C24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13C60AD1">
            <w:pPr>
              <w:rPr>
                <w:rFonts w:ascii="宋体" w:hAnsi="Times New Roman" w:eastAsia="仿宋_GB2312" w:cs="Times New Roman"/>
                <w:color w:val="000000"/>
                <w:sz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14:paraId="2F99BABC">
            <w:pPr>
              <w:rPr>
                <w:rFonts w:ascii="宋体" w:hAnsi="Times New Roman" w:eastAsia="仿宋_GB2312" w:cs="Times New Roman"/>
                <w:color w:val="000000"/>
                <w:sz w:val="24"/>
              </w:rPr>
            </w:pPr>
          </w:p>
        </w:tc>
        <w:tc>
          <w:tcPr>
            <w:tcW w:w="688" w:type="dxa"/>
            <w:tcBorders>
              <w:top w:val="nil"/>
              <w:left w:val="nil"/>
              <w:bottom w:val="single" w:color="auto" w:sz="8" w:space="0"/>
              <w:right w:val="single" w:color="auto" w:sz="8" w:space="0"/>
            </w:tcBorders>
            <w:tcMar>
              <w:left w:w="108" w:type="dxa"/>
              <w:right w:w="108" w:type="dxa"/>
            </w:tcMar>
            <w:vAlign w:val="center"/>
          </w:tcPr>
          <w:p w14:paraId="379D8AB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商业</w:t>
            </w:r>
          </w:p>
          <w:p w14:paraId="31DFBF8A">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14:paraId="6FC3CCE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科研</w:t>
            </w:r>
          </w:p>
          <w:p w14:paraId="459977FD">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2B9D014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41479906">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72C661E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14:paraId="3FA6DC3F">
            <w:pPr>
              <w:rPr>
                <w:rFonts w:ascii="宋体" w:hAnsi="Times New Roman" w:eastAsia="仿宋_GB2312" w:cs="Times New Roman"/>
                <w:color w:val="000000"/>
                <w:sz w:val="24"/>
              </w:rPr>
            </w:pPr>
          </w:p>
        </w:tc>
      </w:tr>
      <w:tr w14:paraId="4DF3A6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0CE36F52">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0C32422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1</w:t>
            </w:r>
          </w:p>
        </w:tc>
        <w:tc>
          <w:tcPr>
            <w:tcW w:w="688" w:type="dxa"/>
            <w:tcBorders>
              <w:top w:val="nil"/>
              <w:left w:val="nil"/>
              <w:bottom w:val="single" w:color="auto" w:sz="8" w:space="0"/>
              <w:right w:val="single" w:color="auto" w:sz="8" w:space="0"/>
            </w:tcBorders>
            <w:tcMar>
              <w:left w:w="57" w:type="dxa"/>
              <w:right w:w="57" w:type="dxa"/>
            </w:tcMar>
            <w:vAlign w:val="center"/>
          </w:tcPr>
          <w:p w14:paraId="7F21AAA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9E02D2">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DF06E2">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0017E8B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30477B7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4157520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1</w:t>
            </w:r>
          </w:p>
        </w:tc>
      </w:tr>
      <w:tr w14:paraId="05A9AD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17454892">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57FDC4C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3D72176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CF8847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4FF807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F0DD0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6B5D2AE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7044422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7B9A35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597F5125">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0458E730">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14:paraId="61A9E1B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1</w:t>
            </w:r>
          </w:p>
        </w:tc>
        <w:tc>
          <w:tcPr>
            <w:tcW w:w="688" w:type="dxa"/>
            <w:tcBorders>
              <w:top w:val="nil"/>
              <w:left w:val="nil"/>
              <w:bottom w:val="single" w:color="auto" w:sz="8" w:space="0"/>
              <w:right w:val="single" w:color="auto" w:sz="8" w:space="0"/>
            </w:tcBorders>
            <w:tcMar>
              <w:left w:w="57" w:type="dxa"/>
              <w:right w:w="57" w:type="dxa"/>
            </w:tcMar>
            <w:vAlign w:val="center"/>
          </w:tcPr>
          <w:p w14:paraId="4D4636E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9B4FF9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FBDAB6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3A666C8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065F7C6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single" w:color="auto" w:sz="8" w:space="0"/>
              <w:left w:val="nil"/>
              <w:bottom w:val="single" w:color="auto" w:sz="8" w:space="0"/>
              <w:right w:val="single" w:color="auto" w:sz="8" w:space="0"/>
            </w:tcBorders>
            <w:tcMar>
              <w:left w:w="57" w:type="dxa"/>
              <w:right w:w="57" w:type="dxa"/>
            </w:tcMar>
          </w:tcPr>
          <w:p w14:paraId="18331AD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1</w:t>
            </w:r>
          </w:p>
        </w:tc>
      </w:tr>
      <w:tr w14:paraId="755C28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5FB9A78">
            <w:pPr>
              <w:rPr>
                <w:rFonts w:ascii="宋体" w:hAnsi="Times New Roman" w:eastAsia="仿宋_GB2312" w:cs="Times New Roman"/>
                <w:color w:val="000000"/>
                <w:sz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0061E329">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（二）部分公开</w:t>
            </w:r>
            <w:r>
              <w:rPr>
                <w:rFonts w:hint="eastAsia" w:ascii="楷体" w:hAnsi="楷体" w:eastAsia="楷体" w:cs="楷体"/>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14:paraId="46544F2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2B6D219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4ADD22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6B64F70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B65392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4E922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024A3EE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48C83D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B89436F">
            <w:pPr>
              <w:rPr>
                <w:rFonts w:ascii="宋体" w:hAnsi="Times New Roman" w:eastAsia="仿宋_GB2312" w:cs="Times New Roman"/>
                <w:color w:val="000000"/>
                <w:sz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0BECE0F4">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14:paraId="197EAC36">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tcPr>
          <w:p w14:paraId="2BA1569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67843A9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56C9B61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135B390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2DA826A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26E07FD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single" w:color="auto" w:sz="8" w:space="0"/>
              <w:left w:val="nil"/>
              <w:bottom w:val="single" w:color="auto" w:sz="8" w:space="0"/>
              <w:right w:val="single" w:color="auto" w:sz="8" w:space="0"/>
            </w:tcBorders>
            <w:tcMar>
              <w:left w:w="57" w:type="dxa"/>
              <w:right w:w="57" w:type="dxa"/>
            </w:tcMar>
          </w:tcPr>
          <w:p w14:paraId="0D95D99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068CEF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4EA8AAB">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4D6A1CD">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tcPr>
          <w:p w14:paraId="690A33F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tcPr>
          <w:p w14:paraId="4777E27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5D38E73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6B0B3B5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28EF627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02A0AF52">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6972929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6B6E6E5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59E64E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7DB5B95">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55562F4">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tcPr>
          <w:p w14:paraId="17C2263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tcPr>
          <w:p w14:paraId="0E403A2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5104033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21FD654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1122082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61A00AC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53CA2DC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0E4A77E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5EADE1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369FAAB">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3C2570D">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tcPr>
          <w:p w14:paraId="11925AFA">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tcPr>
          <w:p w14:paraId="36B8E6B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6E77AF4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008D1F5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40F8754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16B7AD0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1F7616D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10566D5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738B31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FA62524">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33EBC353">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tcPr>
          <w:p w14:paraId="76B11A8B">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tcPr>
          <w:p w14:paraId="03544D12">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541D67B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07205F2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7FEE2D5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6F4E067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1F5C104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29E93B0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7E412C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DFA862F">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EFA9D8D">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tcPr>
          <w:p w14:paraId="7F7B1A50">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tcPr>
          <w:p w14:paraId="30AD651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070B670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5B7CBC0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5B45563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0E0A673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4027330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3ADE53C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35E43E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558B69C">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7624E05">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tcPr>
          <w:p w14:paraId="7157FD5D">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tcPr>
          <w:p w14:paraId="579FDA0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2A7C71D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03285ED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3ECBED4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305A579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14E03A4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7929065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65CF97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0452008">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6EA9AB0">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tcPr>
          <w:p w14:paraId="313D2C3A">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tcPr>
          <w:p w14:paraId="12D6823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4A4D527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13616FB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1C07296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59CB31A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633D7F9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49553B4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623863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7EEA7B2">
            <w:pPr>
              <w:rPr>
                <w:rFonts w:ascii="宋体" w:hAnsi="Times New Roman" w:eastAsia="仿宋_GB2312" w:cs="Times New Roman"/>
                <w:color w:val="000000"/>
                <w:sz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49A43A7F">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14:paraId="3C64E404">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tcPr>
          <w:p w14:paraId="058C4B0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7227937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7350944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7555E24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7AD6A052">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16D1649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7A0D105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2C0564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83C9901">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37C68671">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tcPr>
          <w:p w14:paraId="5620770A">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tcPr>
          <w:p w14:paraId="36839A3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71C10DA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16364E7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3C6CC9B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3483BBA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3CC2389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0202445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305011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5DFE0C5">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8BEC3AD">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tcPr>
          <w:p w14:paraId="2965A315">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tcPr>
          <w:p w14:paraId="3B2E314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7626143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2DE15EA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39F86DF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0A9F023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1124798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3F580F4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0DB658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ABE55D9">
            <w:pPr>
              <w:rPr>
                <w:rFonts w:ascii="宋体" w:hAnsi="Times New Roman" w:eastAsia="仿宋_GB2312" w:cs="Times New Roman"/>
                <w:color w:val="000000"/>
                <w:sz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42F0107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14:paraId="0EB48CA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tcPr>
          <w:p w14:paraId="3F83EFC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43937A3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0BC47BA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0BC8902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28501EB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24B7ECF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3F0A6AF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53CA27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760A284">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1476D55">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tcPr>
          <w:p w14:paraId="6C3A2560">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tcPr>
          <w:p w14:paraId="0DB8C95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0511C76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161CAE3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655432F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6A353142">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15AF9BE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0CFCA81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40708F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D48A7EB">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375E8A75">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tcPr>
          <w:p w14:paraId="40F28B29">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tcPr>
          <w:p w14:paraId="33D189D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08A3120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72F713C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0BBE512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1F3AE31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312782A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53CB7C6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048F40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94891A5">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3008444E">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tcPr>
          <w:p w14:paraId="48312440">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tcPr>
          <w:p w14:paraId="204882C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18CD790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1DA9345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7F4916C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31FB230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0A7BF53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507A72B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0F9E64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6B10C29">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12C362B">
            <w:pPr>
              <w:rPr>
                <w:rFonts w:ascii="宋体" w:hAnsi="Times New Roman" w:eastAsia="仿宋_GB2312" w:cs="Times New Roman"/>
                <w:color w:val="000000"/>
                <w:sz w:val="24"/>
              </w:rPr>
            </w:pPr>
          </w:p>
        </w:tc>
        <w:tc>
          <w:tcPr>
            <w:tcW w:w="3219" w:type="dxa"/>
            <w:tcBorders>
              <w:top w:val="nil"/>
              <w:left w:val="nil"/>
              <w:bottom w:val="outset" w:color="auto" w:sz="8" w:space="0"/>
              <w:right w:val="single" w:color="auto" w:sz="8" w:space="0"/>
            </w:tcBorders>
            <w:tcMar>
              <w:left w:w="57" w:type="dxa"/>
              <w:right w:w="57" w:type="dxa"/>
            </w:tcMar>
            <w:vAlign w:val="center"/>
          </w:tcPr>
          <w:p w14:paraId="2826EF15">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tcPr>
          <w:p w14:paraId="78AEBBD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outset" w:color="auto" w:sz="8" w:space="0"/>
              <w:right w:val="single" w:color="auto" w:sz="8" w:space="0"/>
            </w:tcBorders>
            <w:tcMar>
              <w:left w:w="57" w:type="dxa"/>
              <w:right w:w="57" w:type="dxa"/>
            </w:tcMar>
          </w:tcPr>
          <w:p w14:paraId="6268FE52">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outset" w:color="auto" w:sz="8" w:space="0"/>
              <w:right w:val="single" w:color="auto" w:sz="8" w:space="0"/>
            </w:tcBorders>
            <w:tcMar>
              <w:left w:w="57" w:type="dxa"/>
              <w:right w:w="57" w:type="dxa"/>
            </w:tcMar>
          </w:tcPr>
          <w:p w14:paraId="70F17A1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outset" w:color="auto" w:sz="8" w:space="0"/>
              <w:right w:val="single" w:color="auto" w:sz="8" w:space="0"/>
            </w:tcBorders>
            <w:tcMar>
              <w:left w:w="57" w:type="dxa"/>
              <w:right w:w="57" w:type="dxa"/>
            </w:tcMar>
          </w:tcPr>
          <w:p w14:paraId="7AE67AB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outset" w:color="auto" w:sz="8" w:space="0"/>
              <w:right w:val="single" w:color="auto" w:sz="8" w:space="0"/>
            </w:tcBorders>
            <w:tcMar>
              <w:left w:w="57" w:type="dxa"/>
              <w:right w:w="57" w:type="dxa"/>
            </w:tcMar>
          </w:tcPr>
          <w:p w14:paraId="76FE596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outset" w:color="auto" w:sz="8" w:space="0"/>
              <w:right w:val="single" w:color="auto" w:sz="8" w:space="0"/>
            </w:tcBorders>
            <w:tcMar>
              <w:left w:w="57" w:type="dxa"/>
              <w:right w:w="57" w:type="dxa"/>
            </w:tcMar>
          </w:tcPr>
          <w:p w14:paraId="16B7C02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outset" w:color="auto" w:sz="8" w:space="0"/>
              <w:right w:val="single" w:color="auto" w:sz="8" w:space="0"/>
            </w:tcBorders>
            <w:tcMar>
              <w:left w:w="57" w:type="dxa"/>
              <w:right w:w="57" w:type="dxa"/>
            </w:tcMar>
          </w:tcPr>
          <w:p w14:paraId="22541B0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0B6254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A87B3C8">
            <w:pPr>
              <w:rPr>
                <w:rFonts w:ascii="宋体" w:hAnsi="Times New Roman" w:eastAsia="仿宋_GB2312" w:cs="Times New Roman"/>
                <w:color w:val="000000"/>
                <w:sz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5308CF14">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14:paraId="13FD20CA">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70DF95C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8226E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381B082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00151F7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5648A12">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3D11A1B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6875D46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300C6A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662C154">
            <w:pPr>
              <w:rPr>
                <w:rFonts w:ascii="宋体" w:hAnsi="Times New Roman" w:eastAsia="仿宋_GB2312" w:cs="Times New Roman"/>
                <w:color w:val="000000"/>
                <w:sz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259F8A6F">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748E92C5">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1CA1969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7E1ADE9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67DB435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61B348D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35FDE042">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6791056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418896C2">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066943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762F694">
            <w:pPr>
              <w:rPr>
                <w:rFonts w:ascii="宋体" w:hAnsi="Times New Roman" w:eastAsia="仿宋_GB2312" w:cs="Times New Roman"/>
                <w:color w:val="000000"/>
                <w:sz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5A9A7B08">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736ED7FE">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14:paraId="7E610F4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6C94E9B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27D61AB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BCBE29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37C02A8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622C199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50DE979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37F948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F593828">
            <w:pPr>
              <w:rPr>
                <w:rFonts w:ascii="宋体" w:hAnsi="Times New Roman" w:eastAsia="仿宋_GB2312" w:cs="Times New Roman"/>
                <w:color w:val="000000"/>
                <w:sz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6CCBFF5D">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14:paraId="691092C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1</w:t>
            </w:r>
          </w:p>
        </w:tc>
        <w:tc>
          <w:tcPr>
            <w:tcW w:w="688" w:type="dxa"/>
            <w:tcBorders>
              <w:top w:val="nil"/>
              <w:left w:val="nil"/>
              <w:bottom w:val="single" w:color="auto" w:sz="8" w:space="0"/>
              <w:right w:val="single" w:color="auto" w:sz="8" w:space="0"/>
            </w:tcBorders>
            <w:tcMar>
              <w:left w:w="57" w:type="dxa"/>
              <w:right w:w="57" w:type="dxa"/>
            </w:tcMar>
            <w:vAlign w:val="center"/>
          </w:tcPr>
          <w:p w14:paraId="3BDB25F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614C80D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EF7D1E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43D942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9690C8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6E11B27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1</w:t>
            </w:r>
          </w:p>
        </w:tc>
      </w:tr>
      <w:tr w14:paraId="173F6E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715AFC3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14:paraId="4A8ACCA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DA1A7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F36A52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7E6B3D3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73180B3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7C74466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13BEBC03">
            <w:pPr>
              <w:jc w:val="center"/>
              <w:rPr>
                <w:rFonts w:ascii="宋体" w:hAnsi="Times New Roman" w:eastAsia="仿宋_GB2312" w:cs="Times New Roman"/>
                <w:color w:val="000000"/>
                <w:sz w:val="24"/>
              </w:rPr>
            </w:pPr>
            <w:r>
              <w:rPr>
                <w:rFonts w:hint="eastAsia" w:ascii="Calibri" w:hAnsi="Calibri" w:eastAsia="仿宋_GB2312" w:cs="Calibri"/>
                <w:color w:val="000000"/>
                <w:kern w:val="0"/>
                <w:sz w:val="20"/>
                <w:szCs w:val="20"/>
              </w:rPr>
              <w:t>0</w:t>
            </w:r>
          </w:p>
        </w:tc>
      </w:tr>
    </w:tbl>
    <w:p w14:paraId="77857D12">
      <w:pPr>
        <w:widowControl/>
        <w:shd w:val="clear" w:color="auto" w:fill="FFFFFF"/>
        <w:jc w:val="center"/>
        <w:rPr>
          <w:rFonts w:hint="eastAsia" w:ascii="宋体" w:hAnsi="宋体" w:eastAsia="宋体" w:cs="宋体"/>
          <w:color w:val="000000"/>
          <w:sz w:val="24"/>
        </w:rPr>
      </w:pPr>
    </w:p>
    <w:p w14:paraId="571C0B68">
      <w:pPr>
        <w:widowControl/>
        <w:shd w:val="clear" w:color="auto" w:fill="FFFFFF"/>
        <w:ind w:firstLine="964" w:firstLineChars="300"/>
        <w:rPr>
          <w:rFonts w:hint="eastAsia" w:ascii="宋体" w:hAnsi="宋体" w:eastAsia="宋体" w:cs="宋体"/>
          <w:color w:val="000000"/>
          <w:kern w:val="0"/>
          <w:sz w:val="32"/>
          <w:szCs w:val="32"/>
        </w:rPr>
      </w:pPr>
      <w:r>
        <w:rPr>
          <w:rFonts w:hint="eastAsia" w:ascii="宋体" w:hAnsi="宋体" w:eastAsia="宋体" w:cs="宋体"/>
          <w:b/>
          <w:color w:val="000000"/>
          <w:kern w:val="0"/>
          <w:sz w:val="32"/>
          <w:szCs w:val="32"/>
          <w:shd w:val="clear" w:color="auto" w:fill="FFFFFF"/>
        </w:rPr>
        <w:t>四、政府信息公开行政复议、行政诉讼情况</w:t>
      </w:r>
    </w:p>
    <w:p w14:paraId="69EE75F6">
      <w:pPr>
        <w:widowControl/>
        <w:shd w:val="clear" w:color="auto" w:fill="FFFFFF"/>
        <w:jc w:val="center"/>
        <w:rPr>
          <w:rFonts w:hint="eastAsia" w:ascii="宋体" w:hAnsi="宋体" w:eastAsia="宋体" w:cs="宋体"/>
          <w:color w:val="000000"/>
          <w:sz w:val="24"/>
        </w:rPr>
      </w:pPr>
    </w:p>
    <w:tbl>
      <w:tblPr>
        <w:tblStyle w:val="5"/>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128550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C304EC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44A53F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行政诉讼</w:t>
            </w:r>
          </w:p>
        </w:tc>
      </w:tr>
      <w:tr w14:paraId="03F934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1F73E98A">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3CD328ED">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BD5E51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7C35B4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C91B98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D86C70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68F569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复议后起诉</w:t>
            </w:r>
          </w:p>
        </w:tc>
      </w:tr>
      <w:tr w14:paraId="1B2616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0A553AFD">
            <w:pPr>
              <w:rPr>
                <w:rFonts w:ascii="宋体" w:hAnsi="Times New Roman" w:eastAsia="仿宋_GB2312" w:cs="Times New Roman"/>
                <w:color w:val="000000"/>
                <w:sz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02C4ABF1">
            <w:pPr>
              <w:rPr>
                <w:rFonts w:ascii="宋体" w:hAnsi="Times New Roman" w:eastAsia="仿宋_GB2312" w:cs="Times New Roman"/>
                <w:color w:val="000000"/>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E050096">
            <w:pPr>
              <w:rPr>
                <w:rFonts w:ascii="宋体" w:hAnsi="Times New Roman" w:eastAsia="仿宋_GB2312" w:cs="Times New Roman"/>
                <w:color w:val="000000"/>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0F451A3">
            <w:pPr>
              <w:rPr>
                <w:rFonts w:ascii="宋体" w:hAnsi="Times New Roman" w:eastAsia="仿宋_GB2312" w:cs="Times New Roman"/>
                <w:color w:val="000000"/>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7ECAE36">
            <w:pPr>
              <w:rPr>
                <w:rFonts w:ascii="宋体" w:hAnsi="Times New Roman" w:eastAsia="仿宋_GB2312" w:cs="Times New Roman"/>
                <w:color w:val="000000"/>
                <w:sz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DE418D8">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7299FE6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8C1400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8C3517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81A4B0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3BC4558">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8BD34F6">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A57BBD">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088C83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A76D068">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1848DA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F3900FE">
            <w:pPr>
              <w:widowControl/>
              <w:jc w:val="center"/>
              <w:rPr>
                <w:rFonts w:ascii="仿宋_GB2312" w:hAnsi="Times New Roman" w:eastAsia="黑体" w:cs="Times New Roman"/>
                <w:color w:val="000000"/>
                <w:sz w:val="32"/>
                <w:szCs w:val="32"/>
              </w:rPr>
            </w:pPr>
            <w:r>
              <w:rPr>
                <w:rFonts w:hint="eastAsia" w:ascii="Calibri" w:hAnsi="Calibri" w:eastAsia="仿宋_GB2312" w:cs="Calibri"/>
                <w:color w:val="000000"/>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68E7CC5D">
            <w:pPr>
              <w:widowControl/>
              <w:jc w:val="center"/>
              <w:rPr>
                <w:rFonts w:ascii="仿宋_GB2312" w:hAnsi="Times New Roman" w:eastAsia="黑体" w:cs="Times New Roman"/>
                <w:color w:val="000000"/>
                <w:sz w:val="32"/>
                <w:szCs w:val="32"/>
              </w:rPr>
            </w:pPr>
            <w:r>
              <w:rPr>
                <w:rFonts w:hint="eastAsia" w:ascii="Calibri" w:hAnsi="Calibri" w:eastAsia="仿宋_GB2312" w:cs="Calibri"/>
                <w:color w:val="000000"/>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F97FF8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533900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462A15AB">
            <w:pPr>
              <w:widowControl/>
              <w:jc w:val="center"/>
              <w:rPr>
                <w:rFonts w:ascii="仿宋_GB2312" w:hAnsi="Times New Roman" w:eastAsia="黑体" w:cs="Times New Roman"/>
                <w:color w:val="000000"/>
                <w:sz w:val="32"/>
                <w:szCs w:val="32"/>
              </w:rPr>
            </w:pPr>
            <w:r>
              <w:rPr>
                <w:rFonts w:hint="eastAsia" w:ascii="Calibri" w:hAnsi="Calibri" w:eastAsia="仿宋_GB2312" w:cs="Calibri"/>
                <w:color w:val="000000"/>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78E1DE2">
            <w:pPr>
              <w:widowControl/>
              <w:jc w:val="center"/>
              <w:rPr>
                <w:rFonts w:ascii="Calibri" w:hAnsi="Calibri" w:eastAsia="仿宋_GB2312" w:cs="Calibri"/>
                <w:color w:val="000000"/>
                <w:kern w:val="0"/>
                <w:sz w:val="20"/>
                <w:szCs w:val="20"/>
              </w:rPr>
            </w:pPr>
            <w:r>
              <w:rPr>
                <w:rFonts w:hint="eastAsia" w:ascii="Calibri" w:hAnsi="Calibri" w:eastAsia="仿宋_GB2312" w:cs="Calibri"/>
                <w:color w:val="000000"/>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21D3C00">
            <w:pPr>
              <w:widowControl/>
              <w:jc w:val="center"/>
              <w:rPr>
                <w:rFonts w:ascii="Calibri" w:hAnsi="Calibri" w:eastAsia="仿宋_GB2312" w:cs="Calibri"/>
                <w:color w:val="000000"/>
                <w:kern w:val="0"/>
                <w:sz w:val="20"/>
                <w:szCs w:val="20"/>
              </w:rPr>
            </w:pPr>
            <w:r>
              <w:rPr>
                <w:rFonts w:hint="eastAsia" w:ascii="Calibri" w:hAnsi="Calibri" w:eastAsia="仿宋_GB2312" w:cs="Calibri"/>
                <w:color w:val="000000"/>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69377C2">
            <w:pPr>
              <w:widowControl/>
              <w:jc w:val="center"/>
              <w:rPr>
                <w:rFonts w:ascii="Calibri" w:hAnsi="Calibri" w:eastAsia="仿宋_GB2312" w:cs="Calibri"/>
                <w:color w:val="000000"/>
                <w:kern w:val="0"/>
                <w:sz w:val="20"/>
                <w:szCs w:val="20"/>
              </w:rPr>
            </w:pPr>
            <w:r>
              <w:rPr>
                <w:rFonts w:hint="eastAsia" w:ascii="Calibri" w:hAnsi="Calibri" w:eastAsia="仿宋_GB2312" w:cs="Calibri"/>
                <w:color w:val="000000"/>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52662A50">
            <w:pPr>
              <w:widowControl/>
              <w:jc w:val="center"/>
              <w:rPr>
                <w:rFonts w:ascii="Calibri" w:hAnsi="Calibri" w:eastAsia="仿宋_GB2312" w:cs="Calibri"/>
                <w:color w:val="000000"/>
                <w:kern w:val="0"/>
                <w:sz w:val="20"/>
                <w:szCs w:val="20"/>
              </w:rPr>
            </w:pPr>
            <w:r>
              <w:rPr>
                <w:rFonts w:hint="eastAsia" w:ascii="Calibri" w:hAnsi="Calibri" w:eastAsia="仿宋_GB2312" w:cs="Calibri"/>
                <w:color w:val="000000"/>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47231EE">
            <w:pPr>
              <w:widowControl/>
              <w:jc w:val="center"/>
              <w:rPr>
                <w:rFonts w:ascii="Calibri" w:hAnsi="Calibri" w:eastAsia="仿宋_GB2312" w:cs="Calibri"/>
                <w:color w:val="000000"/>
                <w:kern w:val="0"/>
                <w:sz w:val="20"/>
                <w:szCs w:val="20"/>
              </w:rPr>
            </w:pPr>
            <w:r>
              <w:rPr>
                <w:rFonts w:hint="eastAsia" w:ascii="Calibri" w:hAnsi="Calibri" w:eastAsia="仿宋_GB2312" w:cs="Calibri"/>
                <w:color w:val="000000"/>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1BF23C66">
            <w:pPr>
              <w:widowControl/>
              <w:jc w:val="center"/>
              <w:rPr>
                <w:rFonts w:ascii="Calibri" w:hAnsi="Calibri" w:eastAsia="仿宋_GB2312" w:cs="Calibri"/>
                <w:color w:val="000000"/>
                <w:kern w:val="0"/>
                <w:sz w:val="20"/>
                <w:szCs w:val="20"/>
              </w:rPr>
            </w:pPr>
            <w:r>
              <w:rPr>
                <w:rFonts w:hint="eastAsia" w:ascii="Calibri" w:hAnsi="Calibri" w:eastAsia="仿宋_GB2312" w:cs="Calibri"/>
                <w:color w:val="000000"/>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703CCBA">
            <w:pPr>
              <w:widowControl/>
              <w:jc w:val="center"/>
              <w:rPr>
                <w:rFonts w:ascii="Calibri" w:hAnsi="Calibri" w:eastAsia="仿宋_GB2312" w:cs="Calibri"/>
                <w:color w:val="000000"/>
                <w:kern w:val="0"/>
                <w:sz w:val="20"/>
                <w:szCs w:val="20"/>
              </w:rPr>
            </w:pPr>
            <w:r>
              <w:rPr>
                <w:rFonts w:hint="eastAsia" w:ascii="Calibri" w:hAnsi="Calibri" w:eastAsia="仿宋_GB2312" w:cs="Calibri"/>
                <w:color w:val="000000"/>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7D1D3D6">
            <w:pPr>
              <w:widowControl/>
              <w:jc w:val="center"/>
              <w:rPr>
                <w:rFonts w:ascii="Calibri" w:hAnsi="Calibri" w:eastAsia="仿宋_GB2312" w:cs="Calibri"/>
                <w:color w:val="000000"/>
                <w:kern w:val="0"/>
                <w:sz w:val="20"/>
                <w:szCs w:val="20"/>
              </w:rPr>
            </w:pPr>
            <w:r>
              <w:rPr>
                <w:rFonts w:hint="eastAsia" w:ascii="Calibri" w:hAnsi="Calibri" w:eastAsia="仿宋_GB2312" w:cs="Calibri"/>
                <w:color w:val="000000"/>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7B89188">
            <w:pPr>
              <w:widowControl/>
              <w:jc w:val="center"/>
              <w:rPr>
                <w:rFonts w:ascii="Calibri" w:hAnsi="Calibri" w:eastAsia="仿宋_GB2312" w:cs="Calibri"/>
                <w:color w:val="000000"/>
                <w:kern w:val="0"/>
                <w:sz w:val="20"/>
                <w:szCs w:val="20"/>
              </w:rPr>
            </w:pPr>
            <w:r>
              <w:rPr>
                <w:rFonts w:hint="eastAsia" w:ascii="Calibri" w:hAnsi="Calibri" w:eastAsia="仿宋_GB2312" w:cs="Calibri"/>
                <w:color w:val="000000"/>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EB3F19D">
            <w:pPr>
              <w:jc w:val="center"/>
              <w:rPr>
                <w:rFonts w:ascii="宋体" w:hAnsi="Times New Roman" w:eastAsia="仿宋_GB2312" w:cs="Times New Roman"/>
                <w:color w:val="000000"/>
                <w:sz w:val="24"/>
              </w:rPr>
            </w:pPr>
            <w:r>
              <w:rPr>
                <w:rFonts w:hint="eastAsia" w:ascii="Calibri" w:hAnsi="Calibri" w:eastAsia="仿宋_GB2312" w:cs="Calibri"/>
                <w:color w:val="000000"/>
                <w:kern w:val="0"/>
                <w:sz w:val="20"/>
                <w:szCs w:val="20"/>
              </w:rPr>
              <w:t>0</w:t>
            </w:r>
          </w:p>
        </w:tc>
      </w:tr>
    </w:tbl>
    <w:p w14:paraId="3DEF1DAC">
      <w:pPr>
        <w:widowControl/>
        <w:jc w:val="left"/>
        <w:rPr>
          <w:rFonts w:hint="eastAsia" w:ascii="仿宋_GB2312" w:hAnsi="Times New Roman" w:eastAsia="仿宋_GB2312" w:cs="Times New Roman"/>
          <w:color w:val="000000"/>
          <w:sz w:val="32"/>
          <w:szCs w:val="32"/>
        </w:rPr>
      </w:pPr>
    </w:p>
    <w:p w14:paraId="1952262E">
      <w:pPr>
        <w:widowControl/>
        <w:shd w:val="clear" w:color="auto" w:fill="FFFFFF"/>
        <w:ind w:firstLine="964" w:firstLineChars="300"/>
        <w:rPr>
          <w:rFonts w:hint="eastAsia" w:ascii="宋体" w:hAnsi="宋体" w:eastAsia="宋体" w:cs="宋体"/>
          <w:color w:val="000000"/>
          <w:kern w:val="0"/>
          <w:sz w:val="32"/>
          <w:szCs w:val="32"/>
        </w:rPr>
      </w:pPr>
      <w:r>
        <w:rPr>
          <w:rFonts w:hint="eastAsia" w:ascii="宋体" w:hAnsi="宋体" w:eastAsia="宋体" w:cs="宋体"/>
          <w:b/>
          <w:color w:val="000000"/>
          <w:kern w:val="0"/>
          <w:sz w:val="32"/>
          <w:szCs w:val="32"/>
          <w:shd w:val="clear" w:color="auto" w:fill="FFFFFF"/>
        </w:rPr>
        <w:t>五、存在的主要问题及改进情况</w:t>
      </w:r>
    </w:p>
    <w:p w14:paraId="7F8F6C41">
      <w:pPr>
        <w:pStyle w:val="4"/>
        <w:shd w:val="clear" w:color="auto" w:fill="FFFFFF"/>
        <w:spacing w:before="0" w:beforeAutospacing="0" w:after="0" w:afterAutospacing="0" w:line="460" w:lineRule="atLeast"/>
        <w:ind w:firstLine="640"/>
        <w:jc w:val="both"/>
        <w:rPr>
          <w:rFonts w:ascii="Calibri" w:hAnsi="Calibri" w:cs="Calibri"/>
          <w:color w:val="000000"/>
        </w:rPr>
      </w:pPr>
      <w:r>
        <w:rPr>
          <w:rFonts w:hint="eastAsia" w:ascii="仿宋" w:hAnsi="仿宋" w:eastAsia="仿宋" w:cs="Calibri"/>
          <w:color w:val="000000"/>
          <w:sz w:val="32"/>
          <w:szCs w:val="32"/>
          <w:shd w:val="clear" w:color="auto" w:fill="FFFFFF"/>
        </w:rPr>
        <w:t>（一）上年度存在问题及改进情况。</w:t>
      </w:r>
    </w:p>
    <w:p w14:paraId="3C38E6A2">
      <w:pPr>
        <w:pStyle w:val="4"/>
        <w:shd w:val="clear" w:color="auto" w:fill="FFFFFF"/>
        <w:spacing w:before="0" w:beforeAutospacing="0" w:after="0" w:afterAutospacing="0" w:line="460" w:lineRule="atLeast"/>
        <w:ind w:firstLine="640"/>
        <w:jc w:val="both"/>
        <w:rPr>
          <w:rFonts w:hint="eastAsia" w:ascii="仿宋" w:hAnsi="仿宋" w:eastAsia="仿宋" w:cs="Calibri"/>
          <w:color w:val="000000"/>
          <w:sz w:val="32"/>
          <w:szCs w:val="32"/>
          <w:shd w:val="clear" w:color="auto" w:fill="FFFFFF"/>
        </w:rPr>
      </w:pPr>
      <w:r>
        <w:rPr>
          <w:rFonts w:hint="eastAsia" w:ascii="仿宋" w:hAnsi="仿宋" w:eastAsia="仿宋" w:cs="Calibri"/>
          <w:color w:val="000000"/>
          <w:sz w:val="32"/>
          <w:szCs w:val="32"/>
          <w:shd w:val="clear" w:color="auto" w:fill="FFFFFF"/>
        </w:rPr>
        <w:t>针对上年度政务公开工作部分公开内容不够规范、未突出重点，发布的部分信息与考核指标关联性不强，业务经办人员与各部门联系不够紧密等问题。</w:t>
      </w:r>
      <w:r>
        <w:rPr>
          <w:rFonts w:ascii="Times New Roman" w:hAnsi="Times New Roman" w:cs="Times New Roman"/>
          <w:color w:val="000000"/>
          <w:sz w:val="32"/>
          <w:szCs w:val="32"/>
          <w:shd w:val="clear" w:color="auto" w:fill="FFFFFF"/>
        </w:rPr>
        <w:t>202</w:t>
      </w:r>
      <w:r>
        <w:rPr>
          <w:rFonts w:hint="eastAsia" w:ascii="Times New Roman" w:hAnsi="Times New Roman" w:cs="Times New Roman"/>
          <w:color w:val="000000"/>
          <w:sz w:val="32"/>
          <w:szCs w:val="32"/>
          <w:shd w:val="clear" w:color="auto" w:fill="FFFFFF"/>
        </w:rPr>
        <w:t>4</w:t>
      </w:r>
      <w:r>
        <w:rPr>
          <w:rFonts w:hint="eastAsia" w:ascii="仿宋" w:hAnsi="仿宋" w:eastAsia="仿宋" w:cs="Calibri"/>
          <w:color w:val="000000"/>
          <w:sz w:val="32"/>
          <w:szCs w:val="32"/>
          <w:shd w:val="clear" w:color="auto" w:fill="FFFFFF"/>
        </w:rPr>
        <w:t>年，乡政务公开办坚持每季度最后一个月初召集相关部门业务经办人员进行工作交底。一是反馈上季度问题整改情况，二是对照考核指标，梳理信息缺项，三是汇报近期工作难点。此举不仅加强了乡政务公开办与各部门的联系，也让各部门业务经办人员对考核指标有了进一步了解和理解，努力做到了公开内容重点突出、条理清晰、不缺不漏。</w:t>
      </w:r>
    </w:p>
    <w:p w14:paraId="6DF4B9C7">
      <w:pPr>
        <w:pStyle w:val="4"/>
        <w:shd w:val="clear" w:color="auto" w:fill="FFFFFF"/>
        <w:spacing w:before="0" w:beforeAutospacing="0" w:after="0" w:afterAutospacing="0" w:line="460" w:lineRule="atLeast"/>
        <w:ind w:firstLine="640"/>
        <w:jc w:val="both"/>
        <w:rPr>
          <w:rFonts w:ascii="Calibri" w:hAnsi="Calibri" w:cs="Calibri"/>
          <w:color w:val="000000"/>
        </w:rPr>
      </w:pPr>
      <w:r>
        <w:rPr>
          <w:rFonts w:hint="eastAsia" w:ascii="仿宋" w:hAnsi="仿宋" w:eastAsia="仿宋" w:cs="Calibri"/>
          <w:color w:val="000000"/>
          <w:sz w:val="32"/>
          <w:szCs w:val="32"/>
          <w:shd w:val="clear" w:color="auto" w:fill="FFFFFF"/>
        </w:rPr>
        <w:t>（二）本年度存在问题。</w:t>
      </w:r>
    </w:p>
    <w:p w14:paraId="6087FAD5">
      <w:pPr>
        <w:pStyle w:val="4"/>
        <w:shd w:val="clear" w:color="auto" w:fill="FFFFFF"/>
        <w:spacing w:before="0" w:beforeAutospacing="0" w:after="0" w:afterAutospacing="0" w:line="460" w:lineRule="atLeast"/>
        <w:ind w:firstLine="640"/>
        <w:jc w:val="both"/>
        <w:rPr>
          <w:rFonts w:ascii="Calibri" w:hAnsi="Calibri" w:cs="Calibri"/>
          <w:color w:val="000000"/>
        </w:rPr>
      </w:pPr>
      <w:r>
        <w:rPr>
          <w:rFonts w:hint="eastAsia" w:ascii="仿宋" w:hAnsi="仿宋" w:eastAsia="仿宋" w:cs="Calibri"/>
          <w:color w:val="000000"/>
          <w:sz w:val="32"/>
          <w:szCs w:val="32"/>
          <w:shd w:val="clear" w:color="auto" w:fill="FFFFFF"/>
        </w:rPr>
        <w:t>1.</w:t>
      </w:r>
      <w:r>
        <w:rPr>
          <w:rFonts w:hint="eastAsia" w:ascii="仿宋" w:hAnsi="仿宋" w:eastAsia="仿宋"/>
          <w:color w:val="000000"/>
          <w:sz w:val="32"/>
          <w:szCs w:val="32"/>
          <w:shd w:val="clear" w:color="auto" w:fill="FFFFFF"/>
        </w:rPr>
        <w:t>政务公开专区利用度不高。2024年，未充分利用现有专区对群众关心关切的城乡居民医疗保险、养老保险、二轮土地延包等政策进行解读。</w:t>
      </w:r>
      <w:r>
        <w:rPr>
          <w:rFonts w:hint="eastAsia" w:ascii="仿宋" w:hAnsi="仿宋" w:eastAsia="仿宋"/>
          <w:color w:val="333333"/>
          <w:sz w:val="32"/>
          <w:szCs w:val="32"/>
          <w:shd w:val="clear" w:color="auto" w:fill="FFFFFF"/>
        </w:rPr>
        <w:t>2.政策解读质量不高。经办人员不理解政策解读内涵，目前政策解读大多存在于文字解读，少量采用PPT解读，解读质量不高、形式不丰富。</w:t>
      </w:r>
    </w:p>
    <w:p w14:paraId="5BAE9AD0">
      <w:pPr>
        <w:pStyle w:val="4"/>
        <w:shd w:val="clear" w:color="auto" w:fill="FFFFFF"/>
        <w:spacing w:before="0" w:beforeAutospacing="0" w:after="0" w:afterAutospacing="0" w:line="460" w:lineRule="atLeast"/>
        <w:ind w:firstLine="640"/>
        <w:jc w:val="both"/>
        <w:rPr>
          <w:rFonts w:ascii="Calibri" w:hAnsi="Calibri" w:cs="Calibri"/>
          <w:color w:val="000000"/>
        </w:rPr>
      </w:pPr>
      <w:r>
        <w:rPr>
          <w:rFonts w:hint="eastAsia" w:ascii="仿宋" w:hAnsi="仿宋" w:eastAsia="仿宋" w:cs="Calibri"/>
          <w:color w:val="000000"/>
          <w:sz w:val="32"/>
          <w:szCs w:val="32"/>
          <w:shd w:val="clear" w:color="auto" w:fill="FFFFFF"/>
        </w:rPr>
        <w:t>（三）下一步工作计划。</w:t>
      </w:r>
    </w:p>
    <w:p w14:paraId="54760ACF">
      <w:pPr>
        <w:pStyle w:val="4"/>
        <w:shd w:val="clear" w:color="auto" w:fill="FFFFFF"/>
        <w:spacing w:before="0" w:beforeAutospacing="0" w:after="0" w:afterAutospacing="0" w:line="460" w:lineRule="atLeast"/>
        <w:ind w:firstLine="620" w:firstLineChars="200"/>
        <w:jc w:val="both"/>
        <w:rPr>
          <w:rFonts w:ascii="Calibri" w:hAnsi="Calibri" w:cs="Calibri"/>
          <w:color w:val="000000"/>
        </w:rPr>
      </w:pPr>
      <w:r>
        <w:rPr>
          <w:rFonts w:hint="eastAsia" w:ascii="仿宋" w:hAnsi="仿宋" w:eastAsia="仿宋"/>
          <w:color w:val="000000"/>
          <w:sz w:val="31"/>
          <w:szCs w:val="31"/>
          <w:shd w:val="clear" w:color="auto" w:fill="FFFFFF"/>
        </w:rPr>
        <w:t>2025年度，我乡将采取以下措施进一步改进工作方法，提高工作成效。一是加大政务公开专区开发利用程度。在</w:t>
      </w:r>
      <w:r>
        <w:rPr>
          <w:rFonts w:hint="eastAsia" w:ascii="仿宋" w:hAnsi="仿宋" w:eastAsia="仿宋"/>
          <w:color w:val="000000"/>
          <w:sz w:val="31"/>
          <w:szCs w:val="31"/>
          <w:shd w:val="clear" w:color="auto" w:fill="FFFFFF"/>
          <w:lang w:eastAsia="zh-CN"/>
        </w:rPr>
        <w:t>“</w:t>
      </w:r>
      <w:r>
        <w:rPr>
          <w:rFonts w:hint="eastAsia" w:ascii="仿宋" w:hAnsi="仿宋" w:eastAsia="仿宋"/>
          <w:color w:val="000000"/>
          <w:sz w:val="31"/>
          <w:szCs w:val="31"/>
          <w:shd w:val="clear" w:color="auto" w:fill="FFFFFF"/>
          <w:lang w:val="en-US" w:eastAsia="zh-CN"/>
        </w:rPr>
        <w:t>4·15</w:t>
      </w:r>
      <w:r>
        <w:rPr>
          <w:rFonts w:hint="eastAsia" w:ascii="仿宋" w:hAnsi="仿宋" w:eastAsia="仿宋"/>
          <w:color w:val="000000"/>
          <w:sz w:val="31"/>
          <w:szCs w:val="31"/>
          <w:shd w:val="clear" w:color="auto" w:fill="FFFFFF"/>
          <w:lang w:eastAsia="zh-CN"/>
        </w:rPr>
        <w:t>”</w:t>
      </w:r>
      <w:r>
        <w:rPr>
          <w:rFonts w:hint="eastAsia" w:ascii="仿宋" w:hAnsi="仿宋" w:eastAsia="仿宋"/>
          <w:color w:val="000000"/>
          <w:sz w:val="31"/>
          <w:szCs w:val="31"/>
          <w:shd w:val="clear" w:color="auto" w:fill="FFFFFF"/>
        </w:rPr>
        <w:t>全民国家安全教育日、</w:t>
      </w:r>
      <w:r>
        <w:rPr>
          <w:rFonts w:hint="eastAsia" w:ascii="仿宋" w:hAnsi="仿宋" w:eastAsia="仿宋"/>
          <w:color w:val="000000"/>
          <w:sz w:val="31"/>
          <w:szCs w:val="31"/>
          <w:shd w:val="clear" w:color="auto" w:fill="FFFFFF"/>
          <w:lang w:eastAsia="zh-CN"/>
        </w:rPr>
        <w:t>“</w:t>
      </w:r>
      <w:r>
        <w:rPr>
          <w:rFonts w:hint="eastAsia" w:ascii="仿宋" w:hAnsi="仿宋" w:eastAsia="仿宋"/>
          <w:color w:val="000000"/>
          <w:sz w:val="31"/>
          <w:szCs w:val="31"/>
          <w:shd w:val="clear" w:color="auto" w:fill="FFFFFF"/>
          <w:lang w:val="en-US" w:eastAsia="zh-CN"/>
        </w:rPr>
        <w:t>10·16</w:t>
      </w:r>
      <w:r>
        <w:rPr>
          <w:rFonts w:hint="eastAsia" w:ascii="仿宋" w:hAnsi="仿宋" w:eastAsia="仿宋"/>
          <w:color w:val="000000"/>
          <w:sz w:val="31"/>
          <w:szCs w:val="31"/>
          <w:shd w:val="clear" w:color="auto" w:fill="FFFFFF"/>
          <w:lang w:eastAsia="zh-CN"/>
        </w:rPr>
        <w:t>”</w:t>
      </w:r>
      <w:r>
        <w:rPr>
          <w:rFonts w:hint="eastAsia" w:ascii="仿宋" w:hAnsi="仿宋" w:eastAsia="仿宋"/>
          <w:color w:val="000000"/>
          <w:sz w:val="31"/>
          <w:szCs w:val="31"/>
          <w:shd w:val="clear" w:color="auto" w:fill="FFFFFF"/>
        </w:rPr>
        <w:t>世界粮食日等重要时间节点开展各类宣传宣讲，提高群众政策知晓率、知识普及率。</w:t>
      </w:r>
      <w:r>
        <w:rPr>
          <w:rFonts w:hint="eastAsia" w:ascii="仿宋" w:hAnsi="仿宋" w:eastAsia="仿宋"/>
          <w:color w:val="333333"/>
          <w:sz w:val="31"/>
          <w:szCs w:val="31"/>
          <w:shd w:val="clear" w:color="auto" w:fill="FFFFFF"/>
        </w:rPr>
        <w:t>二是多形式做好政策解读工作。向政策解读形式多样化的乡镇学习同时借助软件力量，进一步将政策文件讲清楚、说明白，更加通俗易懂。</w:t>
      </w:r>
    </w:p>
    <w:p w14:paraId="4F897A98">
      <w:pPr>
        <w:widowControl/>
        <w:shd w:val="clear" w:color="auto" w:fill="FFFFFF"/>
        <w:ind w:firstLine="643" w:firstLineChars="200"/>
        <w:rPr>
          <w:rFonts w:hint="eastAsia" w:ascii="宋体" w:hAnsi="宋体" w:eastAsia="宋体" w:cs="宋体"/>
          <w:color w:val="000000"/>
          <w:kern w:val="0"/>
          <w:sz w:val="32"/>
          <w:szCs w:val="32"/>
        </w:rPr>
      </w:pPr>
      <w:r>
        <w:rPr>
          <w:rFonts w:hint="eastAsia" w:ascii="宋体" w:hAnsi="宋体" w:eastAsia="宋体" w:cs="宋体"/>
          <w:b/>
          <w:color w:val="000000"/>
          <w:kern w:val="0"/>
          <w:sz w:val="32"/>
          <w:szCs w:val="32"/>
          <w:shd w:val="clear" w:color="auto" w:fill="FFFFFF"/>
        </w:rPr>
        <w:t>六、其他需要报告的事项</w:t>
      </w:r>
    </w:p>
    <w:p w14:paraId="6830F96D">
      <w:pPr>
        <w:widowControl/>
        <w:shd w:val="clear" w:color="auto" w:fill="FFFFFF"/>
        <w:ind w:firstLine="620" w:firstLineChars="200"/>
        <w:jc w:val="left"/>
      </w:pPr>
      <w:r>
        <w:rPr>
          <w:rFonts w:hint="eastAsia" w:ascii="方正仿宋_GBK" w:eastAsia="方正仿宋_GBK"/>
          <w:color w:val="333333"/>
          <w:sz w:val="31"/>
          <w:szCs w:val="31"/>
          <w:shd w:val="clear" w:color="auto" w:fill="FFFFFF"/>
        </w:rPr>
        <w:t>按照《国务院办公厅关于印发〈政府信息公开信息处理费管理办法〉的通知》（国办函〔2020〕109号）规定的按件、按量收费标准，本年度没有产生信息公开处理费。</w:t>
      </w:r>
    </w:p>
    <w:sectPr>
      <w:footerReference r:id="rId3" w:type="default"/>
      <w:footerReference r:id="rId4" w:type="even"/>
      <w:pgSz w:w="11906" w:h="16838"/>
      <w:pgMar w:top="1814" w:right="1474" w:bottom="1264" w:left="1588" w:header="851" w:footer="102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_GB2312">
    <w:altName w:val="宋体"/>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DB1D5">
    <w:pPr>
      <w:tabs>
        <w:tab w:val="center" w:pos="4153"/>
        <w:tab w:val="right" w:pos="8306"/>
      </w:tabs>
      <w:snapToGrid w:val="0"/>
      <w:jc w:val="right"/>
      <w:rPr>
        <w:rFonts w:ascii="仿宋_GB2312" w:hAnsi="Times New Roman" w:eastAsia="仿宋_GB2312" w:cs="Times New Roman"/>
        <w:sz w:val="28"/>
        <w:szCs w:val="28"/>
      </w:rPr>
    </w:pPr>
    <w:r>
      <w:rPr>
        <w:rFonts w:ascii="仿宋_GB2312" w:hAnsi="Times New Roman" w:eastAsia="仿宋_GB2312" w:cs="Times New Roman"/>
        <w:sz w:val="28"/>
        <w:szCs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F1B2F1E">
                          <w:pPr>
                            <w:tabs>
                              <w:tab w:val="center" w:pos="4153"/>
                              <w:tab w:val="right" w:pos="8306"/>
                            </w:tabs>
                            <w:snapToGrid w:val="0"/>
                            <w:jc w:val="right"/>
                            <w:rPr>
                              <w:rFonts w:ascii="仿宋_GB2312" w:hAnsi="Times New Roman" w:eastAsia="仿宋_GB2312" w:cs="Times New Roman"/>
                              <w:sz w:val="18"/>
                              <w:szCs w:val="1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fldChar w:fldCharType="begin"/>
                          </w:r>
                          <w:r>
                            <w:rPr>
                              <w:rFonts w:ascii="仿宋_GB2312" w:hAnsi="Times New Roman" w:eastAsia="仿宋_GB2312" w:cs="Times New Roman"/>
                              <w:sz w:val="28"/>
                              <w:szCs w:val="28"/>
                            </w:rPr>
                            <w:instrText xml:space="preserve"> PAGE </w:instrText>
                          </w:r>
                          <w:r>
                            <w:rPr>
                              <w:rFonts w:ascii="仿宋_GB2312" w:hAnsi="Times New Roman" w:eastAsia="仿宋_GB2312" w:cs="Times New Roman"/>
                              <w:sz w:val="28"/>
                              <w:szCs w:val="28"/>
                            </w:rPr>
                            <w:fldChar w:fldCharType="separate"/>
                          </w:r>
                          <w:r>
                            <w:rPr>
                              <w:rFonts w:ascii="仿宋_GB2312" w:hAnsi="Times New Roman" w:eastAsia="仿宋_GB2312" w:cs="Times New Roman"/>
                              <w:sz w:val="28"/>
                              <w:szCs w:val="28"/>
                            </w:rPr>
                            <w:t>7</w:t>
                          </w:r>
                          <w:r>
                            <w:rPr>
                              <w:rFonts w:ascii="仿宋_GB2312" w:hAnsi="Times New Roman" w:eastAsia="仿宋_GB2312" w:cs="Times New Roman"/>
                              <w:sz w:val="28"/>
                              <w:szCs w:val="28"/>
                            </w:rPr>
                            <w:fldChar w:fldCharType="end"/>
                          </w:r>
                          <w:r>
                            <w:rPr>
                              <w:rFonts w:hint="eastAsia" w:ascii="仿宋_GB2312" w:hAnsi="Times New Roman" w:eastAsia="仿宋_GB2312" w:cs="Times New Roman"/>
                              <w:sz w:val="28"/>
                              <w:szCs w:val="28"/>
                            </w:rPr>
                            <w:t>-</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N2uBqfmAQAAyQMA&#10;AA4AAAAAAAAAAQAgAAAAHgEAAGRycy9lMm9Eb2MueG1sUEsFBgAAAAAGAAYAWQEAAHYFAAAAAA==&#10;">
              <v:fill on="f" focussize="0,0"/>
              <v:stroke on="f"/>
              <v:imagedata o:title=""/>
              <o:lock v:ext="edit" aspectratio="f"/>
              <v:textbox inset="0mm,0mm,0mm,0mm" style="mso-fit-shape-to-text:t;">
                <w:txbxContent>
                  <w:p w14:paraId="4F1B2F1E">
                    <w:pPr>
                      <w:tabs>
                        <w:tab w:val="center" w:pos="4153"/>
                        <w:tab w:val="right" w:pos="8306"/>
                      </w:tabs>
                      <w:snapToGrid w:val="0"/>
                      <w:jc w:val="right"/>
                      <w:rPr>
                        <w:rFonts w:ascii="仿宋_GB2312" w:hAnsi="Times New Roman" w:eastAsia="仿宋_GB2312" w:cs="Times New Roman"/>
                        <w:sz w:val="18"/>
                        <w:szCs w:val="1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fldChar w:fldCharType="begin"/>
                    </w:r>
                    <w:r>
                      <w:rPr>
                        <w:rFonts w:ascii="仿宋_GB2312" w:hAnsi="Times New Roman" w:eastAsia="仿宋_GB2312" w:cs="Times New Roman"/>
                        <w:sz w:val="28"/>
                        <w:szCs w:val="28"/>
                      </w:rPr>
                      <w:instrText xml:space="preserve"> PAGE </w:instrText>
                    </w:r>
                    <w:r>
                      <w:rPr>
                        <w:rFonts w:ascii="仿宋_GB2312" w:hAnsi="Times New Roman" w:eastAsia="仿宋_GB2312" w:cs="Times New Roman"/>
                        <w:sz w:val="28"/>
                        <w:szCs w:val="28"/>
                      </w:rPr>
                      <w:fldChar w:fldCharType="separate"/>
                    </w:r>
                    <w:r>
                      <w:rPr>
                        <w:rFonts w:ascii="仿宋_GB2312" w:hAnsi="Times New Roman" w:eastAsia="仿宋_GB2312" w:cs="Times New Roman"/>
                        <w:sz w:val="28"/>
                        <w:szCs w:val="28"/>
                      </w:rPr>
                      <w:t>7</w:t>
                    </w:r>
                    <w:r>
                      <w:rPr>
                        <w:rFonts w:ascii="仿宋_GB2312" w:hAnsi="Times New Roman" w:eastAsia="仿宋_GB2312" w:cs="Times New Roman"/>
                        <w:sz w:val="28"/>
                        <w:szCs w:val="28"/>
                      </w:rPr>
                      <w:fldChar w:fldCharType="end"/>
                    </w:r>
                    <w:r>
                      <w:rPr>
                        <w:rFonts w:hint="eastAsia" w:ascii="仿宋_GB2312" w:hAnsi="Times New Roman" w:eastAsia="仿宋_GB2312" w:cs="Times New Roman"/>
                        <w:sz w:val="28"/>
                        <w:szCs w:val="28"/>
                      </w:rPr>
                      <w:t>-</w:t>
                    </w:r>
                  </w:p>
                </w:txbxContent>
              </v:textbox>
            </v:shape>
          </w:pict>
        </mc:Fallback>
      </mc:AlternateContent>
    </w:r>
  </w:p>
  <w:p w14:paraId="3F9C0555">
    <w:pPr>
      <w:rPr>
        <w:rFonts w:ascii="仿宋_GB2312" w:hAnsi="Times New Roman" w:eastAsia="仿宋_GB2312" w:cs="Times New Roman"/>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2C683">
    <w:pPr>
      <w:tabs>
        <w:tab w:val="center" w:pos="4153"/>
        <w:tab w:val="right" w:pos="8306"/>
      </w:tabs>
      <w:snapToGrid w:val="0"/>
      <w:ind w:right="360" w:firstLine="360"/>
      <w:jc w:val="left"/>
      <w:rPr>
        <w:rFonts w:ascii="仿宋_GB2312" w:hAnsi="Times New Roman" w:eastAsia="仿宋_GB2312" w:cs="Times New Roman"/>
        <w:sz w:val="28"/>
        <w:szCs w:val="28"/>
      </w:rPr>
    </w:pPr>
    <w:r>
      <w:rPr>
        <w:rFonts w:ascii="仿宋_GB2312" w:hAnsi="Times New Roman" w:eastAsia="仿宋_GB2312" w:cs="Times New Roman"/>
        <w:sz w:val="28"/>
        <w:szCs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17FEF9E">
                          <w:pPr>
                            <w:tabs>
                              <w:tab w:val="center" w:pos="4153"/>
                              <w:tab w:val="right" w:pos="8306"/>
                            </w:tabs>
                            <w:snapToGrid w:val="0"/>
                            <w:jc w:val="left"/>
                            <w:rPr>
                              <w:rFonts w:hint="eastAsia" w:ascii="宋体" w:hAnsi="宋体" w:eastAsia="宋体" w:cs="宋体"/>
                              <w:sz w:val="28"/>
                              <w:szCs w:val="28"/>
                            </w:rPr>
                          </w:pPr>
                          <w:r>
                            <w:rPr>
                              <w:rFonts w:hint="eastAsia" w:ascii="仿宋_GB2312" w:hAnsi="Times New Roman" w:eastAsia="仿宋_GB2312" w:cs="Times New Roman"/>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JYlO8XmAQAAyQMA&#10;AA4AAAAAAAAAAQAgAAAAHgEAAGRycy9lMm9Eb2MueG1sUEsFBgAAAAAGAAYAWQEAAHYFAAAAAA==&#10;">
              <v:fill on="f" focussize="0,0"/>
              <v:stroke on="f"/>
              <v:imagedata o:title=""/>
              <o:lock v:ext="edit" aspectratio="f"/>
              <v:textbox inset="0mm,0mm,0mm,0mm" style="mso-fit-shape-to-text:t;">
                <w:txbxContent>
                  <w:p w14:paraId="417FEF9E">
                    <w:pPr>
                      <w:tabs>
                        <w:tab w:val="center" w:pos="4153"/>
                        <w:tab w:val="right" w:pos="8306"/>
                      </w:tabs>
                      <w:snapToGrid w:val="0"/>
                      <w:jc w:val="left"/>
                      <w:rPr>
                        <w:rFonts w:hint="eastAsia" w:ascii="宋体" w:hAnsi="宋体" w:eastAsia="宋体" w:cs="宋体"/>
                        <w:sz w:val="28"/>
                        <w:szCs w:val="28"/>
                      </w:rPr>
                    </w:pPr>
                    <w:r>
                      <w:rPr>
                        <w:rFonts w:hint="eastAsia" w:ascii="仿宋_GB2312" w:hAnsi="Times New Roman" w:eastAsia="仿宋_GB2312" w:cs="Times New Roman"/>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p w14:paraId="7166617C">
    <w:pPr>
      <w:rPr>
        <w:rFonts w:ascii="仿宋_GB2312" w:hAnsi="Times New Roman" w:eastAsia="仿宋_GB2312" w:cs="Times New Roman"/>
        <w:sz w:val="32"/>
        <w:szCs w:val="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5778D"/>
    <w:multiLevelType w:val="multilevel"/>
    <w:tmpl w:val="5995778D"/>
    <w:lvl w:ilvl="0" w:tentative="0">
      <w:start w:val="1"/>
      <w:numFmt w:val="japaneseCounting"/>
      <w:lvlText w:val="%1、"/>
      <w:lvlJc w:val="left"/>
      <w:pPr>
        <w:ind w:left="1684" w:hanging="720"/>
      </w:pPr>
      <w:rPr>
        <w:rFonts w:hint="default"/>
      </w:rPr>
    </w:lvl>
    <w:lvl w:ilvl="1" w:tentative="0">
      <w:start w:val="1"/>
      <w:numFmt w:val="lowerLetter"/>
      <w:lvlText w:val="%2)"/>
      <w:lvlJc w:val="left"/>
      <w:pPr>
        <w:ind w:left="1844" w:hanging="440"/>
      </w:pPr>
    </w:lvl>
    <w:lvl w:ilvl="2" w:tentative="0">
      <w:start w:val="1"/>
      <w:numFmt w:val="lowerRoman"/>
      <w:lvlText w:val="%3."/>
      <w:lvlJc w:val="right"/>
      <w:pPr>
        <w:ind w:left="2284" w:hanging="440"/>
      </w:pPr>
    </w:lvl>
    <w:lvl w:ilvl="3" w:tentative="0">
      <w:start w:val="1"/>
      <w:numFmt w:val="decimal"/>
      <w:lvlText w:val="%4."/>
      <w:lvlJc w:val="left"/>
      <w:pPr>
        <w:ind w:left="2724" w:hanging="440"/>
      </w:pPr>
    </w:lvl>
    <w:lvl w:ilvl="4" w:tentative="0">
      <w:start w:val="1"/>
      <w:numFmt w:val="lowerLetter"/>
      <w:lvlText w:val="%5)"/>
      <w:lvlJc w:val="left"/>
      <w:pPr>
        <w:ind w:left="3164" w:hanging="440"/>
      </w:pPr>
    </w:lvl>
    <w:lvl w:ilvl="5" w:tentative="0">
      <w:start w:val="1"/>
      <w:numFmt w:val="lowerRoman"/>
      <w:lvlText w:val="%6."/>
      <w:lvlJc w:val="right"/>
      <w:pPr>
        <w:ind w:left="3604" w:hanging="440"/>
      </w:pPr>
    </w:lvl>
    <w:lvl w:ilvl="6" w:tentative="0">
      <w:start w:val="1"/>
      <w:numFmt w:val="decimal"/>
      <w:lvlText w:val="%7."/>
      <w:lvlJc w:val="left"/>
      <w:pPr>
        <w:ind w:left="4044" w:hanging="440"/>
      </w:pPr>
    </w:lvl>
    <w:lvl w:ilvl="7" w:tentative="0">
      <w:start w:val="1"/>
      <w:numFmt w:val="lowerLetter"/>
      <w:lvlText w:val="%8)"/>
      <w:lvlJc w:val="left"/>
      <w:pPr>
        <w:ind w:left="4484" w:hanging="440"/>
      </w:pPr>
    </w:lvl>
    <w:lvl w:ilvl="8" w:tentative="0">
      <w:start w:val="1"/>
      <w:numFmt w:val="lowerRoman"/>
      <w:lvlText w:val="%9."/>
      <w:lvlJc w:val="right"/>
      <w:pPr>
        <w:ind w:left="4924"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A63"/>
    <w:rsid w:val="00071012"/>
    <w:rsid w:val="000C3CDC"/>
    <w:rsid w:val="001B4E86"/>
    <w:rsid w:val="00251FFB"/>
    <w:rsid w:val="002D7BF5"/>
    <w:rsid w:val="00394F9C"/>
    <w:rsid w:val="003A328B"/>
    <w:rsid w:val="003A54D6"/>
    <w:rsid w:val="00432833"/>
    <w:rsid w:val="00433F56"/>
    <w:rsid w:val="0044012F"/>
    <w:rsid w:val="004F47A5"/>
    <w:rsid w:val="00503CF7"/>
    <w:rsid w:val="005479EE"/>
    <w:rsid w:val="00562AF4"/>
    <w:rsid w:val="00612041"/>
    <w:rsid w:val="00616D85"/>
    <w:rsid w:val="00660B56"/>
    <w:rsid w:val="006E1A3D"/>
    <w:rsid w:val="00724EAD"/>
    <w:rsid w:val="00741F07"/>
    <w:rsid w:val="008420C3"/>
    <w:rsid w:val="0085765A"/>
    <w:rsid w:val="00881CC6"/>
    <w:rsid w:val="008A7912"/>
    <w:rsid w:val="009C79F1"/>
    <w:rsid w:val="009D406E"/>
    <w:rsid w:val="009E0CFF"/>
    <w:rsid w:val="00A47A63"/>
    <w:rsid w:val="00A51358"/>
    <w:rsid w:val="00A56B65"/>
    <w:rsid w:val="00AB39D7"/>
    <w:rsid w:val="00B136E9"/>
    <w:rsid w:val="00B47595"/>
    <w:rsid w:val="00B813F6"/>
    <w:rsid w:val="00BA24AD"/>
    <w:rsid w:val="00D96222"/>
    <w:rsid w:val="00DA2B38"/>
    <w:rsid w:val="00E46838"/>
    <w:rsid w:val="00EE2289"/>
    <w:rsid w:val="00EE3B74"/>
    <w:rsid w:val="00F01B11"/>
    <w:rsid w:val="00F045BE"/>
    <w:rsid w:val="00F10F10"/>
    <w:rsid w:val="00F9294F"/>
    <w:rsid w:val="00F95E45"/>
    <w:rsid w:val="00FD6FE7"/>
    <w:rsid w:val="20E56222"/>
    <w:rsid w:val="29A07F11"/>
    <w:rsid w:val="33051111"/>
    <w:rsid w:val="484C7D5F"/>
    <w:rsid w:val="4DFE60A9"/>
    <w:rsid w:val="52EA3518"/>
    <w:rsid w:val="5A862E7C"/>
    <w:rsid w:val="5F7E61A3"/>
    <w:rsid w:val="61744FEB"/>
    <w:rsid w:val="68F634E8"/>
    <w:rsid w:val="6CEA1A52"/>
    <w:rsid w:val="FF714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List Paragraph"/>
    <w:basedOn w:val="1"/>
    <w:unhideWhenUsed/>
    <w:qFormat/>
    <w:uiPriority w:val="99"/>
    <w:pPr>
      <w:ind w:firstLine="420" w:firstLineChars="200"/>
    </w:p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449</Words>
  <Characters>2564</Characters>
  <Lines>21</Lines>
  <Paragraphs>6</Paragraphs>
  <TotalTime>0</TotalTime>
  <ScaleCrop>false</ScaleCrop>
  <LinksUpToDate>false</LinksUpToDate>
  <CharactersWithSpaces>3007</CharactersWithSpaces>
  <Application>WPS Office_12.8.2.1117_F1E327BC-269C-435d-A152-05C5408002CA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2025-01-07T10:25:00Z</dcterms:created>
  <dc:creator>Administrator</dc:creator>
  <cp:lastModifiedBy>suma</cp:lastModifiedBy>
  <cp:lastPrinted>2025-01-14T09:07:00Z</cp:lastPrinted>
  <dcterms:modified xsi:type="dcterms:W3CDTF">2025-02-24T11:25:55Z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2052-12.8.2.1117</vt:lpwstr>
  </property>
  <property fmtid="{D5CDD505-2E9C-101B-9397-08002B2CF9AE}" pid="3" name="ICV">
    <vt:lpwstr>B56FD13E00D77A1EC3E6BB67CC09E1FB_43</vt:lpwstr>
  </property>
  <property fmtid="{D5CDD505-2E9C-101B-9397-08002B2CF9AE}" pid="4" name="KSOTemplateDocerSaveRecord">
    <vt:lpwstr>eyJoZGlkIjoiNzljOGUzOGY0YzZiZmIwNTZkNzI5NDgwYjQ0OGRkYjkiLCJ1c2VySWQiOiIyNjYzMzE2ODcifQ==</vt:lpwstr>
  </property>
</Properties>
</file>