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</w:p>
    <w:p w14:paraId="76BCA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安徽华芯塑业有限公司年产300万件电动车塑料电池盒及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其它配件项目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安徽华芯塑业有限公司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年产300万件电动车塑料电池盒及其它配件项目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代码：2412-341524-04-01-505759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项目租赁位于安徽金寨经济开发区（现代产业园区）华雅生物科技(安徽)有限公司现有1#闲置厂房，建筑面积约6000平方米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项目主体工程设置成品区、原料区、注塑区，购置注塑机、干燥机、吸料机等生产设备，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10000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后可形成年产300万件电动车塑料电池盒及其它配件的生产能力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79FF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生活污水经厂区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汇同冷却循环水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金寨县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6016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2.严格落实《报告表》中提出的各项废气污染防治措施，注塑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/>
        </w:rPr>
        <w:t>废气：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经集气罩收集由二级活性炭吸附装置处理后须通过</w:t>
      </w:r>
      <w:r>
        <w:rPr>
          <w:rFonts w:hint="eastAsia" w:eastAsia="仿宋_GB2312"/>
          <w:color w:val="000000"/>
          <w:kern w:val="10"/>
          <w:sz w:val="32"/>
          <w:szCs w:val="32"/>
        </w:rPr>
        <w:t>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根不低于</w:t>
      </w:r>
      <w:r>
        <w:rPr>
          <w:rFonts w:hint="eastAsia" w:eastAsia="仿宋_GB2312"/>
          <w:color w:val="000000"/>
          <w:kern w:val="10"/>
          <w:sz w:val="32"/>
          <w:szCs w:val="32"/>
        </w:rPr>
        <w:t>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5m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高排气筒（DA001）达标排放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破碎粉尘：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经集气罩收集由布袋除尘器处理后无组织达标排放。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厂区应加强生产管理、设备检修等，确保厂界无组织排放大气污染物达标。活性炭应按使用周期要求及时更换。</w:t>
      </w:r>
    </w:p>
    <w:p w14:paraId="16DDA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项目废气中有组织排放的非甲烷总烃、苯乙烯，厂界无组织丙烯腈执行《固定源挥发性有机物综合排放标准 第6部分：其他行业》（DB34/4812.6-2024）中相关限值要求；有组织排放的丙烯腈，厂界无组织排放的非甲烷总烃、颗粒物排放执行《合成树脂工业污染物排放标准》（GB31572-2015）中相关排放限值要求，无组织苯乙烯排放执行《恶臭污染物排放标准》(GB14554-93)中相关排放限值要求；厂区内无组织排放的非甲烷总烃执行《挥发性有机物无组织排放控制标准》（GB37822-2019）中特别排放限值要求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3.通过优化生产车间设备布局、选用低噪声设备、安装减振基座和建筑隔声等措施减小噪声污染，确保厂区边界噪声达到《工业企业厂界环境噪声排放标准》（GB12348-2008）中3类标准要求。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4.做好固体废物的分类暂存、转运、无害化处置工作。一般工业固废综合利用；生活垃圾交由环卫部门统一处置；废活性炭、废机油等危险废物应按照《危险废物贮存污染控制标准》（GB18597-2023）《危险废物识别标志设施技术规范》（HJ1276-2022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6.严格落实《报告表》中提出的各项环境风险防范措施，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安徽华芯塑业有限公司年产300万件电动车塑料电池盒及其它配件项目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7C36FE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5D7B4E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1885674E">
      <w:pPr>
        <w:rPr>
          <w:rFonts w:hint="eastAsia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68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10"/>
          <w:sz w:val="32"/>
          <w:szCs w:val="32"/>
        </w:rPr>
        <w:t>月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kern w:val="10"/>
          <w:sz w:val="32"/>
          <w:szCs w:val="32"/>
        </w:rPr>
        <w:t>日</w:t>
      </w:r>
    </w:p>
    <w:p w14:paraId="1C879DF9"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hint="default"/>
          <w:lang w:val="en-US" w:eastAsia="zh-CN"/>
        </w:rPr>
      </w:pPr>
    </w:p>
    <w:p w14:paraId="3CD27D4E">
      <w:pPr>
        <w:rPr>
          <w:rFonts w:hint="default"/>
          <w:lang w:val="en-US" w:eastAsia="zh-CN"/>
        </w:rPr>
      </w:pPr>
    </w:p>
    <w:p w14:paraId="1D6A7FB1">
      <w:pPr>
        <w:rPr>
          <w:rFonts w:hint="default"/>
          <w:lang w:val="en-US" w:eastAsia="zh-CN"/>
        </w:rPr>
      </w:pPr>
    </w:p>
    <w:p w14:paraId="7D51EAFD">
      <w:pPr>
        <w:rPr>
          <w:rFonts w:hint="default"/>
          <w:lang w:val="en-US" w:eastAsia="zh-CN"/>
        </w:rPr>
      </w:pPr>
    </w:p>
    <w:p w14:paraId="722097D1">
      <w:pPr>
        <w:rPr>
          <w:rFonts w:hint="default"/>
          <w:lang w:val="en-US" w:eastAsia="zh-CN"/>
        </w:rPr>
      </w:pPr>
    </w:p>
    <w:p w14:paraId="02C4F153">
      <w:pPr>
        <w:rPr>
          <w:rFonts w:hint="default"/>
          <w:lang w:val="en-US" w:eastAsia="zh-CN"/>
        </w:rPr>
      </w:pPr>
    </w:p>
    <w:p w14:paraId="296288C1">
      <w:pPr>
        <w:rPr>
          <w:rFonts w:hint="default"/>
          <w:lang w:val="en-US" w:eastAsia="zh-CN"/>
        </w:rPr>
      </w:pPr>
    </w:p>
    <w:p w14:paraId="11680C05">
      <w:pPr>
        <w:rPr>
          <w:rFonts w:hint="default"/>
          <w:lang w:val="en-US" w:eastAsia="zh-CN"/>
        </w:rPr>
      </w:pPr>
    </w:p>
    <w:p w14:paraId="4AB1ECC8">
      <w:pPr>
        <w:rPr>
          <w:rFonts w:hint="default"/>
          <w:lang w:val="en-US" w:eastAsia="zh-CN"/>
        </w:rPr>
      </w:pPr>
    </w:p>
    <w:p w14:paraId="772178AB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50" w:tblpY="10440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0D8580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6BBF4946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202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日印发</w:t>
            </w:r>
          </w:p>
        </w:tc>
      </w:tr>
    </w:tbl>
    <w:p w14:paraId="5C1B2E6D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D3C50DE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7052F4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467557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AF31DB9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BB360D7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1452</Words>
  <Characters>1596</Characters>
  <Lines>7</Lines>
  <Paragraphs>2</Paragraphs>
  <TotalTime>7</TotalTime>
  <ScaleCrop>false</ScaleCrop>
  <LinksUpToDate>false</LinksUpToDate>
  <CharactersWithSpaces>5968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2025-02-10T01:16:53Z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