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ind w:firstLine="300" w:firstLineChars="100"/>
        <w:jc w:val="left"/>
        <w:rPr>
          <w:rFonts w:ascii="黑体" w:hAnsi="黑体" w:eastAsia="黑体" w:cs="黑体"/>
          <w:sz w:val="30"/>
          <w:szCs w:val="30"/>
        </w:rPr>
      </w:pPr>
      <w:bookmarkStart w:id="0" w:name="_GoBack"/>
      <w:bookmarkEnd w:id="0"/>
    </w:p>
    <w:p>
      <w:pPr>
        <w:pStyle w:val="6"/>
        <w:ind w:firstLine="600"/>
        <w:jc w:val="center"/>
      </w:pPr>
      <w:r>
        <w:rPr>
          <w:rFonts w:hint="eastAsia" w:ascii="黑体" w:hAnsi="黑体" w:eastAsia="黑体" w:cs="黑体"/>
          <w:sz w:val="30"/>
          <w:szCs w:val="30"/>
        </w:rPr>
        <w:t>六安市民办非企业单位评估指标及评分细则（试行）</w:t>
      </w:r>
    </w:p>
    <w:tbl>
      <w:tblPr>
        <w:tblStyle w:val="4"/>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37"/>
        <w:gridCol w:w="1297"/>
        <w:gridCol w:w="790"/>
        <w:gridCol w:w="1338"/>
        <w:gridCol w:w="5189"/>
        <w:gridCol w:w="994"/>
        <w:gridCol w:w="125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41"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一级指标</w:t>
            </w:r>
          </w:p>
        </w:tc>
        <w:tc>
          <w:tcPr>
            <w:tcW w:w="1237"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二级指标</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三级指标</w:t>
            </w:r>
          </w:p>
        </w:tc>
        <w:tc>
          <w:tcPr>
            <w:tcW w:w="790"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序号</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四级指标</w:t>
            </w:r>
          </w:p>
        </w:tc>
        <w:tc>
          <w:tcPr>
            <w:tcW w:w="5189"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五级指标</w:t>
            </w:r>
          </w:p>
        </w:tc>
        <w:tc>
          <w:tcPr>
            <w:tcW w:w="994"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自评分</w:t>
            </w:r>
          </w:p>
        </w:tc>
        <w:tc>
          <w:tcPr>
            <w:tcW w:w="1256" w:type="dxa"/>
            <w:vAlign w:val="center"/>
          </w:tcPr>
          <w:p>
            <w:pPr>
              <w:widowControl/>
              <w:jc w:val="center"/>
              <w:textAlignment w:val="center"/>
              <w:rPr>
                <w:rFonts w:ascii="宋体"/>
                <w:color w:val="000000" w:themeColor="text1"/>
                <w:sz w:val="18"/>
              </w:rPr>
            </w:pPr>
            <w:r>
              <w:rPr>
                <w:rFonts w:hint="eastAsia" w:ascii="宋体" w:hAnsi="宋体" w:cs="宋体"/>
                <w:b/>
                <w:color w:val="000000" w:themeColor="text1"/>
                <w:kern w:val="0"/>
                <w:sz w:val="24"/>
              </w:rPr>
              <w:t>专家评分</w:t>
            </w:r>
          </w:p>
        </w:tc>
        <w:tc>
          <w:tcPr>
            <w:tcW w:w="1298" w:type="dxa"/>
            <w:vAlign w:val="center"/>
          </w:tcPr>
          <w:p>
            <w:pPr>
              <w:widowControl/>
              <w:jc w:val="center"/>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基础条件（100分）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法人资格（35分）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法人资格（35分）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法定资格</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1</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名称牌匾</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□名称牌匾悬挂于办公场所外或门厅处（3分）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□名称牌匾悬挂于办公场所内（1分）                                                      □未悬挂名称牌匾（0分）</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2</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登记证书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正本</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□登记证书正本有专人保管，且证书正本悬挂于办公场所，使用规范（5分）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□登记证书正本无专人保管，证书正本未悬挂于门办公场所，或未规范使用（0分）  </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3</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单位印章                     (2分)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□有公章、财务专用章(2分)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□无公章或财务专用章(0分)</w:t>
            </w:r>
          </w:p>
        </w:tc>
        <w:tc>
          <w:tcPr>
            <w:tcW w:w="994" w:type="dxa"/>
            <w:vAlign w:val="center"/>
          </w:tcPr>
          <w:p>
            <w:pPr>
              <w:rPr>
                <w:rFonts w:ascii="宋体"/>
                <w:color w:val="000000" w:themeColor="text1"/>
                <w:sz w:val="18"/>
              </w:rPr>
            </w:pPr>
          </w:p>
        </w:tc>
        <w:tc>
          <w:tcPr>
            <w:tcW w:w="1256" w:type="dxa"/>
            <w:vAlign w:val="center"/>
          </w:tcPr>
          <w:p>
            <w:pPr>
              <w:rPr>
                <w:rFonts w:ascii="宋体"/>
                <w:color w:val="000000" w:themeColor="text1"/>
                <w:sz w:val="18"/>
              </w:rPr>
            </w:pPr>
          </w:p>
        </w:tc>
        <w:tc>
          <w:tcPr>
            <w:tcW w:w="1298" w:type="dxa"/>
            <w:vAlign w:val="center"/>
          </w:tcPr>
          <w:p>
            <w:pPr>
              <w:rPr>
                <w:rFonts w:ascii="宋体"/>
                <w:color w:val="000000" w:themeColor="text1"/>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1" w:type="dxa"/>
            <w:vMerge w:val="continue"/>
          </w:tcPr>
          <w:p>
            <w:pPr>
              <w:pStyle w:val="6"/>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办公条件</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4</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办公面积           （5分）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□办公面积150平米及以上(5分)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□办公面积100平米及以上(3分)                                                                                                   □办公面积100平米以下(2分)                                                             □无办公场所（0分）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241" w:type="dxa"/>
            <w:vMerge w:val="continue"/>
          </w:tcPr>
          <w:p>
            <w:pPr>
              <w:pStyle w:val="6"/>
              <w:rPr>
                <w:color w:val="000000" w:themeColor="text1"/>
                <w:szCs w:val="18"/>
              </w:rPr>
            </w:pPr>
          </w:p>
        </w:tc>
        <w:tc>
          <w:tcPr>
            <w:tcW w:w="1237" w:type="dxa"/>
            <w:vMerge w:val="continue"/>
          </w:tcPr>
          <w:p>
            <w:pPr>
              <w:pStyle w:val="6"/>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5</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办公用房        （3分）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□自有产权，能提供产权证明；租赁，提供租赁合同；无偿使用，且独立办公(2分)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□与其他单位合署办公或其他情况(0分)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6</w:t>
            </w:r>
          </w:p>
        </w:tc>
        <w:tc>
          <w:tcPr>
            <w:tcW w:w="1338"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办公设备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（2分）</w:t>
            </w:r>
          </w:p>
        </w:tc>
        <w:tc>
          <w:tcPr>
            <w:tcW w:w="5189" w:type="dxa"/>
            <w:vAlign w:val="center"/>
          </w:tcPr>
          <w:p>
            <w:pPr>
              <w:widowControl/>
              <w:jc w:val="left"/>
              <w:textAlignment w:val="center"/>
              <w:rPr>
                <w:rFonts w:ascii="宋体"/>
                <w:color w:val="000000" w:themeColor="text1"/>
                <w:sz w:val="24"/>
              </w:rPr>
            </w:pPr>
            <w:r>
              <w:rPr>
                <w:rFonts w:hint="eastAsia" w:ascii="宋体" w:hAnsi="宋体" w:cs="宋体"/>
                <w:color w:val="000000" w:themeColor="text1"/>
                <w:kern w:val="0"/>
                <w:sz w:val="24"/>
              </w:rPr>
              <w:t xml:space="preserve">□有电脑、打印机、复印机等办公设备（3分）                                                                                                                            </w:t>
            </w:r>
            <w:r>
              <w:rPr>
                <w:rFonts w:hint="eastAsia" w:ascii="宋体" w:hAnsi="宋体" w:cs="宋体"/>
                <w:b/>
                <w:color w:val="000000" w:themeColor="text1"/>
                <w:kern w:val="0"/>
                <w:sz w:val="24"/>
              </w:rPr>
              <w:t>注：每专职工作人员必须有一台电脑，否则此项不得分；其余每样1分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法定代表人</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（15分）</w:t>
            </w: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w:t>
            </w:r>
          </w:p>
        </w:tc>
        <w:tc>
          <w:tcPr>
            <w:tcW w:w="1338"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任职条件</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Style w:val="8"/>
                <w:rFonts w:hint="default"/>
                <w:color w:val="000000" w:themeColor="text1"/>
              </w:rPr>
              <w:t>出现下列任何一种情况，此项不得分：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□无民事行为能力或者限制民事行为能力的；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□正在被执行刑罚或者正在被执行刑事强制措施的；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□正在被公安机关或者国家安全机关通缉的；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□因犯罪被判处刑罚，执行期满未逾3年，或者因犯罪被判处剥夺政治权利，执行期满未逾5年的；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□担任因违法被撤销登记的社会组织的法定代表人，自该单位被撤销登记之日起未逾3年的；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□非中国内地居民的；</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□法律、法规规定不得担任法定代表人的其他情形。</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□应符合相关文件规定，不得超龄。</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产生与变更程序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法定代表人产生程序: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□法定代表人按章程规定选举产生（5分）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□法定代表人未按章程规定选举产生(0分)</w:t>
            </w:r>
            <w:r>
              <w:rPr>
                <w:rFonts w:hint="eastAsia" w:ascii="宋体" w:hAnsi="宋体" w:cs="宋体"/>
                <w:color w:val="000000" w:themeColor="text1"/>
                <w:kern w:val="0"/>
                <w:sz w:val="24"/>
              </w:rPr>
              <w:br w:type="textWrapping"/>
            </w:r>
            <w:r>
              <w:rPr>
                <w:rStyle w:val="7"/>
                <w:rFonts w:hint="default"/>
                <w:color w:val="000000" w:themeColor="text1"/>
              </w:rPr>
              <w:t>法定代表人变更程序: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□法定代表人按章程规定进行变更（5分）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□法定代表人未按章程规定进行变更（0分）                                                                                                           </w:t>
            </w:r>
            <w:r>
              <w:rPr>
                <w:rStyle w:val="7"/>
                <w:rFonts w:hint="default"/>
                <w:color w:val="000000" w:themeColor="text1"/>
              </w:rPr>
              <w:t>注：若法定代表人未发生变更，其变更程序得满分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登记和备案</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登记和备案</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（30分）    </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变更登记</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变更事项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□机构名称、业务范围、住所、注册资金、法定代表人、业务主管单位等变更，按规定办理变更登记手续（15分）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□机构名称、业务范围、住所、注册资金、法定代表人、业务主管单位等变更，但未按规定办理变更登记手续，少一项扣5分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注：变更应当自业务主管单位同意之日起30日内，直接登记的自变更事项发生之日起30日内，向登记管理机关申请变更登记，正在办理过程中视为按规定办理。超时办理变更手续，每一项扣2分。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表决程序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□理事长、监事长、副理事长或部门负责人等若发生变更，按章程规定履行表决程序（5）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□理事长、监事长、副理事长或部门负责人等发生变更，未按章程规定履行表决程序，少一项扣2分，扣完为止</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注：若未发生变更此项得满分。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备案           （10分）</w:t>
            </w: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备案内容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到届备案：</w:t>
            </w:r>
            <w:r>
              <w:rPr>
                <w:rFonts w:hint="eastAsia" w:ascii="宋体" w:hAnsi="宋体" w:cs="宋体"/>
                <w:color w:val="000000" w:themeColor="text1"/>
                <w:kern w:val="0"/>
                <w:sz w:val="24"/>
              </w:rPr>
              <w:t>□理事长、监事等备案按规定办理（5分）                                                                                          □理事长、监事等未备案或备案内容不完整，少一项扣2分</w:t>
            </w:r>
          </w:p>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内设机构备案：</w:t>
            </w:r>
            <w:r>
              <w:rPr>
                <w:rFonts w:hint="eastAsia" w:ascii="宋体" w:hAnsi="宋体" w:cs="宋体"/>
                <w:color w:val="000000" w:themeColor="text1"/>
                <w:kern w:val="0"/>
                <w:sz w:val="24"/>
              </w:rPr>
              <w:t>□理事长、监事、印章、银行账户等备案按规定办理（5分）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□理事长、监事、印章、银行账户等未备案或备案内容不完整，少一项扣2分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重大及涉外事项备案：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□全部重大事项备案（5分）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□存在重大事项不备案（0分）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注：重大事项包括组团出国（境）考察、境内外学术/业务交流、重大投资项目等。</w:t>
            </w:r>
            <w:r>
              <w:rPr>
                <w:rFonts w:hint="eastAsia" w:ascii="宋体" w:hAnsi="宋体" w:cs="宋体"/>
                <w:b/>
                <w:color w:val="000000" w:themeColor="text1"/>
                <w:kern w:val="0"/>
                <w:sz w:val="24"/>
              </w:rPr>
              <w:br w:type="textWrapping"/>
            </w:r>
            <w:r>
              <w:rPr>
                <w:rFonts w:hint="eastAsia" w:ascii="宋体" w:hAnsi="宋体" w:cs="宋体"/>
                <w:b/>
                <w:color w:val="000000" w:themeColor="text1"/>
                <w:kern w:val="0"/>
                <w:sz w:val="24"/>
              </w:rPr>
              <w:t xml:space="preserve">若无发生换届、重大事项相关内容，则到届备案和重大事项备案不扣分。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年度检查（15分）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年检时间</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按时年检</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□在规定时间内向登记管理机关报送年检材料（5分）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□未按时向登记管理机关报送年检材料（0分）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年检结论</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近两年年检结论 （10分）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□连续两年年年检合格（10分）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□两年内存在年检基本合格的情况（5分）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信息公开（20分）</w:t>
            </w: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  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常规信息公开制度        (3分)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□建立信息公开制度并有效执行(3分)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□未建立信息公开制度或执行效果不佳(0分)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建立新闻发言人制度          (2分)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□建立新闻发言人制度 (2分)                                                   □未建立新闻发言人制度(0分)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信息公开  内容   （10分）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基础信息</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□公开单位登记信息、地址、联系方式等（2分）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□公开单位部分基本信息（1分）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□未公开单位基本信息（0分）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日常管理信息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□公开收费标准、重大活动信息（4分）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□仅公开一项（2分）                                                                     □未公开收费标准、重大活动信息（0分）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财务信息</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□公开捐赠情况及年度财务会计报告（4分）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□未公开捐赠信息或年度财务会计报告（0分）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信息公开  方式</w:t>
            </w:r>
          </w:p>
          <w:p>
            <w:pPr>
              <w:pStyle w:val="6"/>
              <w:ind w:firstLine="0" w:firstLineChars="0"/>
              <w:jc w:val="center"/>
              <w:rPr>
                <w:color w:val="000000" w:themeColor="text1"/>
                <w:szCs w:val="18"/>
              </w:rPr>
            </w:pPr>
            <w:r>
              <w:rPr>
                <w:rFonts w:hint="eastAsia"/>
                <w:color w:val="000000" w:themeColor="text1"/>
                <w:sz w:val="24"/>
                <w:szCs w:val="24"/>
              </w:rPr>
              <w:t>（5分）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公开方式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□信息公开方式多样，公开范围能够覆盖组织活动地域（5分）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□信息公开方式单一，或公开范围未能完全覆盖组织活动地域（3分）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□信息未公开，不能满足信息公开的要求（0分）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注：信息公开方式主要包括网站、报刊、广播电视、公众号等。</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党建工作（100分）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党建工作（100分）</w:t>
            </w: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党的组织和工作覆盖 </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 （30分）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两个覆盖（30分）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写入章程              (7分)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□按《关于在社会组织章程增加党的建设和社会主义核心价值观有关内容的通知》（皖民管函〔2018〕313号）要求，将党建工作及社会主义核心价值观内容写入章程（7分）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□未将党建工作及社会主义核心价值观内容写入章程（0分）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党的组织覆盖             （20分）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□单独设立党组织（20分）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□党员不足3名，但建立了联合党组织（18分）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□党员不足3名或没有党员，但通过党建工作指导员开展党的工作和活动（10分）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□未设立党组织，并且未通过党建工作指导员等方式开展党的工作和活动（0分）                                    </w:t>
            </w:r>
            <w:r>
              <w:rPr>
                <w:rStyle w:val="7"/>
                <w:rFonts w:hint="default"/>
                <w:color w:val="000000" w:themeColor="text1"/>
              </w:rPr>
              <w:t>注：指该社会组织工作人员和主要负责人中的党员</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工青妇建设             (3分)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□设立工青妇组织，并按规定开展活动（3分）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□未设立工青妇组织（0分）                                                              </w:t>
            </w:r>
            <w:r>
              <w:rPr>
                <w:rStyle w:val="7"/>
                <w:rFonts w:hint="default"/>
                <w:color w:val="000000" w:themeColor="text1"/>
              </w:rPr>
              <w:t>注：设立工青妇一项1分；若工作人员数未达到建立要求不扣分。</w:t>
            </w:r>
          </w:p>
        </w:tc>
        <w:tc>
          <w:tcPr>
            <w:tcW w:w="994" w:type="dxa"/>
          </w:tcPr>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党组织规范化建设   （70分）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党组织规范化建设   （70分）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基本组织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建设</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参与决策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□党组织书记参与理事会决策，并对本组织重要事项决策、重要业务活动、大额经费开支、接收大额捐赠、开展涉外活动等提出意见（5分）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□党组织书记参与理事会决策，但无具体意见建议（3分）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□党组织书记未参与理事会决策，对本组织重大事项不参与、不建议（0分）</w:t>
            </w:r>
          </w:p>
        </w:tc>
        <w:tc>
          <w:tcPr>
            <w:tcW w:w="994" w:type="dxa"/>
          </w:tcPr>
          <w:p>
            <w:pPr>
              <w:pStyle w:val="6"/>
              <w:ind w:firstLine="480"/>
              <w:rPr>
                <w:rFonts w:hAnsi="宋体" w:cs="宋体"/>
                <w:color w:val="000000" w:themeColor="text1"/>
                <w:sz w:val="24"/>
                <w:szCs w:val="24"/>
              </w:rPr>
            </w:pPr>
          </w:p>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按期换届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□党组织按期、按规范程序进行换届、选举（5分）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□党组织未按期、按规范程序进行换届、选举（0分）                                                                        </w:t>
            </w:r>
            <w:r>
              <w:rPr>
                <w:rStyle w:val="7"/>
                <w:rFonts w:hint="default"/>
                <w:color w:val="000000" w:themeColor="text1"/>
              </w:rPr>
              <w:t>注：必须在规定时间内进行换届，但未到换届期限的不扣分。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队伍建设    （25分）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书记选配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□社会组织负责人担任党组织书记（4分）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□党组织书记未按规定进行选配（0分）                                                                      </w:t>
            </w:r>
            <w:r>
              <w:rPr>
                <w:rStyle w:val="7"/>
                <w:rFonts w:hint="default"/>
                <w:color w:val="000000" w:themeColor="text1"/>
              </w:rPr>
              <w:t>注：负责人为秘书长及以上。</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26</w:t>
            </w:r>
          </w:p>
        </w:tc>
        <w:tc>
          <w:tcPr>
            <w:tcW w:w="1338"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党员管理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□按党章要求开展所属党员组织关系转隶正常，支部现有党员3人以上（4分）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□按党章要求开展所属党员组织关系转隶，支部转隶组织关系仅1人或2人（2分）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□未按党章要求开展所属党员组织关系转隶，自成立以来，无党员组织关系转隶（0分）</w:t>
            </w:r>
          </w:p>
        </w:tc>
        <w:tc>
          <w:tcPr>
            <w:tcW w:w="994" w:type="dxa"/>
          </w:tcPr>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continue"/>
            <w:vAlign w:val="center"/>
          </w:tcPr>
          <w:p>
            <w:pPr>
              <w:widowControl/>
              <w:jc w:val="center"/>
              <w:textAlignment w:val="center"/>
              <w:rPr>
                <w:rFonts w:ascii="宋体" w:hAnsi="宋体" w:cs="宋体"/>
                <w:color w:val="000000" w:themeColor="text1"/>
                <w:kern w:val="0"/>
                <w:sz w:val="24"/>
              </w:rPr>
            </w:pP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□按基本党章要求，每月开展党员党费收缴（3分）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□未按党章要求开展党员党费收缴（0分）</w:t>
            </w:r>
          </w:p>
        </w:tc>
        <w:tc>
          <w:tcPr>
            <w:tcW w:w="994" w:type="dxa"/>
          </w:tcPr>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Merge w:val="continue"/>
            <w:vAlign w:val="center"/>
          </w:tcPr>
          <w:p>
            <w:pPr>
              <w:widowControl/>
              <w:jc w:val="center"/>
              <w:textAlignment w:val="center"/>
              <w:rPr>
                <w:rFonts w:ascii="宋体" w:hAnsi="宋体" w:cs="宋体"/>
                <w:color w:val="000000" w:themeColor="text1"/>
                <w:kern w:val="0"/>
                <w:sz w:val="24"/>
              </w:rPr>
            </w:pP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□将在本组织工作的流动党员，纳入党组织党员学习教育管理（3分）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□未将在本组织工作的流动党员，纳入党组织党员学习教育管理（0分）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评议机制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□按规定进行年度党组织书记述职、评议、考核，并且党员按期进行民主评议和党员党性定期分析（4分）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□基本按规定进行年度党组织书记述职、评议、考核和党员按期进行民主评议和党员党性定期分析，但程序不规范，效果一般（2分）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□未按规定进行年度党组织书记述职、评议、考核，且党员未按期进行民主评议和党员党性定期分析（0分）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发展党员        （4分）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□制定发展党员计划，党组织每年在社会组织负责人、管理层和业务骨干中培养入党积极分子1名以上（4分）（无发展党员计划扣1分）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□党组织每年在社会组织秘书处人员中培养入党积极分子1名以上（3分）（无发展党员计划扣1分）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□党组织无发展党员计划，未培养入党积极分子（0分）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纪检监察</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□委员会设置纪检委员，未设立委员会的指定专人负责纪检工作，开展党风廉政学习（3分）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□未设纪检委员或未制定专人负责纪检工作，未开展党风廉政学习（0分）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制度建设  （11分）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落实基本制度           （11分）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严格按《安徽省社会组织党组织建设标准》落实党内组织生活</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□“三会一课”制度：支部党员大会（每季度）、支部委员会（每月）、党小组会（每月）坚持正常（5分）；未设委员会、党小组的不扣分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□组织生活会制度：每半年召开1次党员组织生活会（4分）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□民主评议制度：每年开展1次民主评议党员工作（2分）</w:t>
            </w:r>
          </w:p>
          <w:p>
            <w:pPr>
              <w:widowControl/>
              <w:jc w:val="left"/>
              <w:textAlignment w:val="center"/>
              <w:rPr>
                <w:rFonts w:ascii="宋体" w:hAnsi="宋体" w:cs="宋体"/>
                <w:color w:val="000000" w:themeColor="text1"/>
                <w:kern w:val="0"/>
                <w:sz w:val="24"/>
              </w:rPr>
            </w:pPr>
            <w:r>
              <w:rPr>
                <w:rFonts w:hint="eastAsia" w:ascii="宋体" w:hAnsi="宋体" w:cs="宋体"/>
                <w:b/>
                <w:bCs/>
                <w:color w:val="000000" w:themeColor="text1"/>
                <w:kern w:val="0"/>
                <w:sz w:val="24"/>
              </w:rPr>
              <w:t>注：根据制度落实的规范程度、执行效果、记录情况，每项可分级扣分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基本活动   （8分）</w:t>
            </w: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党的活动       （8分）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党组织按相关规定，开展各项党的活动。按上级党委部署积极开展主题教育、党支部达标创优、主题党日、联系服务群众等活动。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□一年开展10次及以上（8分）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□一年开展6次及以上（5分）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□一年开展3次及以上（2分）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□一年开展3次以下（0分）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注：次数以社会组织组建党组织日期按月计算</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rPr>
                <w:rFonts w:hAnsi="宋体" w:cs="宋体"/>
                <w:color w:val="000000" w:themeColor="text1"/>
                <w:sz w:val="24"/>
              </w:rPr>
            </w:pPr>
          </w:p>
          <w:p>
            <w:pPr>
              <w:pStyle w:val="6"/>
              <w:ind w:firstLine="0" w:firstLineChars="0"/>
              <w:jc w:val="center"/>
              <w:rPr>
                <w:rFonts w:hAnsi="宋体" w:cs="宋体"/>
                <w:color w:val="000000" w:themeColor="text1"/>
                <w:sz w:val="24"/>
              </w:rPr>
            </w:pPr>
          </w:p>
          <w:p>
            <w:pPr>
              <w:pStyle w:val="6"/>
              <w:ind w:firstLine="0" w:firstLineChars="0"/>
              <w:jc w:val="center"/>
              <w:rPr>
                <w:color w:val="000000" w:themeColor="text1"/>
                <w:szCs w:val="18"/>
              </w:rPr>
            </w:pPr>
            <w:r>
              <w:rPr>
                <w:rFonts w:hint="eastAsia" w:hAnsi="宋体" w:cs="宋体"/>
                <w:color w:val="000000" w:themeColor="text1"/>
                <w:sz w:val="24"/>
              </w:rPr>
              <w:t>基本保障           （16分）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场所建设        （6分）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□按照有场所、有设施、有标志、有党旗、有书报、有制度的“六有”标准，加强社会组织党组织场所建设（6分）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每缺1项内容扣1分</w:t>
            </w:r>
          </w:p>
        </w:tc>
        <w:tc>
          <w:tcPr>
            <w:tcW w:w="994" w:type="dxa"/>
          </w:tcPr>
          <w:p>
            <w:pPr>
              <w:pStyle w:val="6"/>
              <w:ind w:firstLine="48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33</w:t>
            </w:r>
          </w:p>
          <w:p>
            <w:pPr>
              <w:jc w:val="center"/>
              <w:textAlignment w:val="center"/>
              <w:rPr>
                <w:rFonts w:ascii="宋体" w:hAnsi="宋体" w:cs="宋体"/>
                <w:color w:val="000000" w:themeColor="text1"/>
                <w:kern w:val="0"/>
                <w:sz w:val="24"/>
              </w:rPr>
            </w:pPr>
          </w:p>
        </w:tc>
        <w:tc>
          <w:tcPr>
            <w:tcW w:w="1338"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经费保障</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r>
              <w:rPr>
                <w:rFonts w:hint="eastAsia" w:ascii="宋体" w:hAnsi="宋体" w:cs="宋体"/>
                <w:color w:val="000000" w:themeColor="text1"/>
                <w:kern w:val="0"/>
                <w:sz w:val="24"/>
              </w:rPr>
              <w:br w:type="textWrapping"/>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br w:type="textWrapping"/>
            </w:r>
          </w:p>
        </w:tc>
        <w:tc>
          <w:tcPr>
            <w:tcW w:w="5189"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t>按照《安徽省加强非公有制企业和社会组织党组织工作经费保障的实施办法（试行）》（晥组通字[2015] 15号）落实党组织工作经费保障和管理：</w:t>
            </w:r>
          </w:p>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年初有党建工作经费保障计划，将党建工作经费纳入管理费收支并有效落实。（5分）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年初有党建工作经费保障计划，但未将党建工作经费纳入管理费收支（3分）</w:t>
            </w:r>
          </w:p>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无党建工作经费保障计划，未将党建工作经费纳入管理费收支（0分）</w:t>
            </w:r>
          </w:p>
        </w:tc>
        <w:tc>
          <w:tcPr>
            <w:tcW w:w="994" w:type="dxa"/>
            <w:vMerge w:val="restart"/>
          </w:tcPr>
          <w:p>
            <w:pPr>
              <w:pStyle w:val="6"/>
              <w:ind w:firstLine="0" w:firstLineChars="0"/>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vMerge w:val="restart"/>
          </w:tcPr>
          <w:p>
            <w:pPr>
              <w:pStyle w:val="6"/>
              <w:rPr>
                <w:color w:val="000000" w:themeColor="text1"/>
                <w:szCs w:val="18"/>
              </w:rPr>
            </w:pPr>
          </w:p>
        </w:tc>
        <w:tc>
          <w:tcPr>
            <w:tcW w:w="1298" w:type="dxa"/>
            <w:vMerge w:val="restart"/>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34</w:t>
            </w:r>
          </w:p>
        </w:tc>
        <w:tc>
          <w:tcPr>
            <w:tcW w:w="1338" w:type="dxa"/>
            <w:vMerge w:val="continue"/>
            <w:vAlign w:val="center"/>
          </w:tcPr>
          <w:p>
            <w:pPr>
              <w:widowControl/>
              <w:jc w:val="center"/>
              <w:textAlignment w:val="center"/>
              <w:rPr>
                <w:rFonts w:ascii="宋体" w:hAnsi="宋体" w:cs="宋体"/>
                <w:color w:val="000000" w:themeColor="text1"/>
                <w:kern w:val="0"/>
                <w:sz w:val="24"/>
              </w:rPr>
            </w:pPr>
          </w:p>
        </w:tc>
        <w:tc>
          <w:tcPr>
            <w:tcW w:w="5189"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sym w:font="Wingdings 2" w:char="00A3"/>
            </w:r>
            <w:r>
              <w:rPr>
                <w:rFonts w:hint="eastAsia" w:ascii="宋体" w:hAnsi="宋体" w:cs="宋体"/>
                <w:color w:val="000000" w:themeColor="text1"/>
                <w:kern w:val="0"/>
                <w:sz w:val="24"/>
              </w:rPr>
              <w:t>合理使用上级党建工作奖补资金和拨还党费，专款专用，记录规范（5分）</w:t>
            </w:r>
          </w:p>
          <w:p>
            <w:pPr>
              <w:rPr>
                <w:rFonts w:ascii="宋体" w:hAnsi="宋体" w:cs="宋体"/>
                <w:color w:val="000000" w:themeColor="text1"/>
                <w:kern w:val="0"/>
                <w:sz w:val="24"/>
              </w:rPr>
            </w:pPr>
            <w:r>
              <w:rPr>
                <w:rFonts w:hint="eastAsia" w:ascii="宋体" w:hAnsi="宋体" w:cs="宋体"/>
                <w:color w:val="000000" w:themeColor="text1"/>
                <w:kern w:val="0"/>
                <w:sz w:val="24"/>
              </w:rPr>
              <w:t>□合理使用上级党建工作奖补资金和拨还党费，记录不规范、不齐全（2分）</w:t>
            </w:r>
          </w:p>
          <w:p>
            <w:pPr>
              <w:rPr>
                <w:rFonts w:ascii="宋体" w:hAnsi="宋体" w:cs="宋体"/>
                <w:color w:val="000000" w:themeColor="text1"/>
                <w:kern w:val="0"/>
                <w:sz w:val="24"/>
              </w:rPr>
            </w:pPr>
            <w:r>
              <w:rPr>
                <w:rFonts w:hint="eastAsia" w:ascii="宋体" w:hAnsi="宋体" w:cs="宋体"/>
                <w:color w:val="000000" w:themeColor="text1"/>
                <w:kern w:val="0"/>
                <w:sz w:val="24"/>
              </w:rPr>
              <w:t>□私自挪用上级党建工作奖补资金和拨还党费（0分）</w:t>
            </w:r>
          </w:p>
        </w:tc>
        <w:tc>
          <w:tcPr>
            <w:tcW w:w="994" w:type="dxa"/>
            <w:vMerge w:val="continue"/>
          </w:tcPr>
          <w:p>
            <w:pPr>
              <w:pStyle w:val="6"/>
              <w:ind w:firstLine="0" w:firstLineChars="0"/>
              <w:rPr>
                <w:color w:val="000000" w:themeColor="text1"/>
                <w:szCs w:val="18"/>
              </w:rPr>
            </w:pPr>
          </w:p>
        </w:tc>
        <w:tc>
          <w:tcPr>
            <w:tcW w:w="1256" w:type="dxa"/>
            <w:vMerge w:val="continue"/>
          </w:tcPr>
          <w:p>
            <w:pPr>
              <w:pStyle w:val="6"/>
              <w:rPr>
                <w:color w:val="000000" w:themeColor="text1"/>
                <w:szCs w:val="18"/>
              </w:rPr>
            </w:pPr>
          </w:p>
        </w:tc>
        <w:tc>
          <w:tcPr>
            <w:tcW w:w="1298" w:type="dxa"/>
            <w:vMerge w:val="continue"/>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41" w:type="dxa"/>
            <w:vMerge w:val="restart"/>
          </w:tcPr>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内部治理（400分）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Cs w:val="18"/>
              </w:rPr>
            </w:pPr>
          </w:p>
          <w:p>
            <w:pPr>
              <w:pStyle w:val="6"/>
              <w:ind w:firstLine="0" w:firstLineChars="0"/>
              <w:rPr>
                <w:color w:val="000000" w:themeColor="text1"/>
                <w:szCs w:val="18"/>
              </w:rPr>
            </w:pPr>
          </w:p>
        </w:tc>
        <w:tc>
          <w:tcPr>
            <w:tcW w:w="1237" w:type="dxa"/>
            <w:vMerge w:val="restart"/>
            <w:vAlign w:val="center"/>
          </w:tcPr>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章程</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修订程序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制定和修改程序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□全体理事的2/3以上表决通过，并提供理事会会议纪要或决议（10分）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□理事会表决人数不符合规定、未经理事会通过或未组建理事会（0分）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章程核准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章程核准情况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□章程制定或修改后经登记管理机关核准备案（10分）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□章程制定或修改后未经登记管理机关核准核准（0分）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注：修改章程经理事会表决后15日内，报业务主管单位审查同意，自业务主管单位审查同意之日起30日内报登记管理机关核准，正在办理过程中的视为章程按规定核准或备案。超期办理扣5分。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发展规划</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届内发展  规划</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制定与落实情况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届内发展规划制定情况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□有详细、完整、规范的中长期发展规划（5分）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□其他材料能够体现中长期发展规划内容（3分）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□未制订中长期发展规划的（0分）</w:t>
            </w:r>
            <w:r>
              <w:rPr>
                <w:rFonts w:hint="eastAsia" w:ascii="宋体" w:hAnsi="宋体" w:cs="宋体"/>
                <w:b/>
                <w:color w:val="000000" w:themeColor="text1"/>
                <w:kern w:val="0"/>
                <w:sz w:val="24"/>
              </w:rPr>
              <w:br w:type="textWrapping"/>
            </w:r>
            <w:r>
              <w:rPr>
                <w:rFonts w:hint="eastAsia" w:ascii="宋体" w:hAnsi="宋体" w:cs="宋体"/>
                <w:b/>
                <w:color w:val="000000" w:themeColor="text1"/>
                <w:kern w:val="0"/>
                <w:sz w:val="24"/>
              </w:rPr>
              <w:t>届内发展规划落实情况</w:t>
            </w:r>
            <w:r>
              <w:rPr>
                <w:rFonts w:hint="eastAsia" w:ascii="宋体" w:hAnsi="宋体" w:cs="宋体"/>
                <w:b/>
                <w:color w:val="000000" w:themeColor="text1"/>
                <w:kern w:val="0"/>
                <w:sz w:val="24"/>
              </w:rPr>
              <w:br w:type="textWrapping"/>
            </w:r>
            <w:r>
              <w:rPr>
                <w:rFonts w:hint="eastAsia" w:ascii="宋体" w:hAnsi="宋体" w:cs="宋体"/>
                <w:color w:val="000000" w:themeColor="text1"/>
                <w:kern w:val="0"/>
                <w:sz w:val="24"/>
              </w:rPr>
              <w:t>□中长期发展规划落实情况好（5分）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□中长期发展规划落实情况一般（3分）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□中长期发展规划落实情况差（1分）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年度计划与总结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年度工作计划和总结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□有详细的年度工作计划和总结（10分）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□有简单的年度工作计划和总结（5分）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□未制定年度工作计划和总结（0分）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r>
              <w:rPr>
                <w:rFonts w:hint="eastAsia" w:ascii="宋体"/>
                <w:color w:val="000000" w:themeColor="text1"/>
                <w:sz w:val="24"/>
              </w:rPr>
              <w:t>组织机构</w:t>
            </w:r>
          </w:p>
          <w:p>
            <w:pPr>
              <w:widowControl/>
              <w:jc w:val="center"/>
              <w:textAlignment w:val="center"/>
              <w:rPr>
                <w:rFonts w:ascii="宋体"/>
                <w:color w:val="000000" w:themeColor="text1"/>
                <w:sz w:val="24"/>
              </w:rPr>
            </w:pPr>
            <w:r>
              <w:rPr>
                <w:rFonts w:hint="eastAsia" w:ascii="宋体"/>
                <w:color w:val="000000" w:themeColor="text1"/>
                <w:sz w:val="24"/>
              </w:rPr>
              <w:t>（70分）</w:t>
            </w: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r>
              <w:rPr>
                <w:rFonts w:hint="eastAsia" w:ascii="宋体"/>
                <w:color w:val="000000" w:themeColor="text1"/>
                <w:sz w:val="24"/>
              </w:rPr>
              <w:t>组织机构</w:t>
            </w:r>
          </w:p>
          <w:p>
            <w:pPr>
              <w:widowControl/>
              <w:jc w:val="center"/>
              <w:textAlignment w:val="center"/>
              <w:rPr>
                <w:rFonts w:ascii="宋体"/>
                <w:color w:val="000000" w:themeColor="text1"/>
                <w:sz w:val="24"/>
              </w:rPr>
            </w:pPr>
            <w:r>
              <w:rPr>
                <w:rFonts w:hint="eastAsia" w:ascii="宋体"/>
                <w:color w:val="000000" w:themeColor="text1"/>
                <w:sz w:val="24"/>
              </w:rPr>
              <w:t>（70分）</w:t>
            </w: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jc w:val="center"/>
              <w:textAlignment w:val="center"/>
              <w:rPr>
                <w:rFonts w:ascii="宋体"/>
                <w:color w:val="000000" w:themeColor="text1"/>
                <w:sz w:val="24"/>
              </w:rPr>
            </w:pPr>
          </w:p>
          <w:p>
            <w:pPr>
              <w:widowControl/>
              <w:textAlignment w:val="center"/>
              <w:rPr>
                <w:rFonts w:ascii="宋体"/>
                <w:color w:val="000000" w:themeColor="text1"/>
                <w:sz w:val="24"/>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    （50分）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理事会    （50分）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39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产生、罢免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□按章程规定条件和程序产生、罢免理事（6分）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□未按章程规定条件和程序产生、罢免理事（0分）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□3至25人且为单数，与章程相符（6分）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□不足3人或超过25人，缺一人扣一分，扣完为止或未组建理事会，与章程不相符或不能提供有效文件证明（0分）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召开会议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□理事会召开次数、程序和人数参与比例符合章程规定（10分）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□理事会召开次数、程序或人员参与比例不符合章程规定（3分）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职能履行情况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□（常务）理事会制度健全，按章程规定履行职能，重大事项必须有2/3理事会成员出席理事会，并且1/2/理事表决通过（10分）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□（常务）理事会违背组织使命，或未按章程规定履行职能（0分）                                         </w:t>
            </w:r>
            <w:r>
              <w:rPr>
                <w:rFonts w:hint="eastAsia" w:ascii="宋体" w:hAnsi="宋体" w:cs="宋体"/>
                <w:b/>
                <w:color w:val="000000" w:themeColor="text1"/>
                <w:kern w:val="0"/>
                <w:sz w:val="24"/>
              </w:rPr>
              <w:t>注：提供召开理事会会议通过的决议。</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 xml:space="preserve">重大事项包括章程修改、变更、投资等。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理事构成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□理事包括举办者（包括出资者）、职工代表（由全体职工推举产生）及有关单位（业务主管单位）（9分）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□理事中无举办者（包括出资者）或职工代表（由全体职工推举产生）或有关单位（业务主管单位）（0分）</w:t>
            </w:r>
          </w:p>
        </w:tc>
        <w:tc>
          <w:tcPr>
            <w:tcW w:w="994" w:type="dxa"/>
          </w:tcPr>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会议纪要</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□理事会有详细的会议纪要（9分）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□理事会会议纪要不详细（3分）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□无会议纪要（0分）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r>
              <w:rPr>
                <w:rFonts w:hint="eastAsia" w:hAnsi="宋体" w:cs="宋体"/>
                <w:color w:val="000000" w:themeColor="text1"/>
                <w:sz w:val="24"/>
                <w:szCs w:val="24"/>
              </w:rPr>
              <w:t>监事会</w:t>
            </w:r>
            <w:r>
              <w:rPr>
                <w:rFonts w:hint="eastAsia" w:hAnsi="宋体" w:cs="宋体"/>
                <w:color w:val="000000" w:themeColor="text1"/>
                <w:sz w:val="24"/>
                <w:szCs w:val="24"/>
              </w:rPr>
              <w:br w:type="textWrapping"/>
            </w:r>
            <w:r>
              <w:rPr>
                <w:rFonts w:hint="eastAsia" w:hAnsi="宋体" w:cs="宋体"/>
                <w:color w:val="000000" w:themeColor="text1"/>
                <w:sz w:val="24"/>
                <w:szCs w:val="24"/>
              </w:rPr>
              <w:t>（20分）</w:t>
            </w: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jc w:val="center"/>
              <w:rPr>
                <w:rFonts w:hAnsi="宋体" w:cs="宋体"/>
                <w:color w:val="000000" w:themeColor="text1"/>
                <w:sz w:val="24"/>
                <w:szCs w:val="24"/>
              </w:rPr>
            </w:pPr>
          </w:p>
          <w:p>
            <w:pPr>
              <w:pStyle w:val="6"/>
              <w:ind w:firstLine="0" w:firstLineChars="0"/>
              <w:rPr>
                <w:rFonts w:hAnsi="宋体" w:cs="宋体"/>
                <w:color w:val="000000" w:themeColor="text1"/>
                <w:sz w:val="24"/>
                <w:szCs w:val="24"/>
              </w:rPr>
            </w:pPr>
          </w:p>
          <w:p>
            <w:pPr>
              <w:pStyle w:val="6"/>
              <w:ind w:firstLine="0" w:firstLineChars="0"/>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产生程序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 （6分）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按章程规定，监事在举办者（包括出资者）、本单位从业人员或有关单位推荐的人员中产生或更换。监事会中的从业人员代表由单位从业人员民主选举产生。本单位理事、院长（或校长、所长、主任等）及财务负责人，不兼任监事（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□监事会未按章程规定产生（0）</w:t>
            </w:r>
          </w:p>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注：按章程规定不设监事会的，不扣分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□有监事会的，成员不少于3人（6分）</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□无监事会的，设有1</w:t>
            </w:r>
            <w:r>
              <w:rPr>
                <w:rFonts w:ascii="宋体" w:hAnsi="宋体" w:cs="宋体"/>
                <w:color w:val="000000" w:themeColor="text1"/>
                <w:kern w:val="0"/>
                <w:sz w:val="24"/>
              </w:rPr>
              <w:t>—</w:t>
            </w:r>
            <w:r>
              <w:rPr>
                <w:rFonts w:hint="eastAsia" w:ascii="宋体" w:hAnsi="宋体" w:cs="宋体"/>
                <w:color w:val="000000" w:themeColor="text1"/>
                <w:kern w:val="0"/>
                <w:sz w:val="24"/>
              </w:rPr>
              <w:t>2名监事（6分）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职能履行           （8分）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□监事制度健全，并按章程规定履行职能（8分）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□监事制度不健全，或未按章程规定履行职能（0分）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人力资源管理</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人力资源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管理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textAlignment w:val="center"/>
              <w:rPr>
                <w:rFonts w:ascii="宋体"/>
                <w:color w:val="000000" w:themeColor="text1"/>
                <w:sz w:val="18"/>
              </w:rPr>
            </w:pPr>
          </w:p>
          <w:p>
            <w:pPr>
              <w:widowControl/>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人才队伍 建设</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 （40分）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人员数量</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十人及以上为满分，少1人扣1分，扣完为止。</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注：专职工作人员指在组织领取薪酬并建立劳动关系的工作人员。返聘、劳动关系在其他单位的工作人员，按50%赋分。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专业人员、志愿者和在本机构任职的兼职工作人员，劳动关系在其他单位，但有借调用文字依据的视为专职工作人员，不扣分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49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学历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□专职工作人员本科及以上学历比例达到70%（10分）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□专职工作人员本科及以上学历比例达到50%（7分）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□专职工作人员本科及以上学历比例达到30%（3分）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□专职工作人员本科及以上学历比例低于30%（2分）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专业水平</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□具有职称或职业资格的专职工作人员比例达到30%（10分）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□具有职称的专职工作人员比例达到20%（7分）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□具有职称的专职工作人员比例达到10%（3分）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□具有职称的专职工作人员比例低于10%（2分）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参与培训</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□组织专职工作人员参加相关部门组织的业务和内部培训达到人均2次/年（10分）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□组织专职工作人员参加相关部门组织的业务和内部培训达到人均1次/年（5分）                                                                               □未组织专职工作人员参加相关部门组织的业务和内部培训达（0分）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人事管理  制度   （20分）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人事管理  制度   （20分）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工作职责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□有明确详细的职责分工表，且安排合理（5分）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□有较为详细的职责分工表（3分）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□未制定职责分工表（0分）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管理制度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□工作人员日常管理制度详细（5分）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□工作人员日常管理制度较为详细（3分）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□未制定工作人员日常管理制度（0分）                                                                      </w:t>
            </w:r>
            <w:r>
              <w:rPr>
                <w:rFonts w:hint="eastAsia" w:ascii="宋体" w:hAnsi="宋体" w:cs="宋体"/>
                <w:b/>
                <w:color w:val="000000" w:themeColor="text1"/>
                <w:kern w:val="0"/>
                <w:sz w:val="24"/>
              </w:rPr>
              <w:t>注：管理制度包括薪酬、奖惩、考勤休假、聘用、绩效考核制度，每项1分。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劳动合同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□与全部专职工作人员签订劳动合同（5分）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□未与专职工作人员签订劳动合同（0分）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社会保险和住房公积金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□为全部专职工作人员缴纳五险一金（5分）                                             □为全部专职工作人员缴纳五险，但未购买住房公积金（3分）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□为部分或未为专职员工缴纳五险一金（0分）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财务管理（200分）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合法运营</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经费来源和资金使用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□未发现违反国家政策法规、章程规定的事项发生（20分）                                                                                  □存在以下事项的，不得分：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（1）存在侵占、私分、挪用资产、发生有失公允的关联交易、违规支付佣金或回扣、违规进行资金拆借</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（2）存在账外资金或小金库</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（3）存在违规收费行为，包括违反规定接受和使用捐赠、资助，捐赠专用收据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（4）存在使用不合规凭证或票据列支费用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资金列入规定的单位账簿</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□全部资金列入符合规定的单位账簿（5分）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□存在资金未列入符合规定的单位账簿（0分）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税务登记</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□按规定办理税务登记及备案、变更手续（5分）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□未按规定办理税务登记及备案、变更手续（0分）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纳税申报缴纳</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□按规定申报、缴纳增值税、企业所得税、房产税、印花税等（5分）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□存在未按规定申报、缴纳的情况（0分）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会计人员</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会计人员配备情况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□配备2名及以上具有有有会计证或会计职称的专职工作人员负责财务工作（6分）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□由主管（挂靠）、代理记账公司等代理记账、或外单位人员兼任会计（3分）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□没有会计人员负责财务工作（0分）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会计人员岗位职责</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□会计岗位设置合理且各个岗位会计人员的职责明确（4分）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□会计岗位设置不合理或岗位职责不明确（2分）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法定活动 资金</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 xml:space="preserve"> （10分）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银行账户</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□开立独立银行账户且账户状态正常（5分）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□开立独立银行账户但账户状态受限（3分）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□未开立独立银行账户（0分）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年末净资产      （5分）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□上年末净资产不低于登记的注册资金，且未发现存在抽逃注册资金的行为（5分）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□上年末净资产低于登记的注册资金，但未发现存在抽逃注册资金的行为（2分）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□上年末净资产低于登记注册资金，且发现存在抽逃注册资金的行为（0分）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   （30分）</w:t>
            </w: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   （30分）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执行《民间非营利组织会计制度》情况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□完全执行《民间非营利组织会计制度》，且会计核算方面无明显问题或不足 （25分）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□未执行《民间非营利组织会计制度》（0分）                                                                                                               □执行《民间非营利组织会计制度》，但出现以下会计核算问题，每项扣2分，扣完25分为止</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（1）过分依赖挂靠单位，会计核算独立性较差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（2）收支在往来科目中核算，余额结转净资产，或收入长期挂账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（3）虚列费用或预提费用计提依据不足（或附件不齐备）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（4）账账、账表不符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（5）未严格按《民间非营利组织会计制度》设置会计科目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（6）未严格按《民间非营利组织会计制度》要求编制记账凭证和财务报表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（7）固定资产未按规定计提折旧或计提不准确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（8）未按规定提取各项减值准备</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（9）已形成的资产损失未及时清理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（10）库存现金余额大或经常使用大额现金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（11）未按月编制银行存款余额调节表；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（12）原始凭证不齐全或内容不完整</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（13）账簿登记不及时或未及时打印电脑账页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（14）其他不符合《民间非营利组织会计制度》或核算不规范的情况</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会计电算化</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□会计核算实行电算化（5分）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□会计核算未实行电算化（0分）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 执行</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（25分）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 执行</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（25分）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财务管理制度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□制定了完善的内部财务管理制度（10分）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□制定了较为完善内部财务管理制度（5分）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□制定了简单的内部财务管理制度（2分）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□未制定内部财务管理制度（0分）                                                                                             </w:t>
            </w:r>
            <w:r>
              <w:rPr>
                <w:rFonts w:hint="eastAsia" w:ascii="宋体" w:hAnsi="宋体" w:cs="宋体"/>
                <w:b/>
                <w:color w:val="000000" w:themeColor="text1"/>
                <w:kern w:val="0"/>
                <w:sz w:val="24"/>
              </w:rPr>
              <w:t>注：内部财务制度的规范性由财务专家根据《民间非营利组织会计制度》的条款确定</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执行情况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□严格执行各项内部财务管理制度（5分）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□较好执行各项内部财务管理制度（3分）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□各项内部财务管理制度执行较差（1分）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支出、审批权限</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□财务制度中有明确规定的支出、审批权限，并且支出、审批手续齐全（5分）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□财务制度中没有明确规定的支出、审批权限，或支出、审批手续不齐全（0分）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69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负责人经手开支的监督情况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□单位负责人经手的开支，经其他领导签章，且未发现单位领导人的支出由其他人做经手人单位负责人自行审批的情况（5）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□单位负责人经手的开支，发现存在未经其他领导签章，或由其他人做经手人单位负责人自行审批的情况（0）</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（60分）</w:t>
            </w: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资产增加情况              （12分）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□近两年，资产增幅高于20%（12）</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□近两年，资产增幅高于10%（8）</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□近两年，资产增幅高于5%（5）</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□近两年，资产增幅低于5%（1）</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投资管理充分论证，跟踪监管，程序严格、防范风险、保障收益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查看相关会议决议、纪要等相关材料</w:t>
            </w:r>
          </w:p>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□投资管理事前论证，事后跟踪监督，严格程序、防范风险、保障收益或无投资项目（12分）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□投资管理未论证监督、未按程序、为保障收益或有投资不能提供相关材料（0分）</w:t>
            </w:r>
            <w:r>
              <w:rPr>
                <w:rFonts w:hint="eastAsia" w:ascii="宋体" w:hAnsi="宋体" w:cs="宋体"/>
                <w:color w:val="000000" w:themeColor="text1"/>
                <w:kern w:val="0"/>
                <w:sz w:val="24"/>
              </w:rPr>
              <w:br w:type="textWrapping"/>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实物资产管理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□实物资产购进、领用、保管、处置审批手续完善，定期盘点且对出现的盘亏、盘盈、毁损、减值情况及时进行处理（12分）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□实物资产购进、领用、保管、处置审批手续不完善，或未定期盘点及未对出现的盘亏、盘盈、毁损、减值情况及时进行处理（6分）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□实物资产购进、领用、保管、处置审批手续不完善，且未定期盘点及未对出现的盘亏、盘盈、毁损、减值情况及时进行处理（2分）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固定资产管理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□固定资产折旧年限确定合理且折旧计提准确（12分）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□固定资产折旧年限确定不合理或折旧计提不准确（3分）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捐赠资产管理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（12分）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□无接受捐赠及捐出的实物资产或对接受捐赠及捐出的资产按规定及时进行会计核算，手续齐全，未形成账外资产（12分）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□对接受捐赠及捐出的资产未按规定进行会计核算或形成账外资产（0分）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□有票据的购入、领用、开具、交回等保管和使用登记记录（5分）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□无票据的购入、领用、开具、交回等保管和使用登记记录（0分）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票据管理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□未发现使用不合规票据作为报销凭证（5分）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□发现使用不合规票据作为报销凭证（0分）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财务报告和监督</w:t>
            </w:r>
          </w:p>
          <w:p>
            <w:pPr>
              <w:pStyle w:val="6"/>
              <w:ind w:firstLine="0" w:firstLineChars="0"/>
              <w:jc w:val="center"/>
              <w:rPr>
                <w:color w:val="000000" w:themeColor="text1"/>
                <w:sz w:val="24"/>
                <w:szCs w:val="24"/>
              </w:rPr>
            </w:pPr>
            <w:r>
              <w:rPr>
                <w:rFonts w:hint="eastAsia"/>
                <w:color w:val="000000" w:themeColor="text1"/>
                <w:sz w:val="24"/>
                <w:szCs w:val="24"/>
              </w:rPr>
              <w:t>（20分）</w:t>
            </w: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p>
          <w:p>
            <w:pPr>
              <w:pStyle w:val="6"/>
              <w:ind w:firstLine="0" w:firstLineChars="0"/>
              <w:jc w:val="center"/>
              <w:rPr>
                <w:color w:val="000000" w:themeColor="text1"/>
                <w:sz w:val="24"/>
                <w:szCs w:val="24"/>
              </w:rPr>
            </w:pPr>
            <w:r>
              <w:rPr>
                <w:rFonts w:hint="eastAsia"/>
                <w:color w:val="000000" w:themeColor="text1"/>
                <w:sz w:val="24"/>
                <w:szCs w:val="24"/>
              </w:rPr>
              <w:t>财务报告和监督</w:t>
            </w:r>
          </w:p>
          <w:p>
            <w:pPr>
              <w:pStyle w:val="6"/>
              <w:ind w:firstLine="0" w:firstLineChars="0"/>
              <w:jc w:val="center"/>
              <w:rPr>
                <w:color w:val="000000" w:themeColor="text1"/>
                <w:sz w:val="24"/>
                <w:szCs w:val="24"/>
              </w:rPr>
            </w:pPr>
            <w:r>
              <w:rPr>
                <w:rFonts w:hint="eastAsia"/>
                <w:color w:val="000000" w:themeColor="text1"/>
                <w:sz w:val="24"/>
                <w:szCs w:val="24"/>
              </w:rPr>
              <w:t>（20分）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财务报告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在理事会上报告财务情况：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□按章程规定每年报告单位整体财务状况（5分）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□未按章程规定报告单位财务状况（0分）                                                                                                                                                              </w:t>
            </w:r>
            <w:r>
              <w:rPr>
                <w:rFonts w:hint="eastAsia" w:ascii="宋体" w:hAnsi="宋体" w:cs="宋体"/>
                <w:b/>
                <w:color w:val="000000" w:themeColor="text1"/>
                <w:kern w:val="0"/>
                <w:sz w:val="24"/>
              </w:rPr>
              <w:t>主动接受理事会财务监督：</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□理事会或理事会授权的机构或个人对年度财务状况、预算及执行情况，重大业务活动的资金募集、管理和使用情况等进行审查并留有轨迹（5分）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□无理事会或理事会授权的机构或个人对年度财务状况、预算及执行情况，重大业务活动的资金募集、管理和使用情况等进行审查的轨迹（0分）  </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注：年度财务报告包括会计报表及附表、财务报表附注、财务情况说明书等内容；财务情况说明书应包括业务及财务活动基本情况。</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审计报告</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年度审计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□能提供近两年2个年度审计报告（5分）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□能提供近两年1个年度审计报告（3分）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□不能提供上两个年度会计报表及审计报告（0分）                                               </w:t>
            </w:r>
            <w:r>
              <w:rPr>
                <w:rFonts w:hint="eastAsia" w:ascii="宋体" w:hAnsi="宋体" w:cs="宋体"/>
                <w:b/>
                <w:color w:val="000000" w:themeColor="text1"/>
                <w:kern w:val="0"/>
                <w:sz w:val="24"/>
              </w:rPr>
              <w:t xml:space="preserve">离任审计 </w:t>
            </w:r>
            <w:r>
              <w:rPr>
                <w:rFonts w:hint="eastAsia" w:ascii="宋体" w:hAnsi="宋体" w:cs="宋体"/>
                <w:color w:val="000000" w:themeColor="text1"/>
                <w:kern w:val="0"/>
                <w:sz w:val="24"/>
              </w:rPr>
              <w:t xml:space="preserve">                                                                              □无离任或能提供离任审计报告（5分）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□出现离任但不能提供离任审计报告（0分）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档案印章  管理  （30分）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18"/>
              </w:rPr>
            </w:pPr>
          </w:p>
        </w:tc>
        <w:tc>
          <w:tcPr>
            <w:tcW w:w="1297"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档案管理     (15分)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79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档案管理制度</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□档案管理制度详细、规范（5分）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□档案管理制度不够详细、规范（3分）             　 　 　   </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□未制定档案管理制度（0分）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档案保管情况</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□档案资料完整，存放有序（5分）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□档案资料不完整，存放无序（2分）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会计档案管理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□会计凭证、账本、报表及其他会计资料装订整齐，顺序编号，签章齐全（5分）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□未做到会计凭证、账本、报表及其他会计资料装订整齐，顺序编号，签章齐全（2分）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印章管理      （15分）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印章管理规定</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□有印章保管和使用制度（5分）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□无印章保管和使用制度（0分）                                                                                                                                                                             </w:t>
            </w:r>
            <w:r>
              <w:rPr>
                <w:rFonts w:hint="eastAsia" w:ascii="宋体" w:hAnsi="宋体" w:cs="宋体"/>
                <w:b/>
                <w:color w:val="000000" w:themeColor="text1"/>
                <w:kern w:val="0"/>
                <w:sz w:val="24"/>
              </w:rPr>
              <w:t>注:印章包含公章及财务章。</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印章保管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□印章有专人管理（5分）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□印章无专人管理（0分）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印章使用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□印章使用登记详细（5分）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□印章使用登记不详细（2分）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24"/>
              </w:rPr>
            </w:pPr>
            <w:r>
              <w:rPr>
                <w:rFonts w:hint="eastAsia" w:ascii="宋体" w:hAnsi="宋体" w:cs="宋体"/>
                <w:color w:val="000000" w:themeColor="text1"/>
                <w:kern w:val="0"/>
                <w:sz w:val="24"/>
              </w:rPr>
              <w:t>工作绩效</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（320分）</w:t>
            </w:r>
          </w:p>
        </w:tc>
        <w:tc>
          <w:tcPr>
            <w:tcW w:w="1237" w:type="dxa"/>
            <w:vMerge w:val="restart"/>
            <w:vAlign w:val="center"/>
          </w:tcPr>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业务活动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（80分）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项目开展与执行</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业务（项目）管理制度</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□制定详细完整的业务（管理）制度，执行效果较好（10分）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□制定详细完整的业务（管理）制度，执行效果一般（5分）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□未制定业务（管理）制度，或执行效果较差（0分）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业务（项目）流程化管理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□业务（项目）实施流程化管理（10分）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□业务（项目）未实施流程化管理（0分）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业务（项目）工作计划完成情况</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□年度业务项目超额完成年初计划（10分）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□年度业务项目按年初计划完成（5分）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□年度业务项目未完成年初计划（0分）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业务（项目）监督、总结与评估</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（50分）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业务（项目）监督检查</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□实施严格的业务（项目）监督检查，检查结果良好（15分）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□实施严格的业务（项目）监督检查，检查结果一般（10分）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□实施简单的业务（项目）监督检查，检查结果一般（5分）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□未实施业务（项目）监督检查（0分）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业务（项目）总结（15分）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□有详尽规范的项目执行总结记录（15分）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□有简单的项目执行总结记录（8分）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□无项目执行总结记录（0分）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业务（项目）评估（20分）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□开展严格规范的业务（项目）评估，评估结果较好（20分）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□开展严格规范的业务（项目）评估，评估结果一般（10分）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□开展严格规范的业务（项目）评估，评估结果一般（5分）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□未开展业务（项目）评估或评估结果差（0分）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widowControl/>
              <w:jc w:val="center"/>
              <w:textAlignment w:val="center"/>
              <w:rPr>
                <w:rFonts w:ascii="宋体"/>
                <w:color w:val="000000" w:themeColor="text1"/>
                <w:sz w:val="18"/>
              </w:rPr>
            </w:pP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提供服务</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（220分）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r>
              <w:rPr>
                <w:rFonts w:hint="eastAsia"/>
                <w:color w:val="000000" w:themeColor="text1"/>
                <w:sz w:val="24"/>
                <w:szCs w:val="24"/>
              </w:rPr>
              <w:t>提供服务</w:t>
            </w:r>
          </w:p>
          <w:p>
            <w:pPr>
              <w:pStyle w:val="6"/>
              <w:ind w:firstLine="0" w:firstLineChars="0"/>
              <w:rPr>
                <w:color w:val="000000" w:themeColor="text1"/>
                <w:sz w:val="24"/>
                <w:szCs w:val="24"/>
              </w:rPr>
            </w:pPr>
            <w:r>
              <w:rPr>
                <w:rFonts w:hint="eastAsia"/>
                <w:color w:val="000000" w:themeColor="text1"/>
                <w:sz w:val="24"/>
                <w:szCs w:val="24"/>
              </w:rPr>
              <w:t>（220分）</w:t>
            </w: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 w:val="24"/>
                <w:szCs w:val="24"/>
              </w:rPr>
            </w:pPr>
          </w:p>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服务专业性</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50分</w:t>
            </w:r>
            <w:r>
              <w:rPr>
                <w:rFonts w:hint="eastAsia" w:ascii="宋体" w:hAnsi="宋体" w:cs="宋体"/>
                <w:color w:val="000000" w:themeColor="text1"/>
                <w:kern w:val="0"/>
                <w:sz w:val="24"/>
              </w:rPr>
              <w:t>）</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服务定位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□业务活动（项目）服务符合单位宗旨和业务范围（10分）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□业务活动（项目）服务不符合单位宗旨和业务范围（5分）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jc w:val="center"/>
              <w:rPr>
                <w:rFonts w:ascii="宋体"/>
                <w:color w:val="000000" w:themeColor="text1"/>
                <w:sz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服务技术能力</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服务技术能力突出，彰显行业服务特色（15分）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服务技术能力一般，符合行业服务特色（10分）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服务技术能力较差，不符合行业服务特色（0分）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93</w:t>
            </w:r>
          </w:p>
        </w:tc>
        <w:tc>
          <w:tcPr>
            <w:tcW w:w="1338" w:type="dxa"/>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食品、人身安全保障            （25分）</w:t>
            </w:r>
          </w:p>
        </w:tc>
        <w:tc>
          <w:tcPr>
            <w:tcW w:w="5189" w:type="dxa"/>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服务过程的制度制定及按相关主管部门要求落实到位（25分）（如有重大安全事故一票否决）</w:t>
            </w:r>
            <w:r>
              <w:rPr>
                <w:rFonts w:hint="eastAsia" w:ascii="宋体" w:hAnsi="宋体" w:cs="宋体"/>
                <w:color w:val="auto"/>
                <w:kern w:val="0"/>
                <w:sz w:val="24"/>
              </w:rPr>
              <w:br w:type="textWrapping"/>
            </w:r>
            <w:r>
              <w:rPr>
                <w:rFonts w:hint="eastAsia" w:ascii="宋体" w:hAnsi="宋体" w:cs="宋体"/>
                <w:color w:val="auto"/>
                <w:kern w:val="0"/>
                <w:sz w:val="24"/>
              </w:rPr>
              <w:t>服务过程的的制度制定及按相关主管部门要求落实不到位（0分）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服务效果与影响</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50分</w:t>
            </w:r>
            <w:r>
              <w:rPr>
                <w:rFonts w:hint="eastAsia" w:ascii="宋体" w:hAnsi="宋体" w:cs="宋体"/>
                <w:color w:val="000000" w:themeColor="text1"/>
                <w:kern w:val="0"/>
                <w:sz w:val="24"/>
              </w:rPr>
              <w:t>）</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color w:val="000000" w:themeColor="text1"/>
                <w:sz w:val="24"/>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94</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良性经营和服务行为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□服务运营情况较好，服务行为示范意义强（10分）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□服务运营情况一般，服务行为无违规（5分）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□服务运营情况较差，或服务行为恶劣（0分）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vAlign w:val="center"/>
          </w:tcPr>
          <w:p>
            <w:pPr>
              <w:widowControl/>
              <w:jc w:val="center"/>
              <w:textAlignment w:val="center"/>
              <w:rPr>
                <w:rFonts w:ascii="宋体"/>
                <w:color w:val="000000" w:themeColor="text1"/>
                <w:sz w:val="24"/>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服务的独特性和创新性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□项目品牌创意性强，形成自主品牌或业内公认品牌的（15分）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□未形成自主品牌或业内公认品牌的（0分）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合作交流</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b/>
                <w:color w:val="000000" w:themeColor="text1"/>
                <w:kern w:val="0"/>
                <w:sz w:val="24"/>
              </w:rPr>
              <w:t>交流活动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□与本地区或本领域的社会组织开展交流活动，1次5分，满分10分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合作项目：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□开展过省级及以上合作项目（10分）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□开展过市级合作项目（5分）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□未开展过市级及以上合作项目（0分）</w:t>
            </w:r>
          </w:p>
          <w:p>
            <w:pPr>
              <w:widowControl/>
              <w:jc w:val="left"/>
              <w:textAlignment w:val="center"/>
              <w:rPr>
                <w:rFonts w:ascii="宋体" w:hAnsi="宋体" w:cs="宋体"/>
                <w:b/>
                <w:color w:val="000000" w:themeColor="text1"/>
                <w:kern w:val="0"/>
                <w:sz w:val="24"/>
              </w:rPr>
            </w:pPr>
            <w:r>
              <w:rPr>
                <w:rFonts w:hint="eastAsia" w:ascii="宋体" w:hAnsi="宋体" w:cs="宋体"/>
                <w:b/>
                <w:color w:val="000000" w:themeColor="text1"/>
                <w:kern w:val="0"/>
                <w:sz w:val="24"/>
              </w:rPr>
              <w:t>注：合作项目满分10分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项目影响力</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w:t>
            </w:r>
            <w:r>
              <w:rPr>
                <w:rFonts w:hint="eastAsia" w:ascii="宋体" w:hAnsi="宋体" w:cs="宋体"/>
                <w:color w:val="auto"/>
                <w:kern w:val="0"/>
                <w:sz w:val="24"/>
              </w:rPr>
              <w:t>5分</w:t>
            </w:r>
            <w:r>
              <w:rPr>
                <w:rFonts w:hint="eastAsia" w:ascii="宋体" w:hAnsi="宋体" w:cs="宋体"/>
                <w:color w:val="000000" w:themeColor="text1"/>
                <w:kern w:val="0"/>
                <w:sz w:val="24"/>
              </w:rPr>
              <w:t>）</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□能提供本领域实质性成果（</w:t>
            </w:r>
            <w:r>
              <w:rPr>
                <w:rFonts w:hint="eastAsia" w:ascii="宋体" w:hAnsi="宋体" w:cs="宋体"/>
                <w:color w:val="auto"/>
                <w:kern w:val="0"/>
                <w:sz w:val="24"/>
              </w:rPr>
              <w:t>5分</w:t>
            </w:r>
            <w:r>
              <w:rPr>
                <w:rFonts w:hint="eastAsia" w:ascii="宋体" w:hAnsi="宋体" w:cs="宋体"/>
                <w:color w:val="000000" w:themeColor="text1"/>
                <w:kern w:val="0"/>
                <w:sz w:val="24"/>
              </w:rPr>
              <w:t>）</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□未能提供本领域实质性成果（0分）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服务政府  （60分）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参与制定法规政策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□参与过制定法规政策或者参加政府征求意见、听证会、座谈会（10分）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□未参与制定法规政策或者未参加政府征求意见、听证会、座谈会（0分）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99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建言献策</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□书面建言献策并被政府采纳的（10分）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□书面建言献策但未被政府采纳的（5分）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□未建言献策的（0分）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承接政府项目</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□承接政府委托、购买、转移服务，每项4分，满分20分。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41" w:type="dxa"/>
            <w:vMerge w:val="continue"/>
            <w:vAlign w:val="center"/>
          </w:tcPr>
          <w:p>
            <w:pPr>
              <w:jc w:val="center"/>
              <w:rPr>
                <w:rFonts w:ascii="宋体"/>
                <w:color w:val="000000" w:themeColor="text1"/>
                <w:sz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承接政府资金</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□承接政府委托、购买、转移服务的资金达到30万（20分）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□承接政府委托、购买、转移服务的资金达到20万（15分）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□承接政府委托、购买、转移服务的资金达到10万（10分）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□承接政府委托、购买、转移服务的资金在10万以下（5分）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□无承接政府委托、购买、转移服务的资金（0分）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服务社会  （60分）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服务社会  （60分）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102</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公益活动</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（20分）</w:t>
            </w:r>
          </w:p>
        </w:tc>
        <w:tc>
          <w:tcPr>
            <w:tcW w:w="5189" w:type="dxa"/>
            <w:vAlign w:val="center"/>
          </w:tcPr>
          <w:p>
            <w:pPr>
              <w:widowControl/>
              <w:jc w:val="left"/>
              <w:textAlignment w:val="center"/>
              <w:rPr>
                <w:rFonts w:ascii="宋体" w:hAnsi="宋体" w:cs="宋体"/>
                <w:b/>
                <w:color w:val="000000" w:themeColor="text1"/>
                <w:kern w:val="0"/>
                <w:sz w:val="24"/>
              </w:rPr>
            </w:pPr>
            <w:r>
              <w:rPr>
                <w:rFonts w:hint="eastAsia" w:ascii="宋体" w:hAnsi="宋体" w:cs="宋体"/>
                <w:color w:val="000000" w:themeColor="text1"/>
                <w:kern w:val="0"/>
                <w:sz w:val="24"/>
              </w:rPr>
              <w:t>参与公益活动每次4分，共计20分。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注：公益活动覆盖领域包括扶贫、文化保护、社会救助、环境保护等。</w:t>
            </w:r>
          </w:p>
          <w:p>
            <w:pPr>
              <w:widowControl/>
              <w:jc w:val="left"/>
              <w:textAlignment w:val="center"/>
              <w:rPr>
                <w:rFonts w:ascii="宋体" w:hAnsi="宋体" w:cs="宋体"/>
                <w:color w:val="000000" w:themeColor="text1"/>
                <w:kern w:val="0"/>
                <w:sz w:val="24"/>
              </w:rPr>
            </w:pP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tcPr>
          <w:p>
            <w:pPr>
              <w:pStyle w:val="6"/>
              <w:ind w:firstLine="0" w:firstLineChars="0"/>
              <w:jc w:val="center"/>
              <w:rPr>
                <w:color w:val="000000" w:themeColor="text1"/>
                <w:szCs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103</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服务社会公众</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（30分）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□积极服务社会公众，每次5分，满分30分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41" w:type="dxa"/>
            <w:vMerge w:val="continue"/>
          </w:tcPr>
          <w:p>
            <w:pPr>
              <w:pStyle w:val="6"/>
              <w:ind w:firstLine="0" w:firstLineChars="0"/>
              <w:rPr>
                <w:color w:val="000000" w:themeColor="text1"/>
                <w:szCs w:val="18"/>
              </w:rPr>
            </w:pPr>
          </w:p>
        </w:tc>
        <w:tc>
          <w:tcPr>
            <w:tcW w:w="1237" w:type="dxa"/>
            <w:vMerge w:val="continue"/>
          </w:tcPr>
          <w:p>
            <w:pPr>
              <w:pStyle w:val="6"/>
              <w:ind w:firstLine="0" w:firstLineChars="0"/>
              <w:rPr>
                <w:color w:val="000000" w:themeColor="text1"/>
                <w:szCs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104</w:t>
            </w:r>
          </w:p>
        </w:tc>
        <w:tc>
          <w:tcPr>
            <w:tcW w:w="1338" w:type="dxa"/>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重大突发公共事件                  （10分）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□在重大突发公共事件中发挥作用显著（10分）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□在重大突发公共事件中发挥过作用（5分）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□在重大突发公共事件中未发挥作用（0分）</w:t>
            </w:r>
            <w:r>
              <w:rPr>
                <w:rFonts w:hint="eastAsia" w:ascii="宋体" w:hAnsi="宋体" w:cs="宋体"/>
                <w:color w:val="000000" w:themeColor="text1"/>
                <w:kern w:val="0"/>
                <w:sz w:val="24"/>
              </w:rPr>
              <w:br w:type="textWrapping"/>
            </w:r>
            <w:r>
              <w:rPr>
                <w:rFonts w:hint="eastAsia" w:ascii="宋体" w:hAnsi="宋体" w:cs="宋体"/>
                <w:b/>
                <w:color w:val="000000" w:themeColor="text1"/>
                <w:kern w:val="0"/>
                <w:sz w:val="24"/>
              </w:rPr>
              <w:t>注：提供相关证明材料，由专家评定。无重大突发公共事件的不扣分。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特色贡献（20分）</w:t>
            </w:r>
          </w:p>
        </w:tc>
        <w:tc>
          <w:tcPr>
            <w:tcW w:w="1297" w:type="dxa"/>
            <w:vAlign w:val="center"/>
          </w:tcPr>
          <w:p>
            <w:pPr>
              <w:widowControl/>
              <w:jc w:val="center"/>
              <w:textAlignment w:val="center"/>
              <w:rPr>
                <w:rFonts w:ascii="宋体"/>
                <w:color w:val="000000" w:themeColor="text1"/>
                <w:sz w:val="18"/>
              </w:rPr>
            </w:pPr>
            <w:r>
              <w:rPr>
                <w:rFonts w:hint="eastAsia" w:ascii="宋体" w:hAnsi="宋体" w:cs="宋体"/>
                <w:color w:val="000000" w:themeColor="text1"/>
                <w:kern w:val="0"/>
                <w:sz w:val="24"/>
              </w:rPr>
              <w:t>特色工作   （20分）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105</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特色项目       （20分）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□完成指标未涵盖部分，且业绩十分突出、代表某种发展方向的工作(20分)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□完成指标未涵盖部分，业绩较突出(10分)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□没有完成指标未涵盖部分(5分)                                                            </w:t>
            </w:r>
            <w:r>
              <w:rPr>
                <w:rFonts w:hint="eastAsia" w:ascii="宋体" w:hAnsi="宋体" w:cs="宋体"/>
                <w:b/>
                <w:color w:val="000000" w:themeColor="text1"/>
                <w:kern w:val="0"/>
                <w:sz w:val="24"/>
              </w:rPr>
              <w:t>注：由评估专家利用自身专业优势评定。</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41" w:type="dxa"/>
            <w:vMerge w:val="restart"/>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社会评价  （80分）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社会评价  （80分）</w:t>
            </w:r>
          </w:p>
        </w:tc>
        <w:tc>
          <w:tcPr>
            <w:tcW w:w="123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内外部评价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（80分）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内外部评价</w:t>
            </w: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（80分）</w:t>
            </w: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r>
              <w:rPr>
                <w:rFonts w:hint="eastAsia" w:ascii="宋体" w:hAnsi="宋体" w:cs="宋体"/>
                <w:color w:val="000000" w:themeColor="text1"/>
                <w:kern w:val="0"/>
                <w:sz w:val="24"/>
              </w:rPr>
              <w:t>内部评价          （30分）</w:t>
            </w: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106</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□理事对组织工作总体评价为非常满意（15分）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□理事对组织工作总体评价为满意（10分）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□理事对组织工作总体评价为比较满意（5分）                                             □理事对组织工作总体评价为不满意（0分）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107</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□专职工作人员对组织工作总体评价为非常满意（15分）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□专职工作人员对组织工作总体评价为满意（10）</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□专职工作人员对组织工作总体评价为比较满意（5分）                                             □专职工作人员对组织工作总体评价为不满意（0分）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restart"/>
            <w:vAlign w:val="center"/>
          </w:tcPr>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外部评价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（50分）</w:t>
            </w:r>
          </w:p>
          <w:p>
            <w:pPr>
              <w:widowControl/>
              <w:jc w:val="center"/>
              <w:textAlignment w:val="center"/>
              <w:rPr>
                <w:rFonts w:ascii="宋体" w:hAnsi="宋体" w:cs="宋体"/>
                <w:color w:val="000000" w:themeColor="text1"/>
                <w:kern w:val="0"/>
                <w:sz w:val="24"/>
              </w:rPr>
            </w:pPr>
          </w:p>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108</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登记管理机关评价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□登记管理机关对组织工作总体评价为非常满意（15分）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□登记管理机关对组织工作总体评价为满意（10分）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□登记管理机关对组织工作总体评价为比较满意（5分）                                             □登记管理机关对组织工作总体评价为不满意（0分）                                                     </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jc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109</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政府部门评价</w:t>
            </w:r>
          </w:p>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（10分） </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 xml:space="preserve">□获得政府有关部门表彰一次2分，满分10分。                                                                           </w:t>
            </w:r>
            <w:r>
              <w:rPr>
                <w:rFonts w:hint="eastAsia" w:ascii="宋体" w:hAnsi="宋体" w:cs="宋体"/>
                <w:b/>
                <w:color w:val="000000" w:themeColor="text1"/>
                <w:kern w:val="0"/>
                <w:sz w:val="24"/>
              </w:rPr>
              <w:t>注：表彰需出示正式文件或证书。</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241" w:type="dxa"/>
            <w:vMerge w:val="continue"/>
            <w:vAlign w:val="center"/>
          </w:tcPr>
          <w:p>
            <w:pPr>
              <w:widowControl/>
              <w:jc w:val="center"/>
              <w:textAlignment w:val="center"/>
              <w:rPr>
                <w:rFonts w:ascii="宋体"/>
                <w:color w:val="000000" w:themeColor="text1"/>
                <w:sz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110</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业务主管单位评价             （15分）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□业务主管单位对组织工作总体评价为非常满意（15分）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□业务主管单位对组织工作总体评价为满意（10分）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 xml:space="preserve">□业务主管单位对组织工作总体评价为比较满意（5分）                                             □业务主管单位对组织工作总体评价为不满意（0分）                                                                                     </w:t>
            </w:r>
            <w:r>
              <w:rPr>
                <w:rFonts w:hint="eastAsia" w:ascii="宋体" w:hAnsi="宋体" w:cs="宋体"/>
                <w:color w:val="000000" w:themeColor="text1"/>
                <w:kern w:val="0"/>
                <w:sz w:val="24"/>
              </w:rPr>
              <w:br w:type="textWrapping"/>
            </w:r>
            <w:r>
              <w:rPr>
                <w:rFonts w:hint="eastAsia" w:ascii="宋体" w:hAnsi="宋体" w:cs="宋体"/>
                <w:b/>
                <w:color w:val="000000"/>
                <w:kern w:val="0"/>
                <w:sz w:val="24"/>
              </w:rPr>
              <w:t>若章程中载明无业务主管单位的，不扣分。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41" w:type="dxa"/>
            <w:vMerge w:val="continue"/>
          </w:tcPr>
          <w:p>
            <w:pPr>
              <w:pStyle w:val="6"/>
              <w:ind w:firstLine="0" w:firstLineChars="0"/>
              <w:rPr>
                <w:color w:val="000000" w:themeColor="text1"/>
                <w:szCs w:val="18"/>
              </w:rPr>
            </w:pPr>
          </w:p>
        </w:tc>
        <w:tc>
          <w:tcPr>
            <w:tcW w:w="1237" w:type="dxa"/>
            <w:vMerge w:val="continue"/>
            <w:vAlign w:val="center"/>
          </w:tcPr>
          <w:p>
            <w:pPr>
              <w:widowControl/>
              <w:jc w:val="center"/>
              <w:textAlignment w:val="center"/>
              <w:rPr>
                <w:rFonts w:ascii="宋体"/>
                <w:color w:val="000000" w:themeColor="text1"/>
                <w:sz w:val="18"/>
              </w:rPr>
            </w:pPr>
          </w:p>
        </w:tc>
        <w:tc>
          <w:tcPr>
            <w:tcW w:w="1297" w:type="dxa"/>
            <w:vMerge w:val="continue"/>
            <w:vAlign w:val="center"/>
          </w:tcPr>
          <w:p>
            <w:pPr>
              <w:widowControl/>
              <w:jc w:val="center"/>
              <w:textAlignment w:val="center"/>
              <w:rPr>
                <w:rFonts w:ascii="宋体"/>
                <w:color w:val="000000" w:themeColor="text1"/>
                <w:sz w:val="18"/>
              </w:rPr>
            </w:pPr>
          </w:p>
        </w:tc>
        <w:tc>
          <w:tcPr>
            <w:tcW w:w="790"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111</w:t>
            </w:r>
          </w:p>
        </w:tc>
        <w:tc>
          <w:tcPr>
            <w:tcW w:w="1338" w:type="dxa"/>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公众评价</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（10分）</w:t>
            </w:r>
          </w:p>
        </w:tc>
        <w:tc>
          <w:tcPr>
            <w:tcW w:w="5189" w:type="dxa"/>
            <w:vAlign w:val="center"/>
          </w:tcPr>
          <w:p>
            <w:pPr>
              <w:widowControl/>
              <w:jc w:val="left"/>
              <w:textAlignment w:val="center"/>
              <w:rPr>
                <w:rFonts w:ascii="宋体" w:hAnsi="宋体" w:cs="宋体"/>
                <w:color w:val="000000" w:themeColor="text1"/>
                <w:kern w:val="0"/>
                <w:sz w:val="24"/>
              </w:rPr>
            </w:pPr>
            <w:r>
              <w:rPr>
                <w:rFonts w:hint="eastAsia" w:ascii="宋体" w:hAnsi="宋体" w:cs="宋体"/>
                <w:color w:val="000000" w:themeColor="text1"/>
                <w:kern w:val="0"/>
                <w:sz w:val="24"/>
              </w:rPr>
              <w:t>□获得社会各界的奖励表彰，或获得省级以上媒体的正面报道（10分）</w:t>
            </w:r>
            <w:r>
              <w:rPr>
                <w:rFonts w:hint="eastAsia" w:ascii="宋体" w:hAnsi="宋体" w:cs="宋体"/>
                <w:color w:val="000000" w:themeColor="text1"/>
                <w:kern w:val="0"/>
                <w:sz w:val="24"/>
              </w:rPr>
              <w:br w:type="textWrapping"/>
            </w:r>
            <w:r>
              <w:rPr>
                <w:rFonts w:hint="eastAsia" w:ascii="宋体" w:hAnsi="宋体" w:cs="宋体"/>
                <w:color w:val="000000" w:themeColor="text1"/>
                <w:kern w:val="0"/>
                <w:sz w:val="24"/>
              </w:rPr>
              <w:t>□未获得社会各界的奖励表彰，且未获得省级以上媒体的正面报道（0分）</w:t>
            </w:r>
          </w:p>
        </w:tc>
        <w:tc>
          <w:tcPr>
            <w:tcW w:w="994" w:type="dxa"/>
          </w:tcPr>
          <w:p>
            <w:pPr>
              <w:pStyle w:val="6"/>
              <w:rPr>
                <w:color w:val="000000" w:themeColor="text1"/>
                <w:szCs w:val="18"/>
              </w:rPr>
            </w:pPr>
          </w:p>
        </w:tc>
        <w:tc>
          <w:tcPr>
            <w:tcW w:w="1256" w:type="dxa"/>
          </w:tcPr>
          <w:p>
            <w:pPr>
              <w:pStyle w:val="6"/>
              <w:rPr>
                <w:color w:val="000000" w:themeColor="text1"/>
                <w:szCs w:val="18"/>
              </w:rPr>
            </w:pPr>
          </w:p>
        </w:tc>
        <w:tc>
          <w:tcPr>
            <w:tcW w:w="1298" w:type="dxa"/>
          </w:tcPr>
          <w:p>
            <w:pPr>
              <w:pStyle w:val="6"/>
              <w:rPr>
                <w:color w:val="000000" w:themeColor="text1"/>
                <w:szCs w:val="18"/>
              </w:rPr>
            </w:pPr>
          </w:p>
        </w:tc>
      </w:tr>
    </w:tbl>
    <w:p>
      <w:pPr>
        <w:pStyle w:val="6"/>
        <w:ind w:firstLine="0" w:firstLineChars="0"/>
      </w:pPr>
    </w:p>
    <w:p>
      <w:pPr>
        <w:pStyle w:val="6"/>
        <w:ind w:firstLine="0" w:firstLineChars="0"/>
      </w:pPr>
    </w:p>
    <w:p>
      <w:pPr>
        <w:pStyle w:val="6"/>
        <w:ind w:firstLine="0" w:firstLineChars="0"/>
      </w:pPr>
    </w:p>
    <w:p>
      <w:pPr>
        <w:pStyle w:val="6"/>
        <w:ind w:firstLine="0" w:firstLineChars="0"/>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75972"/>
    <w:rsid w:val="000566C9"/>
    <w:rsid w:val="000F32C0"/>
    <w:rsid w:val="00170980"/>
    <w:rsid w:val="00177E35"/>
    <w:rsid w:val="001C21F4"/>
    <w:rsid w:val="00224EB1"/>
    <w:rsid w:val="00241520"/>
    <w:rsid w:val="00244896"/>
    <w:rsid w:val="002B7862"/>
    <w:rsid w:val="002F3FF3"/>
    <w:rsid w:val="003A181C"/>
    <w:rsid w:val="003A51A3"/>
    <w:rsid w:val="004C7DBA"/>
    <w:rsid w:val="005269C5"/>
    <w:rsid w:val="00567B2E"/>
    <w:rsid w:val="005F6C9B"/>
    <w:rsid w:val="00613FC0"/>
    <w:rsid w:val="00767469"/>
    <w:rsid w:val="007679CF"/>
    <w:rsid w:val="00797D5F"/>
    <w:rsid w:val="007E5E52"/>
    <w:rsid w:val="007F26DC"/>
    <w:rsid w:val="0086468D"/>
    <w:rsid w:val="00877447"/>
    <w:rsid w:val="009331A7"/>
    <w:rsid w:val="009645A2"/>
    <w:rsid w:val="00983D16"/>
    <w:rsid w:val="009E0A83"/>
    <w:rsid w:val="00A21287"/>
    <w:rsid w:val="00A879E9"/>
    <w:rsid w:val="00AB63E8"/>
    <w:rsid w:val="00AC7F4A"/>
    <w:rsid w:val="00B63E7E"/>
    <w:rsid w:val="00B91632"/>
    <w:rsid w:val="00BA4EF8"/>
    <w:rsid w:val="00BA5FB7"/>
    <w:rsid w:val="00BC0D18"/>
    <w:rsid w:val="00BC2008"/>
    <w:rsid w:val="00C61042"/>
    <w:rsid w:val="00E650A7"/>
    <w:rsid w:val="00F442CB"/>
    <w:rsid w:val="00FE597D"/>
    <w:rsid w:val="01C43E80"/>
    <w:rsid w:val="05716462"/>
    <w:rsid w:val="06345D26"/>
    <w:rsid w:val="09022530"/>
    <w:rsid w:val="0E1C21A5"/>
    <w:rsid w:val="0E9C383F"/>
    <w:rsid w:val="128541DD"/>
    <w:rsid w:val="1E6174DC"/>
    <w:rsid w:val="22C64C3C"/>
    <w:rsid w:val="23ED0951"/>
    <w:rsid w:val="24975972"/>
    <w:rsid w:val="315F0980"/>
    <w:rsid w:val="3271211B"/>
    <w:rsid w:val="354B57F8"/>
    <w:rsid w:val="3ABA2615"/>
    <w:rsid w:val="4609454C"/>
    <w:rsid w:val="47121F18"/>
    <w:rsid w:val="489F5EAC"/>
    <w:rsid w:val="4C0B4AA2"/>
    <w:rsid w:val="51C223E4"/>
    <w:rsid w:val="5733301B"/>
    <w:rsid w:val="585376BA"/>
    <w:rsid w:val="5C9B2429"/>
    <w:rsid w:val="6438660D"/>
    <w:rsid w:val="666961A7"/>
    <w:rsid w:val="6EFD6418"/>
    <w:rsid w:val="70882EEE"/>
    <w:rsid w:val="76DB03CE"/>
    <w:rsid w:val="77BE1767"/>
    <w:rsid w:val="780E335D"/>
    <w:rsid w:val="78D54AD7"/>
    <w:rsid w:val="7C6D5682"/>
    <w:rsid w:val="B73EA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font71"/>
    <w:basedOn w:val="5"/>
    <w:qFormat/>
    <w:uiPriority w:val="0"/>
    <w:rPr>
      <w:rFonts w:hint="eastAsia" w:ascii="宋体" w:hAnsi="宋体" w:eastAsia="宋体" w:cs="宋体"/>
      <w:b/>
      <w:color w:val="000000"/>
      <w:sz w:val="24"/>
      <w:szCs w:val="24"/>
      <w:u w:val="none"/>
    </w:rPr>
  </w:style>
  <w:style w:type="character" w:customStyle="1" w:styleId="8">
    <w:name w:val="font2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2751</Words>
  <Characters>15687</Characters>
  <Lines>130</Lines>
  <Paragraphs>36</Paragraphs>
  <TotalTime>0</TotalTime>
  <ScaleCrop>false</ScaleCrop>
  <LinksUpToDate>false</LinksUpToDate>
  <CharactersWithSpaces>18402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2020-08-20T09:39:00Z</dcterms:created>
  <dc:creator>阿不</dc:creator>
  <cp:lastModifiedBy>administrator</cp:lastModifiedBy>
  <dcterms:modified xsi:type="dcterms:W3CDTF">2023-01-16T17:19:22Z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