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74FFC">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黑体" w:eastAsia="黑体"/>
          <w:sz w:val="24"/>
        </w:rPr>
      </w:pPr>
      <w:r>
        <w:rPr>
          <w:rFonts w:hint="eastAsia" w:ascii="黑体" w:hAnsi="黑体" w:eastAsia="黑体" w:cs="黑体"/>
          <w:sz w:val="28"/>
          <w:szCs w:val="28"/>
          <w:lang w:eastAsia="zh-CN"/>
        </w:rPr>
        <w:t>国家常规统计调查制度</w:t>
      </w:r>
    </w:p>
    <w:p w14:paraId="638999B5">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both"/>
        <w:textAlignment w:val="auto"/>
        <w:outlineLvl w:val="9"/>
        <w:rPr>
          <w:rFonts w:hint="eastAsia" w:ascii="方正小标宋_GBK" w:hAnsi="黑体" w:eastAsia="方正小标宋_GBK" w:cs="Times New Roman"/>
          <w:sz w:val="44"/>
          <w:szCs w:val="44"/>
        </w:rPr>
      </w:pPr>
    </w:p>
    <w:p w14:paraId="600B8C4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小标宋_GBK" w:hAnsi="黑体" w:eastAsia="方正小标宋_GBK" w:cs="Times New Roman"/>
          <w:sz w:val="44"/>
          <w:szCs w:val="44"/>
          <w:lang w:eastAsia="zh-CN"/>
        </w:rPr>
      </w:pPr>
      <w:r>
        <w:rPr>
          <w:rFonts w:hint="eastAsia" w:ascii="方正小标宋_GBK" w:hAnsi="黑体" w:eastAsia="方正小标宋_GBK" w:cs="Times New Roman"/>
          <w:sz w:val="44"/>
          <w:szCs w:val="44"/>
        </w:rPr>
        <w:t>人口变动情况抽样调查制度</w:t>
      </w:r>
      <w:r>
        <w:rPr>
          <w:rFonts w:hint="eastAsia" w:ascii="方正小标宋_GBK" w:hAnsi="黑体" w:eastAsia="方正小标宋_GBK" w:cs="Times New Roman"/>
          <w:sz w:val="44"/>
          <w:szCs w:val="44"/>
          <w:lang w:eastAsia="zh-CN"/>
        </w:rPr>
        <w:t>主要内容</w:t>
      </w:r>
    </w:p>
    <w:p w14:paraId="3DC95C98">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（2024年统计年报）</w:t>
      </w:r>
    </w:p>
    <w:p w14:paraId="1D72DA64">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sz w:val="32"/>
          <w:szCs w:val="32"/>
          <w:lang w:eastAsia="zh-CN"/>
        </w:rPr>
      </w:pPr>
    </w:p>
    <w:p w14:paraId="14AB5B0F">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调查目的</w:t>
      </w:r>
    </w:p>
    <w:p w14:paraId="22F2AE03">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及时地掌握全国和各省（自治区、直辖市）人口发展变化情况，加强人口监测预警和形势研判，为制定国民经济和社会发展计划，调整完善有关政策，促进人口高质量发展提供坚实的人口信息支撑，根据国办发〔1992〕57号文件的要求，进行年度人口变动情况抽样调查。</w:t>
      </w:r>
    </w:p>
    <w:p w14:paraId="4F16E05E">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二、标准时间和调查对象</w:t>
      </w:r>
    </w:p>
    <w:p w14:paraId="18D9A561">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本次调查的标准时间为</w:t>
      </w:r>
      <w:r>
        <w:rPr>
          <w:rFonts w:hint="eastAsia" w:ascii="仿宋_GB2312" w:hAnsi="仿宋_GB2312" w:eastAsia="仿宋_GB2312" w:cs="仿宋_GB2312"/>
          <w:sz w:val="32"/>
          <w:szCs w:val="32"/>
          <w:lang w:val="en-US" w:eastAsia="zh-CN"/>
        </w:rPr>
        <w:t>2024年11月1日零时。</w:t>
      </w:r>
    </w:p>
    <w:p w14:paraId="154FE83B">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调查对象为抽中住房内具有中华人民共和国国籍的人。调查以户为单位进行，既调查家庭户，也调查集体户。应在抽中住房内登记的人包括：①202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年10月31日晚居住在本户的人；②户口在本户，202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年10月31日晚未居住在本户的人。抽中住房内202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rPr>
        <w:t>年11月1日至202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年10月31日死亡的人口也要登记相关项目。</w:t>
      </w:r>
    </w:p>
    <w:p w14:paraId="5C692918">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三、调查内容及调查表</w:t>
      </w:r>
    </w:p>
    <w:p w14:paraId="48E10F89">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年度人口变动情况抽样调查的主要内容包括：姓名、公民身份号码、性别、年龄、民族、受教育程度、工作情况、迁移流动、婚姻生育、死亡、住房情况等。根据需求每年会设置不同的专题调查内容。</w:t>
      </w:r>
    </w:p>
    <w:p w14:paraId="682B97E0">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调查表具体分为</w:t>
      </w:r>
      <w:r>
        <w:rPr>
          <w:rFonts w:hint="eastAsia" w:ascii="仿宋_GB2312" w:hAnsi="仿宋_GB2312" w:eastAsia="仿宋_GB2312" w:cs="仿宋_GB2312"/>
          <w:sz w:val="32"/>
          <w:szCs w:val="32"/>
          <w:lang w:val="en" w:eastAsia="zh-CN"/>
        </w:rPr>
        <w:t>三</w:t>
      </w:r>
      <w:r>
        <w:rPr>
          <w:rFonts w:hint="eastAsia" w:ascii="仿宋_GB2312" w:hAnsi="仿宋_GB2312" w:eastAsia="仿宋_GB2312" w:cs="仿宋_GB2312"/>
          <w:sz w:val="32"/>
          <w:szCs w:val="32"/>
          <w:lang w:val="en"/>
        </w:rPr>
        <w:t>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年人口变动情况抽样调查表》、《死亡人口调查表》和《</w:t>
      </w:r>
      <w:r>
        <w:rPr>
          <w:rFonts w:hint="default"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年人口调查村、居委会基本情况表</w:t>
      </w:r>
      <w:r>
        <w:rPr>
          <w:rFonts w:hint="eastAsia" w:ascii="仿宋_GB2312" w:hAnsi="仿宋_GB2312" w:eastAsia="仿宋_GB2312" w:cs="仿宋_GB2312"/>
          <w:sz w:val="32"/>
          <w:szCs w:val="32"/>
          <w:lang w:val="en"/>
        </w:rPr>
        <w:t>》。</w:t>
      </w:r>
    </w:p>
    <w:p w14:paraId="2D2B5BC7">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黑体" w:hAnsi="黑体" w:eastAsia="黑体" w:cs="黑体"/>
          <w:b w:val="0"/>
          <w:bCs w:val="0"/>
          <w:sz w:val="32"/>
          <w:szCs w:val="32"/>
          <w:lang w:val="en" w:eastAsia="zh-CN"/>
        </w:rPr>
      </w:pPr>
      <w:r>
        <w:rPr>
          <w:rFonts w:hint="eastAsia" w:ascii="黑体" w:hAnsi="黑体" w:eastAsia="黑体" w:cs="黑体"/>
          <w:b w:val="0"/>
          <w:bCs w:val="0"/>
          <w:sz w:val="32"/>
          <w:szCs w:val="32"/>
          <w:lang w:eastAsia="zh-CN"/>
        </w:rPr>
        <w:t>四、调查方法</w:t>
      </w:r>
    </w:p>
    <w:p w14:paraId="4AD79327">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调查以户为单位进行登记，采取电子化的数据采集方式。调查登记采取调查员使用电子采集设备（PAD或智能手机）入户询问、当场填报，或由调查对象通过互联网自主填报等方式进行</w:t>
      </w:r>
      <w:r>
        <w:rPr>
          <w:rFonts w:hint="eastAsia" w:ascii="仿宋_GB2312" w:hAnsi="仿宋_GB2312" w:eastAsia="仿宋_GB2312" w:cs="仿宋_GB2312"/>
          <w:sz w:val="32"/>
          <w:szCs w:val="32"/>
          <w:lang w:val="en" w:eastAsia="zh-CN"/>
        </w:rPr>
        <w:t>。调查员需</w:t>
      </w:r>
      <w:r>
        <w:rPr>
          <w:rFonts w:hint="eastAsia" w:ascii="仿宋_GB2312" w:hAnsi="仿宋_GB2312" w:eastAsia="仿宋_GB2312" w:cs="仿宋_GB2312"/>
          <w:sz w:val="32"/>
          <w:szCs w:val="32"/>
          <w:lang w:val="en"/>
        </w:rPr>
        <w:t>参考部门行政记录等资料开展议查、复查，确保</w:t>
      </w:r>
      <w:r>
        <w:rPr>
          <w:rFonts w:hint="eastAsia" w:ascii="仿宋_GB2312" w:hAnsi="仿宋_GB2312" w:eastAsia="仿宋_GB2312" w:cs="仿宋_GB2312"/>
          <w:sz w:val="32"/>
          <w:szCs w:val="32"/>
          <w:lang w:val="en" w:eastAsia="zh-CN"/>
        </w:rPr>
        <w:t>调查</w:t>
      </w:r>
      <w:r>
        <w:rPr>
          <w:rFonts w:hint="eastAsia" w:ascii="仿宋_GB2312" w:hAnsi="仿宋_GB2312" w:eastAsia="仿宋_GB2312" w:cs="仿宋_GB2312"/>
          <w:sz w:val="32"/>
          <w:szCs w:val="32"/>
          <w:lang w:val="en"/>
        </w:rPr>
        <w:t>登记真实准确、不重不漏。</w:t>
      </w:r>
    </w:p>
    <w:p w14:paraId="5809B6F2">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五、调查组织方式</w:t>
      </w:r>
    </w:p>
    <w:p w14:paraId="5FA8FFE7">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国家统计局负责人口变动情况抽样调查的方案设计、组织实施、数据处理和数据发布等工作。地方各级统计局负责所在地区的调查组织工作，下级统计局接受上级统计局的业务指导和监督。</w:t>
      </w:r>
    </w:p>
    <w:p w14:paraId="44C11FAD">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六、统计资料的报送和公布</w:t>
      </w:r>
    </w:p>
    <w:p w14:paraId="5382FF71">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ascii="宋体" w:hAnsi="宋体"/>
          <w:b/>
          <w:szCs w:val="21"/>
        </w:rPr>
      </w:pPr>
      <w:r>
        <w:rPr>
          <w:rFonts w:hint="eastAsia" w:ascii="仿宋_GB2312" w:hAnsi="仿宋_GB2312" w:eastAsia="仿宋_GB2312" w:cs="仿宋_GB2312"/>
          <w:kern w:val="2"/>
          <w:sz w:val="32"/>
          <w:szCs w:val="32"/>
          <w:lang w:val="en-US" w:eastAsia="zh-CN" w:bidi="ar-SA"/>
        </w:rPr>
        <w:t>各省（自治区、直辖市）统计机构要在规定的时间内，做好调查数据的报送工作。</w:t>
      </w:r>
      <w:r>
        <w:rPr>
          <w:rFonts w:hint="eastAsia" w:ascii="仿宋_GB2312" w:hAnsi="仿宋_GB2312" w:eastAsia="仿宋_GB2312" w:cs="仿宋_GB2312"/>
          <w:kern w:val="2"/>
          <w:sz w:val="32"/>
          <w:szCs w:val="32"/>
          <w:lang w:val="en-US" w:eastAsia="zh-Hans" w:bidi="ar-SA"/>
        </w:rPr>
        <w:t>全国</w:t>
      </w:r>
      <w:r>
        <w:rPr>
          <w:rFonts w:hint="eastAsia" w:ascii="仿宋_GB2312" w:hAnsi="仿宋_GB2312" w:eastAsia="仿宋_GB2312" w:cs="仿宋_GB2312"/>
          <w:kern w:val="2"/>
          <w:sz w:val="32"/>
          <w:szCs w:val="32"/>
          <w:lang w:val="en-US" w:eastAsia="zh-CN" w:bidi="ar-SA"/>
        </w:rPr>
        <w:t>主要人口数据通过国家统计局新闻发布会或国民经济和社会发展统计公报按年度发布，其他调查数据通过统计年鉴、国家统计数据库等形式按年度发布，各省（自治区、直辖市）主要人口数据由各省级统计局发布。</w:t>
      </w:r>
    </w:p>
    <w:p w14:paraId="2C074989">
      <w:pPr>
        <w:keepNext w:val="0"/>
        <w:keepLines w:val="0"/>
        <w:pageBreakBefore w:val="0"/>
        <w:widowControl w:val="0"/>
        <w:kinsoku/>
        <w:wordWrap/>
        <w:overflowPunct/>
        <w:topLinePunct w:val="0"/>
        <w:autoSpaceDE/>
        <w:autoSpaceDN/>
        <w:bidi w:val="0"/>
        <w:adjustRightInd w:val="0"/>
        <w:snapToGrid w:val="0"/>
        <w:spacing w:line="600" w:lineRule="exact"/>
        <w:ind w:firstLine="422" w:firstLineChars="200"/>
        <w:jc w:val="both"/>
        <w:textAlignment w:val="auto"/>
        <w:outlineLvl w:val="9"/>
        <w:rPr>
          <w:rFonts w:ascii="宋体" w:hAnsi="宋体"/>
          <w:b/>
          <w:szCs w:val="21"/>
        </w:rPr>
        <w:sectPr>
          <w:headerReference r:id="rId3" w:type="default"/>
          <w:footerReference r:id="rId4" w:type="default"/>
          <w:footerReference r:id="rId5" w:type="even"/>
          <w:pgSz w:w="11906" w:h="16838"/>
          <w:pgMar w:top="1418" w:right="1247" w:bottom="1247" w:left="1247" w:header="709" w:footer="851" w:gutter="0"/>
          <w:pgNumType w:fmt="decimal"/>
          <w:cols w:space="720" w:num="1"/>
          <w:docGrid w:linePitch="312" w:charSpace="0"/>
        </w:sectPr>
      </w:pPr>
    </w:p>
    <w:p w14:paraId="42E79D01">
      <w:pPr>
        <w:keepNext w:val="0"/>
        <w:keepLines w:val="0"/>
        <w:pageBreakBefore w:val="0"/>
        <w:widowControl w:val="0"/>
        <w:kinsoku/>
        <w:wordWrap/>
        <w:overflowPunct/>
        <w:topLinePunct w:val="0"/>
        <w:autoSpaceDE/>
        <w:autoSpaceDN/>
        <w:bidi w:val="0"/>
        <w:adjustRightInd w:val="0"/>
        <w:snapToGrid w:val="0"/>
        <w:spacing w:line="600" w:lineRule="exact"/>
        <w:ind w:firstLine="422" w:firstLineChars="200"/>
        <w:jc w:val="both"/>
        <w:textAlignment w:val="auto"/>
        <w:outlineLvl w:val="9"/>
        <w:rPr>
          <w:rFonts w:hint="eastAsia" w:ascii="宋体" w:hAnsi="宋体"/>
          <w:b/>
          <w:szCs w:val="21"/>
        </w:rPr>
      </w:pPr>
    </w:p>
    <w:p w14:paraId="08D2DB0B">
      <w:bookmarkStart w:id="0" w:name="_GoBack"/>
      <w:bookmarkEnd w:id="0"/>
    </w:p>
    <w:sectPr>
      <w:footerReference r:id="rId6" w:type="default"/>
      <w:type w:val="continuous"/>
      <w:pgSz w:w="11906" w:h="16838"/>
      <w:pgMar w:top="1418" w:right="1247" w:bottom="1247" w:left="1247" w:header="709"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E227">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3D74B6">
                          <w:pPr>
                            <w:pStyle w:val="5"/>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63D74B6">
                    <w:pPr>
                      <w:pStyle w:val="5"/>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p w14:paraId="583CD1C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447D">
    <w:pPr>
      <w:pStyle w:val="5"/>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18E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F811BF">
                          <w:pPr>
                            <w:snapToGrid w:val="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- 9 -</w:t>
                          </w:r>
                          <w:r>
                            <w:rPr>
                              <w:rFonts w:hint="eastAsia"/>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0F811BF">
                    <w:pPr>
                      <w:snapToGrid w:val="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- 9 -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A7AD">
    <w:pPr>
      <w:pStyle w:val="6"/>
      <w:pBdr>
        <w:bottom w:val="none" w:color="auto" w:sz="0" w:space="0"/>
      </w:pBdr>
      <w:tabs>
        <w:tab w:val="left" w:pos="2865"/>
        <w:tab w:val="center" w:pos="4535"/>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B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autoSpaceDE w:val="0"/>
      <w:autoSpaceDN w:val="0"/>
      <w:adjustRightInd w:val="0"/>
      <w:spacing w:after="120" w:afterLines="0" w:line="288" w:lineRule="auto"/>
      <w:ind w:left="200" w:leftChars="200" w:firstLine="200" w:firstLineChars="200"/>
      <w:jc w:val="both"/>
      <w:textAlignment w:val="bottom"/>
    </w:pPr>
    <w:rPr>
      <w:rFonts w:ascii="Calibri" w:hAnsi="Calibri" w:eastAsia="宋体" w:cs="Times New Roman"/>
      <w:color w:val="000000"/>
      <w:spacing w:val="-4"/>
      <w:kern w:val="2"/>
      <w:sz w:val="21"/>
      <w:szCs w:val="24"/>
      <w:lang w:val="en-US" w:eastAsia="zh-CN" w:bidi="ar-SA"/>
    </w:rPr>
  </w:style>
  <w:style w:type="paragraph" w:styleId="3">
    <w:name w:val="Body Text Indent"/>
    <w:next w:val="1"/>
    <w:qFormat/>
    <w:uiPriority w:val="0"/>
    <w:pPr>
      <w:widowControl w:val="0"/>
      <w:autoSpaceDE w:val="0"/>
      <w:autoSpaceDN w:val="0"/>
      <w:adjustRightInd w:val="0"/>
      <w:spacing w:line="288" w:lineRule="auto"/>
      <w:ind w:firstLine="404" w:firstLineChars="200"/>
      <w:jc w:val="both"/>
      <w:textAlignment w:val="bottom"/>
    </w:pPr>
    <w:rPr>
      <w:rFonts w:ascii="宋体" w:hAnsi="宋体" w:eastAsia="宋体" w:cs="Times New Roman"/>
      <w:color w:val="000000"/>
      <w:spacing w:val="-4"/>
      <w:kern w:val="2"/>
      <w:sz w:val="21"/>
      <w:szCs w:val="24"/>
      <w:lang w:val="en-US" w:eastAsia="zh-CN" w:bidi="ar-SA"/>
    </w:rPr>
  </w:style>
  <w:style w:type="paragraph" w:styleId="4">
    <w:name w:val="Plain Text"/>
    <w:qFormat/>
    <w:uiPriority w:val="0"/>
    <w:pPr>
      <w:widowControl w:val="0"/>
      <w:jc w:val="both"/>
    </w:pPr>
    <w:rPr>
      <w:rFonts w:ascii="宋体" w:hAnsi="Courier New" w:eastAsia="宋体" w:cs="Times New Roman"/>
      <w:kern w:val="2"/>
      <w:sz w:val="21"/>
      <w:szCs w:val="21"/>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877</Characters>
  <Lines>0</Lines>
  <Paragraphs>0</Paragraphs>
  <TotalTime>0</TotalTime>
  <ScaleCrop>false</ScaleCrop>
  <LinksUpToDate>false</LinksUpToDate>
  <CharactersWithSpaces>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2025-03-20T02:35:13Z</dcterms:created>
  <dc:creator>Administrator</dc:creator>
  <cp:lastModifiedBy>开心小C</cp:lastModifiedBy>
  <dcterms:modified xsi:type="dcterms:W3CDTF">2025-03-20T02:35:28Z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eyJoZGlkIjoiNmU0YjRhYTg2NmZjNDE1MjQ3NGE3ZmMxNjVmMDE3YjUiLCJ1c2VySWQiOiI3NDAwNTE2ODUifQ==</vt:lpwstr>
  </property>
  <property fmtid="{D5CDD505-2E9C-101B-9397-08002B2CF9AE}" pid="4" name="ICV">
    <vt:lpwstr>FC95E6F99F414DB5954B890AD4B21B25_12</vt:lpwstr>
  </property>
</Properties>
</file>