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C266E3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41" w:beforeAutospacing="0" w:after="141" w:afterAutospacing="0" w:line="480" w:lineRule="exact"/>
        <w:ind w:left="0" w:right="0" w:firstLine="0"/>
        <w:jc w:val="both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000000"/>
          <w:spacing w:val="0"/>
          <w:sz w:val="36"/>
          <w:szCs w:val="36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000000"/>
          <w:spacing w:val="0"/>
          <w:sz w:val="36"/>
          <w:szCs w:val="36"/>
          <w:shd w:val="clear" w:fill="FFFFFF"/>
          <w:lang w:val="en-US" w:eastAsia="zh-CN"/>
        </w:rPr>
        <w:t xml:space="preserve">  附件2：  </w:t>
      </w:r>
    </w:p>
    <w:p w14:paraId="4A853E56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41" w:beforeAutospacing="0" w:after="141" w:afterAutospacing="0" w:line="48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000000"/>
          <w:spacing w:val="0"/>
          <w:sz w:val="36"/>
          <w:szCs w:val="36"/>
          <w:shd w:val="clear" w:fill="FFFFFF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000000"/>
          <w:spacing w:val="0"/>
          <w:sz w:val="36"/>
          <w:szCs w:val="36"/>
          <w:shd w:val="clear" w:fill="FFFFFF"/>
        </w:rPr>
        <w:t>金寨县202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000000"/>
          <w:spacing w:val="0"/>
          <w:sz w:val="36"/>
          <w:szCs w:val="36"/>
          <w:shd w:val="clear" w:fill="FFFFFF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000000"/>
          <w:spacing w:val="0"/>
          <w:sz w:val="36"/>
          <w:szCs w:val="36"/>
          <w:shd w:val="clear" w:fill="FFFFFF"/>
        </w:rPr>
        <w:t>年新能源公交车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000000"/>
          <w:spacing w:val="0"/>
          <w:sz w:val="36"/>
          <w:szCs w:val="36"/>
          <w:shd w:val="clear" w:fill="FFFFFF"/>
          <w:lang w:val="en-US" w:eastAsia="zh-CN"/>
        </w:rPr>
        <w:t>预拨50%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000000"/>
          <w:spacing w:val="0"/>
          <w:sz w:val="36"/>
          <w:szCs w:val="36"/>
          <w:shd w:val="clear" w:fill="FFFFFF"/>
        </w:rPr>
        <w:t>城市交通发展奖励资金发</w:t>
      </w:r>
      <w:r>
        <w:rPr>
          <w:rFonts w:hint="eastAsia" w:ascii="宋体" w:eastAsia="宋体"/>
          <w:b/>
          <w:strike w:val="0"/>
          <w:sz w:val="36"/>
          <w:szCs w:val="36"/>
          <w:u w:val="none"/>
          <w:lang w:val="en-US" w:eastAsia="zh-CN"/>
        </w:rPr>
        <w:t>放</w:t>
      </w:r>
      <w:r>
        <w:rPr>
          <w:rFonts w:hint="eastAsia" w:ascii="宋体" w:eastAsia="宋体"/>
          <w:b/>
          <w:strike w:val="0"/>
          <w:sz w:val="36"/>
          <w:szCs w:val="36"/>
          <w:u w:val="none"/>
        </w:rPr>
        <w:t>明细表</w:t>
      </w:r>
    </w:p>
    <w:p w14:paraId="681D1DDD">
      <w:pPr>
        <w:spacing w:before="52" w:line="331" w:lineRule="exact"/>
        <w:ind w:right="0" w:firstLine="1687" w:firstLineChars="600"/>
        <w:jc w:val="left"/>
        <w:rPr>
          <w:rFonts w:hint="eastAsia" w:ascii="宋体" w:eastAsia="宋体"/>
          <w:b/>
          <w:strike w:val="0"/>
          <w:sz w:val="28"/>
          <w:u w:val="none"/>
        </w:rPr>
      </w:pPr>
    </w:p>
    <w:p w14:paraId="7A201668">
      <w:pPr>
        <w:tabs>
          <w:tab w:val="left" w:pos="12244"/>
        </w:tabs>
        <w:spacing w:before="0" w:line="341" w:lineRule="exact"/>
        <w:ind w:right="0" w:firstLine="1100" w:firstLineChars="500"/>
        <w:jc w:val="left"/>
        <w:rPr>
          <w:sz w:val="18"/>
        </w:rPr>
      </w:pPr>
      <w:bookmarkStart w:id="0" w:name="_GoBack"/>
      <w:bookmarkEnd w:id="0"/>
      <w:r>
        <w:pict>
          <v:shape id="_x0000_s1026" o:spid="_x0000_s1026" o:spt="202" type="#_x0000_t202" style="position:absolute;left:0pt;margin-left:40.9pt;margin-top:14.75pt;height:294.8pt;width:748.85pt;mso-position-horizontal-relative:page;z-index:25165926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tbl>
                  <w:tblPr>
                    <w:tblStyle w:val="4"/>
                    <w:tblpPr w:leftFromText="180" w:rightFromText="180" w:vertAnchor="page" w:horzAnchor="page" w:tblpX="1173" w:tblpY="3507"/>
                    <w:tblOverlap w:val="never"/>
                    <w:tblW w:w="14318" w:type="dxa"/>
                    <w:jc w:val="center"/>
                    <w:tblBorders>
                      <w:top w:val="single" w:color="000000" w:sz="8" w:space="0"/>
                      <w:left w:val="single" w:color="000000" w:sz="8" w:space="0"/>
                      <w:bottom w:val="single" w:color="000000" w:sz="8" w:space="0"/>
                      <w:right w:val="single" w:color="000000" w:sz="8" w:space="0"/>
                      <w:insideH w:val="single" w:color="000000" w:sz="8" w:space="0"/>
                      <w:insideV w:val="single" w:color="000000" w:sz="8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93"/>
                    <w:gridCol w:w="3873"/>
                    <w:gridCol w:w="3190"/>
                    <w:gridCol w:w="3293"/>
                    <w:gridCol w:w="3369"/>
                  </w:tblGrid>
                  <w:tr w14:paraId="6D124E7F">
                    <w:tblPrEx>
                      <w:tblBorders>
                        <w:top w:val="single" w:color="000000" w:sz="8" w:space="0"/>
                        <w:left w:val="single" w:color="000000" w:sz="8" w:space="0"/>
                        <w:bottom w:val="single" w:color="000000" w:sz="8" w:space="0"/>
                        <w:right w:val="single" w:color="000000" w:sz="8" w:space="0"/>
                        <w:insideH w:val="single" w:color="000000" w:sz="8" w:space="0"/>
                        <w:insideV w:val="single" w:color="000000" w:sz="8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27" w:hRule="atLeast"/>
                      <w:jc w:val="center"/>
                    </w:trPr>
                    <w:tc>
                      <w:tcPr>
                        <w:tcW w:w="593" w:type="dxa"/>
                        <w:vMerge w:val="restart"/>
                      </w:tcPr>
                      <w:p w14:paraId="5E6E7C03">
                        <w:pPr>
                          <w:pStyle w:val="8"/>
                          <w:spacing w:before="17"/>
                          <w:rPr>
                            <w:sz w:val="44"/>
                            <w:szCs w:val="32"/>
                          </w:rPr>
                        </w:pPr>
                      </w:p>
                      <w:p w14:paraId="2733FDDE">
                        <w:pPr>
                          <w:pStyle w:val="8"/>
                          <w:ind w:left="133"/>
                          <w:rPr>
                            <w:sz w:val="22"/>
                            <w:szCs w:val="32"/>
                          </w:rPr>
                        </w:pPr>
                        <w:r>
                          <w:rPr>
                            <w:sz w:val="22"/>
                            <w:szCs w:val="32"/>
                          </w:rPr>
                          <w:t>序号</w:t>
                        </w:r>
                      </w:p>
                    </w:tc>
                    <w:tc>
                      <w:tcPr>
                        <w:tcW w:w="3873" w:type="dxa"/>
                        <w:vMerge w:val="restart"/>
                      </w:tcPr>
                      <w:p w14:paraId="31837A42">
                        <w:pPr>
                          <w:pStyle w:val="8"/>
                          <w:spacing w:before="17"/>
                          <w:rPr>
                            <w:sz w:val="44"/>
                            <w:szCs w:val="32"/>
                          </w:rPr>
                        </w:pPr>
                      </w:p>
                      <w:p w14:paraId="3E2D5522">
                        <w:pPr>
                          <w:pStyle w:val="8"/>
                          <w:ind w:left="427" w:right="387"/>
                          <w:jc w:val="center"/>
                          <w:rPr>
                            <w:sz w:val="22"/>
                            <w:szCs w:val="32"/>
                          </w:rPr>
                        </w:pPr>
                        <w:r>
                          <w:rPr>
                            <w:sz w:val="22"/>
                            <w:szCs w:val="32"/>
                          </w:rPr>
                          <w:t>企业名称</w:t>
                        </w:r>
                      </w:p>
                    </w:tc>
                    <w:tc>
                      <w:tcPr>
                        <w:tcW w:w="9852" w:type="dxa"/>
                        <w:gridSpan w:val="3"/>
                        <w:vAlign w:val="center"/>
                      </w:tcPr>
                      <w:p w14:paraId="2CBF5AD9">
                        <w:pPr>
                          <w:pStyle w:val="8"/>
                          <w:spacing w:before="124"/>
                          <w:ind w:left="1149"/>
                          <w:jc w:val="center"/>
                          <w:rPr>
                            <w:sz w:val="22"/>
                            <w:szCs w:val="32"/>
                          </w:rPr>
                        </w:pPr>
                        <w:r>
                          <w:rPr>
                            <w:sz w:val="22"/>
                            <w:szCs w:val="32"/>
                          </w:rPr>
                          <w:t>新能源公交车运营补贴</w:t>
                        </w:r>
                      </w:p>
                    </w:tc>
                  </w:tr>
                  <w:tr w14:paraId="67FB906D">
                    <w:tblPrEx>
                      <w:tblBorders>
                        <w:top w:val="single" w:color="000000" w:sz="8" w:space="0"/>
                        <w:left w:val="single" w:color="000000" w:sz="8" w:space="0"/>
                        <w:bottom w:val="single" w:color="000000" w:sz="8" w:space="0"/>
                        <w:right w:val="single" w:color="000000" w:sz="8" w:space="0"/>
                        <w:insideH w:val="single" w:color="000000" w:sz="8" w:space="0"/>
                        <w:insideV w:val="single" w:color="000000" w:sz="8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976" w:hRule="atLeast"/>
                      <w:jc w:val="center"/>
                    </w:trPr>
                    <w:tc>
                      <w:tcPr>
                        <w:tcW w:w="593" w:type="dxa"/>
                        <w:vMerge w:val="continue"/>
                        <w:tcBorders>
                          <w:top w:val="nil"/>
                        </w:tcBorders>
                      </w:tcPr>
                      <w:p w14:paraId="6C742D3E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3873" w:type="dxa"/>
                        <w:vMerge w:val="continue"/>
                        <w:tcBorders>
                          <w:top w:val="nil"/>
                        </w:tcBorders>
                      </w:tcPr>
                      <w:p w14:paraId="0E9EA17A">
                        <w:pPr>
                          <w:rPr>
                            <w:sz w:val="8"/>
                            <w:szCs w:val="8"/>
                          </w:rPr>
                        </w:pPr>
                      </w:p>
                    </w:tc>
                    <w:tc>
                      <w:tcPr>
                        <w:tcW w:w="3190" w:type="dxa"/>
                        <w:vAlign w:val="center"/>
                      </w:tcPr>
                      <w:p w14:paraId="0E0CE741">
                        <w:pPr>
                          <w:pStyle w:val="8"/>
                          <w:spacing w:before="3"/>
                          <w:jc w:val="center"/>
                          <w:rPr>
                            <w:sz w:val="21"/>
                            <w:szCs w:val="32"/>
                          </w:rPr>
                        </w:pPr>
                      </w:p>
                      <w:p w14:paraId="718A431F">
                        <w:pPr>
                          <w:pStyle w:val="8"/>
                          <w:ind w:left="181" w:right="137"/>
                          <w:jc w:val="center"/>
                          <w:rPr>
                            <w:sz w:val="22"/>
                            <w:szCs w:val="32"/>
                          </w:rPr>
                        </w:pPr>
                        <w:r>
                          <w:rPr>
                            <w:sz w:val="22"/>
                            <w:szCs w:val="32"/>
                          </w:rPr>
                          <w:t>车辆标台数</w:t>
                        </w:r>
                      </w:p>
                    </w:tc>
                    <w:tc>
                      <w:tcPr>
                        <w:tcW w:w="3293" w:type="dxa"/>
                        <w:vAlign w:val="center"/>
                      </w:tcPr>
                      <w:p w14:paraId="51803E45">
                        <w:pPr>
                          <w:pStyle w:val="8"/>
                          <w:spacing w:before="3"/>
                          <w:jc w:val="center"/>
                          <w:rPr>
                            <w:sz w:val="21"/>
                            <w:szCs w:val="32"/>
                          </w:rPr>
                        </w:pPr>
                      </w:p>
                      <w:p w14:paraId="65D12B53">
                        <w:pPr>
                          <w:pStyle w:val="8"/>
                          <w:ind w:left="200" w:right="156"/>
                          <w:jc w:val="center"/>
                          <w:rPr>
                            <w:sz w:val="22"/>
                            <w:szCs w:val="32"/>
                          </w:rPr>
                        </w:pPr>
                        <w:r>
                          <w:rPr>
                            <w:sz w:val="22"/>
                            <w:szCs w:val="32"/>
                          </w:rPr>
                          <w:t>折算后标台数</w:t>
                        </w:r>
                      </w:p>
                    </w:tc>
                    <w:tc>
                      <w:tcPr>
                        <w:tcW w:w="3369" w:type="dxa"/>
                        <w:vAlign w:val="center"/>
                      </w:tcPr>
                      <w:p w14:paraId="06D62997">
                        <w:pPr>
                          <w:pStyle w:val="8"/>
                          <w:spacing w:before="3"/>
                          <w:jc w:val="center"/>
                          <w:rPr>
                            <w:sz w:val="21"/>
                            <w:szCs w:val="32"/>
                          </w:rPr>
                        </w:pPr>
                      </w:p>
                      <w:p w14:paraId="6F988390">
                        <w:pPr>
                          <w:pStyle w:val="8"/>
                          <w:ind w:right="249"/>
                          <w:jc w:val="center"/>
                          <w:rPr>
                            <w:sz w:val="22"/>
                            <w:szCs w:val="32"/>
                          </w:rPr>
                        </w:pPr>
                        <w:r>
                          <w:rPr>
                            <w:w w:val="95"/>
                            <w:sz w:val="22"/>
                            <w:szCs w:val="32"/>
                          </w:rPr>
                          <w:t>补贴金额</w:t>
                        </w:r>
                      </w:p>
                    </w:tc>
                  </w:tr>
                  <w:tr w14:paraId="77927856">
                    <w:tblPrEx>
                      <w:tblBorders>
                        <w:top w:val="single" w:color="000000" w:sz="8" w:space="0"/>
                        <w:left w:val="single" w:color="000000" w:sz="8" w:space="0"/>
                        <w:bottom w:val="single" w:color="000000" w:sz="8" w:space="0"/>
                        <w:right w:val="single" w:color="000000" w:sz="8" w:space="0"/>
                        <w:insideH w:val="single" w:color="000000" w:sz="8" w:space="0"/>
                        <w:insideV w:val="single" w:color="000000" w:sz="8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828" w:hRule="atLeast"/>
                      <w:jc w:val="center"/>
                    </w:trPr>
                    <w:tc>
                      <w:tcPr>
                        <w:tcW w:w="593" w:type="dxa"/>
                      </w:tcPr>
                      <w:p w14:paraId="530B2848">
                        <w:pPr>
                          <w:pStyle w:val="8"/>
                          <w:spacing w:before="2"/>
                          <w:rPr>
                            <w:sz w:val="21"/>
                            <w:szCs w:val="32"/>
                          </w:rPr>
                        </w:pPr>
                      </w:p>
                      <w:p w14:paraId="15126BEE">
                        <w:pPr>
                          <w:pStyle w:val="8"/>
                          <w:ind w:left="35"/>
                          <w:jc w:val="center"/>
                          <w:rPr>
                            <w:sz w:val="22"/>
                            <w:szCs w:val="32"/>
                          </w:rPr>
                        </w:pPr>
                        <w:r>
                          <w:rPr>
                            <w:w w:val="99"/>
                            <w:sz w:val="22"/>
                            <w:szCs w:val="32"/>
                          </w:rPr>
                          <w:t>1</w:t>
                        </w:r>
                      </w:p>
                    </w:tc>
                    <w:tc>
                      <w:tcPr>
                        <w:tcW w:w="3873" w:type="dxa"/>
                      </w:tcPr>
                      <w:p w14:paraId="07E473CA">
                        <w:pPr>
                          <w:pStyle w:val="8"/>
                          <w:spacing w:before="2"/>
                          <w:rPr>
                            <w:sz w:val="21"/>
                            <w:szCs w:val="32"/>
                          </w:rPr>
                        </w:pPr>
                      </w:p>
                      <w:p w14:paraId="201DE2D7">
                        <w:pPr>
                          <w:pStyle w:val="8"/>
                          <w:ind w:left="444" w:right="387"/>
                          <w:jc w:val="center"/>
                          <w:rPr>
                            <w:sz w:val="22"/>
                            <w:szCs w:val="32"/>
                          </w:rPr>
                        </w:pPr>
                        <w:r>
                          <w:rPr>
                            <w:sz w:val="22"/>
                            <w:szCs w:val="32"/>
                          </w:rPr>
                          <w:t>金寨县通达公共交通有限公司</w:t>
                        </w:r>
                      </w:p>
                    </w:tc>
                    <w:tc>
                      <w:tcPr>
                        <w:tcW w:w="3190" w:type="dxa"/>
                        <w:vAlign w:val="center"/>
                      </w:tcPr>
                      <w:p w14:paraId="503EE19E">
                        <w:pPr>
                          <w:pStyle w:val="8"/>
                          <w:ind w:left="176" w:right="137"/>
                          <w:jc w:val="center"/>
                          <w:rPr>
                            <w:rFonts w:hint="default" w:ascii="Arial" w:eastAsia="微软雅黑"/>
                            <w:sz w:val="22"/>
                            <w:szCs w:val="32"/>
                            <w:lang w:val="en-US" w:eastAsia="zh-CN"/>
                          </w:rPr>
                        </w:pPr>
                        <w:r>
                          <w:rPr>
                            <w:rFonts w:hint="eastAsia" w:ascii="Arial"/>
                            <w:sz w:val="22"/>
                            <w:szCs w:val="32"/>
                            <w:lang w:val="en-US" w:eastAsia="zh-CN"/>
                          </w:rPr>
                          <w:t>234.5</w:t>
                        </w:r>
                      </w:p>
                    </w:tc>
                    <w:tc>
                      <w:tcPr>
                        <w:tcW w:w="3293" w:type="dxa"/>
                        <w:vAlign w:val="center"/>
                      </w:tcPr>
                      <w:p w14:paraId="18F92122">
                        <w:pPr>
                          <w:pStyle w:val="8"/>
                          <w:ind w:left="176" w:right="137"/>
                          <w:jc w:val="center"/>
                          <w:rPr>
                            <w:rFonts w:hint="default" w:ascii="Arial"/>
                            <w:sz w:val="22"/>
                            <w:szCs w:val="32"/>
                            <w:lang w:val="en-US" w:eastAsia="zh-CN"/>
                          </w:rPr>
                        </w:pPr>
                        <w:r>
                          <w:rPr>
                            <w:rFonts w:hint="eastAsia" w:ascii="Arial"/>
                            <w:sz w:val="22"/>
                            <w:szCs w:val="32"/>
                            <w:lang w:val="en-US" w:eastAsia="zh-CN"/>
                          </w:rPr>
                          <w:t>228</w:t>
                        </w:r>
                      </w:p>
                    </w:tc>
                    <w:tc>
                      <w:tcPr>
                        <w:tcW w:w="3369" w:type="dxa"/>
                        <w:vAlign w:val="center"/>
                      </w:tcPr>
                      <w:p w14:paraId="29FC1028">
                        <w:pPr>
                          <w:pStyle w:val="8"/>
                          <w:ind w:left="176" w:right="137"/>
                          <w:jc w:val="center"/>
                          <w:rPr>
                            <w:rFonts w:hint="eastAsia" w:ascii="Arial"/>
                            <w:sz w:val="22"/>
                            <w:szCs w:val="32"/>
                            <w:lang w:val="en-US" w:eastAsia="zh-CN"/>
                          </w:rPr>
                        </w:pPr>
                        <w:r>
                          <w:rPr>
                            <w:rFonts w:hint="eastAsia" w:ascii="Arial"/>
                            <w:sz w:val="22"/>
                            <w:szCs w:val="32"/>
                            <w:lang w:val="en-US" w:eastAsia="zh-CN"/>
                          </w:rPr>
                          <w:t>112.63</w:t>
                        </w:r>
                      </w:p>
                    </w:tc>
                  </w:tr>
                  <w:tr w14:paraId="72F714CE">
                    <w:tblPrEx>
                      <w:tblBorders>
                        <w:top w:val="single" w:color="000000" w:sz="8" w:space="0"/>
                        <w:left w:val="single" w:color="000000" w:sz="8" w:space="0"/>
                        <w:bottom w:val="single" w:color="000000" w:sz="8" w:space="0"/>
                        <w:right w:val="single" w:color="000000" w:sz="8" w:space="0"/>
                        <w:insideH w:val="single" w:color="000000" w:sz="8" w:space="0"/>
                        <w:insideV w:val="single" w:color="000000" w:sz="8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828" w:hRule="atLeast"/>
                      <w:jc w:val="center"/>
                    </w:trPr>
                    <w:tc>
                      <w:tcPr>
                        <w:tcW w:w="593" w:type="dxa"/>
                      </w:tcPr>
                      <w:p w14:paraId="5ADEC6AF">
                        <w:pPr>
                          <w:pStyle w:val="8"/>
                          <w:spacing w:before="3"/>
                          <w:rPr>
                            <w:sz w:val="21"/>
                            <w:szCs w:val="32"/>
                          </w:rPr>
                        </w:pPr>
                      </w:p>
                      <w:p w14:paraId="49D9F38B">
                        <w:pPr>
                          <w:pStyle w:val="8"/>
                          <w:ind w:left="35"/>
                          <w:jc w:val="center"/>
                          <w:rPr>
                            <w:sz w:val="22"/>
                            <w:szCs w:val="32"/>
                          </w:rPr>
                        </w:pPr>
                        <w:r>
                          <w:rPr>
                            <w:w w:val="99"/>
                            <w:sz w:val="22"/>
                            <w:szCs w:val="32"/>
                          </w:rPr>
                          <w:t>2</w:t>
                        </w:r>
                      </w:p>
                    </w:tc>
                    <w:tc>
                      <w:tcPr>
                        <w:tcW w:w="3873" w:type="dxa"/>
                      </w:tcPr>
                      <w:p w14:paraId="17FD10F9">
                        <w:pPr>
                          <w:pStyle w:val="8"/>
                          <w:spacing w:before="3"/>
                          <w:rPr>
                            <w:sz w:val="21"/>
                            <w:szCs w:val="32"/>
                          </w:rPr>
                        </w:pPr>
                      </w:p>
                      <w:p w14:paraId="6300F0CC">
                        <w:pPr>
                          <w:pStyle w:val="8"/>
                          <w:ind w:left="441" w:right="387"/>
                          <w:jc w:val="center"/>
                          <w:rPr>
                            <w:sz w:val="22"/>
                            <w:szCs w:val="32"/>
                          </w:rPr>
                        </w:pPr>
                        <w:r>
                          <w:rPr>
                            <w:sz w:val="22"/>
                            <w:szCs w:val="32"/>
                          </w:rPr>
                          <w:t>金寨电动公交有限公司</w:t>
                        </w:r>
                      </w:p>
                    </w:tc>
                    <w:tc>
                      <w:tcPr>
                        <w:tcW w:w="3190" w:type="dxa"/>
                        <w:vAlign w:val="center"/>
                      </w:tcPr>
                      <w:p w14:paraId="42E1862D">
                        <w:pPr>
                          <w:pStyle w:val="8"/>
                          <w:ind w:left="174" w:right="137"/>
                          <w:jc w:val="center"/>
                          <w:rPr>
                            <w:rFonts w:hint="default" w:eastAsia="微软雅黑"/>
                            <w:sz w:val="22"/>
                            <w:szCs w:val="32"/>
                            <w:lang w:val="en-US" w:eastAsia="zh-CN"/>
                          </w:rPr>
                        </w:pPr>
                        <w:r>
                          <w:rPr>
                            <w:rFonts w:hint="eastAsia"/>
                            <w:sz w:val="22"/>
                            <w:szCs w:val="32"/>
                            <w:lang w:val="en-US" w:eastAsia="zh-CN"/>
                          </w:rPr>
                          <w:t>60</w:t>
                        </w:r>
                      </w:p>
                    </w:tc>
                    <w:tc>
                      <w:tcPr>
                        <w:tcW w:w="3293" w:type="dxa"/>
                        <w:vAlign w:val="center"/>
                      </w:tcPr>
                      <w:p w14:paraId="4EFDC7A2">
                        <w:pPr>
                          <w:pStyle w:val="8"/>
                          <w:ind w:left="176" w:right="137"/>
                          <w:jc w:val="center"/>
                          <w:rPr>
                            <w:rFonts w:hint="default" w:ascii="Arial"/>
                            <w:sz w:val="22"/>
                            <w:szCs w:val="32"/>
                            <w:lang w:val="en-US" w:eastAsia="zh-CN"/>
                          </w:rPr>
                        </w:pPr>
                        <w:r>
                          <w:rPr>
                            <w:rFonts w:hint="eastAsia" w:ascii="Arial"/>
                            <w:sz w:val="22"/>
                            <w:szCs w:val="32"/>
                            <w:lang w:val="en-US" w:eastAsia="zh-CN"/>
                          </w:rPr>
                          <w:t>60</w:t>
                        </w:r>
                      </w:p>
                    </w:tc>
                    <w:tc>
                      <w:tcPr>
                        <w:tcW w:w="3369" w:type="dxa"/>
                        <w:vAlign w:val="center"/>
                      </w:tcPr>
                      <w:p w14:paraId="7CC6B3FE">
                        <w:pPr>
                          <w:pStyle w:val="8"/>
                          <w:ind w:left="176" w:right="137"/>
                          <w:jc w:val="center"/>
                          <w:rPr>
                            <w:rFonts w:hint="eastAsia" w:ascii="Arial"/>
                            <w:sz w:val="22"/>
                            <w:szCs w:val="32"/>
                            <w:lang w:val="en-US" w:eastAsia="zh-CN"/>
                          </w:rPr>
                        </w:pPr>
                        <w:r>
                          <w:rPr>
                            <w:rFonts w:hint="eastAsia" w:ascii="Arial"/>
                            <w:sz w:val="22"/>
                            <w:szCs w:val="32"/>
                            <w:lang w:val="en-US" w:eastAsia="zh-CN"/>
                          </w:rPr>
                          <w:t>29.64</w:t>
                        </w:r>
                      </w:p>
                    </w:tc>
                  </w:tr>
                  <w:tr w14:paraId="61BD242A">
                    <w:tblPrEx>
                      <w:tblBorders>
                        <w:top w:val="single" w:color="000000" w:sz="8" w:space="0"/>
                        <w:left w:val="single" w:color="000000" w:sz="8" w:space="0"/>
                        <w:bottom w:val="single" w:color="000000" w:sz="8" w:space="0"/>
                        <w:right w:val="single" w:color="000000" w:sz="8" w:space="0"/>
                        <w:insideH w:val="single" w:color="000000" w:sz="8" w:space="0"/>
                        <w:insideV w:val="single" w:color="000000" w:sz="8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1127" w:hRule="atLeast"/>
                      <w:jc w:val="center"/>
                    </w:trPr>
                    <w:tc>
                      <w:tcPr>
                        <w:tcW w:w="593" w:type="dxa"/>
                      </w:tcPr>
                      <w:p w14:paraId="6DAF490C">
                        <w:pPr>
                          <w:pStyle w:val="8"/>
                          <w:spacing w:before="2"/>
                          <w:rPr>
                            <w:sz w:val="21"/>
                            <w:szCs w:val="32"/>
                          </w:rPr>
                        </w:pPr>
                      </w:p>
                      <w:p w14:paraId="77BFC15C">
                        <w:pPr>
                          <w:pStyle w:val="8"/>
                          <w:ind w:left="35"/>
                          <w:jc w:val="center"/>
                          <w:rPr>
                            <w:sz w:val="22"/>
                            <w:szCs w:val="32"/>
                          </w:rPr>
                        </w:pPr>
                        <w:r>
                          <w:rPr>
                            <w:w w:val="99"/>
                            <w:sz w:val="22"/>
                            <w:szCs w:val="32"/>
                          </w:rPr>
                          <w:t>3</w:t>
                        </w:r>
                      </w:p>
                    </w:tc>
                    <w:tc>
                      <w:tcPr>
                        <w:tcW w:w="3873" w:type="dxa"/>
                      </w:tcPr>
                      <w:p w14:paraId="2CF6A201">
                        <w:pPr>
                          <w:pStyle w:val="8"/>
                          <w:spacing w:before="2"/>
                          <w:rPr>
                            <w:sz w:val="21"/>
                            <w:szCs w:val="32"/>
                          </w:rPr>
                        </w:pPr>
                      </w:p>
                      <w:p w14:paraId="56E4F497">
                        <w:pPr>
                          <w:pStyle w:val="8"/>
                          <w:ind w:left="448" w:right="387"/>
                          <w:jc w:val="center"/>
                          <w:rPr>
                            <w:sz w:val="22"/>
                            <w:szCs w:val="32"/>
                          </w:rPr>
                        </w:pPr>
                        <w:r>
                          <w:rPr>
                            <w:sz w:val="22"/>
                            <w:szCs w:val="32"/>
                          </w:rPr>
                          <w:t>金寨县益民公共交通有限责任公司</w:t>
                        </w:r>
                      </w:p>
                    </w:tc>
                    <w:tc>
                      <w:tcPr>
                        <w:tcW w:w="3190" w:type="dxa"/>
                        <w:vAlign w:val="center"/>
                      </w:tcPr>
                      <w:p w14:paraId="53E8A73A">
                        <w:pPr>
                          <w:pStyle w:val="8"/>
                          <w:ind w:left="174" w:right="137"/>
                          <w:jc w:val="center"/>
                          <w:rPr>
                            <w:rFonts w:hint="default" w:eastAsia="微软雅黑"/>
                            <w:sz w:val="22"/>
                            <w:szCs w:val="32"/>
                            <w:lang w:val="en-US" w:eastAsia="zh-CN"/>
                          </w:rPr>
                        </w:pPr>
                        <w:r>
                          <w:rPr>
                            <w:rFonts w:hint="eastAsia"/>
                            <w:sz w:val="22"/>
                            <w:szCs w:val="32"/>
                            <w:lang w:val="en-US" w:eastAsia="zh-CN"/>
                          </w:rPr>
                          <w:t>58</w:t>
                        </w:r>
                      </w:p>
                    </w:tc>
                    <w:tc>
                      <w:tcPr>
                        <w:tcW w:w="3293" w:type="dxa"/>
                        <w:vAlign w:val="center"/>
                      </w:tcPr>
                      <w:p w14:paraId="7C2966A4">
                        <w:pPr>
                          <w:pStyle w:val="8"/>
                          <w:ind w:left="176" w:right="137"/>
                          <w:jc w:val="center"/>
                          <w:rPr>
                            <w:rFonts w:hint="default" w:ascii="Arial"/>
                            <w:sz w:val="22"/>
                            <w:szCs w:val="32"/>
                            <w:lang w:val="en-US" w:eastAsia="zh-CN"/>
                          </w:rPr>
                        </w:pPr>
                        <w:r>
                          <w:rPr>
                            <w:rFonts w:hint="eastAsia" w:ascii="Arial"/>
                            <w:sz w:val="22"/>
                            <w:szCs w:val="32"/>
                            <w:lang w:val="en-US" w:eastAsia="zh-CN"/>
                          </w:rPr>
                          <w:t>58</w:t>
                        </w:r>
                      </w:p>
                    </w:tc>
                    <w:tc>
                      <w:tcPr>
                        <w:tcW w:w="3369" w:type="dxa"/>
                        <w:vAlign w:val="center"/>
                      </w:tcPr>
                      <w:p w14:paraId="1EEC2EFF">
                        <w:pPr>
                          <w:pStyle w:val="8"/>
                          <w:ind w:left="176" w:right="137"/>
                          <w:jc w:val="center"/>
                          <w:rPr>
                            <w:rFonts w:hint="eastAsia" w:ascii="Arial"/>
                            <w:sz w:val="22"/>
                            <w:szCs w:val="32"/>
                            <w:lang w:val="en-US" w:eastAsia="zh-CN"/>
                          </w:rPr>
                        </w:pPr>
                        <w:r>
                          <w:rPr>
                            <w:rFonts w:hint="eastAsia" w:ascii="Arial"/>
                            <w:sz w:val="22"/>
                            <w:szCs w:val="32"/>
                            <w:lang w:val="en-US" w:eastAsia="zh-CN"/>
                          </w:rPr>
                          <w:t>28.65</w:t>
                        </w:r>
                      </w:p>
                    </w:tc>
                  </w:tr>
                  <w:tr w14:paraId="6573AD91">
                    <w:tblPrEx>
                      <w:tblBorders>
                        <w:top w:val="single" w:color="000000" w:sz="8" w:space="0"/>
                        <w:left w:val="single" w:color="000000" w:sz="8" w:space="0"/>
                        <w:bottom w:val="single" w:color="000000" w:sz="8" w:space="0"/>
                        <w:right w:val="single" w:color="000000" w:sz="8" w:space="0"/>
                        <w:insideH w:val="single" w:color="000000" w:sz="8" w:space="0"/>
                        <w:insideV w:val="single" w:color="000000" w:sz="8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889" w:hRule="atLeast"/>
                      <w:jc w:val="center"/>
                    </w:trPr>
                    <w:tc>
                      <w:tcPr>
                        <w:tcW w:w="593" w:type="dxa"/>
                      </w:tcPr>
                      <w:p w14:paraId="6E023630">
                        <w:pPr>
                          <w:pStyle w:val="8"/>
                          <w:rPr>
                            <w:rFonts w:ascii="Times New Roman"/>
                            <w:sz w:val="22"/>
                            <w:szCs w:val="32"/>
                          </w:rPr>
                        </w:pPr>
                      </w:p>
                    </w:tc>
                    <w:tc>
                      <w:tcPr>
                        <w:tcW w:w="3873" w:type="dxa"/>
                      </w:tcPr>
                      <w:p w14:paraId="2E2653C0">
                        <w:pPr>
                          <w:pStyle w:val="8"/>
                          <w:spacing w:before="7"/>
                          <w:rPr>
                            <w:sz w:val="21"/>
                            <w:szCs w:val="32"/>
                          </w:rPr>
                        </w:pPr>
                      </w:p>
                      <w:p w14:paraId="24F6E908">
                        <w:pPr>
                          <w:pStyle w:val="8"/>
                          <w:spacing w:before="1"/>
                          <w:ind w:left="423" w:right="387"/>
                          <w:jc w:val="center"/>
                          <w:rPr>
                            <w:b/>
                            <w:sz w:val="22"/>
                            <w:szCs w:val="32"/>
                          </w:rPr>
                        </w:pPr>
                        <w:r>
                          <w:rPr>
                            <w:b/>
                            <w:sz w:val="22"/>
                            <w:szCs w:val="32"/>
                          </w:rPr>
                          <w:t>合计</w:t>
                        </w:r>
                      </w:p>
                    </w:tc>
                    <w:tc>
                      <w:tcPr>
                        <w:tcW w:w="3190" w:type="dxa"/>
                        <w:vAlign w:val="center"/>
                      </w:tcPr>
                      <w:p w14:paraId="056B0DDB">
                        <w:pPr>
                          <w:pStyle w:val="8"/>
                          <w:spacing w:before="1"/>
                          <w:ind w:left="179" w:right="137"/>
                          <w:jc w:val="center"/>
                          <w:rPr>
                            <w:rFonts w:hint="default" w:eastAsia="微软雅黑"/>
                            <w:b/>
                            <w:sz w:val="22"/>
                            <w:szCs w:val="32"/>
                            <w:lang w:val="en-US" w:eastAsia="zh-CN"/>
                          </w:rPr>
                        </w:pPr>
                        <w:r>
                          <w:rPr>
                            <w:rFonts w:hint="eastAsia"/>
                            <w:b/>
                            <w:sz w:val="22"/>
                            <w:szCs w:val="32"/>
                            <w:lang w:val="en-US" w:eastAsia="zh-CN"/>
                          </w:rPr>
                          <w:t>352.5</w:t>
                        </w:r>
                      </w:p>
                    </w:tc>
                    <w:tc>
                      <w:tcPr>
                        <w:tcW w:w="3293" w:type="dxa"/>
                        <w:vAlign w:val="center"/>
                      </w:tcPr>
                      <w:p w14:paraId="70BE6B9B">
                        <w:pPr>
                          <w:pStyle w:val="8"/>
                          <w:spacing w:before="1"/>
                          <w:ind w:left="197" w:right="156"/>
                          <w:jc w:val="center"/>
                          <w:rPr>
                            <w:rFonts w:hint="default" w:eastAsia="微软雅黑"/>
                            <w:b/>
                            <w:sz w:val="22"/>
                            <w:szCs w:val="32"/>
                            <w:lang w:val="en-US" w:eastAsia="zh-CN"/>
                          </w:rPr>
                        </w:pPr>
                        <w:r>
                          <w:rPr>
                            <w:rFonts w:hint="eastAsia"/>
                            <w:b/>
                            <w:sz w:val="22"/>
                            <w:szCs w:val="32"/>
                            <w:lang w:val="en-US" w:eastAsia="zh-CN"/>
                          </w:rPr>
                          <w:t>346</w:t>
                        </w:r>
                      </w:p>
                    </w:tc>
                    <w:tc>
                      <w:tcPr>
                        <w:tcW w:w="3369" w:type="dxa"/>
                        <w:vAlign w:val="center"/>
                      </w:tcPr>
                      <w:p w14:paraId="38C4AEB1">
                        <w:pPr>
                          <w:pStyle w:val="8"/>
                          <w:spacing w:before="1"/>
                          <w:ind w:right="220"/>
                          <w:jc w:val="center"/>
                          <w:rPr>
                            <w:rFonts w:hint="default" w:eastAsia="微软雅黑"/>
                            <w:b/>
                            <w:sz w:val="22"/>
                            <w:szCs w:val="32"/>
                            <w:lang w:val="en-US" w:eastAsia="zh-CN"/>
                          </w:rPr>
                        </w:pPr>
                        <w:r>
                          <w:rPr>
                            <w:rFonts w:hint="eastAsia"/>
                            <w:b/>
                            <w:sz w:val="22"/>
                            <w:szCs w:val="32"/>
                            <w:lang w:val="en-US" w:eastAsia="zh-CN"/>
                          </w:rPr>
                          <w:t>170.92</w:t>
                        </w:r>
                      </w:p>
                    </w:tc>
                  </w:tr>
                </w:tbl>
                <w:p w14:paraId="4E66A233">
                  <w:pPr>
                    <w:pStyle w:val="3"/>
                    <w:rPr>
                      <w:rFonts w:hint="default" w:eastAsia="微软雅黑"/>
                      <w:sz w:val="22"/>
                      <w:szCs w:val="22"/>
                      <w:lang w:val="en-US" w:eastAsia="zh-CN"/>
                    </w:rPr>
                  </w:pPr>
                </w:p>
              </w:txbxContent>
            </v:textbox>
          </v:shape>
        </w:pict>
      </w:r>
      <w:r>
        <w:rPr>
          <w:sz w:val="20"/>
        </w:rPr>
        <w:tab/>
      </w:r>
      <w:r>
        <w:rPr>
          <w:position w:val="2"/>
          <w:sz w:val="18"/>
        </w:rPr>
        <w:t>金额单</w:t>
      </w:r>
      <w:r>
        <w:rPr>
          <w:spacing w:val="-8"/>
          <w:position w:val="2"/>
          <w:sz w:val="18"/>
        </w:rPr>
        <w:t>位</w:t>
      </w:r>
      <w:r>
        <w:rPr>
          <w:position w:val="2"/>
          <w:sz w:val="18"/>
        </w:rPr>
        <w:t>：</w:t>
      </w:r>
      <w:r>
        <w:rPr>
          <w:rFonts w:hint="eastAsia"/>
          <w:position w:val="2"/>
          <w:sz w:val="18"/>
          <w:lang w:val="en-US" w:eastAsia="zh-CN"/>
        </w:rPr>
        <w:t>万</w:t>
      </w:r>
      <w:r>
        <w:rPr>
          <w:position w:val="2"/>
          <w:sz w:val="18"/>
        </w:rPr>
        <w:t>元</w:t>
      </w:r>
    </w:p>
    <w:p w14:paraId="09351BE4">
      <w:pPr>
        <w:pStyle w:val="3"/>
        <w:rPr>
          <w:sz w:val="26"/>
        </w:rPr>
      </w:pPr>
    </w:p>
    <w:p w14:paraId="20FE917B">
      <w:pPr>
        <w:pStyle w:val="3"/>
        <w:rPr>
          <w:sz w:val="26"/>
        </w:rPr>
      </w:pPr>
    </w:p>
    <w:p w14:paraId="68D0B1DA">
      <w:pPr>
        <w:pStyle w:val="3"/>
        <w:rPr>
          <w:sz w:val="26"/>
        </w:rPr>
      </w:pPr>
    </w:p>
    <w:p w14:paraId="76D0EF7D">
      <w:pPr>
        <w:pStyle w:val="3"/>
        <w:rPr>
          <w:sz w:val="26"/>
        </w:rPr>
      </w:pPr>
    </w:p>
    <w:p w14:paraId="782B17F9">
      <w:pPr>
        <w:pStyle w:val="3"/>
        <w:rPr>
          <w:sz w:val="26"/>
        </w:rPr>
      </w:pPr>
    </w:p>
    <w:p w14:paraId="30B4BBF9">
      <w:pPr>
        <w:pStyle w:val="3"/>
        <w:rPr>
          <w:sz w:val="26"/>
        </w:rPr>
      </w:pPr>
    </w:p>
    <w:p w14:paraId="49DA72BE">
      <w:pPr>
        <w:pStyle w:val="3"/>
        <w:rPr>
          <w:sz w:val="26"/>
        </w:rPr>
      </w:pPr>
    </w:p>
    <w:p w14:paraId="6A5C0853">
      <w:pPr>
        <w:pStyle w:val="3"/>
        <w:rPr>
          <w:sz w:val="26"/>
        </w:rPr>
      </w:pPr>
    </w:p>
    <w:p w14:paraId="49D95A66">
      <w:pPr>
        <w:pStyle w:val="3"/>
        <w:rPr>
          <w:sz w:val="26"/>
        </w:rPr>
      </w:pPr>
    </w:p>
    <w:p w14:paraId="138B5269">
      <w:pPr>
        <w:pStyle w:val="3"/>
        <w:rPr>
          <w:sz w:val="26"/>
        </w:rPr>
      </w:pPr>
    </w:p>
    <w:p w14:paraId="42616CB0">
      <w:pPr>
        <w:pStyle w:val="3"/>
        <w:rPr>
          <w:sz w:val="26"/>
        </w:rPr>
      </w:pPr>
    </w:p>
    <w:p w14:paraId="696E3441">
      <w:pPr>
        <w:pStyle w:val="3"/>
        <w:rPr>
          <w:sz w:val="26"/>
        </w:rPr>
      </w:pPr>
    </w:p>
    <w:p w14:paraId="4D838ECA">
      <w:pPr>
        <w:pStyle w:val="3"/>
      </w:pPr>
    </w:p>
    <w:p w14:paraId="6669A08E">
      <w:pPr>
        <w:pStyle w:val="3"/>
        <w:ind w:firstLine="960" w:firstLineChars="400"/>
        <w:rPr>
          <w:sz w:val="24"/>
          <w:szCs w:val="24"/>
        </w:rPr>
      </w:pPr>
    </w:p>
    <w:p w14:paraId="5CD481E5">
      <w:pPr>
        <w:pStyle w:val="3"/>
        <w:ind w:firstLine="480" w:firstLineChars="200"/>
        <w:rPr>
          <w:rFonts w:hint="default" w:eastAsia="微软雅黑"/>
          <w:sz w:val="24"/>
          <w:szCs w:val="24"/>
          <w:lang w:val="en-US" w:eastAsia="zh-CN"/>
        </w:rPr>
      </w:pPr>
      <w:r>
        <w:rPr>
          <w:sz w:val="24"/>
          <w:szCs w:val="24"/>
        </w:rPr>
        <w:t>备注：</w:t>
      </w:r>
      <w:r>
        <w:rPr>
          <w:rFonts w:hint="eastAsia"/>
          <w:sz w:val="24"/>
          <w:szCs w:val="24"/>
          <w:lang w:val="en-US" w:eastAsia="zh-CN"/>
        </w:rPr>
        <w:t>1.</w:t>
      </w:r>
      <w:r>
        <w:rPr>
          <w:sz w:val="24"/>
          <w:szCs w:val="24"/>
        </w:rPr>
        <w:t>根据省财政厅、省交通厅</w:t>
      </w:r>
      <w:r>
        <w:rPr>
          <w:rFonts w:hint="eastAsia"/>
          <w:sz w:val="24"/>
          <w:szCs w:val="24"/>
        </w:rPr>
        <w:t>《安徽省财政厅 安徽省交通运输厅关于提前下达 2025 年农村客运补贴资金、城市交通发展奖励资金预算的通知》（皖财建〔2024〕1375 号）</w:t>
      </w:r>
      <w:r>
        <w:rPr>
          <w:rFonts w:hint="eastAsia"/>
          <w:sz w:val="24"/>
          <w:szCs w:val="24"/>
          <w:lang w:val="en-US" w:eastAsia="zh-CN"/>
        </w:rPr>
        <w:t>及</w:t>
      </w:r>
      <w:r>
        <w:rPr>
          <w:rFonts w:hint="eastAsia"/>
          <w:sz w:val="24"/>
          <w:szCs w:val="24"/>
        </w:rPr>
        <w:t>《六安市财政局关于预拨2025年城市交通发展奖励资金（城市新能源公交车运营补助）的通知》（财建〔2025〕46号）文件分配。</w:t>
      </w:r>
      <w:r>
        <w:rPr>
          <w:rFonts w:hint="eastAsia"/>
          <w:sz w:val="24"/>
          <w:szCs w:val="24"/>
          <w:lang w:val="en-US" w:eastAsia="zh-CN"/>
        </w:rPr>
        <w:t>2.本次补助资金按照省市文件精神，依据2024年度公交企业申报新能源公交车折后标台数不高于50%预拨。</w:t>
      </w:r>
    </w:p>
    <w:p w14:paraId="6C7CFE23">
      <w:pPr>
        <w:pStyle w:val="3"/>
        <w:spacing w:before="17"/>
        <w:rPr>
          <w:sz w:val="17"/>
        </w:rPr>
      </w:pPr>
    </w:p>
    <w:sectPr>
      <w:type w:val="continuous"/>
      <w:pgSz w:w="16840" w:h="11910" w:orient="landscape"/>
      <w:pgMar w:top="1040" w:right="920" w:bottom="280" w:left="9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rsids>
    <w:rsidRoot w:val="00000000"/>
    <w:rsid w:val="331F3F12"/>
    <w:rsid w:val="58A6268C"/>
    <w:rsid w:val="6B235081"/>
    <w:rsid w:val="79195205"/>
    <w:rsid w:val="7B8B04B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微软雅黑" w:hAnsi="微软雅黑" w:eastAsia="微软雅黑" w:cs="微软雅黑"/>
      <w:sz w:val="22"/>
      <w:szCs w:val="22"/>
      <w:lang w:val="en-US" w:eastAsia="en-US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微软雅黑" w:hAnsi="微软雅黑" w:eastAsia="微软雅黑" w:cs="微软雅黑"/>
      <w:sz w:val="18"/>
      <w:szCs w:val="18"/>
    </w:r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</w:style>
  <w:style w:type="paragraph" w:customStyle="1" w:styleId="8">
    <w:name w:val="Table Paragraph"/>
    <w:basedOn w:val="1"/>
    <w:qFormat/>
    <w:uiPriority w:val="1"/>
    <w:rPr>
      <w:rFonts w:ascii="微软雅黑" w:hAnsi="微软雅黑" w:eastAsia="微软雅黑" w:cs="微软雅黑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214</Words>
  <Characters>242</Characters>
  <TotalTime>9</TotalTime>
  <ScaleCrop>false</ScaleCrop>
  <LinksUpToDate>false</LinksUpToDate>
  <CharactersWithSpaces>251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2025-03-25T03:43:00Z</dcterms:created>
  <dc:creator>china</dc:creator>
  <cp:lastModifiedBy>admin</cp:lastModifiedBy>
  <dcterms:modified xsi:type="dcterms:W3CDTF">2025-03-27T02:13:22Z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2024-11-26T00:00:00Z</vt:filetime>
  </property>
  <property fmtid="{D5CDD505-2E9C-101B-9397-08002B2CF9AE}" pid="3" name="Creator">
    <vt:lpwstr>WPS 表格</vt:lpwstr>
  </property>
  <property fmtid="{D5CDD505-2E9C-101B-9397-08002B2CF9AE}" pid="4" name="LastSaved">
    <vt:filetime>2025-03-25T00:00:00Z</vt:filetime>
  </property>
  <property fmtid="{D5CDD505-2E9C-101B-9397-08002B2CF9AE}" pid="5" name="KSOTemplateDocerSaveRecord">
    <vt:lpwstr>eyJoZGlkIjoiMDE5MzNhYmNlMGUwN2QyOGIyNWJhYmNiMTNkNDVkODAifQ==</vt:lpwstr>
  </property>
  <property fmtid="{D5CDD505-2E9C-101B-9397-08002B2CF9AE}" pid="6" name="KSOProductBuildVer">
    <vt:lpwstr>2052-12.1.0.20305</vt:lpwstr>
  </property>
  <property fmtid="{D5CDD505-2E9C-101B-9397-08002B2CF9AE}" pid="7" name="ICV">
    <vt:lpwstr>C84348DAB5114C9AAA415A393BF1E1E6_12</vt:lpwstr>
  </property>
</Properties>
</file>