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45D9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310E5659">
      <w:pPr>
        <w:spacing w:line="560" w:lineRule="exact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 w14:paraId="7F91F072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金寨县沙河实验学校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年一般公共预算安排</w:t>
      </w:r>
    </w:p>
    <w:p w14:paraId="0E1356DF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“三公”经费情况</w:t>
      </w:r>
    </w:p>
    <w:p w14:paraId="16F867E1"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 w14:paraId="52B5E56C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金寨县沙河实验学校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年“三公”经费预算表</w:t>
      </w:r>
    </w:p>
    <w:p w14:paraId="272F5367"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单位：万元</w:t>
      </w:r>
    </w:p>
    <w:tbl>
      <w:tblPr>
        <w:tblStyle w:val="5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887"/>
        <w:gridCol w:w="1664"/>
        <w:gridCol w:w="1724"/>
        <w:gridCol w:w="1395"/>
      </w:tblGrid>
      <w:tr w14:paraId="396A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3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“三公”经费合计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5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3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公务</w:t>
            </w:r>
          </w:p>
          <w:p w14:paraId="34B9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接待费</w:t>
            </w:r>
          </w:p>
        </w:tc>
      </w:tr>
      <w:tr w14:paraId="5C95C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A1342"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B0F5"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6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公务用车</w:t>
            </w:r>
          </w:p>
          <w:p w14:paraId="2D6B4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购置费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8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公务用车</w:t>
            </w:r>
          </w:p>
          <w:p w14:paraId="0726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运行费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71DF9"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B76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9E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7676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7218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EBC6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15E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43F4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4AB41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firstLine="640" w:firstLineChars="200"/>
        <w:textAlignment w:val="auto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沙河实验学校</w:t>
      </w:r>
      <w:r>
        <w:rPr>
          <w:rFonts w:hint="eastAsia" w:ascii="黑体" w:hAnsi="黑体" w:eastAsia="黑体" w:cs="黑体"/>
          <w:sz w:val="30"/>
          <w:szCs w:val="30"/>
        </w:rPr>
        <w:t>“三公”经费支出预算情况说明</w:t>
      </w:r>
    </w:p>
    <w:p w14:paraId="1FF6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金寨县沙河实验学校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一般公共预算财政拨款</w:t>
      </w:r>
      <w:r>
        <w:rPr>
          <w:rFonts w:ascii="Times New Roman" w:hAnsi="Times New Roman" w:eastAsia="仿宋_GB2312"/>
          <w:color w:val="000000"/>
          <w:sz w:val="32"/>
          <w:szCs w:val="32"/>
        </w:rPr>
        <w:t>“三公”经费支出预算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其中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万元，公务用车购置及运行费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公务接待费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万元。具体情况如下：</w:t>
      </w:r>
    </w:p>
    <w:p w14:paraId="590F7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3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（一）因公出国（境）费。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较上年预算持平。该项经费预算根据批准的因公临时出国（境）计划，按照规定标准安排；主要是用于因公临时出国（境）业务培训、调研考察等外事活动。经费使用贯彻落实中央八项规定精神和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县委、县政府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过紧日子要求，严控“三公”经费支出。</w:t>
      </w:r>
    </w:p>
    <w:p w14:paraId="40F9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（二）公务用车购置及运行费。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，主要原因是贯彻落实中央八项规定精神和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县委、县政府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过紧日子要求，严控“三公”经费支出。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其中：公务用车运行费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相比持平/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较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预算减少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该项经费主要用于各部门公车运行维护等支出。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公务用车购置费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平，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该项经费主要用于保障部门购置公务用车等开支。</w:t>
      </w:r>
    </w:p>
    <w:p w14:paraId="38E822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2"/>
          <w:sz w:val="32"/>
          <w:szCs w:val="32"/>
          <w:lang w:val="en-US" w:eastAsia="zh-CN" w:bidi="ar-SA"/>
        </w:rPr>
        <w:t>（三）公务接待费。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该项经费主要用于保障公务人员出席会议、考察调研、执行任务、检查指导等国内公务活动开支。经费使用贯彻落实中央八项规定精神和严格执行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机关公务接待费管理办法规定。</w:t>
      </w:r>
    </w:p>
    <w:p w14:paraId="50A96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02701E"/>
    <w:rsid w:val="000830FA"/>
    <w:rsid w:val="001436B3"/>
    <w:rsid w:val="001C216A"/>
    <w:rsid w:val="001C267F"/>
    <w:rsid w:val="00244DAF"/>
    <w:rsid w:val="00343F27"/>
    <w:rsid w:val="00392BC6"/>
    <w:rsid w:val="004F0C25"/>
    <w:rsid w:val="008209DA"/>
    <w:rsid w:val="008C0152"/>
    <w:rsid w:val="0092239C"/>
    <w:rsid w:val="00957561"/>
    <w:rsid w:val="009B04CA"/>
    <w:rsid w:val="00A33012"/>
    <w:rsid w:val="00A95D67"/>
    <w:rsid w:val="00AE1378"/>
    <w:rsid w:val="00B95EE1"/>
    <w:rsid w:val="00C213DE"/>
    <w:rsid w:val="00C2545E"/>
    <w:rsid w:val="00C30D09"/>
    <w:rsid w:val="00CF45A4"/>
    <w:rsid w:val="00E21DA0"/>
    <w:rsid w:val="00EF6964"/>
    <w:rsid w:val="00FA1828"/>
    <w:rsid w:val="011D0213"/>
    <w:rsid w:val="0E182C07"/>
    <w:rsid w:val="135B2C24"/>
    <w:rsid w:val="157E5F01"/>
    <w:rsid w:val="1AB560D7"/>
    <w:rsid w:val="2012073C"/>
    <w:rsid w:val="33CC0F9E"/>
    <w:rsid w:val="3C224F51"/>
    <w:rsid w:val="43587225"/>
    <w:rsid w:val="439E6736"/>
    <w:rsid w:val="4FC66B1A"/>
    <w:rsid w:val="5602701E"/>
    <w:rsid w:val="59B241EC"/>
    <w:rsid w:val="63757B06"/>
    <w:rsid w:val="73876D69"/>
    <w:rsid w:val="738F2274"/>
    <w:rsid w:val="7D86481E"/>
    <w:rsid w:val="FF76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spacing w:after="160" w:line="278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2</Pages>
  <Words>812</Words>
  <Characters>936</Characters>
  <Lines>6</Lines>
  <Paragraphs>1</Paragraphs>
  <TotalTime>62</TotalTime>
  <ScaleCrop>false</ScaleCrop>
  <LinksUpToDate>false</LinksUpToDate>
  <CharactersWithSpaces>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2019-01-17T15:55:00Z</dcterms:created>
  <dc:creator>文静</dc:creator>
  <cp:lastModifiedBy>沙中-杨显武</cp:lastModifiedBy>
  <cp:lastPrinted>2019-01-18T11:42:00Z</cp:lastPrinted>
  <dcterms:modified xsi:type="dcterms:W3CDTF">2025-02-20T11:50:31Z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E965B699AD4143F0887C625BB9C96558</vt:lpwstr>
  </property>
  <property fmtid="{D5CDD505-2E9C-101B-9397-08002B2CF9AE}" pid="4" name="KSOTemplateDocerSaveRecord">
    <vt:lpwstr>eyJoZGlkIjoiZDAyZWI4ZjI0OTFmMzYwYWZkMDEyMTE4NjcxNjRhYWEiLCJ1c2VySWQiOiI2MjcyMjQzOTgifQ==</vt:lpwstr>
  </property>
</Properties>
</file>