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15BE157">
      <w:pPr>
        <w:pStyle w:val="31"/>
        <w:bidi w:val="0"/>
      </w:pPr>
    </w:p>
    <w:p w14:paraId="6AEF2676">
      <w:pPr>
        <w:spacing w:line="526" w:lineRule="exact"/>
        <w:rPr>
          <w:rFonts w:eastAsia="仿宋_GB2312"/>
          <w:sz w:val="32"/>
          <w:szCs w:val="32"/>
        </w:rPr>
      </w:pPr>
    </w:p>
    <w:p w14:paraId="4B95148F">
      <w:pPr>
        <w:pStyle w:val="18"/>
      </w:pPr>
    </w:p>
    <w:p w14:paraId="17BD1094">
      <w:pPr>
        <w:spacing w:line="526" w:lineRule="exact"/>
        <w:rPr>
          <w:rFonts w:eastAsia="仿宋_GB2312"/>
          <w:sz w:val="32"/>
          <w:szCs w:val="32"/>
        </w:rPr>
      </w:pPr>
    </w:p>
    <w:p w14:paraId="4719FBEC">
      <w:pPr>
        <w:spacing w:line="526" w:lineRule="exact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金环审〔202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 w14:paraId="13B7AB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eastAsia="仿宋_GB2312"/>
          <w:sz w:val="32"/>
          <w:szCs w:val="32"/>
        </w:rPr>
      </w:pPr>
    </w:p>
    <w:p w14:paraId="136B48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宋体" w:eastAsia="方正小标宋简体" w:cs="宋体"/>
          <w:bCs/>
          <w:kern w:val="10"/>
          <w:sz w:val="44"/>
          <w:szCs w:val="44"/>
          <w:lang w:eastAsia="zh-CN"/>
        </w:rPr>
      </w:pP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</w:rPr>
        <w:t>六安市金寨县生态环境分局关于</w:t>
      </w: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  <w:lang w:eastAsia="zh-CN"/>
        </w:rPr>
        <w:t>新建年产50万吨室内环保型再生沥青混合料生产</w:t>
      </w:r>
    </w:p>
    <w:p w14:paraId="4B7541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ascii="方正小标宋简体" w:hAnsi="宋体" w:eastAsia="方正小标宋简体" w:cs="宋体"/>
          <w:bCs/>
          <w:kern w:val="10"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  <w:lang w:eastAsia="zh-CN"/>
        </w:rPr>
        <w:t>项目</w:t>
      </w: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</w:rPr>
        <w:t>环境影响</w:t>
      </w: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  <w:lang w:eastAsia="zh-CN"/>
        </w:rPr>
        <w:t>报告</w:t>
      </w: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  <w:lang w:val="en-US" w:eastAsia="zh-CN"/>
        </w:rPr>
        <w:t>表</w:t>
      </w:r>
      <w:r>
        <w:rPr>
          <w:rFonts w:hint="eastAsia" w:ascii="方正小标宋简体" w:hAnsi="宋体" w:eastAsia="方正小标宋简体" w:cs="宋体"/>
          <w:bCs/>
          <w:kern w:val="10"/>
          <w:sz w:val="44"/>
          <w:szCs w:val="44"/>
        </w:rPr>
        <w:t>的批复</w:t>
      </w:r>
    </w:p>
    <w:p w14:paraId="27A2BA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hint="eastAsia" w:eastAsia="仿宋_GB2312"/>
          <w:color w:val="000000"/>
          <w:kern w:val="10"/>
          <w:sz w:val="32"/>
          <w:szCs w:val="32"/>
          <w:lang w:eastAsia="zh-CN"/>
        </w:rPr>
      </w:pPr>
    </w:p>
    <w:p w14:paraId="395188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eastAsia="zh-CN"/>
        </w:rPr>
        <w:t>金寨县昱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祥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eastAsia="zh-CN"/>
        </w:rPr>
        <w:t>新型材料科技有限公司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：</w:t>
      </w:r>
    </w:p>
    <w:p w14:paraId="4C7970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 w:bidi="ar-SA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你公司报来的《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新建年产50万吨室内环保型再生沥青混合料生产项目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环境影响报告表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》（以下简称《报告表》，项目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代码：2411-341524-04-01-440700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/>
        </w:rPr>
        <w:t>）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及相关申请材料收悉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 w:bidi="ar-SA"/>
        </w:rPr>
        <w:t>。《报告表》已经通过技术审查，并根据审查意见进行了修改，经研究，批复如下：</w:t>
      </w:r>
    </w:p>
    <w:p w14:paraId="673B922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10"/>
          <w:sz w:val="32"/>
          <w:szCs w:val="32"/>
          <w:lang w:val="en-US" w:eastAsia="zh-CN" w:bidi="ar-SA"/>
        </w:rPr>
        <w:t>一、</w:t>
      </w:r>
      <w:r>
        <w:rPr>
          <w:rFonts w:hint="eastAsia" w:ascii="仿宋" w:hAnsi="仿宋" w:eastAsia="仿宋" w:cs="仿宋"/>
          <w:kern w:val="10"/>
          <w:sz w:val="32"/>
          <w:szCs w:val="32"/>
          <w:lang w:val="zh-CN" w:eastAsia="zh-CN" w:bidi="ar-SA"/>
        </w:rPr>
        <w:t>该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项目位于南溪镇门前村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，占地面积约为22.2亩，建筑面积约为10000平方米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eastAsia="zh-CN"/>
        </w:rPr>
        <w:t>。</w:t>
      </w:r>
      <w:r>
        <w:rPr>
          <w:rFonts w:hint="eastAsia" w:eastAsia="仿宋_GB2312"/>
          <w:color w:val="000000"/>
          <w:kern w:val="10"/>
          <w:sz w:val="32"/>
          <w:szCs w:val="32"/>
        </w:rPr>
        <w:t>主体工程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建设1#生产车间，设置搅拌车间、沥青生产车间、再生料预处理车间、上料区等，购置环保型沥青生产设备1套</w:t>
      </w:r>
      <w:r>
        <w:rPr>
          <w:rFonts w:hint="eastAsia" w:eastAsia="仿宋_GB2312"/>
          <w:color w:val="000000"/>
          <w:kern w:val="10"/>
          <w:sz w:val="32"/>
          <w:szCs w:val="32"/>
        </w:rPr>
        <w:t>，配套建设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办公室</w:t>
      </w:r>
      <w:r>
        <w:rPr>
          <w:rFonts w:hint="eastAsia" w:eastAsia="仿宋_GB2312"/>
          <w:color w:val="000000"/>
          <w:kern w:val="10"/>
          <w:sz w:val="32"/>
          <w:szCs w:val="32"/>
        </w:rPr>
        <w:t>等辅助、储运、公用以及环保工程</w:t>
      </w:r>
      <w:r>
        <w:rPr>
          <w:rFonts w:eastAsia="仿宋_GB2312"/>
          <w:color w:val="000000"/>
          <w:kern w:val="10"/>
          <w:sz w:val="32"/>
          <w:szCs w:val="32"/>
        </w:rPr>
        <w:t>。项目总投资约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11000</w:t>
      </w:r>
      <w:r>
        <w:rPr>
          <w:rFonts w:eastAsia="仿宋_GB2312"/>
          <w:color w:val="000000"/>
          <w:kern w:val="10"/>
          <w:sz w:val="32"/>
          <w:szCs w:val="32"/>
        </w:rPr>
        <w:t>万元，其中环保投资不低于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219</w:t>
      </w:r>
      <w:r>
        <w:rPr>
          <w:rFonts w:eastAsia="仿宋_GB2312"/>
          <w:color w:val="000000"/>
          <w:kern w:val="10"/>
          <w:sz w:val="32"/>
          <w:szCs w:val="32"/>
        </w:rPr>
        <w:t>万元</w:t>
      </w:r>
      <w:r>
        <w:rPr>
          <w:rFonts w:hint="eastAsia" w:eastAsia="仿宋_GB2312"/>
          <w:color w:val="000000"/>
          <w:kern w:val="10"/>
          <w:sz w:val="32"/>
          <w:szCs w:val="32"/>
          <w:lang w:eastAsia="zh-CN"/>
        </w:rPr>
        <w:t>。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项目建成后可</w:t>
      </w:r>
      <w:r>
        <w:rPr>
          <w:rFonts w:hint="eastAsia" w:eastAsia="仿宋_GB2312"/>
          <w:color w:val="000000"/>
          <w:kern w:val="10"/>
          <w:sz w:val="32"/>
          <w:szCs w:val="32"/>
        </w:rPr>
        <w:t>年产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50万吨沥青混合料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。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FAB7D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10"/>
          <w:sz w:val="32"/>
          <w:szCs w:val="32"/>
          <w:lang w:val="en-US" w:eastAsia="zh-CN" w:bidi="ar-SA"/>
        </w:rPr>
        <w:t>我局原则同意该项目按照</w:t>
      </w:r>
      <w:r>
        <w:rPr>
          <w:rFonts w:hint="eastAsia" w:ascii="仿宋" w:hAnsi="仿宋" w:eastAsia="仿宋" w:cs="仿宋"/>
          <w:kern w:val="10"/>
          <w:sz w:val="32"/>
          <w:szCs w:val="32"/>
          <w:lang w:val="zh-CN" w:eastAsia="zh-CN" w:bidi="ar-SA"/>
        </w:rPr>
        <w:t>《报告表》</w:t>
      </w:r>
      <w:r>
        <w:rPr>
          <w:rFonts w:hint="eastAsia" w:ascii="仿宋" w:hAnsi="仿宋" w:eastAsia="仿宋" w:cs="仿宋"/>
          <w:kern w:val="10"/>
          <w:sz w:val="32"/>
          <w:szCs w:val="32"/>
          <w:lang w:val="en-US" w:eastAsia="zh-CN" w:bidi="ar-SA"/>
        </w:rPr>
        <w:t>所列内容在拟定地点建设，建设单位应全面落实</w:t>
      </w:r>
      <w:r>
        <w:rPr>
          <w:rFonts w:hint="eastAsia" w:ascii="仿宋" w:hAnsi="仿宋" w:eastAsia="仿宋" w:cs="仿宋"/>
          <w:kern w:val="10"/>
          <w:sz w:val="32"/>
          <w:szCs w:val="32"/>
          <w:lang w:val="zh-CN" w:eastAsia="zh-CN" w:bidi="ar-SA"/>
        </w:rPr>
        <w:t>《报告表》</w:t>
      </w:r>
      <w:r>
        <w:rPr>
          <w:rFonts w:hint="eastAsia" w:ascii="仿宋" w:hAnsi="仿宋" w:eastAsia="仿宋" w:cs="仿宋"/>
          <w:kern w:val="10"/>
          <w:sz w:val="32"/>
          <w:szCs w:val="32"/>
          <w:lang w:val="en-US" w:eastAsia="zh-CN" w:bidi="ar-SA"/>
        </w:rPr>
        <w:t>提出的各项环境保护措施。</w:t>
      </w:r>
    </w:p>
    <w:p w14:paraId="50502F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/>
        <w:jc w:val="both"/>
        <w:textAlignment w:val="auto"/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二、项目建设期和运营期应重点做好以下工作：</w:t>
      </w:r>
    </w:p>
    <w:p w14:paraId="432119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1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.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项目排水实行雨污分流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。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施工废水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zh-CN" w:eastAsia="zh-CN" w:bidi="ar-SA"/>
        </w:rPr>
        <w:t>收集后经沉淀池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处理后回用，不外排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。运营期，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zh-CN" w:eastAsia="zh-CN" w:bidi="ar-SA"/>
        </w:rPr>
        <w:t>初期雨水、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车辆、设备冲洗废水经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en-US" w:eastAsia="zh-CN" w:bidi="ar-SA"/>
        </w:rPr>
        <w:t>三级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zh-CN" w:eastAsia="zh-CN" w:bidi="ar-SA"/>
        </w:rPr>
        <w:t>沉淀池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处理后回用，不外排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en-US" w:eastAsia="zh-CN" w:bidi="ar-SA"/>
        </w:rPr>
        <w:t>；喷淋塔定期排水用于乳化沥青工段，不外排；旋流塔废水经混凝沉淀处理后循环使用，不外排；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生活污水经化粪池处理后定期清掏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en-US" w:eastAsia="zh-CN" w:bidi="ar-SA"/>
        </w:rPr>
        <w:t>，委托南溪镇污水处理厂处理达标后排放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。</w:t>
      </w:r>
    </w:p>
    <w:p w14:paraId="1E034E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2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.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en-US" w:eastAsia="zh-CN" w:bidi="ar-SA"/>
        </w:rPr>
        <w:t>严格落实生态保护红线管控要求及水土保持措施。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zh-CN" w:eastAsia="zh-CN" w:bidi="ar-SA"/>
        </w:rPr>
        <w:t>做好绿化、生态恢复、景观建设工作。</w:t>
      </w:r>
    </w:p>
    <w:p w14:paraId="11CE81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3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.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施工期应采取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地面硬化、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封闭围挡、堆场遮盖、密封运输、洒水抑尘、及时清理建筑垃圾以及大风、预警天气停止作业等措施减少扬尘污染。</w:t>
      </w:r>
    </w:p>
    <w:p w14:paraId="125F8C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运营期，严格落实《报告表》中提出的各项废气污染防治措施。骨料烘干粉尘、筛分粉尘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en-US" w:eastAsia="zh-CN" w:bidi="ar-SA"/>
        </w:rPr>
        <w:t>：收集后由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旋风除尘+高温布袋除尘系统处理达标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后须</w:t>
      </w:r>
      <w:r>
        <w:rPr>
          <w:rFonts w:hint="eastAsia" w:eastAsia="仿宋_GB2312"/>
          <w:color w:val="000000"/>
          <w:kern w:val="10"/>
          <w:sz w:val="32"/>
          <w:szCs w:val="32"/>
          <w:lang w:val="zh-CN" w:eastAsia="zh-CN"/>
        </w:rPr>
        <w:t>通过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一根不低于</w:t>
      </w:r>
      <w:r>
        <w:rPr>
          <w:rFonts w:hint="eastAsia" w:eastAsia="仿宋_GB2312"/>
          <w:color w:val="000000"/>
          <w:kern w:val="10"/>
          <w:sz w:val="32"/>
          <w:szCs w:val="32"/>
          <w:lang w:val="zh-CN" w:eastAsia="zh-CN"/>
        </w:rPr>
        <w:t>2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8</w:t>
      </w:r>
      <w:r>
        <w:rPr>
          <w:rFonts w:hint="eastAsia" w:eastAsia="仿宋_GB2312"/>
          <w:color w:val="000000"/>
          <w:kern w:val="10"/>
          <w:sz w:val="32"/>
          <w:szCs w:val="32"/>
          <w:lang w:val="zh-CN" w:eastAsia="zh-CN"/>
        </w:rPr>
        <w:t>m高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排气筒</w:t>
      </w:r>
      <w:r>
        <w:rPr>
          <w:rFonts w:hint="eastAsia" w:eastAsia="仿宋_GB2312"/>
          <w:color w:val="000000"/>
          <w:kern w:val="10"/>
          <w:sz w:val="32"/>
          <w:szCs w:val="32"/>
          <w:lang w:val="zh-CN"/>
        </w:rPr>
        <w:t>（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DA001</w:t>
      </w:r>
      <w:r>
        <w:rPr>
          <w:rFonts w:hint="eastAsia" w:eastAsia="仿宋_GB2312"/>
          <w:color w:val="000000"/>
          <w:kern w:val="10"/>
          <w:sz w:val="32"/>
          <w:szCs w:val="32"/>
          <w:lang w:val="zh-CN"/>
        </w:rPr>
        <w:t>）达标排放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en-US" w:eastAsia="zh-CN" w:bidi="ar-SA"/>
        </w:rPr>
        <w:t>；搅拌缸废气、再生料烘干废气、沥青储罐加热废气、卸料废气：收集后合并进入旋流塔+电捕焦处理系统处理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达标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后须</w:t>
      </w:r>
      <w:r>
        <w:rPr>
          <w:rFonts w:hint="eastAsia" w:eastAsia="仿宋_GB2312"/>
          <w:color w:val="000000"/>
          <w:kern w:val="10"/>
          <w:sz w:val="32"/>
          <w:szCs w:val="32"/>
          <w:lang w:val="zh-CN" w:eastAsia="zh-CN"/>
        </w:rPr>
        <w:t>通过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一根不低于</w:t>
      </w:r>
      <w:r>
        <w:rPr>
          <w:rFonts w:hint="eastAsia" w:eastAsia="仿宋_GB2312"/>
          <w:color w:val="000000"/>
          <w:kern w:val="10"/>
          <w:sz w:val="32"/>
          <w:szCs w:val="32"/>
          <w:lang w:val="zh-CN" w:eastAsia="zh-CN"/>
        </w:rPr>
        <w:t>2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8</w:t>
      </w:r>
      <w:r>
        <w:rPr>
          <w:rFonts w:hint="eastAsia" w:eastAsia="仿宋_GB2312"/>
          <w:color w:val="000000"/>
          <w:kern w:val="10"/>
          <w:sz w:val="32"/>
          <w:szCs w:val="32"/>
          <w:lang w:val="zh-CN" w:eastAsia="zh-CN"/>
        </w:rPr>
        <w:t>m高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排气筒</w:t>
      </w:r>
      <w:r>
        <w:rPr>
          <w:rFonts w:hint="eastAsia" w:eastAsia="仿宋_GB2312"/>
          <w:color w:val="000000"/>
          <w:kern w:val="10"/>
          <w:sz w:val="32"/>
          <w:szCs w:val="32"/>
          <w:lang w:val="zh-CN"/>
        </w:rPr>
        <w:t>（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DA002</w:t>
      </w:r>
      <w:r>
        <w:rPr>
          <w:rFonts w:hint="eastAsia" w:eastAsia="仿宋_GB2312"/>
          <w:color w:val="000000"/>
          <w:kern w:val="10"/>
          <w:sz w:val="32"/>
          <w:szCs w:val="32"/>
          <w:lang w:val="zh-CN"/>
        </w:rPr>
        <w:t>）达标排放；</w:t>
      </w:r>
      <w:r>
        <w:rPr>
          <w:rFonts w:hint="eastAsia" w:eastAsia="仿宋_GB2312"/>
          <w:color w:val="000000"/>
          <w:kern w:val="10"/>
          <w:sz w:val="32"/>
          <w:szCs w:val="32"/>
          <w:lang w:val="zh-CN" w:eastAsia="zh-CN"/>
        </w:rPr>
        <w:t>保温工段沥青储罐加热产生的沥青烟气：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收集后经</w:t>
      </w:r>
      <w:r>
        <w:rPr>
          <w:rFonts w:hint="eastAsia" w:eastAsia="仿宋_GB2312"/>
          <w:color w:val="000000"/>
          <w:kern w:val="10"/>
          <w:sz w:val="32"/>
          <w:szCs w:val="32"/>
          <w:lang w:val="zh-CN" w:eastAsia="zh-CN"/>
        </w:rPr>
        <w:t>碱液喷淋后进入导热油炉二次燃烧后与柴油燃烧烟气合并通过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一根不低于</w:t>
      </w:r>
      <w:r>
        <w:rPr>
          <w:rFonts w:hint="eastAsia" w:eastAsia="仿宋_GB2312"/>
          <w:color w:val="000000"/>
          <w:kern w:val="10"/>
          <w:sz w:val="32"/>
          <w:szCs w:val="32"/>
          <w:lang w:val="zh-CN" w:eastAsia="zh-CN"/>
        </w:rPr>
        <w:t>2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8</w:t>
      </w:r>
      <w:r>
        <w:rPr>
          <w:rFonts w:hint="eastAsia" w:eastAsia="仿宋_GB2312"/>
          <w:color w:val="000000"/>
          <w:kern w:val="10"/>
          <w:sz w:val="32"/>
          <w:szCs w:val="32"/>
          <w:lang w:val="zh-CN" w:eastAsia="zh-CN"/>
        </w:rPr>
        <w:t>m高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排气筒</w:t>
      </w:r>
      <w:r>
        <w:rPr>
          <w:rFonts w:hint="eastAsia" w:eastAsia="仿宋_GB2312"/>
          <w:color w:val="000000"/>
          <w:kern w:val="10"/>
          <w:sz w:val="32"/>
          <w:szCs w:val="32"/>
          <w:lang w:val="zh-CN"/>
        </w:rPr>
        <w:t>（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DA003</w:t>
      </w:r>
      <w:r>
        <w:rPr>
          <w:rFonts w:hint="eastAsia" w:eastAsia="仿宋_GB2312"/>
          <w:color w:val="000000"/>
          <w:kern w:val="10"/>
          <w:sz w:val="32"/>
          <w:szCs w:val="32"/>
          <w:lang w:val="zh-CN"/>
        </w:rPr>
        <w:t>）达标排放；</w:t>
      </w:r>
      <w:r>
        <w:rPr>
          <w:rFonts w:hint="eastAsia" w:eastAsia="仿宋_GB2312"/>
          <w:color w:val="000000"/>
          <w:kern w:val="10"/>
          <w:sz w:val="32"/>
          <w:szCs w:val="32"/>
          <w:lang w:val="zh-CN" w:eastAsia="zh-CN"/>
        </w:rPr>
        <w:t>再生料破碎筛分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粉尘</w:t>
      </w:r>
      <w:r>
        <w:rPr>
          <w:rFonts w:hint="eastAsia" w:eastAsia="仿宋_GB2312"/>
          <w:color w:val="000000"/>
          <w:kern w:val="10"/>
          <w:sz w:val="32"/>
          <w:szCs w:val="32"/>
          <w:lang w:val="zh-CN" w:eastAsia="zh-CN"/>
        </w:rPr>
        <w:t>：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由负压</w:t>
      </w:r>
      <w:r>
        <w:rPr>
          <w:rFonts w:hint="eastAsia" w:eastAsia="仿宋_GB2312"/>
          <w:color w:val="000000"/>
          <w:kern w:val="10"/>
          <w:sz w:val="32"/>
          <w:szCs w:val="32"/>
          <w:lang w:val="zh-CN" w:eastAsia="zh-CN"/>
        </w:rPr>
        <w:t>收集后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经布袋除尘器</w:t>
      </w:r>
      <w:r>
        <w:rPr>
          <w:rFonts w:hint="eastAsia" w:eastAsia="仿宋_GB2312"/>
          <w:color w:val="000000"/>
          <w:kern w:val="10"/>
          <w:sz w:val="32"/>
          <w:szCs w:val="32"/>
          <w:lang w:val="zh-CN" w:eastAsia="zh-CN"/>
        </w:rPr>
        <w:t>处理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后须</w:t>
      </w:r>
      <w:r>
        <w:rPr>
          <w:rFonts w:hint="eastAsia" w:eastAsia="仿宋_GB2312"/>
          <w:color w:val="000000"/>
          <w:kern w:val="10"/>
          <w:sz w:val="32"/>
          <w:szCs w:val="32"/>
          <w:lang w:val="zh-CN" w:eastAsia="zh-CN"/>
        </w:rPr>
        <w:t>通过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一根不低于</w:t>
      </w:r>
      <w:r>
        <w:rPr>
          <w:rFonts w:hint="eastAsia" w:eastAsia="仿宋_GB2312"/>
          <w:color w:val="000000"/>
          <w:kern w:val="10"/>
          <w:sz w:val="32"/>
          <w:szCs w:val="32"/>
          <w:lang w:val="zh-CN" w:eastAsia="zh-CN"/>
        </w:rPr>
        <w:t>2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0</w:t>
      </w:r>
      <w:r>
        <w:rPr>
          <w:rFonts w:hint="eastAsia" w:eastAsia="仿宋_GB2312"/>
          <w:color w:val="000000"/>
          <w:kern w:val="10"/>
          <w:sz w:val="32"/>
          <w:szCs w:val="32"/>
          <w:lang w:val="zh-CN" w:eastAsia="zh-CN"/>
        </w:rPr>
        <w:t>m高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排气筒（</w:t>
      </w:r>
      <w:r>
        <w:rPr>
          <w:rFonts w:hint="eastAsia" w:eastAsia="仿宋_GB2312"/>
          <w:color w:val="000000"/>
          <w:kern w:val="10"/>
          <w:sz w:val="32"/>
          <w:szCs w:val="32"/>
          <w:lang w:val="zh-CN" w:eastAsia="zh-CN"/>
        </w:rPr>
        <w:t>DA004）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达标排放</w:t>
      </w:r>
      <w:r>
        <w:rPr>
          <w:rFonts w:hint="eastAsia" w:eastAsia="仿宋_GB2312"/>
          <w:color w:val="000000"/>
          <w:kern w:val="10"/>
          <w:sz w:val="32"/>
          <w:szCs w:val="32"/>
          <w:lang w:val="zh-CN" w:eastAsia="zh-CN"/>
        </w:rPr>
        <w:t>；矿粉、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回粉</w:t>
      </w:r>
      <w:r>
        <w:rPr>
          <w:rFonts w:hint="eastAsia" w:eastAsia="仿宋_GB2312"/>
          <w:color w:val="000000"/>
          <w:kern w:val="10"/>
          <w:sz w:val="32"/>
          <w:szCs w:val="32"/>
          <w:lang w:val="zh-CN" w:eastAsia="zh-CN"/>
        </w:rPr>
        <w:t>入仓粉尘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通过仓顶</w:t>
      </w:r>
      <w:r>
        <w:rPr>
          <w:rFonts w:hint="eastAsia" w:eastAsia="仿宋_GB2312"/>
          <w:color w:val="000000"/>
          <w:kern w:val="10"/>
          <w:sz w:val="32"/>
          <w:szCs w:val="32"/>
          <w:lang w:val="zh-CN" w:eastAsia="zh-CN"/>
        </w:rPr>
        <w:t>除尘器处理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后无组织达标排放</w:t>
      </w:r>
      <w:r>
        <w:rPr>
          <w:rFonts w:hint="eastAsia" w:eastAsia="仿宋_GB2312"/>
          <w:color w:val="000000"/>
          <w:kern w:val="10"/>
          <w:sz w:val="32"/>
          <w:szCs w:val="32"/>
          <w:lang w:val="zh-CN" w:eastAsia="zh-CN"/>
        </w:rPr>
        <w:t>；</w:t>
      </w:r>
      <w:r>
        <w:rPr>
          <w:rFonts w:hint="eastAsia" w:eastAsia="仿宋_GB2312"/>
          <w:color w:val="000000"/>
          <w:kern w:val="10"/>
          <w:sz w:val="32"/>
          <w:szCs w:val="32"/>
          <w:lang w:val="en-US" w:eastAsia="zh-CN"/>
        </w:rPr>
        <w:t>卸料粉尘：密闭收集后经喷淋降尘处理后无组织达标排放；上料粉尘：三面封闭集气罩收集后经布袋除尘器处理后无组织达标排放；柴油卸油、贮存废气收集后经二级活性炭吸附装置处理后无组织达标排放。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zh-CN" w:eastAsia="zh-CN" w:bidi="ar-SA"/>
        </w:rPr>
        <w:t>厂区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zh-CN" w:eastAsia="zh-CN" w:bidi="ar-SA"/>
        </w:rPr>
        <w:t>应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zh-CN" w:eastAsia="zh-CN" w:bidi="ar-SA"/>
        </w:rPr>
        <w:t>充分硬化，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zh-CN" w:eastAsia="zh-CN" w:bidi="ar-SA"/>
        </w:rPr>
        <w:t>根据季节合理安排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zh-CN" w:eastAsia="zh-CN" w:bidi="ar-SA"/>
        </w:rPr>
        <w:t>洒水喷淋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zh-CN" w:eastAsia="zh-CN" w:bidi="ar-SA"/>
        </w:rPr>
        <w:t>力度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zh-CN" w:eastAsia="zh-CN" w:bidi="ar-SA"/>
        </w:rPr>
        <w:t>，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en-US" w:eastAsia="zh-CN" w:bidi="ar-SA"/>
        </w:rPr>
        <w:t>同步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zh-CN" w:eastAsia="zh-CN" w:bidi="ar-SA"/>
        </w:rPr>
        <w:t>采取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zh-CN" w:eastAsia="zh-CN" w:bidi="ar-SA"/>
        </w:rPr>
        <w:t>防尘覆盖、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冲洗出入车辆、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zh-CN" w:eastAsia="zh-CN" w:bidi="ar-SA"/>
        </w:rPr>
        <w:t>及时运输、限制车速、加强管理等措施减少扬尘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。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加强设备检修，确保厂界无组织排放大气污染物达标。</w:t>
      </w:r>
    </w:p>
    <w:p w14:paraId="45B46D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施工期颗粒物排放执行《施工场地颗粒物排放标准》 （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/>
        </w:rPr>
        <w:t>DB34/4811-2024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）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en-US" w:eastAsia="zh-CN" w:bidi="ar-SA"/>
        </w:rPr>
        <w:t>中相关排放限值要求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。运营期上料、骨料筛分烘干、筒仓呼吸产生的粉尘，再生料烘干、沥青搅拌、加热、沥青储罐呼吸工序产生的苯并［a］芘、沥青烟有组织排放执行《沥青混合料拌合站建设规范》（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/>
        </w:rPr>
        <w:t>DB34/T3679-2020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）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en-US" w:eastAsia="zh-CN" w:bidi="ar-SA"/>
        </w:rPr>
        <w:t>中相关排放限值要求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；非甲烷总烃和再生料破碎、筛分粉尘有组织排放执行《大气污染物综合排放标准》（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/>
        </w:rPr>
        <w:t>GB16297-1996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）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en-US" w:eastAsia="zh-CN" w:bidi="ar-SA"/>
        </w:rPr>
        <w:t>中相关排放限值要求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；导热油炉柴油燃烧产生的SO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vertAlign w:val="subscript"/>
          <w:lang w:val="en-US" w:eastAsia="zh-CN" w:bidi="ar-SA"/>
        </w:rPr>
        <w:t>2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、NOx及颗粒物有组织排放执行《锅炉大气污染物排放标准》(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/>
        </w:rPr>
        <w:t>GB13271-2014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)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en-US" w:eastAsia="zh-CN" w:bidi="ar-SA"/>
        </w:rPr>
        <w:t>中相关排放限值要求；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臭气浓度厂界排放执行《恶臭污染物排放标准》（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/>
        </w:rPr>
        <w:t>GB14554-93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）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en-US" w:eastAsia="zh-CN" w:bidi="ar-SA"/>
        </w:rPr>
        <w:t>中相关排放限值要求；非甲烷总烃厂区内无组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en-US" w:eastAsia="zh-CN" w:bidi="ar-SA"/>
        </w:rPr>
        <w:t>织排放执行《挥发性有机物无组织排放控制标准》（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/>
        </w:rPr>
        <w:t>GB37822-2019</w:t>
      </w:r>
      <w:r>
        <w:rPr>
          <w:rFonts w:hint="eastAsia" w:ascii="仿宋_GB2312" w:hAnsi="仿宋_GB2312" w:eastAsia="仿宋_GB2312" w:cs="仿宋_GB2312"/>
          <w:color w:val="000000"/>
          <w:kern w:val="10"/>
          <w:sz w:val="32"/>
          <w:szCs w:val="32"/>
          <w:lang w:val="en-US" w:eastAsia="zh-CN" w:bidi="ar-SA"/>
        </w:rPr>
        <w:t>）表中相关排放限值要求。</w:t>
      </w:r>
    </w:p>
    <w:p w14:paraId="61A63C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4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.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施工期应合理安排作业时间，采用低噪声施工机械，加强施工和运输车辆管理，确保施工噪声符合场界限值要求。</w:t>
      </w:r>
    </w:p>
    <w:p w14:paraId="357E30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运营期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通过优化生产车间设备布局、选用低噪声设备、安装减振基座和建筑隔声等措施减小噪声污染，确保厂区边界噪声达《工业企业厂界环境噪声排放标准》（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/>
        </w:rPr>
        <w:t>GB12348-2008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）中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类标准排放。</w:t>
      </w:r>
    </w:p>
    <w:p w14:paraId="6BD56E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5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.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做好固体废物的分类暂存、转运、无害化处置工作。一般工业固废综合利用；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生活垃圾交由环卫部门统一清运处置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en-US" w:eastAsia="zh-CN" w:bidi="ar-SA"/>
        </w:rPr>
        <w:t>；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废润滑油、废润滑油桶、废活性炭、废含油劳保用品、废导热油、废焦油等危险废物应按照《危险废物贮存污染控制标准》（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/>
        </w:rPr>
        <w:t>GB18597-2023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）《危险废物识别标志设施技术规范》（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/>
        </w:rPr>
        <w:t>HJ1276-2022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）和《危险废物转移联单管理办法》中规定分类分区规范暂存于危废库，危废库需专人管理，建立台账，定期委托有资质的单位合法处置，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 w:bidi="ar-SA"/>
        </w:rPr>
        <w:t>危废管理、处置情况及时向县生态环境分局备案。</w:t>
      </w:r>
    </w:p>
    <w:p w14:paraId="2D8F85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</w:pP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6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.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zh-CN" w:eastAsia="zh-CN" w:bidi="ar-SA"/>
        </w:rPr>
        <w:t>做好分区防渗工作，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zh-CN" w:eastAsia="zh-CN" w:bidi="ar-SA"/>
        </w:rPr>
        <w:t>全面落实《报告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zh-CN" w:eastAsia="zh-CN" w:bidi="ar-SA"/>
        </w:rPr>
        <w:t>表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zh-CN" w:eastAsia="zh-CN" w:bidi="ar-SA"/>
        </w:rPr>
        <w:t>》提出的防渗要求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zh-CN" w:eastAsia="zh-CN" w:bidi="ar-SA"/>
        </w:rPr>
        <w:t>，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防止项目污染地下水和土壤。</w:t>
      </w:r>
    </w:p>
    <w:p w14:paraId="69906A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7.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 w:bidi="ar-SA"/>
        </w:rPr>
        <w:t>严格落实《报告表》中提出的各项环境风险防范措施，规范建设应急事故池，同时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充分考虑环保污染防治设施安全风险，确保风险可控后方可施工和投入生产、使用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避免风险事故对周边环境造成不利影响。</w:t>
      </w:r>
    </w:p>
    <w:p w14:paraId="51553D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color w:val="000000"/>
          <w:kern w:val="1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 w:bidi="ar-SA"/>
        </w:rPr>
        <w:t>8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.本项目主要污染物年排放总量核定为：颗粒物2.436吨/年、VOCs0.023吨/年、NO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vertAlign w:val="subscript"/>
          <w:lang w:val="en-US" w:eastAsia="zh-CN"/>
        </w:rPr>
        <w:t>x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2.39吨/年、SO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vertAlign w:val="subscript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0.03吨/年。本项目申请排污许可证前，NO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vertAlign w:val="subscript"/>
          <w:lang w:val="en-US" w:eastAsia="zh-CN"/>
        </w:rPr>
        <w:t>x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、SO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vertAlign w:val="subscript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应依照《安徽省排污权有偿使用和交易管理办法（试行）》《安徽省排污权交易规则（试行）》等规定，通过交易方式获得排污权。</w:t>
      </w:r>
    </w:p>
    <w:p w14:paraId="5893CB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</w:pPr>
      <w:r>
        <w:rPr>
          <w:rFonts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  <w:t>三、项目建设要按照环保“三同时”管理要求，充分落实环保措施，项目建成运营前应按规定程序申领排污许可证，运营后及时自行组织完成竣工环境保护验收，并将相关信息对社会公开。</w:t>
      </w:r>
    </w:p>
    <w:p w14:paraId="470FBC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ascii="Times New Roman" w:hAnsi="Times New Roman" w:eastAsia="仿宋_GB2312" w:cs="Times New Roman"/>
          <w:kern w:val="1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10"/>
          <w:sz w:val="32"/>
          <w:szCs w:val="32"/>
          <w:lang w:val="en-US" w:eastAsia="zh-CN" w:bidi="ar-SA"/>
        </w:rPr>
        <w:t>四、建设项目的规模、地点、工艺或者污染防治措施发生重大变动时，应当重新报批环境影响评价文件。</w:t>
      </w:r>
    </w:p>
    <w:p w14:paraId="0D0801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1"/>
        <w:textAlignment w:val="auto"/>
        <w:rPr>
          <w:rFonts w:hint="eastAsia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kern w:val="10"/>
          <w:sz w:val="32"/>
          <w:szCs w:val="32"/>
          <w:lang w:val="en-US" w:eastAsia="zh-CN"/>
        </w:rPr>
        <w:t>五</w:t>
      </w:r>
      <w:r>
        <w:rPr>
          <w:rFonts w:ascii="Times New Roman" w:hAnsi="Times New Roman" w:eastAsia="仿宋_GB2312" w:cs="Times New Roman"/>
          <w:snapToGrid w:val="0"/>
          <w:color w:val="000000"/>
          <w:kern w:val="10"/>
          <w:sz w:val="32"/>
          <w:szCs w:val="32"/>
        </w:rPr>
        <w:t>、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</w:rPr>
        <w:t>请县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</w:rPr>
        <w:t>生态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</w:rPr>
        <w:t>环境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</w:rPr>
        <w:t>保护综合行政执法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</w:rPr>
        <w:t>大队对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eastAsia="zh-CN"/>
        </w:rPr>
        <w:t>金寨县昱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en-US" w:eastAsia="zh-CN"/>
        </w:rPr>
        <w:t>祥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eastAsia="zh-CN"/>
        </w:rPr>
        <w:t>新型材料科技有限公司</w:t>
      </w:r>
      <w:r>
        <w:rPr>
          <w:rFonts w:hint="eastAsia" w:ascii="仿宋" w:hAnsi="仿宋" w:eastAsia="仿宋" w:cs="仿宋"/>
          <w:color w:val="000000"/>
          <w:kern w:val="10"/>
          <w:sz w:val="32"/>
          <w:szCs w:val="32"/>
          <w:lang w:val="zh-CN" w:eastAsia="zh-CN"/>
        </w:rPr>
        <w:t>新建年产50万吨室内环保型再生沥青混合料生产项目</w:t>
      </w:r>
      <w:r>
        <w:rPr>
          <w:rFonts w:ascii="Times New Roman" w:hAnsi="Times New Roman" w:eastAsia="仿宋_GB2312" w:cs="Times New Roman"/>
          <w:color w:val="000000"/>
          <w:kern w:val="10"/>
          <w:sz w:val="32"/>
          <w:szCs w:val="32"/>
        </w:rPr>
        <w:t xml:space="preserve">加强环境保护现场监管。      </w:t>
      </w:r>
    </w:p>
    <w:p w14:paraId="1C643869">
      <w:pPr>
        <w:keepNext w:val="0"/>
        <w:keepLines w:val="0"/>
        <w:pageBreakBefore w:val="0"/>
        <w:widowControl w:val="0"/>
        <w:tabs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</w:p>
    <w:p w14:paraId="1BF29E7A">
      <w:pPr>
        <w:keepNext w:val="0"/>
        <w:keepLines w:val="0"/>
        <w:pageBreakBefore w:val="0"/>
        <w:widowControl w:val="0"/>
        <w:tabs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hint="eastAsia" w:ascii="仿宋" w:hAnsi="仿宋" w:eastAsia="仿宋" w:cs="仿宋"/>
          <w:color w:val="000000"/>
          <w:kern w:val="1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10"/>
          <w:sz w:val="32"/>
          <w:szCs w:val="32"/>
        </w:rPr>
        <w:t>六安市金寨县生态环境分局</w:t>
      </w:r>
    </w:p>
    <w:tbl>
      <w:tblPr>
        <w:tblStyle w:val="13"/>
        <w:tblpPr w:leftFromText="180" w:rightFromText="180" w:vertAnchor="text" w:horzAnchor="page" w:tblpX="1495" w:tblpY="1053"/>
        <w:tblOverlap w:val="never"/>
        <w:tblW w:w="5061" w:type="pct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2"/>
      </w:tblGrid>
      <w:tr w14:paraId="1F18638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172" w:type="dxa"/>
            <w:tcBorders>
              <w:top w:val="single" w:color="auto" w:sz="12" w:space="0"/>
            </w:tcBorders>
            <w:noWrap w:val="0"/>
            <w:vAlign w:val="center"/>
          </w:tcPr>
          <w:p w14:paraId="282B4C38">
            <w:pPr>
              <w:pStyle w:val="3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945" w:leftChars="50" w:right="105" w:rightChars="50" w:hanging="840" w:hangingChars="300"/>
              <w:rPr>
                <w:rFonts w:hint="eastAsia" w:ascii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>抄送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>：</w:t>
            </w:r>
            <w:r>
              <w:rPr>
                <w:rFonts w:hint="eastAsia" w:ascii="仿宋_GB2312" w:hAnsi="仿宋_GB2312" w:cs="仿宋_GB2312"/>
                <w:color w:val="auto"/>
                <w:spacing w:val="-6"/>
                <w:sz w:val="28"/>
                <w:szCs w:val="28"/>
                <w:lang w:val="en-US" w:eastAsia="zh-CN"/>
              </w:rPr>
              <w:t>南溪镇人民政府，县自然资源和规划局、县交通局、县住建局、县水利局、县林业局。</w:t>
            </w:r>
          </w:p>
        </w:tc>
      </w:tr>
      <w:tr w14:paraId="05CACF3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172" w:type="dxa"/>
            <w:noWrap w:val="0"/>
            <w:vAlign w:val="center"/>
          </w:tcPr>
          <w:p w14:paraId="5C44E5D7">
            <w:pPr>
              <w:pStyle w:val="33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105" w:leftChars="50" w:right="105" w:rightChars="50" w:firstLine="0"/>
              <w:rPr>
                <w:rFonts w:hint="eastAsia" w:ascii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>六安市金寨县生态环境分局办公室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 xml:space="preserve">     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</w:rPr>
              <w:t xml:space="preserve"> </w:t>
            </w:r>
            <w:r>
              <w:rPr>
                <w:rFonts w:eastAsia="仿宋_GB2312"/>
                <w:color w:val="000000"/>
                <w:spacing w:val="-11"/>
                <w:kern w:val="10"/>
                <w:sz w:val="28"/>
                <w:szCs w:val="28"/>
              </w:rPr>
              <w:t>20</w:t>
            </w:r>
            <w:r>
              <w:rPr>
                <w:rFonts w:hint="eastAsia" w:eastAsia="仿宋_GB2312"/>
                <w:color w:val="000000"/>
                <w:spacing w:val="-11"/>
                <w:kern w:val="10"/>
                <w:sz w:val="28"/>
                <w:szCs w:val="28"/>
              </w:rPr>
              <w:t>2</w:t>
            </w:r>
            <w:r>
              <w:rPr>
                <w:rFonts w:hint="eastAsia"/>
                <w:color w:val="000000"/>
                <w:spacing w:val="-11"/>
                <w:kern w:val="10"/>
                <w:sz w:val="28"/>
                <w:szCs w:val="28"/>
                <w:lang w:val="en-US" w:eastAsia="zh-CN"/>
              </w:rPr>
              <w:t>5</w:t>
            </w:r>
            <w:r>
              <w:rPr>
                <w:rFonts w:eastAsia="仿宋_GB2312"/>
                <w:color w:val="000000"/>
                <w:spacing w:val="-11"/>
                <w:kern w:val="10"/>
                <w:sz w:val="28"/>
                <w:szCs w:val="28"/>
              </w:rPr>
              <w:t>年</w:t>
            </w:r>
            <w:r>
              <w:rPr>
                <w:rFonts w:hint="eastAsia"/>
                <w:color w:val="000000"/>
                <w:spacing w:val="-11"/>
                <w:kern w:val="10"/>
                <w:sz w:val="28"/>
                <w:szCs w:val="28"/>
                <w:lang w:val="en-US" w:eastAsia="zh-CN"/>
              </w:rPr>
              <w:t>3</w:t>
            </w:r>
            <w:r>
              <w:rPr>
                <w:rFonts w:eastAsia="仿宋_GB2312"/>
                <w:color w:val="000000"/>
                <w:spacing w:val="-11"/>
                <w:kern w:val="10"/>
                <w:sz w:val="28"/>
                <w:szCs w:val="28"/>
              </w:rPr>
              <w:t>月</w:t>
            </w:r>
            <w:r>
              <w:rPr>
                <w:rFonts w:hint="eastAsia"/>
                <w:color w:val="000000"/>
                <w:spacing w:val="-11"/>
                <w:kern w:val="10"/>
                <w:sz w:val="28"/>
                <w:szCs w:val="28"/>
                <w:lang w:val="en-US" w:eastAsia="zh-CN"/>
              </w:rPr>
              <w:t>31</w:t>
            </w:r>
            <w:r>
              <w:rPr>
                <w:rFonts w:eastAsia="仿宋_GB2312"/>
                <w:color w:val="000000"/>
                <w:spacing w:val="-11"/>
                <w:kern w:val="10"/>
                <w:sz w:val="28"/>
                <w:szCs w:val="28"/>
              </w:rPr>
              <w:t>日印发</w:t>
            </w:r>
          </w:p>
        </w:tc>
      </w:tr>
    </w:tbl>
    <w:p w14:paraId="7BE511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440" w:firstLineChars="17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/>
        </w:rPr>
        <w:t>202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/>
        </w:rPr>
        <w:t>年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/>
        </w:rPr>
        <w:t>月</w:t>
      </w:r>
      <w:r>
        <w:rPr>
          <w:rFonts w:hint="eastAsia" w:eastAsia="仿宋_GB2312" w:cs="Times New Roman"/>
          <w:color w:val="000000"/>
          <w:kern w:val="10"/>
          <w:sz w:val="32"/>
          <w:szCs w:val="32"/>
          <w:lang w:val="en-US" w:eastAsia="zh-CN"/>
        </w:rPr>
        <w:t>31</w:t>
      </w:r>
      <w:r>
        <w:rPr>
          <w:rFonts w:hint="eastAsia" w:ascii="Times New Roman" w:hAnsi="Times New Roman" w:eastAsia="仿宋_GB2312" w:cs="Times New Roman"/>
          <w:color w:val="000000"/>
          <w:kern w:val="10"/>
          <w:sz w:val="32"/>
          <w:szCs w:val="32"/>
          <w:lang w:val="en-US" w:eastAsia="zh-CN"/>
        </w:rPr>
        <w:t>日</w:t>
      </w:r>
    </w:p>
    <w:p w14:paraId="05B112C6">
      <w:pPr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footerReference r:id="rId5" w:type="even"/>
      <w:pgSz w:w="11907" w:h="16840"/>
      <w:pgMar w:top="1531" w:right="1531" w:bottom="1531" w:left="1531" w:header="851" w:footer="851" w:gutter="0"/>
      <w:pgNumType w:fmt="numberInDash"/>
      <w:cols w:space="720" w:num="1"/>
      <w:rtlGutter w:val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C1AA20">
    <w:pPr>
      <w:pStyle w:val="7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3BB32A">
                          <w:pPr>
                            <w:pStyle w:val="7"/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Style w:val="16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3BB32A">
                    <w:pPr>
                      <w:pStyle w:val="7"/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t>- 2 -</w:t>
                    </w:r>
                    <w:r>
                      <w:rPr>
                        <w:rStyle w:val="16"/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9D68BE">
    <w:pPr>
      <w:pStyle w:val="7"/>
      <w:framePr w:wrap="around" w:vAnchor="text" w:hAnchor="margin" w:xAlign="right" w:y="1"/>
      <w:rPr>
        <w:rStyle w:val="16"/>
      </w:rPr>
    </w:pPr>
    <w:r>
      <w:rPr>
        <w:rStyle w:val="16"/>
      </w:rPr>
      <w:fldChar w:fldCharType="begin"/>
    </w:r>
    <w:r>
      <w:rPr>
        <w:rStyle w:val="16"/>
      </w:rPr>
      <w:instrText xml:space="preserve">PAGE  </w:instrText>
    </w:r>
    <w:r>
      <w:rPr>
        <w:rStyle w:val="16"/>
      </w:rPr>
      <w:fldChar w:fldCharType="end"/>
    </w:r>
  </w:p>
  <w:p w14:paraId="4070C055">
    <w:pPr>
      <w:pStyle w:val="7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12AA64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YwNGQ1Yjk0YTRiZDA0ODk5NTM3MzM2ZTcxMjcyNTYifQ=="/>
    <w:docVar w:name="KSO_WPS_MARK_KEY" w:val="9ce33e98-b89e-442a-ab4a-6f64b115ea18"/>
  </w:docVars>
  <w:rsids>
    <w:rsidRoot w:val="00172A27"/>
    <w:rsid w:val="00021251"/>
    <w:rsid w:val="000357DC"/>
    <w:rsid w:val="00036EBC"/>
    <w:rsid w:val="00046427"/>
    <w:rsid w:val="00051D47"/>
    <w:rsid w:val="0006380B"/>
    <w:rsid w:val="00082A23"/>
    <w:rsid w:val="000B01A6"/>
    <w:rsid w:val="000D4D15"/>
    <w:rsid w:val="000F2888"/>
    <w:rsid w:val="0010613E"/>
    <w:rsid w:val="00117381"/>
    <w:rsid w:val="0012077D"/>
    <w:rsid w:val="00124B4B"/>
    <w:rsid w:val="00126A51"/>
    <w:rsid w:val="00130BF2"/>
    <w:rsid w:val="00134D6E"/>
    <w:rsid w:val="00140FC5"/>
    <w:rsid w:val="00151BFF"/>
    <w:rsid w:val="001658C7"/>
    <w:rsid w:val="00167023"/>
    <w:rsid w:val="001678F3"/>
    <w:rsid w:val="00172A27"/>
    <w:rsid w:val="00183535"/>
    <w:rsid w:val="00191FE8"/>
    <w:rsid w:val="001A6A18"/>
    <w:rsid w:val="001A73C0"/>
    <w:rsid w:val="001B7505"/>
    <w:rsid w:val="001C2611"/>
    <w:rsid w:val="001C7DD7"/>
    <w:rsid w:val="001D44A7"/>
    <w:rsid w:val="001F70B5"/>
    <w:rsid w:val="00231EDF"/>
    <w:rsid w:val="00280345"/>
    <w:rsid w:val="00280E22"/>
    <w:rsid w:val="0029088E"/>
    <w:rsid w:val="00296209"/>
    <w:rsid w:val="002A545F"/>
    <w:rsid w:val="002A6CBA"/>
    <w:rsid w:val="002D3B2D"/>
    <w:rsid w:val="0031008A"/>
    <w:rsid w:val="00317160"/>
    <w:rsid w:val="003218C9"/>
    <w:rsid w:val="00322B56"/>
    <w:rsid w:val="00334FCF"/>
    <w:rsid w:val="003606C1"/>
    <w:rsid w:val="003635B2"/>
    <w:rsid w:val="0036467A"/>
    <w:rsid w:val="003820C7"/>
    <w:rsid w:val="0038784D"/>
    <w:rsid w:val="0039090F"/>
    <w:rsid w:val="003D384F"/>
    <w:rsid w:val="003E65FD"/>
    <w:rsid w:val="003E68EC"/>
    <w:rsid w:val="004049C6"/>
    <w:rsid w:val="00451283"/>
    <w:rsid w:val="00452C27"/>
    <w:rsid w:val="00456287"/>
    <w:rsid w:val="00470F09"/>
    <w:rsid w:val="00494C6C"/>
    <w:rsid w:val="004B2335"/>
    <w:rsid w:val="004B5C4C"/>
    <w:rsid w:val="004D03BD"/>
    <w:rsid w:val="004D777B"/>
    <w:rsid w:val="004D7853"/>
    <w:rsid w:val="004E1BF8"/>
    <w:rsid w:val="004F1D6E"/>
    <w:rsid w:val="0050355E"/>
    <w:rsid w:val="00503D10"/>
    <w:rsid w:val="00504F02"/>
    <w:rsid w:val="005115BF"/>
    <w:rsid w:val="00522833"/>
    <w:rsid w:val="00524DC5"/>
    <w:rsid w:val="00530C34"/>
    <w:rsid w:val="00541856"/>
    <w:rsid w:val="00555E02"/>
    <w:rsid w:val="005771D8"/>
    <w:rsid w:val="00591CBF"/>
    <w:rsid w:val="005950D0"/>
    <w:rsid w:val="0059516A"/>
    <w:rsid w:val="005A2059"/>
    <w:rsid w:val="005A3CFF"/>
    <w:rsid w:val="005C04F4"/>
    <w:rsid w:val="005D66AC"/>
    <w:rsid w:val="00620C99"/>
    <w:rsid w:val="00630441"/>
    <w:rsid w:val="00633301"/>
    <w:rsid w:val="006458C6"/>
    <w:rsid w:val="00667AE4"/>
    <w:rsid w:val="00684AF6"/>
    <w:rsid w:val="00684B0A"/>
    <w:rsid w:val="00696905"/>
    <w:rsid w:val="006979F2"/>
    <w:rsid w:val="006C44DD"/>
    <w:rsid w:val="006C4D87"/>
    <w:rsid w:val="006C68F0"/>
    <w:rsid w:val="006C7E95"/>
    <w:rsid w:val="006F061F"/>
    <w:rsid w:val="006F6BE0"/>
    <w:rsid w:val="00701574"/>
    <w:rsid w:val="00701E5B"/>
    <w:rsid w:val="00703626"/>
    <w:rsid w:val="0070403C"/>
    <w:rsid w:val="00716E43"/>
    <w:rsid w:val="00720FE3"/>
    <w:rsid w:val="00723E98"/>
    <w:rsid w:val="00754AED"/>
    <w:rsid w:val="007679D2"/>
    <w:rsid w:val="00785533"/>
    <w:rsid w:val="007B4EB9"/>
    <w:rsid w:val="007D2933"/>
    <w:rsid w:val="007D66C9"/>
    <w:rsid w:val="007E170C"/>
    <w:rsid w:val="007E205A"/>
    <w:rsid w:val="007E784A"/>
    <w:rsid w:val="007F6D0C"/>
    <w:rsid w:val="00800A05"/>
    <w:rsid w:val="0081627F"/>
    <w:rsid w:val="00832E44"/>
    <w:rsid w:val="00832E8D"/>
    <w:rsid w:val="00834B56"/>
    <w:rsid w:val="008520FC"/>
    <w:rsid w:val="008650DC"/>
    <w:rsid w:val="00873B6D"/>
    <w:rsid w:val="0087626F"/>
    <w:rsid w:val="00877A5F"/>
    <w:rsid w:val="0088305D"/>
    <w:rsid w:val="008901DE"/>
    <w:rsid w:val="008A77B2"/>
    <w:rsid w:val="008B1636"/>
    <w:rsid w:val="008C5DB7"/>
    <w:rsid w:val="008D266F"/>
    <w:rsid w:val="008E18E5"/>
    <w:rsid w:val="008E1B4E"/>
    <w:rsid w:val="008F767A"/>
    <w:rsid w:val="00906495"/>
    <w:rsid w:val="00914863"/>
    <w:rsid w:val="009156F9"/>
    <w:rsid w:val="00923BAF"/>
    <w:rsid w:val="00927DCB"/>
    <w:rsid w:val="009427DE"/>
    <w:rsid w:val="00946CAB"/>
    <w:rsid w:val="0096522A"/>
    <w:rsid w:val="009A3E7D"/>
    <w:rsid w:val="009C11EB"/>
    <w:rsid w:val="009C2CCA"/>
    <w:rsid w:val="009D259B"/>
    <w:rsid w:val="009D3ED7"/>
    <w:rsid w:val="009F1D06"/>
    <w:rsid w:val="009F5E41"/>
    <w:rsid w:val="00A2171B"/>
    <w:rsid w:val="00A27C11"/>
    <w:rsid w:val="00A54E19"/>
    <w:rsid w:val="00A633D2"/>
    <w:rsid w:val="00A750E7"/>
    <w:rsid w:val="00AA4345"/>
    <w:rsid w:val="00AD250B"/>
    <w:rsid w:val="00AD3299"/>
    <w:rsid w:val="00AE4059"/>
    <w:rsid w:val="00AE490C"/>
    <w:rsid w:val="00AF5B3A"/>
    <w:rsid w:val="00B30BEE"/>
    <w:rsid w:val="00B42AC4"/>
    <w:rsid w:val="00B67600"/>
    <w:rsid w:val="00B75241"/>
    <w:rsid w:val="00B7593B"/>
    <w:rsid w:val="00BF1C93"/>
    <w:rsid w:val="00C03F5E"/>
    <w:rsid w:val="00C0523F"/>
    <w:rsid w:val="00C07D5C"/>
    <w:rsid w:val="00C1147B"/>
    <w:rsid w:val="00C15F5A"/>
    <w:rsid w:val="00C177EA"/>
    <w:rsid w:val="00C2254F"/>
    <w:rsid w:val="00C36086"/>
    <w:rsid w:val="00C40EA2"/>
    <w:rsid w:val="00C41B61"/>
    <w:rsid w:val="00C52E26"/>
    <w:rsid w:val="00C53FAE"/>
    <w:rsid w:val="00C6071C"/>
    <w:rsid w:val="00C62B18"/>
    <w:rsid w:val="00C66328"/>
    <w:rsid w:val="00C7777E"/>
    <w:rsid w:val="00C81A78"/>
    <w:rsid w:val="00C91CCC"/>
    <w:rsid w:val="00C938C4"/>
    <w:rsid w:val="00CA168F"/>
    <w:rsid w:val="00CA25FA"/>
    <w:rsid w:val="00CA39C1"/>
    <w:rsid w:val="00CA3EFC"/>
    <w:rsid w:val="00CB259E"/>
    <w:rsid w:val="00CB4DF4"/>
    <w:rsid w:val="00CC0C26"/>
    <w:rsid w:val="00CD3269"/>
    <w:rsid w:val="00CE0451"/>
    <w:rsid w:val="00CE66B5"/>
    <w:rsid w:val="00CF1B7C"/>
    <w:rsid w:val="00D0008F"/>
    <w:rsid w:val="00D12AC9"/>
    <w:rsid w:val="00D2248A"/>
    <w:rsid w:val="00D37BA3"/>
    <w:rsid w:val="00D45C1E"/>
    <w:rsid w:val="00D51626"/>
    <w:rsid w:val="00D74986"/>
    <w:rsid w:val="00D85EE9"/>
    <w:rsid w:val="00D96F3A"/>
    <w:rsid w:val="00DA147B"/>
    <w:rsid w:val="00DA6071"/>
    <w:rsid w:val="00DB227A"/>
    <w:rsid w:val="00DC0CD8"/>
    <w:rsid w:val="00DC1EE7"/>
    <w:rsid w:val="00DD1692"/>
    <w:rsid w:val="00DE66A8"/>
    <w:rsid w:val="00DF361D"/>
    <w:rsid w:val="00DF42CF"/>
    <w:rsid w:val="00E053F2"/>
    <w:rsid w:val="00E1111D"/>
    <w:rsid w:val="00E24990"/>
    <w:rsid w:val="00E3463E"/>
    <w:rsid w:val="00E376F8"/>
    <w:rsid w:val="00E416A5"/>
    <w:rsid w:val="00E41E3D"/>
    <w:rsid w:val="00E468FC"/>
    <w:rsid w:val="00E47E14"/>
    <w:rsid w:val="00E54730"/>
    <w:rsid w:val="00E600C6"/>
    <w:rsid w:val="00E86750"/>
    <w:rsid w:val="00E86D6C"/>
    <w:rsid w:val="00E87300"/>
    <w:rsid w:val="00E87A9E"/>
    <w:rsid w:val="00EA60FC"/>
    <w:rsid w:val="00EB3CC0"/>
    <w:rsid w:val="00EB41E6"/>
    <w:rsid w:val="00EB69B3"/>
    <w:rsid w:val="00ED39BE"/>
    <w:rsid w:val="00EE0EAB"/>
    <w:rsid w:val="00EE1912"/>
    <w:rsid w:val="00EF36B3"/>
    <w:rsid w:val="00EF4510"/>
    <w:rsid w:val="00EF7B28"/>
    <w:rsid w:val="00F200D7"/>
    <w:rsid w:val="00F23D68"/>
    <w:rsid w:val="00F26306"/>
    <w:rsid w:val="00F42211"/>
    <w:rsid w:val="00F72A48"/>
    <w:rsid w:val="00F82DD1"/>
    <w:rsid w:val="00F85D67"/>
    <w:rsid w:val="00F90CCB"/>
    <w:rsid w:val="00FB06DA"/>
    <w:rsid w:val="00FB568E"/>
    <w:rsid w:val="00FC2238"/>
    <w:rsid w:val="00FF1E38"/>
    <w:rsid w:val="00FF394D"/>
    <w:rsid w:val="00FF6FC2"/>
    <w:rsid w:val="012A08AC"/>
    <w:rsid w:val="01570AFC"/>
    <w:rsid w:val="02B22C12"/>
    <w:rsid w:val="050F15B5"/>
    <w:rsid w:val="053036F3"/>
    <w:rsid w:val="05311394"/>
    <w:rsid w:val="05394052"/>
    <w:rsid w:val="05DA791D"/>
    <w:rsid w:val="06C474F5"/>
    <w:rsid w:val="0780648A"/>
    <w:rsid w:val="0818560B"/>
    <w:rsid w:val="08913F8F"/>
    <w:rsid w:val="0932499B"/>
    <w:rsid w:val="094B6B72"/>
    <w:rsid w:val="09DB0171"/>
    <w:rsid w:val="0B37090B"/>
    <w:rsid w:val="0B395ECB"/>
    <w:rsid w:val="0BF927CB"/>
    <w:rsid w:val="0D496E28"/>
    <w:rsid w:val="0D8749D3"/>
    <w:rsid w:val="0F4915BF"/>
    <w:rsid w:val="0F616947"/>
    <w:rsid w:val="0F6F59FF"/>
    <w:rsid w:val="1106543B"/>
    <w:rsid w:val="12191133"/>
    <w:rsid w:val="12305CD9"/>
    <w:rsid w:val="13E92F74"/>
    <w:rsid w:val="148D1B59"/>
    <w:rsid w:val="14C3113C"/>
    <w:rsid w:val="171B44A8"/>
    <w:rsid w:val="17393D6D"/>
    <w:rsid w:val="18C4570A"/>
    <w:rsid w:val="19542DA6"/>
    <w:rsid w:val="199E2BFC"/>
    <w:rsid w:val="1A8F255B"/>
    <w:rsid w:val="1ADD1B15"/>
    <w:rsid w:val="1B837AE5"/>
    <w:rsid w:val="1BDE230A"/>
    <w:rsid w:val="1E4C4596"/>
    <w:rsid w:val="1E836671"/>
    <w:rsid w:val="1ECE2D5A"/>
    <w:rsid w:val="1F254488"/>
    <w:rsid w:val="1F2A29AB"/>
    <w:rsid w:val="1F896887"/>
    <w:rsid w:val="1F9D50D9"/>
    <w:rsid w:val="1FF33A44"/>
    <w:rsid w:val="20E53413"/>
    <w:rsid w:val="226452E9"/>
    <w:rsid w:val="22FC03E0"/>
    <w:rsid w:val="24067AE2"/>
    <w:rsid w:val="246379FA"/>
    <w:rsid w:val="257614E7"/>
    <w:rsid w:val="25797DC7"/>
    <w:rsid w:val="26045E34"/>
    <w:rsid w:val="26292586"/>
    <w:rsid w:val="266816DC"/>
    <w:rsid w:val="284C05FC"/>
    <w:rsid w:val="28762F33"/>
    <w:rsid w:val="28B808CB"/>
    <w:rsid w:val="290628D0"/>
    <w:rsid w:val="29B70A94"/>
    <w:rsid w:val="2A996019"/>
    <w:rsid w:val="2C1B0419"/>
    <w:rsid w:val="2CA7585F"/>
    <w:rsid w:val="2CBA10A8"/>
    <w:rsid w:val="2CE43832"/>
    <w:rsid w:val="2E1B7F66"/>
    <w:rsid w:val="2FD24801"/>
    <w:rsid w:val="32544FB6"/>
    <w:rsid w:val="32D30EDF"/>
    <w:rsid w:val="33302434"/>
    <w:rsid w:val="34437DD9"/>
    <w:rsid w:val="34567163"/>
    <w:rsid w:val="346E2FE8"/>
    <w:rsid w:val="356603E9"/>
    <w:rsid w:val="368524CB"/>
    <w:rsid w:val="36A257D5"/>
    <w:rsid w:val="37024698"/>
    <w:rsid w:val="388918ED"/>
    <w:rsid w:val="39203F6A"/>
    <w:rsid w:val="3983491D"/>
    <w:rsid w:val="3A852DBB"/>
    <w:rsid w:val="3B201EEF"/>
    <w:rsid w:val="3BD3357D"/>
    <w:rsid w:val="3C782D64"/>
    <w:rsid w:val="3CB03F27"/>
    <w:rsid w:val="3CB90D7F"/>
    <w:rsid w:val="3D262A68"/>
    <w:rsid w:val="3E004139"/>
    <w:rsid w:val="3E39480C"/>
    <w:rsid w:val="3EC16DA1"/>
    <w:rsid w:val="3FC94ED0"/>
    <w:rsid w:val="3FFC028A"/>
    <w:rsid w:val="40016E55"/>
    <w:rsid w:val="40454D22"/>
    <w:rsid w:val="40D8229B"/>
    <w:rsid w:val="4204010E"/>
    <w:rsid w:val="42E105FD"/>
    <w:rsid w:val="43026189"/>
    <w:rsid w:val="43AC1DA6"/>
    <w:rsid w:val="444C6ACE"/>
    <w:rsid w:val="44F679C4"/>
    <w:rsid w:val="454C69C7"/>
    <w:rsid w:val="457C1B3E"/>
    <w:rsid w:val="45981F90"/>
    <w:rsid w:val="46606D15"/>
    <w:rsid w:val="46954F5C"/>
    <w:rsid w:val="46E61E1A"/>
    <w:rsid w:val="478C21E1"/>
    <w:rsid w:val="481D24BB"/>
    <w:rsid w:val="48733F90"/>
    <w:rsid w:val="4A4E7F19"/>
    <w:rsid w:val="4A832020"/>
    <w:rsid w:val="4A9C4613"/>
    <w:rsid w:val="4B78421D"/>
    <w:rsid w:val="4B971913"/>
    <w:rsid w:val="4B9863A8"/>
    <w:rsid w:val="4BAD77B9"/>
    <w:rsid w:val="4C31517C"/>
    <w:rsid w:val="4C557D69"/>
    <w:rsid w:val="4CFE0B28"/>
    <w:rsid w:val="4E244613"/>
    <w:rsid w:val="4E3B4781"/>
    <w:rsid w:val="4E7656B4"/>
    <w:rsid w:val="4E8E0629"/>
    <w:rsid w:val="4E8F7643"/>
    <w:rsid w:val="500D2D95"/>
    <w:rsid w:val="50370EE4"/>
    <w:rsid w:val="50384492"/>
    <w:rsid w:val="510A23B5"/>
    <w:rsid w:val="515A516C"/>
    <w:rsid w:val="51EB1BDA"/>
    <w:rsid w:val="52552F2A"/>
    <w:rsid w:val="534360B5"/>
    <w:rsid w:val="53AB7DBC"/>
    <w:rsid w:val="541632C2"/>
    <w:rsid w:val="54CD4CA6"/>
    <w:rsid w:val="553701CB"/>
    <w:rsid w:val="555558F6"/>
    <w:rsid w:val="55C82676"/>
    <w:rsid w:val="55D75E61"/>
    <w:rsid w:val="58FC68CD"/>
    <w:rsid w:val="59FF237B"/>
    <w:rsid w:val="5A44459C"/>
    <w:rsid w:val="5ADF7095"/>
    <w:rsid w:val="5B045119"/>
    <w:rsid w:val="5B31460E"/>
    <w:rsid w:val="5B5C7DD3"/>
    <w:rsid w:val="5B70039C"/>
    <w:rsid w:val="5B9F4CFC"/>
    <w:rsid w:val="5CBD2290"/>
    <w:rsid w:val="5D0B2CCA"/>
    <w:rsid w:val="5E3C53E8"/>
    <w:rsid w:val="5E421A86"/>
    <w:rsid w:val="5E8A3CAC"/>
    <w:rsid w:val="5F121B42"/>
    <w:rsid w:val="5F25294E"/>
    <w:rsid w:val="5F2D2AF7"/>
    <w:rsid w:val="606B12C2"/>
    <w:rsid w:val="60B94F1A"/>
    <w:rsid w:val="60FF5B73"/>
    <w:rsid w:val="61502925"/>
    <w:rsid w:val="61E94E7B"/>
    <w:rsid w:val="61FD3E22"/>
    <w:rsid w:val="62465B2B"/>
    <w:rsid w:val="629C2237"/>
    <w:rsid w:val="62F738E6"/>
    <w:rsid w:val="642252DE"/>
    <w:rsid w:val="64736587"/>
    <w:rsid w:val="64847D85"/>
    <w:rsid w:val="64CD5000"/>
    <w:rsid w:val="66751506"/>
    <w:rsid w:val="66B14967"/>
    <w:rsid w:val="66B830E3"/>
    <w:rsid w:val="67501270"/>
    <w:rsid w:val="68620242"/>
    <w:rsid w:val="68CF3DEA"/>
    <w:rsid w:val="6A507636"/>
    <w:rsid w:val="6A630604"/>
    <w:rsid w:val="6B1E13E6"/>
    <w:rsid w:val="6B6D6ED0"/>
    <w:rsid w:val="6B905925"/>
    <w:rsid w:val="6D986A17"/>
    <w:rsid w:val="6E047C14"/>
    <w:rsid w:val="6E2A5BE1"/>
    <w:rsid w:val="6E533D98"/>
    <w:rsid w:val="6F617AE8"/>
    <w:rsid w:val="709322BD"/>
    <w:rsid w:val="719C1066"/>
    <w:rsid w:val="71F54813"/>
    <w:rsid w:val="72143A88"/>
    <w:rsid w:val="72792FA3"/>
    <w:rsid w:val="72BE1B89"/>
    <w:rsid w:val="72EF05E5"/>
    <w:rsid w:val="737812F7"/>
    <w:rsid w:val="74FF636D"/>
    <w:rsid w:val="755A05F2"/>
    <w:rsid w:val="75AD0232"/>
    <w:rsid w:val="7665536D"/>
    <w:rsid w:val="787D7C4B"/>
    <w:rsid w:val="787F0979"/>
    <w:rsid w:val="795D3046"/>
    <w:rsid w:val="79AA5641"/>
    <w:rsid w:val="7ABE33A1"/>
    <w:rsid w:val="7B4B37AC"/>
    <w:rsid w:val="7B8950A5"/>
    <w:rsid w:val="7C48001F"/>
    <w:rsid w:val="7DBC6A29"/>
    <w:rsid w:val="7DC9574D"/>
    <w:rsid w:val="7F556064"/>
    <w:rsid w:val="7F9B0781"/>
    <w:rsid w:val="7FC8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nhideWhenUsed="0" w:uiPriority="0" w:semiHidden="0" w:name="heading 3" w:locked="1"/>
    <w:lsdException w:qFormat="1" w:unhideWhenUsed="0" w:uiPriority="99" w:semiHidden="0" w:name="heading 4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qFormat="1" w:unhideWhenUsed="0" w:uiPriority="99" w:semiHidden="0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uiPriority="99" w:name="Note Heading" w:locked="1"/>
    <w:lsdException w:qFormat="1" w:unhideWhenUsed="0" w:uiPriority="99" w:semiHidden="0" w:name="Body Text 2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locked/>
    <w:uiPriority w:val="0"/>
    <w:pPr>
      <w:keepNext/>
      <w:keepLines/>
      <w:spacing w:line="240" w:lineRule="auto"/>
      <w:ind w:firstLine="0" w:firstLineChars="0"/>
      <w:jc w:val="center"/>
      <w:outlineLvl w:val="2"/>
    </w:pPr>
    <w:rPr>
      <w:b/>
    </w:rPr>
  </w:style>
  <w:style w:type="paragraph" w:styleId="3">
    <w:name w:val="heading 4"/>
    <w:basedOn w:val="1"/>
    <w:next w:val="1"/>
    <w:link w:val="20"/>
    <w:qFormat/>
    <w:uiPriority w:val="99"/>
    <w:pPr>
      <w:keepNext/>
      <w:keepLines/>
      <w:spacing w:before="120" w:after="120"/>
      <w:ind w:firstLine="200" w:firstLineChars="200"/>
      <w:outlineLvl w:val="3"/>
    </w:pPr>
    <w:rPr>
      <w:rFonts w:ascii="宋体" w:hAnsi="Arial"/>
      <w:b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link w:val="22"/>
    <w:qFormat/>
    <w:uiPriority w:val="99"/>
    <w:rPr>
      <w:sz w:val="24"/>
    </w:rPr>
  </w:style>
  <w:style w:type="paragraph" w:styleId="5">
    <w:name w:val="Body Text Indent"/>
    <w:basedOn w:val="1"/>
    <w:link w:val="23"/>
    <w:qFormat/>
    <w:uiPriority w:val="99"/>
    <w:pPr>
      <w:ind w:firstLine="600"/>
    </w:pPr>
    <w:rPr>
      <w:sz w:val="30"/>
    </w:rPr>
  </w:style>
  <w:style w:type="paragraph" w:styleId="6">
    <w:name w:val="Date"/>
    <w:basedOn w:val="1"/>
    <w:next w:val="1"/>
    <w:link w:val="24"/>
    <w:qFormat/>
    <w:uiPriority w:val="99"/>
    <w:pPr>
      <w:ind w:left="100" w:leftChars="2500"/>
    </w:pPr>
  </w:style>
  <w:style w:type="paragraph" w:styleId="7">
    <w:name w:val="footer"/>
    <w:basedOn w:val="1"/>
    <w:link w:val="2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envelope return"/>
    <w:basedOn w:val="1"/>
    <w:qFormat/>
    <w:locked/>
    <w:uiPriority w:val="99"/>
    <w:pPr>
      <w:snapToGrid w:val="0"/>
    </w:pPr>
    <w:rPr>
      <w:rFonts w:ascii="Arial" w:hAnsi="Arial" w:eastAsia="宋体" w:cs="Arial"/>
      <w:sz w:val="21"/>
      <w:szCs w:val="21"/>
    </w:rPr>
  </w:style>
  <w:style w:type="paragraph" w:styleId="9">
    <w:name w:val="header"/>
    <w:basedOn w:val="1"/>
    <w:next w:val="4"/>
    <w:link w:val="2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Body Text 2"/>
    <w:basedOn w:val="1"/>
    <w:next w:val="1"/>
    <w:link w:val="21"/>
    <w:qFormat/>
    <w:uiPriority w:val="99"/>
    <w:pPr>
      <w:spacing w:after="120" w:line="480" w:lineRule="auto"/>
    </w:pPr>
  </w:style>
  <w:style w:type="paragraph" w:styleId="11">
    <w:name w:val="Body Text First Indent"/>
    <w:basedOn w:val="1"/>
    <w:link w:val="27"/>
    <w:qFormat/>
    <w:uiPriority w:val="99"/>
    <w:pPr>
      <w:ind w:firstLine="420" w:firstLineChars="100"/>
    </w:pPr>
  </w:style>
  <w:style w:type="paragraph" w:styleId="12">
    <w:name w:val="Body Text First Indent 2"/>
    <w:basedOn w:val="5"/>
    <w:next w:val="1"/>
    <w:link w:val="28"/>
    <w:qFormat/>
    <w:uiPriority w:val="99"/>
    <w:pPr>
      <w:ind w:firstLine="420"/>
    </w:pPr>
  </w:style>
  <w:style w:type="table" w:styleId="14">
    <w:name w:val="Table Grid"/>
    <w:basedOn w:val="13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99"/>
    <w:rPr>
      <w:rFonts w:cs="Times New Roman"/>
    </w:rPr>
  </w:style>
  <w:style w:type="character" w:styleId="17">
    <w:name w:val="Emphasis"/>
    <w:basedOn w:val="15"/>
    <w:qFormat/>
    <w:locked/>
    <w:uiPriority w:val="20"/>
    <w:rPr>
      <w:i/>
    </w:rPr>
  </w:style>
  <w:style w:type="paragraph" w:customStyle="1" w:styleId="18">
    <w:name w:val="标号正文"/>
    <w:basedOn w:val="1"/>
    <w:next w:val="1"/>
    <w:qFormat/>
    <w:uiPriority w:val="99"/>
    <w:pPr>
      <w:tabs>
        <w:tab w:val="left" w:pos="1540"/>
      </w:tabs>
      <w:overflowPunct w:val="0"/>
      <w:snapToGrid w:val="0"/>
      <w:spacing w:line="360" w:lineRule="auto"/>
      <w:ind w:firstLine="1040"/>
      <w:jc w:val="left"/>
    </w:pPr>
    <w:rPr>
      <w:rFonts w:ascii="Arial" w:hAnsi="Arial"/>
      <w:sz w:val="24"/>
      <w:szCs w:val="20"/>
    </w:rPr>
  </w:style>
  <w:style w:type="paragraph" w:customStyle="1" w:styleId="1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0">
    <w:name w:val="标题 4 字符"/>
    <w:link w:val="3"/>
    <w:semiHidden/>
    <w:qFormat/>
    <w:locked/>
    <w:uiPriority w:val="99"/>
    <w:rPr>
      <w:rFonts w:ascii="Cambria" w:hAnsi="Cambria" w:eastAsia="宋体" w:cs="Times New Roman"/>
      <w:b/>
      <w:bCs/>
      <w:kern w:val="2"/>
      <w:sz w:val="28"/>
      <w:szCs w:val="28"/>
    </w:rPr>
  </w:style>
  <w:style w:type="character" w:customStyle="1" w:styleId="21">
    <w:name w:val="正文文本 2 字符"/>
    <w:link w:val="10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2">
    <w:name w:val="正文文本 字符"/>
    <w:link w:val="4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3">
    <w:name w:val="正文文本缩进 字符"/>
    <w:link w:val="5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4">
    <w:name w:val="日期 字符"/>
    <w:link w:val="6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5">
    <w:name w:val="页脚 字符"/>
    <w:link w:val="7"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26">
    <w:name w:val="页眉 字符"/>
    <w:link w:val="9"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27">
    <w:name w:val="正文文本首行缩进 字符"/>
    <w:link w:val="11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8">
    <w:name w:val="正文文本首行缩进 2 字符"/>
    <w:link w:val="12"/>
    <w:semiHidden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9">
    <w:name w:val="apple-converted-space"/>
    <w:qFormat/>
    <w:uiPriority w:val="99"/>
    <w:rPr>
      <w:rFonts w:cs="Times New Roman"/>
    </w:rPr>
  </w:style>
  <w:style w:type="paragraph" w:customStyle="1" w:styleId="30">
    <w:name w:val="Char"/>
    <w:basedOn w:val="1"/>
    <w:qFormat/>
    <w:uiPriority w:val="99"/>
  </w:style>
  <w:style w:type="paragraph" w:customStyle="1" w:styleId="31">
    <w:name w:val="Char Char Char1 Char"/>
    <w:basedOn w:val="1"/>
    <w:qFormat/>
    <w:uiPriority w:val="99"/>
  </w:style>
  <w:style w:type="paragraph" w:customStyle="1" w:styleId="32">
    <w:name w:val="1正文段落"/>
    <w:basedOn w:val="1"/>
    <w:qFormat/>
    <w:uiPriority w:val="99"/>
    <w:pPr>
      <w:spacing w:line="360" w:lineRule="auto"/>
      <w:ind w:firstLine="480" w:firstLineChars="200"/>
      <w:jc w:val="left"/>
    </w:pPr>
    <w:rPr>
      <w:kern w:val="0"/>
      <w:sz w:val="24"/>
    </w:rPr>
  </w:style>
  <w:style w:type="paragraph" w:customStyle="1" w:styleId="33">
    <w:name w:val="_Style 2"/>
    <w:basedOn w:val="1"/>
    <w:qFormat/>
    <w:uiPriority w:val="99"/>
    <w:pPr>
      <w:spacing w:line="351" w:lineRule="atLeast"/>
      <w:ind w:firstLine="623"/>
      <w:textAlignment w:val="baseline"/>
    </w:pPr>
    <w:rPr>
      <w:rFonts w:ascii="Times New Roman" w:hAnsi="Times New Roman" w:eastAsia="仿宋_GB2312" w:cs="Times New Roman"/>
      <w:color w:val="000000"/>
      <w:sz w:val="31"/>
      <w:szCs w:val="31"/>
    </w:rPr>
  </w:style>
  <w:style w:type="paragraph" w:customStyle="1" w:styleId="34">
    <w:name w:val="报告表正文"/>
    <w:basedOn w:val="1"/>
    <w:autoRedefine/>
    <w:qFormat/>
    <w:uiPriority w:val="99"/>
    <w:pPr>
      <w:spacing w:line="360" w:lineRule="auto"/>
      <w:ind w:firstLine="200"/>
    </w:pPr>
    <w:rPr>
      <w:rFonts w:ascii="Calibri" w:hAnsi="Calibri"/>
      <w:kern w:val="0"/>
      <w:sz w:val="20"/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2290</Words>
  <Characters>2510</Characters>
  <Lines>7</Lines>
  <Paragraphs>2</Paragraphs>
  <TotalTime>1</TotalTime>
  <ScaleCrop>false</ScaleCrop>
  <LinksUpToDate>false</LinksUpToDate>
  <CharactersWithSpaces>7013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2022-03-07T08:39:00Z</dcterms:created>
  <dc:creator>zf</dc:creator>
  <cp:lastModifiedBy>三生万物</cp:lastModifiedBy>
  <cp:lastPrinted>2025-03-31T00:48:00Z</cp:lastPrinted>
  <dcterms:modified xsi:type="dcterms:W3CDTF">2025-03-31T01:00:45Z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1CA5E53A6B074F569E82769C054D9D1D_13</vt:lpwstr>
  </property>
  <property fmtid="{D5CDD505-2E9C-101B-9397-08002B2CF9AE}" pid="4" name="commondata">
    <vt:lpwstr>eyJoZGlkIjoiNjcwMDA0NzFiMGFjNmYzMjdjMDNiMDNkMWVmMDFjZTEifQ==</vt:lpwstr>
  </property>
  <property fmtid="{D5CDD505-2E9C-101B-9397-08002B2CF9AE}" pid="5" name="KSOTemplateDocerSaveRecord">
    <vt:lpwstr>eyJoZGlkIjoiODlhZmY0MDU3YmNhYjcwYTRhNjYyYjQyNmNiOWI0NjUiLCJ1c2VySWQiOiI4Njg3MzU3MzIifQ==</vt:lpwstr>
  </property>
</Properties>
</file>