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 xml:space="preserve"> 金寨县旧房装修领域补贴转移支付202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（一）下达金寨县旧房装修领域补贴转移支付预算和绩效目标情况。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下达金寨县旧房装修领域补贴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1012.74万元，用于公租房、公有老旧房屋装修补贴。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资金用于公租房、公有老旧房屋装修补贴方面，提升租户居住舒适度，按照预算绩效管理要求设定绩效目标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年金寨县旧房装修领域补贴资金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到位1012.74万元，资金全额及时到位。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年金寨县旧房装修领域补贴资金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到位1012.74万元，本年度资金执行率100%。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年金寨县旧房装修领域补贴资金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到位1012.74万元严格按照预算资金管理办法进行管理，做到专款专用，符合资金使用用途。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维修公租房项目数≥12个</w:t>
      </w:r>
      <w:r>
        <w:rPr>
          <w:rFonts w:hint="eastAsia"/>
          <w:lang w:eastAsia="zh-CN"/>
        </w:rPr>
        <w:t>；维修公有老旧房屋项目数≥</w:t>
      </w:r>
      <w:r>
        <w:rPr>
          <w:rFonts w:hint="eastAsia"/>
          <w:lang w:val="en-US" w:eastAsia="zh-CN"/>
        </w:rPr>
        <w:t>13个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公租房、公有老旧房屋使用质量</w:t>
      </w:r>
      <w:r>
        <w:rPr>
          <w:rFonts w:hint="eastAsia"/>
          <w:lang w:eastAsia="zh-CN"/>
        </w:rPr>
        <w:t>良好</w:t>
      </w:r>
      <w:r>
        <w:rPr>
          <w:rFonts w:hint="eastAsia"/>
          <w:lang w:val="en-US" w:eastAsia="zh-CN"/>
        </w:rPr>
        <w:t>；公租房、公有老旧房屋装修施工质量合格。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使用年限≥50年</w:t>
      </w:r>
      <w:r>
        <w:rPr>
          <w:rFonts w:hint="eastAsia"/>
          <w:lang w:eastAsia="zh-CN"/>
        </w:rPr>
        <w:t>；财政补助资金付款进度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pStyle w:val="2"/>
        <w:numPr>
          <w:ilvl w:val="0"/>
          <w:numId w:val="0"/>
        </w:numPr>
        <w:ind w:left="645" w:leftChars="0"/>
        <w:rPr>
          <w:rFonts w:hint="eastAsia" w:eastAsia="仿宋_GB2312"/>
          <w:lang w:val="en-US" w:eastAsia="zh-CN"/>
        </w:rPr>
      </w:pPr>
      <w:r>
        <w:rPr>
          <w:rFonts w:hint="eastAsia"/>
        </w:rPr>
        <w:t>项目总成本≤1012.74万元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缓解县城就业人员的住房压力</w:t>
      </w:r>
      <w:r>
        <w:rPr>
          <w:rFonts w:hint="eastAsia"/>
          <w:lang w:eastAsia="zh-CN"/>
        </w:rPr>
        <w:t>效果明显</w:t>
      </w:r>
      <w:r>
        <w:rPr>
          <w:rFonts w:hint="eastAsia"/>
          <w:lang w:val="en-US" w:eastAsia="zh-CN"/>
        </w:rPr>
        <w:t>；充分保障就业人员享受住房保障政策。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改善改善低保低收入住房困难家庭住房条件</w:t>
      </w:r>
      <w:r>
        <w:rPr>
          <w:rFonts w:hint="eastAsia"/>
          <w:lang w:eastAsia="zh-CN"/>
        </w:rPr>
        <w:t>效果明显</w:t>
      </w:r>
      <w:r>
        <w:rPr>
          <w:rFonts w:hint="eastAsia"/>
          <w:lang w:val="en-US" w:eastAsia="zh-CN"/>
        </w:rPr>
        <w:t>；保障社会和谐稳定。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维护社会生态的健康稳定</w:t>
      </w:r>
      <w:r>
        <w:rPr>
          <w:rFonts w:hint="eastAsia"/>
          <w:lang w:val="en-US" w:eastAsia="zh-CN"/>
        </w:rPr>
        <w:t>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保障住房条件、经济困难家庭的基本生活条件</w:t>
      </w:r>
      <w:r>
        <w:rPr>
          <w:rFonts w:hint="eastAsia"/>
          <w:lang w:val="en-US" w:eastAsia="zh-CN"/>
        </w:rPr>
        <w:t>；持续激励就业创业人员在我县安心干事。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租户满意度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大于95%。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FD7239B"/>
    <w:rsid w:val="6FFE44AE"/>
    <w:rsid w:val="70301574"/>
    <w:rsid w:val="741B5EA8"/>
    <w:rsid w:val="74542BEA"/>
    <w:rsid w:val="75AF3544"/>
    <w:rsid w:val="76AC703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2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