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47B3A">
      <w:pPr>
        <w:pStyle w:val="27"/>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一、建设项目基本情况</w:t>
      </w:r>
    </w:p>
    <w:tbl>
      <w:tblPr>
        <w:tblStyle w:val="30"/>
        <w:tblW w:w="496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89"/>
        <w:gridCol w:w="2994"/>
        <w:gridCol w:w="1293"/>
        <w:gridCol w:w="3555"/>
      </w:tblGrid>
      <w:tr w14:paraId="6A9D8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658" w:type="pct"/>
            <w:tcMar>
              <w:top w:w="16" w:type="dxa"/>
              <w:left w:w="16" w:type="dxa"/>
              <w:right w:w="16" w:type="dxa"/>
            </w:tcMar>
            <w:vAlign w:val="center"/>
          </w:tcPr>
          <w:p w14:paraId="5E259DFB">
            <w:pPr>
              <w:adjustRightInd w:val="0"/>
              <w:snapToGrid w:val="0"/>
              <w:jc w:val="center"/>
              <w:rPr>
                <w:color w:val="auto"/>
                <w:sz w:val="24"/>
              </w:rPr>
            </w:pPr>
            <w:r>
              <w:rPr>
                <w:color w:val="auto"/>
                <w:sz w:val="24"/>
              </w:rPr>
              <w:t>建设项目名称</w:t>
            </w:r>
          </w:p>
        </w:tc>
        <w:tc>
          <w:tcPr>
            <w:tcW w:w="4341" w:type="pct"/>
            <w:gridSpan w:val="3"/>
            <w:vAlign w:val="center"/>
          </w:tcPr>
          <w:p w14:paraId="10A3BD4C">
            <w:pPr>
              <w:adjustRightInd w:val="0"/>
              <w:snapToGrid w:val="0"/>
              <w:jc w:val="center"/>
              <w:rPr>
                <w:rFonts w:hint="eastAsia" w:eastAsia="宋体"/>
                <w:color w:val="auto"/>
                <w:sz w:val="24"/>
                <w:lang w:eastAsia="zh-CN"/>
              </w:rPr>
            </w:pPr>
            <w:bookmarkStart w:id="7" w:name="_GoBack"/>
            <w:r>
              <w:rPr>
                <w:rFonts w:hint="eastAsia"/>
                <w:color w:val="auto"/>
                <w:sz w:val="24"/>
                <w:lang w:eastAsia="zh-CN"/>
              </w:rPr>
              <w:t>金寨恒瑞竹制品有限公司竹制品加工厂项目</w:t>
            </w:r>
            <w:bookmarkEnd w:id="7"/>
          </w:p>
        </w:tc>
      </w:tr>
      <w:tr w14:paraId="6124F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76AC6590">
            <w:pPr>
              <w:adjustRightInd w:val="0"/>
              <w:snapToGrid w:val="0"/>
              <w:jc w:val="center"/>
              <w:rPr>
                <w:color w:val="auto"/>
                <w:sz w:val="24"/>
              </w:rPr>
            </w:pPr>
            <w:r>
              <w:rPr>
                <w:color w:val="auto"/>
                <w:sz w:val="24"/>
              </w:rPr>
              <w:t>项目代码</w:t>
            </w:r>
          </w:p>
        </w:tc>
        <w:tc>
          <w:tcPr>
            <w:tcW w:w="4341" w:type="pct"/>
            <w:gridSpan w:val="3"/>
            <w:vAlign w:val="center"/>
          </w:tcPr>
          <w:p w14:paraId="27726BDB">
            <w:pPr>
              <w:adjustRightInd w:val="0"/>
              <w:snapToGrid w:val="0"/>
              <w:jc w:val="center"/>
              <w:rPr>
                <w:rFonts w:hint="eastAsia" w:eastAsia="宋体"/>
                <w:color w:val="auto"/>
                <w:sz w:val="24"/>
                <w:lang w:eastAsia="zh-CN"/>
              </w:rPr>
            </w:pPr>
            <w:r>
              <w:rPr>
                <w:rFonts w:hint="eastAsia"/>
                <w:color w:val="auto"/>
                <w:sz w:val="24"/>
                <w:lang w:eastAsia="zh-CN"/>
              </w:rPr>
              <w:t>2409-341524-04-01-822807</w:t>
            </w:r>
          </w:p>
        </w:tc>
      </w:tr>
      <w:tr w14:paraId="69894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6DF2F0E8">
            <w:pPr>
              <w:adjustRightInd w:val="0"/>
              <w:snapToGrid w:val="0"/>
              <w:jc w:val="center"/>
              <w:rPr>
                <w:color w:val="auto"/>
                <w:sz w:val="24"/>
              </w:rPr>
            </w:pPr>
            <w:r>
              <w:rPr>
                <w:color w:val="auto"/>
                <w:sz w:val="24"/>
              </w:rPr>
              <w:t>建设单位联系人</w:t>
            </w:r>
          </w:p>
        </w:tc>
        <w:tc>
          <w:tcPr>
            <w:tcW w:w="1657" w:type="pct"/>
            <w:vAlign w:val="center"/>
          </w:tcPr>
          <w:p w14:paraId="353C0D3D">
            <w:pPr>
              <w:adjustRightInd w:val="0"/>
              <w:snapToGrid w:val="0"/>
              <w:jc w:val="center"/>
              <w:rPr>
                <w:rFonts w:hint="default" w:eastAsia="宋体"/>
                <w:color w:val="auto"/>
                <w:sz w:val="24"/>
                <w:lang w:val="en-US" w:eastAsia="zh-CN"/>
              </w:rPr>
            </w:pPr>
            <w:r>
              <w:rPr>
                <w:rFonts w:hint="eastAsia"/>
                <w:color w:val="auto"/>
                <w:sz w:val="24"/>
                <w:lang w:val="en-US" w:eastAsia="zh-CN"/>
              </w:rPr>
              <w:t>沈克泉</w:t>
            </w:r>
          </w:p>
        </w:tc>
        <w:tc>
          <w:tcPr>
            <w:tcW w:w="716" w:type="pct"/>
            <w:vAlign w:val="center"/>
          </w:tcPr>
          <w:p w14:paraId="50F4EE0F">
            <w:pPr>
              <w:adjustRightInd w:val="0"/>
              <w:snapToGrid w:val="0"/>
              <w:jc w:val="center"/>
              <w:rPr>
                <w:color w:val="auto"/>
                <w:sz w:val="24"/>
              </w:rPr>
            </w:pPr>
            <w:r>
              <w:rPr>
                <w:color w:val="auto"/>
                <w:sz w:val="24"/>
              </w:rPr>
              <w:t>联系方式</w:t>
            </w:r>
          </w:p>
        </w:tc>
        <w:tc>
          <w:tcPr>
            <w:tcW w:w="1967" w:type="pct"/>
            <w:vAlign w:val="center"/>
          </w:tcPr>
          <w:p w14:paraId="4F096E05">
            <w:pPr>
              <w:adjustRightInd w:val="0"/>
              <w:snapToGrid w:val="0"/>
              <w:jc w:val="center"/>
              <w:rPr>
                <w:rFonts w:hint="default" w:eastAsia="宋体"/>
                <w:color w:val="auto"/>
                <w:sz w:val="24"/>
                <w:lang w:val="en-US" w:eastAsia="zh-CN"/>
              </w:rPr>
            </w:pPr>
            <w:r>
              <w:rPr>
                <w:rFonts w:hint="eastAsia"/>
                <w:color w:val="auto"/>
                <w:sz w:val="24"/>
                <w:lang w:val="en-US" w:eastAsia="zh-CN"/>
              </w:rPr>
              <w:t>158****8282</w:t>
            </w:r>
          </w:p>
        </w:tc>
      </w:tr>
      <w:tr w14:paraId="32DC6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75F7703D">
            <w:pPr>
              <w:adjustRightInd w:val="0"/>
              <w:snapToGrid w:val="0"/>
              <w:jc w:val="center"/>
              <w:rPr>
                <w:color w:val="auto"/>
                <w:sz w:val="24"/>
              </w:rPr>
            </w:pPr>
            <w:r>
              <w:rPr>
                <w:color w:val="auto"/>
                <w:sz w:val="24"/>
              </w:rPr>
              <w:t>建设地点</w:t>
            </w:r>
          </w:p>
        </w:tc>
        <w:tc>
          <w:tcPr>
            <w:tcW w:w="4341" w:type="pct"/>
            <w:gridSpan w:val="3"/>
            <w:vAlign w:val="center"/>
          </w:tcPr>
          <w:p w14:paraId="3234EDEA">
            <w:pPr>
              <w:adjustRightInd w:val="0"/>
              <w:snapToGrid w:val="0"/>
              <w:jc w:val="center"/>
              <w:rPr>
                <w:rFonts w:hint="default" w:eastAsia="宋体"/>
                <w:color w:val="auto"/>
                <w:sz w:val="24"/>
                <w:lang w:val="en-US" w:eastAsia="zh-CN"/>
              </w:rPr>
            </w:pPr>
            <w:r>
              <w:rPr>
                <w:rFonts w:hint="eastAsia"/>
                <w:color w:val="auto"/>
                <w:sz w:val="24"/>
                <w:lang w:val="en-US" w:eastAsia="zh-CN"/>
              </w:rPr>
              <w:t>金寨县梅山镇汪冲村</w:t>
            </w:r>
          </w:p>
        </w:tc>
      </w:tr>
      <w:tr w14:paraId="4CB1E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2767C410">
            <w:pPr>
              <w:adjustRightInd w:val="0"/>
              <w:snapToGrid w:val="0"/>
              <w:jc w:val="center"/>
              <w:rPr>
                <w:color w:val="auto"/>
                <w:sz w:val="24"/>
              </w:rPr>
            </w:pPr>
            <w:r>
              <w:rPr>
                <w:color w:val="auto"/>
                <w:sz w:val="24"/>
              </w:rPr>
              <w:t>地理坐标</w:t>
            </w:r>
          </w:p>
        </w:tc>
        <w:tc>
          <w:tcPr>
            <w:tcW w:w="4341" w:type="pct"/>
            <w:gridSpan w:val="3"/>
            <w:vAlign w:val="center"/>
          </w:tcPr>
          <w:p w14:paraId="0AAF3D2B">
            <w:pPr>
              <w:jc w:val="center"/>
              <w:rPr>
                <w:color w:val="auto"/>
                <w:sz w:val="24"/>
              </w:rPr>
            </w:pPr>
            <w:r>
              <w:rPr>
                <w:color w:val="auto"/>
                <w:sz w:val="24"/>
              </w:rPr>
              <w:t>11</w:t>
            </w:r>
            <w:r>
              <w:rPr>
                <w:rFonts w:hint="eastAsia"/>
                <w:color w:val="auto"/>
                <w:sz w:val="24"/>
                <w:lang w:val="en-US" w:eastAsia="zh-CN"/>
              </w:rPr>
              <w:t>5</w:t>
            </w:r>
            <w:r>
              <w:rPr>
                <w:color w:val="auto"/>
                <w:sz w:val="24"/>
              </w:rPr>
              <w:t>度</w:t>
            </w:r>
            <w:r>
              <w:rPr>
                <w:rFonts w:hint="eastAsia"/>
                <w:color w:val="auto"/>
                <w:sz w:val="24"/>
                <w:lang w:val="en-US" w:eastAsia="zh-CN"/>
              </w:rPr>
              <w:t>57</w:t>
            </w:r>
            <w:r>
              <w:rPr>
                <w:color w:val="auto"/>
                <w:sz w:val="24"/>
              </w:rPr>
              <w:t>分</w:t>
            </w:r>
            <w:r>
              <w:rPr>
                <w:rFonts w:hint="eastAsia"/>
                <w:color w:val="auto"/>
                <w:sz w:val="24"/>
              </w:rPr>
              <w:t>50.103</w:t>
            </w:r>
            <w:r>
              <w:rPr>
                <w:color w:val="auto"/>
                <w:sz w:val="24"/>
              </w:rPr>
              <w:t>秒，3</w:t>
            </w:r>
            <w:r>
              <w:rPr>
                <w:rFonts w:hint="eastAsia"/>
                <w:color w:val="auto"/>
                <w:sz w:val="24"/>
                <w:lang w:val="en-US" w:eastAsia="zh-CN"/>
              </w:rPr>
              <w:t>1</w:t>
            </w:r>
            <w:r>
              <w:rPr>
                <w:color w:val="auto"/>
                <w:sz w:val="24"/>
              </w:rPr>
              <w:t>度</w:t>
            </w:r>
            <w:r>
              <w:rPr>
                <w:rFonts w:hint="eastAsia"/>
                <w:color w:val="auto"/>
                <w:sz w:val="24"/>
                <w:lang w:val="en-US" w:eastAsia="zh-CN"/>
              </w:rPr>
              <w:t>40</w:t>
            </w:r>
            <w:r>
              <w:rPr>
                <w:color w:val="auto"/>
                <w:sz w:val="24"/>
              </w:rPr>
              <w:t>分</w:t>
            </w:r>
            <w:r>
              <w:rPr>
                <w:rFonts w:hint="eastAsia"/>
                <w:color w:val="auto"/>
                <w:sz w:val="24"/>
              </w:rPr>
              <w:t>0.065</w:t>
            </w:r>
            <w:r>
              <w:rPr>
                <w:color w:val="auto"/>
                <w:sz w:val="24"/>
              </w:rPr>
              <w:t>秒</w:t>
            </w:r>
          </w:p>
        </w:tc>
      </w:tr>
      <w:tr w14:paraId="1AC9E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58" w:type="pct"/>
            <w:tcMar>
              <w:top w:w="16" w:type="dxa"/>
              <w:left w:w="16" w:type="dxa"/>
              <w:right w:w="16" w:type="dxa"/>
            </w:tcMar>
            <w:vAlign w:val="center"/>
          </w:tcPr>
          <w:p w14:paraId="2733AB56">
            <w:pPr>
              <w:adjustRightInd w:val="0"/>
              <w:snapToGrid w:val="0"/>
              <w:jc w:val="center"/>
              <w:rPr>
                <w:color w:val="auto"/>
                <w:sz w:val="24"/>
              </w:rPr>
            </w:pPr>
            <w:r>
              <w:rPr>
                <w:color w:val="auto"/>
                <w:sz w:val="24"/>
              </w:rPr>
              <w:t>国民经济</w:t>
            </w:r>
          </w:p>
          <w:p w14:paraId="15BFF6BD">
            <w:pPr>
              <w:adjustRightInd w:val="0"/>
              <w:snapToGrid w:val="0"/>
              <w:jc w:val="center"/>
              <w:rPr>
                <w:color w:val="auto"/>
                <w:sz w:val="24"/>
              </w:rPr>
            </w:pPr>
            <w:r>
              <w:rPr>
                <w:color w:val="auto"/>
                <w:sz w:val="24"/>
              </w:rPr>
              <w:t>行业类别</w:t>
            </w:r>
          </w:p>
        </w:tc>
        <w:tc>
          <w:tcPr>
            <w:tcW w:w="1657" w:type="pct"/>
            <w:vAlign w:val="center"/>
          </w:tcPr>
          <w:p w14:paraId="12862E1F">
            <w:pPr>
              <w:adjustRightInd w:val="0"/>
              <w:snapToGrid w:val="0"/>
              <w:jc w:val="center"/>
              <w:rPr>
                <w:rFonts w:hint="default" w:eastAsia="宋体"/>
                <w:color w:val="auto"/>
                <w:sz w:val="24"/>
                <w:lang w:val="en-US" w:eastAsia="zh-CN"/>
              </w:rPr>
            </w:pPr>
            <w:r>
              <w:rPr>
                <w:rFonts w:hint="eastAsia"/>
                <w:color w:val="auto"/>
                <w:sz w:val="24"/>
                <w:lang w:eastAsia="zh-CN"/>
              </w:rPr>
              <w:t>C2542生物质致密成型燃料加工</w:t>
            </w:r>
          </w:p>
        </w:tc>
        <w:tc>
          <w:tcPr>
            <w:tcW w:w="716" w:type="pct"/>
            <w:vAlign w:val="center"/>
          </w:tcPr>
          <w:p w14:paraId="68EC7F2D">
            <w:pPr>
              <w:adjustRightInd w:val="0"/>
              <w:snapToGrid w:val="0"/>
              <w:jc w:val="center"/>
              <w:rPr>
                <w:color w:val="auto"/>
                <w:sz w:val="24"/>
              </w:rPr>
            </w:pPr>
            <w:bookmarkStart w:id="0" w:name="_Hlk49843745"/>
            <w:r>
              <w:rPr>
                <w:color w:val="auto"/>
                <w:sz w:val="24"/>
              </w:rPr>
              <w:t>建设项目</w:t>
            </w:r>
          </w:p>
          <w:p w14:paraId="2FCF2153">
            <w:pPr>
              <w:adjustRightInd w:val="0"/>
              <w:snapToGrid w:val="0"/>
              <w:jc w:val="center"/>
              <w:rPr>
                <w:color w:val="auto"/>
                <w:sz w:val="24"/>
              </w:rPr>
            </w:pPr>
            <w:r>
              <w:rPr>
                <w:color w:val="auto"/>
                <w:sz w:val="24"/>
              </w:rPr>
              <w:t>行业类别</w:t>
            </w:r>
            <w:bookmarkEnd w:id="0"/>
          </w:p>
        </w:tc>
        <w:tc>
          <w:tcPr>
            <w:tcW w:w="1967" w:type="pct"/>
            <w:vAlign w:val="center"/>
          </w:tcPr>
          <w:p w14:paraId="0B4CBE9B">
            <w:pPr>
              <w:adjustRightInd w:val="0"/>
              <w:snapToGrid w:val="0"/>
              <w:jc w:val="center"/>
              <w:rPr>
                <w:rFonts w:hint="default"/>
                <w:color w:val="auto"/>
                <w:sz w:val="24"/>
                <w:lang w:val="en-US"/>
              </w:rPr>
            </w:pPr>
            <w:r>
              <w:rPr>
                <w:rFonts w:hint="eastAsia"/>
                <w:color w:val="auto"/>
                <w:sz w:val="24"/>
                <w:lang w:val="en-US" w:eastAsia="zh-CN"/>
              </w:rPr>
              <w:t>二十二、石油、煤炭及其他燃料加工业 25、生物质燃料加工 254-生物质致密成型燃料加工</w:t>
            </w:r>
          </w:p>
        </w:tc>
      </w:tr>
      <w:tr w14:paraId="7DE53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658" w:type="pct"/>
            <w:tcMar>
              <w:top w:w="16" w:type="dxa"/>
              <w:left w:w="16" w:type="dxa"/>
              <w:right w:w="16" w:type="dxa"/>
            </w:tcMar>
            <w:vAlign w:val="center"/>
          </w:tcPr>
          <w:p w14:paraId="05470F6F">
            <w:pPr>
              <w:adjustRightInd w:val="0"/>
              <w:snapToGrid w:val="0"/>
              <w:jc w:val="center"/>
              <w:rPr>
                <w:color w:val="auto"/>
                <w:sz w:val="24"/>
              </w:rPr>
            </w:pPr>
            <w:r>
              <w:rPr>
                <w:color w:val="auto"/>
                <w:sz w:val="24"/>
              </w:rPr>
              <w:t>建设性质</w:t>
            </w:r>
          </w:p>
        </w:tc>
        <w:tc>
          <w:tcPr>
            <w:tcW w:w="1657" w:type="pct"/>
            <w:vAlign w:val="center"/>
          </w:tcPr>
          <w:p w14:paraId="1BD3A486">
            <w:pPr>
              <w:rPr>
                <w:color w:val="auto"/>
                <w:sz w:val="24"/>
              </w:rPr>
            </w:pPr>
            <w:r>
              <w:rPr>
                <w:rFonts w:hint="eastAsia"/>
                <w:color w:val="auto"/>
                <w:sz w:val="24"/>
                <w:lang w:eastAsia="zh-CN"/>
              </w:rPr>
              <w:t>☑</w:t>
            </w:r>
            <w:r>
              <w:rPr>
                <w:rFonts w:hint="eastAsia"/>
                <w:color w:val="auto"/>
                <w:sz w:val="24"/>
              </w:rPr>
              <w:t>新</w:t>
            </w:r>
            <w:r>
              <w:rPr>
                <w:color w:val="auto"/>
                <w:sz w:val="24"/>
              </w:rPr>
              <w:t>建</w:t>
            </w:r>
          </w:p>
          <w:p w14:paraId="4872FD7E">
            <w:pPr>
              <w:rPr>
                <w:color w:val="auto"/>
                <w:sz w:val="24"/>
              </w:rPr>
            </w:pPr>
            <w:r>
              <w:rPr>
                <w:rFonts w:hint="eastAsia"/>
                <w:color w:val="auto"/>
                <w:sz w:val="24"/>
              </w:rPr>
              <w:t>□</w:t>
            </w:r>
            <w:r>
              <w:rPr>
                <w:color w:val="auto"/>
                <w:sz w:val="24"/>
              </w:rPr>
              <w:t>改建</w:t>
            </w:r>
          </w:p>
          <w:p w14:paraId="2E2AE9CB">
            <w:pPr>
              <w:rPr>
                <w:color w:val="auto"/>
                <w:sz w:val="24"/>
              </w:rPr>
            </w:pPr>
            <w:r>
              <w:rPr>
                <w:rFonts w:hint="eastAsia"/>
                <w:color w:val="auto"/>
                <w:sz w:val="24"/>
                <w:lang w:eastAsia="zh-CN"/>
              </w:rPr>
              <w:t>□</w:t>
            </w:r>
            <w:r>
              <w:rPr>
                <w:color w:val="auto"/>
                <w:sz w:val="24"/>
              </w:rPr>
              <w:t>扩建</w:t>
            </w:r>
          </w:p>
          <w:p w14:paraId="6D6E1417">
            <w:pPr>
              <w:rPr>
                <w:color w:val="auto"/>
                <w:sz w:val="24"/>
              </w:rPr>
            </w:pPr>
            <w:r>
              <w:rPr>
                <w:rFonts w:hint="eastAsia"/>
                <w:color w:val="auto"/>
                <w:sz w:val="24"/>
              </w:rPr>
              <w:t>□</w:t>
            </w:r>
            <w:r>
              <w:rPr>
                <w:color w:val="auto"/>
                <w:sz w:val="24"/>
              </w:rPr>
              <w:t>技术改造</w:t>
            </w:r>
          </w:p>
        </w:tc>
        <w:tc>
          <w:tcPr>
            <w:tcW w:w="716" w:type="pct"/>
            <w:vAlign w:val="center"/>
          </w:tcPr>
          <w:p w14:paraId="59A39841">
            <w:pPr>
              <w:adjustRightInd w:val="0"/>
              <w:snapToGrid w:val="0"/>
              <w:jc w:val="center"/>
              <w:rPr>
                <w:color w:val="auto"/>
                <w:sz w:val="24"/>
              </w:rPr>
            </w:pPr>
            <w:r>
              <w:rPr>
                <w:color w:val="auto"/>
                <w:sz w:val="24"/>
              </w:rPr>
              <w:t>建设项目</w:t>
            </w:r>
          </w:p>
          <w:p w14:paraId="67104BE2">
            <w:pPr>
              <w:adjustRightInd w:val="0"/>
              <w:snapToGrid w:val="0"/>
              <w:jc w:val="center"/>
              <w:rPr>
                <w:color w:val="auto"/>
                <w:sz w:val="24"/>
              </w:rPr>
            </w:pPr>
            <w:r>
              <w:rPr>
                <w:color w:val="auto"/>
                <w:sz w:val="24"/>
              </w:rPr>
              <w:t>申报情形</w:t>
            </w:r>
          </w:p>
        </w:tc>
        <w:tc>
          <w:tcPr>
            <w:tcW w:w="1967" w:type="pct"/>
            <w:vAlign w:val="center"/>
          </w:tcPr>
          <w:p w14:paraId="4F51B134">
            <w:pPr>
              <w:jc w:val="left"/>
              <w:rPr>
                <w:color w:val="auto"/>
                <w:sz w:val="24"/>
              </w:rPr>
            </w:pPr>
            <w:r>
              <w:rPr>
                <w:color w:val="auto"/>
                <w:sz w:val="24"/>
              </w:rPr>
              <w:t xml:space="preserve">☑首次申报项目             </w:t>
            </w:r>
          </w:p>
          <w:p w14:paraId="771755C3">
            <w:pPr>
              <w:jc w:val="left"/>
              <w:rPr>
                <w:color w:val="auto"/>
                <w:sz w:val="24"/>
              </w:rPr>
            </w:pPr>
            <w:r>
              <w:rPr>
                <w:color w:val="auto"/>
                <w:sz w:val="24"/>
              </w:rPr>
              <w:t>□不予批准后再次申报项目</w:t>
            </w:r>
          </w:p>
          <w:p w14:paraId="1AA41F24">
            <w:pPr>
              <w:jc w:val="left"/>
              <w:rPr>
                <w:color w:val="auto"/>
                <w:sz w:val="24"/>
              </w:rPr>
            </w:pPr>
            <w:r>
              <w:rPr>
                <w:color w:val="auto"/>
                <w:sz w:val="24"/>
              </w:rPr>
              <w:t xml:space="preserve">□超五年重新审核项目     </w:t>
            </w:r>
          </w:p>
          <w:p w14:paraId="16AB9A91">
            <w:pPr>
              <w:jc w:val="left"/>
              <w:rPr>
                <w:color w:val="auto"/>
                <w:sz w:val="24"/>
              </w:rPr>
            </w:pPr>
            <w:r>
              <w:rPr>
                <w:color w:val="auto"/>
                <w:sz w:val="24"/>
              </w:rPr>
              <w:t>□重大变动重新报批项目</w:t>
            </w:r>
          </w:p>
        </w:tc>
      </w:tr>
      <w:tr w14:paraId="701F0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58" w:type="pct"/>
            <w:tcMar>
              <w:top w:w="16" w:type="dxa"/>
              <w:left w:w="16" w:type="dxa"/>
              <w:right w:w="16" w:type="dxa"/>
            </w:tcMar>
            <w:vAlign w:val="center"/>
          </w:tcPr>
          <w:p w14:paraId="264074C2">
            <w:pPr>
              <w:adjustRightInd w:val="0"/>
              <w:snapToGrid w:val="0"/>
              <w:jc w:val="center"/>
              <w:rPr>
                <w:color w:val="auto"/>
                <w:sz w:val="24"/>
              </w:rPr>
            </w:pPr>
            <w:r>
              <w:rPr>
                <w:color w:val="auto"/>
                <w:sz w:val="24"/>
              </w:rPr>
              <w:t>项目审批（核准/备案）部门</w:t>
            </w:r>
          </w:p>
        </w:tc>
        <w:tc>
          <w:tcPr>
            <w:tcW w:w="1657" w:type="pct"/>
            <w:vAlign w:val="center"/>
          </w:tcPr>
          <w:p w14:paraId="7C560BDF">
            <w:pPr>
              <w:adjustRightInd w:val="0"/>
              <w:snapToGrid w:val="0"/>
              <w:jc w:val="center"/>
              <w:rPr>
                <w:rFonts w:hint="eastAsia" w:eastAsia="宋体"/>
                <w:color w:val="auto"/>
                <w:sz w:val="24"/>
                <w:lang w:eastAsia="zh-CN"/>
              </w:rPr>
            </w:pPr>
            <w:r>
              <w:rPr>
                <w:rFonts w:hint="eastAsia"/>
                <w:color w:val="auto"/>
                <w:sz w:val="24"/>
                <w:lang w:val="en-US" w:eastAsia="zh-CN"/>
              </w:rPr>
              <w:t>金寨县</w:t>
            </w:r>
            <w:r>
              <w:rPr>
                <w:rFonts w:hint="eastAsia"/>
                <w:color w:val="auto"/>
                <w:sz w:val="24"/>
              </w:rPr>
              <w:t>发展</w:t>
            </w:r>
            <w:r>
              <w:rPr>
                <w:rFonts w:hint="eastAsia"/>
                <w:color w:val="auto"/>
                <w:sz w:val="24"/>
                <w:lang w:val="en-US" w:eastAsia="zh-CN"/>
              </w:rPr>
              <w:t>和</w:t>
            </w:r>
            <w:r>
              <w:rPr>
                <w:rFonts w:hint="eastAsia"/>
                <w:color w:val="auto"/>
                <w:sz w:val="24"/>
              </w:rPr>
              <w:t>改革</w:t>
            </w:r>
            <w:r>
              <w:rPr>
                <w:rFonts w:hint="eastAsia"/>
                <w:color w:val="auto"/>
                <w:sz w:val="24"/>
                <w:lang w:val="en-US" w:eastAsia="zh-CN"/>
              </w:rPr>
              <w:t>委员会</w:t>
            </w:r>
          </w:p>
        </w:tc>
        <w:tc>
          <w:tcPr>
            <w:tcW w:w="716" w:type="pct"/>
            <w:vAlign w:val="center"/>
          </w:tcPr>
          <w:p w14:paraId="6A7D52B0">
            <w:pPr>
              <w:adjustRightInd w:val="0"/>
              <w:snapToGrid w:val="0"/>
              <w:jc w:val="center"/>
              <w:rPr>
                <w:color w:val="auto"/>
                <w:sz w:val="24"/>
              </w:rPr>
            </w:pPr>
            <w:r>
              <w:rPr>
                <w:color w:val="auto"/>
                <w:sz w:val="24"/>
              </w:rPr>
              <w:t>项目审批（核准/备案）文号</w:t>
            </w:r>
          </w:p>
        </w:tc>
        <w:tc>
          <w:tcPr>
            <w:tcW w:w="1967" w:type="pct"/>
            <w:vAlign w:val="center"/>
          </w:tcPr>
          <w:p w14:paraId="680A4A6A">
            <w:pPr>
              <w:adjustRightInd w:val="0"/>
              <w:snapToGrid w:val="0"/>
              <w:jc w:val="center"/>
              <w:rPr>
                <w:rFonts w:hint="eastAsia" w:eastAsia="宋体"/>
                <w:color w:val="auto"/>
                <w:sz w:val="24"/>
                <w:lang w:eastAsia="zh-CN"/>
              </w:rPr>
            </w:pPr>
            <w:r>
              <w:rPr>
                <w:rFonts w:hint="eastAsia"/>
                <w:color w:val="auto"/>
                <w:sz w:val="24"/>
                <w:lang w:val="en-US" w:eastAsia="zh-CN"/>
              </w:rPr>
              <w:t>金发改审批备[2024]488号</w:t>
            </w:r>
          </w:p>
        </w:tc>
      </w:tr>
      <w:tr w14:paraId="6DCEA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6D4DA442">
            <w:pPr>
              <w:adjustRightInd w:val="0"/>
              <w:snapToGrid w:val="0"/>
              <w:jc w:val="center"/>
              <w:rPr>
                <w:color w:val="auto"/>
                <w:sz w:val="24"/>
              </w:rPr>
            </w:pPr>
            <w:r>
              <w:rPr>
                <w:color w:val="auto"/>
                <w:sz w:val="24"/>
              </w:rPr>
              <w:t>总投资（万元）</w:t>
            </w:r>
          </w:p>
        </w:tc>
        <w:tc>
          <w:tcPr>
            <w:tcW w:w="1657" w:type="pct"/>
            <w:vAlign w:val="center"/>
          </w:tcPr>
          <w:p w14:paraId="6DC398EA">
            <w:pPr>
              <w:adjustRightInd w:val="0"/>
              <w:snapToGrid w:val="0"/>
              <w:jc w:val="center"/>
              <w:rPr>
                <w:rFonts w:hint="default" w:eastAsia="宋体"/>
                <w:color w:val="auto"/>
                <w:sz w:val="24"/>
                <w:lang w:val="en-US" w:eastAsia="zh-CN"/>
              </w:rPr>
            </w:pPr>
            <w:r>
              <w:rPr>
                <w:rFonts w:hint="eastAsia"/>
                <w:color w:val="auto"/>
                <w:sz w:val="24"/>
                <w:lang w:val="en-US" w:eastAsia="zh-CN"/>
              </w:rPr>
              <w:t>4250</w:t>
            </w:r>
          </w:p>
        </w:tc>
        <w:tc>
          <w:tcPr>
            <w:tcW w:w="716" w:type="pct"/>
            <w:tcMar>
              <w:top w:w="16" w:type="dxa"/>
              <w:left w:w="16" w:type="dxa"/>
              <w:right w:w="16" w:type="dxa"/>
            </w:tcMar>
            <w:vAlign w:val="center"/>
          </w:tcPr>
          <w:p w14:paraId="1D87EB91">
            <w:pPr>
              <w:adjustRightInd w:val="0"/>
              <w:snapToGrid w:val="0"/>
              <w:jc w:val="center"/>
              <w:rPr>
                <w:color w:val="auto"/>
                <w:sz w:val="24"/>
              </w:rPr>
            </w:pPr>
            <w:r>
              <w:rPr>
                <w:color w:val="auto"/>
                <w:sz w:val="24"/>
              </w:rPr>
              <w:t>环保投资</w:t>
            </w:r>
          </w:p>
          <w:p w14:paraId="03267B64">
            <w:pPr>
              <w:adjustRightInd w:val="0"/>
              <w:snapToGrid w:val="0"/>
              <w:jc w:val="center"/>
              <w:rPr>
                <w:color w:val="auto"/>
                <w:sz w:val="24"/>
              </w:rPr>
            </w:pPr>
            <w:r>
              <w:rPr>
                <w:color w:val="auto"/>
                <w:sz w:val="24"/>
              </w:rPr>
              <w:t>（万元）</w:t>
            </w:r>
          </w:p>
        </w:tc>
        <w:tc>
          <w:tcPr>
            <w:tcW w:w="1967" w:type="pct"/>
            <w:vAlign w:val="center"/>
          </w:tcPr>
          <w:p w14:paraId="6E23F55A">
            <w:pPr>
              <w:adjustRightInd w:val="0"/>
              <w:snapToGrid w:val="0"/>
              <w:jc w:val="center"/>
              <w:rPr>
                <w:rFonts w:hint="default" w:eastAsia="宋体"/>
                <w:color w:val="auto"/>
                <w:sz w:val="24"/>
                <w:lang w:val="en-US" w:eastAsia="zh-CN"/>
              </w:rPr>
            </w:pPr>
            <w:r>
              <w:rPr>
                <w:rFonts w:hint="eastAsia"/>
                <w:color w:val="auto"/>
                <w:sz w:val="24"/>
                <w:lang w:val="en-US" w:eastAsia="zh-CN"/>
              </w:rPr>
              <w:t>20</w:t>
            </w:r>
          </w:p>
        </w:tc>
      </w:tr>
      <w:tr w14:paraId="5EE0D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0DDE0C36">
            <w:pPr>
              <w:adjustRightInd w:val="0"/>
              <w:snapToGrid w:val="0"/>
              <w:jc w:val="center"/>
              <w:rPr>
                <w:color w:val="auto"/>
                <w:sz w:val="24"/>
              </w:rPr>
            </w:pPr>
            <w:r>
              <w:rPr>
                <w:color w:val="auto"/>
                <w:sz w:val="24"/>
              </w:rPr>
              <w:t>环保投资占比（%）</w:t>
            </w:r>
          </w:p>
        </w:tc>
        <w:tc>
          <w:tcPr>
            <w:tcW w:w="1657" w:type="pct"/>
            <w:vAlign w:val="center"/>
          </w:tcPr>
          <w:p w14:paraId="69E408A0">
            <w:pPr>
              <w:adjustRightInd w:val="0"/>
              <w:snapToGrid w:val="0"/>
              <w:jc w:val="center"/>
              <w:rPr>
                <w:rFonts w:hint="default" w:eastAsia="宋体"/>
                <w:color w:val="auto"/>
                <w:sz w:val="24"/>
                <w:lang w:val="en-US" w:eastAsia="zh-CN"/>
              </w:rPr>
            </w:pPr>
            <w:r>
              <w:rPr>
                <w:rFonts w:hint="eastAsia"/>
                <w:color w:val="auto"/>
                <w:sz w:val="24"/>
                <w:lang w:val="en-US" w:eastAsia="zh-CN"/>
              </w:rPr>
              <w:t>0.47</w:t>
            </w:r>
          </w:p>
        </w:tc>
        <w:tc>
          <w:tcPr>
            <w:tcW w:w="716" w:type="pct"/>
            <w:tcMar>
              <w:top w:w="16" w:type="dxa"/>
              <w:left w:w="16" w:type="dxa"/>
              <w:right w:w="16" w:type="dxa"/>
            </w:tcMar>
            <w:vAlign w:val="center"/>
          </w:tcPr>
          <w:p w14:paraId="51000B30">
            <w:pPr>
              <w:adjustRightInd w:val="0"/>
              <w:snapToGrid w:val="0"/>
              <w:jc w:val="center"/>
              <w:rPr>
                <w:color w:val="auto"/>
                <w:sz w:val="24"/>
              </w:rPr>
            </w:pPr>
            <w:r>
              <w:rPr>
                <w:color w:val="auto"/>
                <w:sz w:val="24"/>
              </w:rPr>
              <w:t>施工工期</w:t>
            </w:r>
          </w:p>
        </w:tc>
        <w:tc>
          <w:tcPr>
            <w:tcW w:w="1967" w:type="pct"/>
            <w:vAlign w:val="center"/>
          </w:tcPr>
          <w:p w14:paraId="715B3947">
            <w:pPr>
              <w:adjustRightInd w:val="0"/>
              <w:snapToGrid w:val="0"/>
              <w:jc w:val="center"/>
              <w:rPr>
                <w:color w:val="auto"/>
                <w:sz w:val="24"/>
              </w:rPr>
            </w:pPr>
            <w:r>
              <w:rPr>
                <w:rFonts w:hint="eastAsia"/>
                <w:color w:val="auto"/>
                <w:sz w:val="24"/>
                <w:lang w:val="en-US" w:eastAsia="zh-CN"/>
              </w:rPr>
              <w:t>6</w:t>
            </w:r>
            <w:r>
              <w:rPr>
                <w:rFonts w:hint="eastAsia"/>
                <w:color w:val="auto"/>
                <w:sz w:val="24"/>
              </w:rPr>
              <w:t>个月</w:t>
            </w:r>
          </w:p>
        </w:tc>
      </w:tr>
      <w:tr w14:paraId="4E6C0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3B3E5F5F">
            <w:pPr>
              <w:adjustRightInd w:val="0"/>
              <w:snapToGrid w:val="0"/>
              <w:jc w:val="center"/>
              <w:rPr>
                <w:color w:val="auto"/>
                <w:sz w:val="24"/>
              </w:rPr>
            </w:pPr>
            <w:r>
              <w:rPr>
                <w:color w:val="auto"/>
                <w:sz w:val="24"/>
              </w:rPr>
              <w:t>是否开工建设</w:t>
            </w:r>
          </w:p>
        </w:tc>
        <w:tc>
          <w:tcPr>
            <w:tcW w:w="1657" w:type="pct"/>
            <w:vAlign w:val="center"/>
          </w:tcPr>
          <w:p w14:paraId="69700928">
            <w:pPr>
              <w:adjustRightInd w:val="0"/>
              <w:snapToGrid w:val="0"/>
              <w:rPr>
                <w:color w:val="auto"/>
                <w:sz w:val="24"/>
              </w:rPr>
            </w:pPr>
            <w:r>
              <w:rPr>
                <w:rFonts w:hint="eastAsia"/>
                <w:color w:val="auto"/>
                <w:sz w:val="24"/>
                <w:lang w:eastAsia="zh-CN"/>
              </w:rPr>
              <w:t>☑</w:t>
            </w:r>
            <w:r>
              <w:rPr>
                <w:color w:val="auto"/>
                <w:sz w:val="24"/>
              </w:rPr>
              <w:t>否</w:t>
            </w:r>
          </w:p>
          <w:p w14:paraId="65B1D343">
            <w:pPr>
              <w:adjustRightInd w:val="0"/>
              <w:snapToGrid w:val="0"/>
              <w:rPr>
                <w:color w:val="auto"/>
                <w:sz w:val="24"/>
              </w:rPr>
            </w:pPr>
            <w:r>
              <w:rPr>
                <w:rFonts w:hint="eastAsia"/>
                <w:color w:val="auto"/>
                <w:sz w:val="24"/>
                <w:lang w:eastAsia="zh-CN"/>
              </w:rPr>
              <w:t>□</w:t>
            </w:r>
            <w:r>
              <w:rPr>
                <w:color w:val="auto"/>
                <w:sz w:val="24"/>
              </w:rPr>
              <w:t>是：</w:t>
            </w:r>
          </w:p>
        </w:tc>
        <w:tc>
          <w:tcPr>
            <w:tcW w:w="716" w:type="pct"/>
            <w:tcMar>
              <w:top w:w="16" w:type="dxa"/>
              <w:left w:w="16" w:type="dxa"/>
              <w:right w:w="16" w:type="dxa"/>
            </w:tcMar>
            <w:vAlign w:val="center"/>
          </w:tcPr>
          <w:p w14:paraId="1E50DE49">
            <w:pPr>
              <w:adjustRightInd w:val="0"/>
              <w:snapToGrid w:val="0"/>
              <w:jc w:val="center"/>
              <w:rPr>
                <w:color w:val="auto"/>
                <w:spacing w:val="-6"/>
                <w:sz w:val="24"/>
              </w:rPr>
            </w:pPr>
            <w:r>
              <w:rPr>
                <w:color w:val="auto"/>
                <w:spacing w:val="-6"/>
                <w:sz w:val="24"/>
              </w:rPr>
              <w:t>用地（用海）</w:t>
            </w:r>
          </w:p>
          <w:p w14:paraId="09F5CD95">
            <w:pPr>
              <w:adjustRightInd w:val="0"/>
              <w:snapToGrid w:val="0"/>
              <w:jc w:val="center"/>
              <w:rPr>
                <w:color w:val="auto"/>
                <w:sz w:val="24"/>
              </w:rPr>
            </w:pPr>
            <w:r>
              <w:rPr>
                <w:color w:val="auto"/>
                <w:spacing w:val="-6"/>
                <w:sz w:val="24"/>
              </w:rPr>
              <w:t>面积</w:t>
            </w:r>
          </w:p>
        </w:tc>
        <w:tc>
          <w:tcPr>
            <w:tcW w:w="1967" w:type="pct"/>
            <w:vAlign w:val="center"/>
          </w:tcPr>
          <w:p w14:paraId="3892F5A5">
            <w:pPr>
              <w:adjustRightInd w:val="0"/>
              <w:snapToGrid w:val="0"/>
              <w:jc w:val="center"/>
              <w:rPr>
                <w:rFonts w:hint="default" w:eastAsia="宋体"/>
                <w:color w:val="auto"/>
                <w:sz w:val="24"/>
                <w:lang w:val="en-US" w:eastAsia="zh-CN"/>
              </w:rPr>
            </w:pPr>
            <w:r>
              <w:rPr>
                <w:rFonts w:hint="eastAsia"/>
                <w:color w:val="auto"/>
                <w:sz w:val="24"/>
                <w:lang w:val="en-US" w:eastAsia="zh-CN"/>
              </w:rPr>
              <w:t>5369m</w:t>
            </w:r>
            <w:r>
              <w:rPr>
                <w:rFonts w:hint="eastAsia"/>
                <w:color w:val="auto"/>
                <w:sz w:val="24"/>
                <w:vertAlign w:val="superscript"/>
                <w:lang w:val="en-US" w:eastAsia="zh-CN"/>
              </w:rPr>
              <w:t>2</w:t>
            </w:r>
          </w:p>
        </w:tc>
      </w:tr>
      <w:tr w14:paraId="671A6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8" w:type="pct"/>
            <w:vAlign w:val="center"/>
          </w:tcPr>
          <w:p w14:paraId="5480001E">
            <w:pPr>
              <w:autoSpaceDE w:val="0"/>
              <w:autoSpaceDN w:val="0"/>
              <w:adjustRightInd w:val="0"/>
              <w:snapToGrid w:val="0"/>
              <w:jc w:val="center"/>
              <w:rPr>
                <w:color w:val="auto"/>
                <w:kern w:val="0"/>
                <w:sz w:val="24"/>
              </w:rPr>
            </w:pPr>
            <w:r>
              <w:rPr>
                <w:color w:val="auto"/>
                <w:kern w:val="0"/>
                <w:sz w:val="24"/>
              </w:rPr>
              <w:t>专项评价设置情况</w:t>
            </w:r>
          </w:p>
        </w:tc>
        <w:tc>
          <w:tcPr>
            <w:tcW w:w="4341" w:type="pct"/>
            <w:gridSpan w:val="3"/>
            <w:vAlign w:val="center"/>
          </w:tcPr>
          <w:p w14:paraId="5473022A">
            <w:pPr>
              <w:adjustRightInd w:val="0"/>
              <w:snapToGrid w:val="0"/>
              <w:jc w:val="center"/>
              <w:rPr>
                <w:color w:val="auto"/>
                <w:sz w:val="24"/>
              </w:rPr>
            </w:pPr>
            <w:r>
              <w:rPr>
                <w:rFonts w:hint="eastAsia"/>
                <w:color w:val="auto"/>
                <w:sz w:val="24"/>
              </w:rPr>
              <w:t>无</w:t>
            </w:r>
          </w:p>
        </w:tc>
      </w:tr>
      <w:tr w14:paraId="0C345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58" w:type="pct"/>
            <w:vAlign w:val="center"/>
          </w:tcPr>
          <w:p w14:paraId="39FFA226">
            <w:pPr>
              <w:adjustRightInd w:val="0"/>
              <w:snapToGrid w:val="0"/>
              <w:rPr>
                <w:color w:val="auto"/>
                <w:sz w:val="24"/>
              </w:rPr>
            </w:pPr>
            <w:r>
              <w:rPr>
                <w:color w:val="auto"/>
                <w:sz w:val="24"/>
              </w:rPr>
              <w:t>规划情况</w:t>
            </w:r>
          </w:p>
        </w:tc>
        <w:tc>
          <w:tcPr>
            <w:tcW w:w="4341" w:type="pct"/>
            <w:gridSpan w:val="3"/>
            <w:vAlign w:val="center"/>
          </w:tcPr>
          <w:p w14:paraId="3ABC42E8">
            <w:pPr>
              <w:pStyle w:val="104"/>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default" w:ascii="Times New Roman" w:hAnsi="Times New Roman" w:cs="Times New Roman" w:eastAsiaTheme="minorEastAsia"/>
                <w:color w:val="auto"/>
                <w:kern w:val="2"/>
                <w:sz w:val="24"/>
                <w:szCs w:val="24"/>
                <w:lang w:val="zh-CN" w:eastAsia="zh-CN" w:bidi="ar-SA"/>
              </w:rPr>
            </w:pPr>
            <w:r>
              <w:rPr>
                <w:rFonts w:hint="default" w:ascii="Times New Roman" w:hAnsi="Times New Roman" w:cs="Times New Roman" w:eastAsiaTheme="minorEastAsia"/>
                <w:color w:val="auto"/>
                <w:kern w:val="2"/>
                <w:sz w:val="24"/>
                <w:szCs w:val="24"/>
                <w:lang w:val="zh-CN" w:eastAsia="zh-CN" w:bidi="ar-SA"/>
              </w:rPr>
              <w:t xml:space="preserve">规划名称：《金寨县城总体规划（2013-2030）》 </w:t>
            </w:r>
          </w:p>
          <w:p w14:paraId="4C7D0B0B">
            <w:pPr>
              <w:pStyle w:val="104"/>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default" w:ascii="Times New Roman" w:hAnsi="Times New Roman" w:cs="Times New Roman" w:eastAsiaTheme="minorEastAsia"/>
                <w:color w:val="auto"/>
                <w:kern w:val="2"/>
                <w:sz w:val="24"/>
                <w:szCs w:val="24"/>
                <w:lang w:val="zh-CN" w:eastAsia="zh-CN" w:bidi="ar-SA"/>
              </w:rPr>
            </w:pPr>
            <w:r>
              <w:rPr>
                <w:rFonts w:hint="default" w:ascii="Times New Roman" w:hAnsi="Times New Roman" w:cs="Times New Roman" w:eastAsiaTheme="minorEastAsia"/>
                <w:color w:val="auto"/>
                <w:kern w:val="2"/>
                <w:sz w:val="24"/>
                <w:szCs w:val="24"/>
                <w:lang w:val="zh-CN" w:eastAsia="zh-CN" w:bidi="ar-SA"/>
              </w:rPr>
              <w:t>审批机关：六安市人民政府</w:t>
            </w:r>
          </w:p>
          <w:p w14:paraId="14D73FC8">
            <w:pPr>
              <w:adjustRightInd w:val="0"/>
              <w:snapToGrid w:val="0"/>
              <w:jc w:val="left"/>
              <w:rPr>
                <w:color w:val="auto"/>
                <w:sz w:val="24"/>
              </w:rPr>
            </w:pPr>
            <w:r>
              <w:rPr>
                <w:rFonts w:hint="default" w:ascii="Times New Roman" w:hAnsi="Times New Roman" w:cs="Times New Roman" w:eastAsiaTheme="minorEastAsia"/>
                <w:color w:val="auto"/>
                <w:kern w:val="2"/>
                <w:sz w:val="24"/>
                <w:szCs w:val="24"/>
                <w:lang w:val="zh-CN" w:eastAsia="zh-CN" w:bidi="ar-SA"/>
              </w:rPr>
              <w:t>审批</w:t>
            </w:r>
            <w:r>
              <w:rPr>
                <w:rFonts w:hint="eastAsia" w:ascii="Times New Roman" w:hAnsi="Times New Roman" w:cs="Times New Roman" w:eastAsiaTheme="minorEastAsia"/>
                <w:color w:val="auto"/>
                <w:kern w:val="2"/>
                <w:sz w:val="24"/>
                <w:szCs w:val="24"/>
                <w:lang w:val="en-US" w:eastAsia="zh-CN" w:bidi="ar-SA"/>
              </w:rPr>
              <w:t>文件及</w:t>
            </w:r>
            <w:r>
              <w:rPr>
                <w:rFonts w:hint="default" w:ascii="Times New Roman" w:hAnsi="Times New Roman" w:cs="Times New Roman" w:eastAsiaTheme="minorEastAsia"/>
                <w:color w:val="auto"/>
                <w:kern w:val="2"/>
                <w:sz w:val="24"/>
                <w:szCs w:val="24"/>
                <w:lang w:val="zh-CN" w:eastAsia="zh-CN" w:bidi="ar-SA"/>
              </w:rPr>
              <w:t>文号：六安市人民政府</w:t>
            </w:r>
            <w:r>
              <w:rPr>
                <w:rFonts w:hint="eastAsia" w:ascii="Times New Roman" w:hAnsi="Times New Roman" w:cs="Times New Roman" w:eastAsiaTheme="minorEastAsia"/>
                <w:color w:val="auto"/>
                <w:kern w:val="2"/>
                <w:sz w:val="24"/>
                <w:szCs w:val="24"/>
                <w:lang w:val="en-US" w:eastAsia="zh-CN" w:bidi="ar-SA"/>
              </w:rPr>
              <w:t>关于</w:t>
            </w:r>
            <w:r>
              <w:rPr>
                <w:rFonts w:hint="default" w:ascii="Times New Roman" w:hAnsi="Times New Roman" w:cs="Times New Roman" w:eastAsiaTheme="minorEastAsia"/>
                <w:color w:val="auto"/>
                <w:kern w:val="2"/>
                <w:sz w:val="24"/>
                <w:szCs w:val="24"/>
                <w:lang w:val="zh-CN" w:eastAsia="zh-CN" w:bidi="ar-SA"/>
              </w:rPr>
              <w:t>《金寨县城总体规划（2013-2030）》</w:t>
            </w:r>
            <w:r>
              <w:rPr>
                <w:rFonts w:hint="eastAsia" w:ascii="Times New Roman" w:hAnsi="Times New Roman" w:cs="Times New Roman" w:eastAsiaTheme="minorEastAsia"/>
                <w:color w:val="auto"/>
                <w:kern w:val="2"/>
                <w:sz w:val="24"/>
                <w:szCs w:val="24"/>
                <w:lang w:val="zh-CN" w:eastAsia="zh-CN" w:bidi="ar-SA"/>
              </w:rPr>
              <w:t>的</w:t>
            </w:r>
            <w:r>
              <w:rPr>
                <w:rFonts w:hint="eastAsia" w:ascii="Times New Roman" w:hAnsi="Times New Roman" w:cs="Times New Roman" w:eastAsiaTheme="minorEastAsia"/>
                <w:color w:val="auto"/>
                <w:kern w:val="2"/>
                <w:sz w:val="24"/>
                <w:szCs w:val="24"/>
                <w:lang w:val="en-US" w:eastAsia="zh-CN" w:bidi="ar-SA"/>
              </w:rPr>
              <w:t>批复（</w:t>
            </w:r>
            <w:r>
              <w:rPr>
                <w:rFonts w:hint="default" w:ascii="Times New Roman" w:hAnsi="Times New Roman" w:cs="Times New Roman" w:eastAsiaTheme="minorEastAsia"/>
                <w:color w:val="auto"/>
                <w:kern w:val="2"/>
                <w:sz w:val="24"/>
                <w:szCs w:val="24"/>
                <w:lang w:val="zh-CN" w:eastAsia="zh-CN" w:bidi="ar-SA"/>
              </w:rPr>
              <w:t>六政秘[2014]111号</w:t>
            </w:r>
            <w:r>
              <w:rPr>
                <w:rFonts w:hint="eastAsia" w:ascii="Times New Roman" w:hAnsi="Times New Roman" w:cs="Times New Roman" w:eastAsiaTheme="minorEastAsia"/>
                <w:color w:val="auto"/>
                <w:kern w:val="2"/>
                <w:sz w:val="24"/>
                <w:szCs w:val="24"/>
                <w:lang w:val="en-US" w:eastAsia="zh-CN" w:bidi="ar-SA"/>
              </w:rPr>
              <w:t>）</w:t>
            </w:r>
          </w:p>
        </w:tc>
      </w:tr>
      <w:tr w14:paraId="1AC68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58" w:type="pct"/>
            <w:vAlign w:val="center"/>
          </w:tcPr>
          <w:p w14:paraId="38BD88A5">
            <w:pPr>
              <w:adjustRightInd w:val="0"/>
              <w:snapToGrid w:val="0"/>
              <w:rPr>
                <w:color w:val="auto"/>
                <w:sz w:val="24"/>
              </w:rPr>
            </w:pPr>
            <w:r>
              <w:rPr>
                <w:color w:val="auto"/>
                <w:sz w:val="24"/>
              </w:rPr>
              <w:t>规划环境影响评价情况</w:t>
            </w:r>
          </w:p>
        </w:tc>
        <w:tc>
          <w:tcPr>
            <w:tcW w:w="4341" w:type="pct"/>
            <w:gridSpan w:val="3"/>
            <w:vAlign w:val="center"/>
          </w:tcPr>
          <w:p w14:paraId="4453F8AB">
            <w:pPr>
              <w:adjustRightInd w:val="0"/>
              <w:snapToGrid w:val="0"/>
              <w:jc w:val="center"/>
              <w:rPr>
                <w:rFonts w:hint="eastAsia" w:eastAsia="宋体"/>
                <w:color w:val="auto"/>
                <w:sz w:val="24"/>
                <w:lang w:eastAsia="zh-CN"/>
              </w:rPr>
            </w:pPr>
            <w:r>
              <w:rPr>
                <w:rFonts w:hint="eastAsia"/>
                <w:color w:val="auto"/>
                <w:sz w:val="24"/>
                <w:lang w:val="en-US" w:eastAsia="zh-CN"/>
              </w:rPr>
              <w:t>无</w:t>
            </w:r>
          </w:p>
        </w:tc>
      </w:tr>
      <w:tr w14:paraId="0C977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58" w:type="pct"/>
            <w:vAlign w:val="center"/>
          </w:tcPr>
          <w:p w14:paraId="31F9A721">
            <w:pPr>
              <w:autoSpaceDE w:val="0"/>
              <w:autoSpaceDN w:val="0"/>
              <w:adjustRightInd w:val="0"/>
              <w:snapToGrid w:val="0"/>
              <w:jc w:val="center"/>
              <w:rPr>
                <w:color w:val="auto"/>
                <w:kern w:val="0"/>
                <w:sz w:val="24"/>
              </w:rPr>
            </w:pPr>
            <w:r>
              <w:rPr>
                <w:color w:val="auto"/>
                <w:kern w:val="0"/>
                <w:sz w:val="24"/>
              </w:rPr>
              <w:t>规划及规划环境影响评价符合性分析</w:t>
            </w:r>
          </w:p>
        </w:tc>
        <w:tc>
          <w:tcPr>
            <w:tcW w:w="4341" w:type="pct"/>
            <w:gridSpan w:val="3"/>
            <w:vAlign w:val="center"/>
          </w:tcPr>
          <w:p w14:paraId="557D154C">
            <w:pPr>
              <w:spacing w:line="360" w:lineRule="auto"/>
              <w:ind w:firstLine="482" w:firstLineChars="200"/>
              <w:rPr>
                <w:b/>
                <w:color w:val="auto"/>
                <w:kern w:val="0"/>
                <w:sz w:val="24"/>
              </w:rPr>
            </w:pPr>
            <w:r>
              <w:rPr>
                <w:rFonts w:hint="eastAsia"/>
                <w:b/>
                <w:color w:val="auto"/>
                <w:kern w:val="0"/>
                <w:sz w:val="24"/>
              </w:rPr>
              <w:t>1、</w:t>
            </w:r>
            <w:r>
              <w:rPr>
                <w:b/>
                <w:color w:val="auto"/>
                <w:kern w:val="0"/>
                <w:sz w:val="24"/>
              </w:rPr>
              <w:t>与</w:t>
            </w:r>
            <w:r>
              <w:rPr>
                <w:rFonts w:hint="eastAsia"/>
                <w:b/>
                <w:color w:val="auto"/>
                <w:kern w:val="0"/>
                <w:sz w:val="24"/>
              </w:rPr>
              <w:t>总体规划</w:t>
            </w:r>
            <w:r>
              <w:rPr>
                <w:b/>
                <w:color w:val="auto"/>
                <w:kern w:val="0"/>
                <w:sz w:val="24"/>
              </w:rPr>
              <w:t>相符性分析</w:t>
            </w:r>
          </w:p>
          <w:p w14:paraId="2676617B">
            <w:pPr>
              <w:spacing w:line="360" w:lineRule="auto"/>
              <w:ind w:firstLine="480"/>
              <w:rPr>
                <w:rFonts w:hint="eastAsia"/>
                <w:bCs/>
                <w:color w:val="auto"/>
                <w:kern w:val="0"/>
                <w:sz w:val="24"/>
              </w:rPr>
            </w:pPr>
            <w:r>
              <w:rPr>
                <w:rFonts w:hint="eastAsia"/>
                <w:bCs/>
                <w:color w:val="auto"/>
                <w:kern w:val="0"/>
                <w:sz w:val="24"/>
              </w:rPr>
              <w:t>根据《金寨县城总体规划》（2013-2030）产业发展规划中提出的工业体系：发展资源型工业和非资源型工业相结合，扶持壮大存量工业，引进发展增量工业，大力培育支柱产业和龙头企业，努力提高工业经济竞争力，争取实现以工业经济跨越发展为动力，推动全县整体经济加快发展。为此，金寨县重点构建以农产品深加工、食品工业、竹木制品加工、中药材加工、茶叶加工为主要特色的农业资源型加工工业，带动城乡统筹发展；与此同时，金寨县还要以现代产业开发区为契机，重点发展机械加工、新材料、生物制药、纺织服装等新兴产业，带动县城工业化发展。</w:t>
            </w:r>
          </w:p>
          <w:p w14:paraId="74A524F3">
            <w:pPr>
              <w:spacing w:line="360" w:lineRule="auto"/>
              <w:ind w:firstLine="480"/>
              <w:rPr>
                <w:color w:val="auto"/>
                <w:sz w:val="24"/>
              </w:rPr>
            </w:pPr>
            <w:r>
              <w:rPr>
                <w:rFonts w:hint="eastAsia"/>
                <w:bCs/>
                <w:color w:val="auto"/>
                <w:kern w:val="0"/>
                <w:sz w:val="24"/>
              </w:rPr>
              <w:t>对照《国民经济行业分类（GB/T4754-2017）》（2019年修改版），行业类别属于</w:t>
            </w:r>
            <w:r>
              <w:rPr>
                <w:rFonts w:hint="eastAsia"/>
                <w:bCs/>
                <w:color w:val="auto"/>
                <w:kern w:val="0"/>
                <w:sz w:val="24"/>
                <w:lang w:val="en-US" w:eastAsia="zh-CN"/>
              </w:rPr>
              <w:t>C2542生物质致密成型燃料加工</w:t>
            </w:r>
            <w:r>
              <w:rPr>
                <w:rFonts w:hint="eastAsia"/>
                <w:bCs/>
                <w:color w:val="auto"/>
                <w:kern w:val="0"/>
                <w:sz w:val="24"/>
              </w:rPr>
              <w:t>，属于金寨县重点构建</w:t>
            </w:r>
            <w:r>
              <w:rPr>
                <w:rFonts w:hint="eastAsia"/>
                <w:bCs/>
                <w:color w:val="auto"/>
                <w:kern w:val="0"/>
                <w:sz w:val="24"/>
                <w:lang w:val="en-US" w:eastAsia="zh-CN"/>
              </w:rPr>
              <w:t>的</w:t>
            </w:r>
            <w:r>
              <w:rPr>
                <w:rFonts w:hint="eastAsia"/>
                <w:bCs/>
                <w:color w:val="auto"/>
                <w:kern w:val="0"/>
                <w:sz w:val="24"/>
              </w:rPr>
              <w:t>农业资源型加工工业，产业发展与金寨县城总体规划（2013-2030）相符。</w:t>
            </w:r>
          </w:p>
        </w:tc>
      </w:tr>
      <w:tr w14:paraId="6F414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58" w:type="pct"/>
            <w:vAlign w:val="center"/>
          </w:tcPr>
          <w:p w14:paraId="10F0DE65">
            <w:pPr>
              <w:autoSpaceDE w:val="0"/>
              <w:autoSpaceDN w:val="0"/>
              <w:adjustRightInd w:val="0"/>
              <w:snapToGrid w:val="0"/>
              <w:jc w:val="center"/>
              <w:rPr>
                <w:color w:val="FF0000"/>
                <w:kern w:val="0"/>
                <w:sz w:val="24"/>
              </w:rPr>
            </w:pPr>
            <w:r>
              <w:rPr>
                <w:color w:val="auto"/>
                <w:kern w:val="0"/>
                <w:sz w:val="24"/>
              </w:rPr>
              <w:t>其他符合性分析</w:t>
            </w:r>
          </w:p>
        </w:tc>
        <w:tc>
          <w:tcPr>
            <w:tcW w:w="4341" w:type="pct"/>
            <w:gridSpan w:val="3"/>
            <w:vAlign w:val="center"/>
          </w:tcPr>
          <w:p w14:paraId="0623AA2D">
            <w:pPr>
              <w:pStyle w:val="67"/>
              <w:spacing w:line="360" w:lineRule="auto"/>
              <w:ind w:left="0" w:firstLine="482" w:firstLineChars="200"/>
              <w:outlineLvl w:val="2"/>
              <w:rPr>
                <w:rFonts w:ascii="Times New Roman" w:hAnsi="Times New Roman" w:cs="Times New Roman"/>
                <w:b/>
                <w:bCs/>
                <w:color w:val="auto"/>
                <w:sz w:val="24"/>
                <w:lang w:val="en-US" w:bidi="ar-SA"/>
              </w:rPr>
            </w:pPr>
            <w:r>
              <w:rPr>
                <w:rFonts w:hint="eastAsia" w:ascii="Times New Roman" w:hAnsi="Times New Roman" w:cs="Times New Roman"/>
                <w:b/>
                <w:bCs/>
                <w:color w:val="auto"/>
                <w:sz w:val="24"/>
                <w:lang w:val="en-US" w:eastAsia="zh-CN" w:bidi="ar-SA"/>
              </w:rPr>
              <w:t>1</w:t>
            </w:r>
            <w:r>
              <w:rPr>
                <w:rFonts w:ascii="Times New Roman" w:hAnsi="Times New Roman" w:cs="Times New Roman"/>
                <w:b/>
                <w:bCs/>
                <w:color w:val="auto"/>
                <w:sz w:val="24"/>
                <w:lang w:val="en-US" w:bidi="ar-SA"/>
              </w:rPr>
              <w:t>、“</w:t>
            </w:r>
            <w:r>
              <w:rPr>
                <w:rFonts w:hint="eastAsia" w:ascii="Times New Roman" w:hAnsi="Times New Roman" w:cs="Times New Roman"/>
                <w:b/>
                <w:bCs/>
                <w:color w:val="auto"/>
                <w:sz w:val="24"/>
                <w:lang w:val="en-US" w:eastAsia="zh-CN" w:bidi="ar-SA"/>
              </w:rPr>
              <w:t>安徽省六安市生态环境分区管控</w:t>
            </w:r>
            <w:r>
              <w:rPr>
                <w:rFonts w:ascii="Times New Roman" w:hAnsi="Times New Roman" w:cs="Times New Roman"/>
                <w:b/>
                <w:bCs/>
                <w:color w:val="auto"/>
                <w:sz w:val="24"/>
                <w:lang w:val="en-US" w:bidi="ar-SA"/>
              </w:rPr>
              <w:t>”</w:t>
            </w:r>
            <w:r>
              <w:rPr>
                <w:rFonts w:hint="eastAsia" w:ascii="Times New Roman" w:hAnsi="Times New Roman" w:cs="Times New Roman"/>
                <w:b/>
                <w:bCs/>
                <w:color w:val="auto"/>
                <w:sz w:val="24"/>
                <w:lang w:val="en-US" w:bidi="ar-SA"/>
              </w:rPr>
              <w:t>符合性</w:t>
            </w:r>
            <w:r>
              <w:rPr>
                <w:rFonts w:ascii="Times New Roman" w:hAnsi="Times New Roman" w:cs="Times New Roman"/>
                <w:b/>
                <w:bCs/>
                <w:color w:val="auto"/>
                <w:sz w:val="24"/>
                <w:lang w:val="en-US" w:bidi="ar-SA"/>
              </w:rPr>
              <w:t>分析</w:t>
            </w:r>
          </w:p>
          <w:p w14:paraId="73A119A4">
            <w:pPr>
              <w:adjustRightInd w:val="0"/>
              <w:snapToGrid w:val="0"/>
              <w:spacing w:line="360" w:lineRule="auto"/>
              <w:ind w:firstLine="480" w:firstLineChars="200"/>
              <w:rPr>
                <w:color w:val="auto"/>
                <w:sz w:val="24"/>
              </w:rPr>
            </w:pPr>
            <w:r>
              <w:rPr>
                <w:color w:val="auto"/>
                <w:sz w:val="24"/>
              </w:rPr>
              <w:t>本项目与“</w:t>
            </w:r>
            <w:r>
              <w:rPr>
                <w:rFonts w:hint="eastAsia"/>
                <w:color w:val="auto"/>
                <w:sz w:val="24"/>
                <w:lang w:eastAsia="zh-CN"/>
              </w:rPr>
              <w:t>安徽省六安市生态环境分区管控</w:t>
            </w:r>
            <w:r>
              <w:rPr>
                <w:color w:val="auto"/>
                <w:sz w:val="24"/>
              </w:rPr>
              <w:t>”要求符合性分析如下：</w:t>
            </w:r>
          </w:p>
          <w:p w14:paraId="1D479BB7">
            <w:pPr>
              <w:adjustRightInd w:val="0"/>
              <w:snapToGrid w:val="0"/>
              <w:spacing w:line="360" w:lineRule="auto"/>
              <w:ind w:firstLine="480" w:firstLineChars="200"/>
              <w:rPr>
                <w:color w:val="auto"/>
                <w:sz w:val="24"/>
              </w:rPr>
            </w:pPr>
            <w:r>
              <w:rPr>
                <w:color w:val="auto"/>
                <w:sz w:val="24"/>
              </w:rPr>
              <w:t>（1）与生态保护红线符合性分析</w:t>
            </w:r>
          </w:p>
          <w:p w14:paraId="30CF0340">
            <w:pPr>
              <w:adjustRightInd w:val="0"/>
              <w:snapToGrid w:val="0"/>
              <w:spacing w:line="360" w:lineRule="auto"/>
              <w:ind w:firstLine="480" w:firstLineChars="200"/>
              <w:jc w:val="left"/>
              <w:rPr>
                <w:color w:val="auto"/>
                <w:sz w:val="24"/>
              </w:rPr>
            </w:pPr>
            <w:r>
              <w:rPr>
                <w:color w:val="auto"/>
                <w:sz w:val="24"/>
              </w:rPr>
              <w:t>项目位于</w:t>
            </w:r>
            <w:r>
              <w:rPr>
                <w:rFonts w:hint="eastAsia"/>
                <w:color w:val="auto"/>
                <w:sz w:val="24"/>
                <w:lang w:eastAsia="zh-CN"/>
              </w:rPr>
              <w:t>金寨县梅山镇汪冲村</w:t>
            </w:r>
            <w:r>
              <w:rPr>
                <w:color w:val="auto"/>
                <w:sz w:val="24"/>
              </w:rPr>
              <w:t>，项目所在地不涉及具有重要水源涵养、生物多样性维护、水土保持、防风固沙、海岸生稳定等功能的生态功能重要区域，以及水土流失、土地沙化、石漠化、盐渍化等生态环境敏感脆弱区域，不涉及生态环境保护红线范围内用地，符合生态保护红线要求</w:t>
            </w:r>
            <w:r>
              <w:rPr>
                <w:rFonts w:hint="eastAsia"/>
                <w:color w:val="auto"/>
                <w:sz w:val="24"/>
              </w:rPr>
              <w:t>。</w:t>
            </w:r>
          </w:p>
          <w:p w14:paraId="3FF1927E">
            <w:pPr>
              <w:adjustRightInd w:val="0"/>
              <w:snapToGrid w:val="0"/>
              <w:spacing w:line="360" w:lineRule="auto"/>
              <w:ind w:firstLine="480" w:firstLineChars="200"/>
              <w:jc w:val="left"/>
              <w:rPr>
                <w:color w:val="auto"/>
                <w:sz w:val="24"/>
              </w:rPr>
            </w:pPr>
            <w:r>
              <w:rPr>
                <w:rFonts w:ascii="宋体" w:hAnsi="宋体" w:eastAsia="宋体" w:cs="宋体"/>
                <w:color w:val="auto"/>
                <w:sz w:val="24"/>
                <w:szCs w:val="24"/>
              </w:rPr>
              <w:drawing>
                <wp:anchor distT="0" distB="0" distL="114300" distR="114300" simplePos="0" relativeHeight="251662336" behindDoc="0" locked="0" layoutInCell="1" allowOverlap="1">
                  <wp:simplePos x="0" y="0"/>
                  <wp:positionH relativeFrom="column">
                    <wp:posOffset>3957955</wp:posOffset>
                  </wp:positionH>
                  <wp:positionV relativeFrom="paragraph">
                    <wp:posOffset>296545</wp:posOffset>
                  </wp:positionV>
                  <wp:extent cx="895985" cy="758825"/>
                  <wp:effectExtent l="0" t="0" r="18415" b="3175"/>
                  <wp:wrapNone/>
                  <wp:docPr id="2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IMG_256"/>
                          <pic:cNvPicPr>
                            <a:picLocks noChangeAspect="1"/>
                          </pic:cNvPicPr>
                        </pic:nvPicPr>
                        <pic:blipFill>
                          <a:blip r:embed="rId7"/>
                          <a:stretch>
                            <a:fillRect/>
                          </a:stretch>
                        </pic:blipFill>
                        <pic:spPr>
                          <a:xfrm>
                            <a:off x="0" y="0"/>
                            <a:ext cx="895985" cy="758825"/>
                          </a:xfrm>
                          <a:prstGeom prst="rect">
                            <a:avLst/>
                          </a:prstGeom>
                          <a:noFill/>
                          <a:ln w="9525">
                            <a:noFill/>
                          </a:ln>
                        </pic:spPr>
                      </pic:pic>
                    </a:graphicData>
                  </a:graphic>
                </wp:anchor>
              </w:drawing>
            </w: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3137535</wp:posOffset>
                      </wp:positionH>
                      <wp:positionV relativeFrom="paragraph">
                        <wp:posOffset>862330</wp:posOffset>
                      </wp:positionV>
                      <wp:extent cx="698500" cy="349250"/>
                      <wp:effectExtent l="6350" t="6350" r="19050" b="349250"/>
                      <wp:wrapNone/>
                      <wp:docPr id="21" name="矩形标注 21"/>
                      <wp:cNvGraphicFramePr/>
                      <a:graphic xmlns:a="http://schemas.openxmlformats.org/drawingml/2006/main">
                        <a:graphicData uri="http://schemas.microsoft.com/office/word/2010/wordprocessingShape">
                          <wps:wsp>
                            <wps:cNvSpPr/>
                            <wps:spPr>
                              <a:xfrm>
                                <a:off x="0" y="0"/>
                                <a:ext cx="698500" cy="349250"/>
                              </a:xfrm>
                              <a:prstGeom prst="wedgeRectCallout">
                                <a:avLst>
                                  <a:gd name="adj1" fmla="val -35727"/>
                                  <a:gd name="adj2" fmla="val 145636"/>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DB13FF0">
                                  <w:pPr>
                                    <w:jc w:val="center"/>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本项目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47.05pt;margin-top:67.9pt;height:27.5pt;width:55pt;z-index:251661312;v-text-anchor:middle;mso-width-relative:page;mso-height-relative:page;" filled="f" stroked="t" coordsize="21600,21600" o:gfxdata="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fg2EDZAAAACwEAAA8AAAAAAAAAAQAgAAAAIgAAAGRycy9kb3ducmV2LnhtbFBLAQIUABQA&#10;AAAIAIdO4kDxBccImgIAACUFAAAOAAAAAAAAAAEAIAAAACgBAABkcnMvZTJvRG9jLnhtbFBLBQYA&#10;AAAABgAGAFkBAAA0BgAAAAA=&#10;" adj="3083,42257">
                      <v:fill on="f" focussize="0,0"/>
                      <v:stroke weight="1pt" color="#000000 [3213]" joinstyle="round"/>
                      <v:imagedata o:title=""/>
                      <o:lock v:ext="edit" aspectratio="f"/>
                      <v:textbox>
                        <w:txbxContent>
                          <w:p w14:paraId="6DB13FF0">
                            <w:pPr>
                              <w:jc w:val="center"/>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本项目</w:t>
                            </w:r>
                          </w:p>
                        </w:txbxContent>
                      </v:textbox>
                    </v:shape>
                  </w:pict>
                </mc:Fallback>
              </mc:AlternateContent>
            </w:r>
            <w:r>
              <w:rPr>
                <w:rFonts w:hint="eastAsia"/>
                <w:color w:val="auto"/>
                <w:sz w:val="24"/>
              </w:rPr>
              <w:t>（2）</w:t>
            </w:r>
            <w:r>
              <w:rPr>
                <w:color w:val="auto"/>
                <w:sz w:val="24"/>
              </w:rPr>
              <w:t>与</w:t>
            </w:r>
            <w:r>
              <w:rPr>
                <w:rFonts w:hint="eastAsia"/>
                <w:color w:val="auto"/>
                <w:sz w:val="24"/>
              </w:rPr>
              <w:t>分区管控</w:t>
            </w:r>
            <w:r>
              <w:rPr>
                <w:color w:val="auto"/>
                <w:sz w:val="24"/>
              </w:rPr>
              <w:t>符合性分析</w:t>
            </w:r>
            <w:r>
              <w:rPr>
                <w:color w:val="auto"/>
              </w:rPr>
              <w:drawing>
                <wp:inline distT="0" distB="0" distL="114300" distR="114300">
                  <wp:extent cx="4841240" cy="2763520"/>
                  <wp:effectExtent l="0" t="0" r="16510" b="1778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8"/>
                          <a:stretch>
                            <a:fillRect/>
                          </a:stretch>
                        </pic:blipFill>
                        <pic:spPr>
                          <a:xfrm>
                            <a:off x="0" y="0"/>
                            <a:ext cx="4841240" cy="2763520"/>
                          </a:xfrm>
                          <a:prstGeom prst="rect">
                            <a:avLst/>
                          </a:prstGeom>
                          <a:noFill/>
                          <a:ln>
                            <a:noFill/>
                          </a:ln>
                        </pic:spPr>
                      </pic:pic>
                    </a:graphicData>
                  </a:graphic>
                </wp:inline>
              </w:drawing>
            </w:r>
          </w:p>
          <w:p w14:paraId="0BA62E42">
            <w:pPr>
              <w:spacing w:line="360" w:lineRule="auto"/>
              <w:jc w:val="center"/>
              <w:rPr>
                <w:b/>
                <w:bCs/>
                <w:color w:val="auto"/>
                <w:sz w:val="24"/>
              </w:rPr>
            </w:pPr>
            <w:r>
              <w:rPr>
                <w:b/>
                <w:bCs/>
                <w:color w:val="auto"/>
                <w:sz w:val="24"/>
              </w:rPr>
              <w:t>图1-</w:t>
            </w:r>
            <w:r>
              <w:rPr>
                <w:rFonts w:hint="eastAsia"/>
                <w:b/>
                <w:bCs/>
                <w:color w:val="auto"/>
                <w:sz w:val="24"/>
                <w:lang w:val="en-US" w:eastAsia="zh-CN"/>
              </w:rPr>
              <w:t>2</w:t>
            </w:r>
            <w:r>
              <w:rPr>
                <w:b/>
                <w:bCs/>
                <w:color w:val="auto"/>
                <w:sz w:val="24"/>
              </w:rPr>
              <w:t xml:space="preserve"> 项目与</w:t>
            </w:r>
            <w:r>
              <w:rPr>
                <w:rFonts w:hint="eastAsia"/>
                <w:b/>
                <w:bCs/>
                <w:color w:val="auto"/>
                <w:sz w:val="24"/>
                <w:lang w:val="en-US" w:eastAsia="zh-CN"/>
              </w:rPr>
              <w:t>六安</w:t>
            </w:r>
            <w:r>
              <w:rPr>
                <w:b/>
                <w:bCs/>
                <w:color w:val="auto"/>
                <w:sz w:val="24"/>
              </w:rPr>
              <w:t>市分区管控位置关系</w:t>
            </w:r>
          </w:p>
          <w:p w14:paraId="094A18E6">
            <w:pPr>
              <w:adjustRightInd w:val="0"/>
              <w:snapToGrid w:val="0"/>
              <w:spacing w:line="360" w:lineRule="auto"/>
              <w:ind w:firstLine="480" w:firstLineChars="200"/>
              <w:rPr>
                <w:color w:val="auto"/>
                <w:sz w:val="24"/>
              </w:rPr>
            </w:pPr>
            <w:r>
              <w:rPr>
                <w:rFonts w:hint="eastAsia"/>
                <w:color w:val="auto"/>
                <w:sz w:val="24"/>
              </w:rPr>
              <w:t>经在安徽省“</w:t>
            </w:r>
            <w:r>
              <w:rPr>
                <w:rFonts w:hint="eastAsia"/>
                <w:color w:val="auto"/>
                <w:sz w:val="24"/>
                <w:lang w:eastAsia="zh-CN"/>
              </w:rPr>
              <w:t>安徽省六安市生态环境分区管控</w:t>
            </w:r>
            <w:r>
              <w:rPr>
                <w:rFonts w:hint="eastAsia"/>
                <w:color w:val="auto"/>
                <w:sz w:val="24"/>
              </w:rPr>
              <w:t>”公众服务平台查询，项目所在区域管控单元编码为：ZH34152420121，重点管控单元。</w:t>
            </w:r>
          </w:p>
          <w:p w14:paraId="032C2618">
            <w:pPr>
              <w:adjustRightInd w:val="0"/>
              <w:snapToGrid w:val="0"/>
              <w:spacing w:line="360" w:lineRule="auto"/>
              <w:ind w:firstLine="480" w:firstLineChars="200"/>
              <w:rPr>
                <w:rFonts w:hint="eastAsia"/>
                <w:color w:val="auto"/>
                <w:sz w:val="24"/>
              </w:rPr>
            </w:pPr>
            <w:r>
              <w:rPr>
                <w:rFonts w:hint="eastAsia"/>
                <w:color w:val="auto"/>
                <w:sz w:val="24"/>
              </w:rPr>
              <w:t>①水环境分区管控</w:t>
            </w:r>
          </w:p>
          <w:p w14:paraId="4BEAFC4F">
            <w:pPr>
              <w:adjustRightInd w:val="0"/>
              <w:snapToGrid w:val="0"/>
              <w:spacing w:line="360" w:lineRule="auto"/>
              <w:ind w:firstLine="480" w:firstLineChars="200"/>
              <w:rPr>
                <w:rFonts w:hint="eastAsia"/>
                <w:color w:val="auto"/>
                <w:sz w:val="24"/>
              </w:rPr>
            </w:pPr>
            <w:r>
              <w:rPr>
                <w:rFonts w:hint="eastAsia"/>
                <w:color w:val="auto"/>
                <w:sz w:val="24"/>
              </w:rPr>
              <w:t>对照</w:t>
            </w:r>
            <w:r>
              <w:rPr>
                <w:rFonts w:hint="eastAsia"/>
                <w:color w:val="auto"/>
                <w:sz w:val="24"/>
                <w:lang w:eastAsia="zh-CN"/>
              </w:rPr>
              <w:t>六安市</w:t>
            </w:r>
            <w:r>
              <w:rPr>
                <w:rFonts w:hint="eastAsia"/>
                <w:color w:val="auto"/>
                <w:sz w:val="24"/>
              </w:rPr>
              <w:t>水环境管控分区图，项目位于</w:t>
            </w:r>
            <w:r>
              <w:rPr>
                <w:rFonts w:hint="eastAsia"/>
                <w:color w:val="auto"/>
                <w:sz w:val="24"/>
                <w:lang w:val="en-US" w:eastAsia="zh-CN"/>
              </w:rPr>
              <w:t>一般管控区</w:t>
            </w:r>
            <w:r>
              <w:rPr>
                <w:rFonts w:hint="eastAsia"/>
                <w:color w:val="auto"/>
                <w:sz w:val="24"/>
              </w:rPr>
              <w:t>。</w:t>
            </w:r>
          </w:p>
          <w:p w14:paraId="553C0A4C">
            <w:pPr>
              <w:adjustRightInd w:val="0"/>
              <w:snapToGri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具体管理要求：落实《安徽省2025年用水总量和用水效率控制指标的函》《六安市水利发展“十四五”规划》（六政办〔2021〕30 号）《六安市水资源综合规划（2020-2030年）》《关于落实“十四五”用水总量和强度双控目标的通知》《关于下达“十四五”用水总量和强度双控目标的通知》（六水办资管〔2022〕135号）等文件要求。</w:t>
            </w:r>
          </w:p>
          <w:p w14:paraId="2A13DDAB">
            <w:pPr>
              <w:adjustRightInd w:val="0"/>
              <w:snapToGrid w:val="0"/>
              <w:spacing w:line="360" w:lineRule="auto"/>
              <w:ind w:firstLine="480" w:firstLineChars="200"/>
              <w:rPr>
                <w:rFonts w:hint="eastAsia"/>
                <w:color w:val="auto"/>
                <w:sz w:val="24"/>
              </w:rPr>
            </w:pPr>
            <w:r>
              <w:rPr>
                <w:rFonts w:hint="eastAsia"/>
                <w:color w:val="auto"/>
                <w:sz w:val="24"/>
              </w:rPr>
              <w:t>本项目属于</w:t>
            </w:r>
            <w:r>
              <w:rPr>
                <w:rFonts w:hint="eastAsia"/>
                <w:color w:val="auto"/>
                <w:sz w:val="24"/>
                <w:lang w:eastAsia="zh-CN"/>
              </w:rPr>
              <w:t>C2542生物质致密成型燃料加工</w:t>
            </w:r>
            <w:r>
              <w:rPr>
                <w:rFonts w:hint="eastAsia"/>
                <w:color w:val="auto"/>
                <w:sz w:val="24"/>
              </w:rPr>
              <w:t>，为新建项目，项目生活废水经</w:t>
            </w:r>
            <w:r>
              <w:rPr>
                <w:rFonts w:hint="eastAsia"/>
                <w:color w:val="auto"/>
                <w:sz w:val="24"/>
                <w:lang w:val="en-US" w:eastAsia="zh-CN"/>
              </w:rPr>
              <w:t>化粪池处理后通过</w:t>
            </w:r>
            <w:r>
              <w:rPr>
                <w:rFonts w:hint="eastAsia"/>
                <w:color w:val="auto"/>
                <w:sz w:val="24"/>
              </w:rPr>
              <w:t>地埋式污水处理设施处理后用于厂区绿化，不外排，满足</w:t>
            </w:r>
            <w:r>
              <w:rPr>
                <w:rFonts w:hint="eastAsia"/>
                <w:color w:val="auto"/>
                <w:sz w:val="24"/>
                <w:lang w:val="en-US" w:eastAsia="zh-CN"/>
              </w:rPr>
              <w:t>一般管控区</w:t>
            </w:r>
            <w:r>
              <w:rPr>
                <w:rFonts w:hint="eastAsia"/>
                <w:color w:val="auto"/>
                <w:sz w:val="24"/>
              </w:rPr>
              <w:t>要求。</w:t>
            </w:r>
          </w:p>
          <w:p w14:paraId="6CF5C850">
            <w:pPr>
              <w:adjustRightInd w:val="0"/>
              <w:snapToGrid w:val="0"/>
              <w:spacing w:line="360" w:lineRule="auto"/>
              <w:ind w:firstLine="480" w:firstLineChars="200"/>
              <w:rPr>
                <w:rFonts w:hint="eastAsia"/>
                <w:color w:val="auto"/>
                <w:sz w:val="24"/>
              </w:rPr>
            </w:pPr>
            <w:r>
              <w:rPr>
                <w:rFonts w:hint="eastAsia"/>
                <w:color w:val="auto"/>
                <w:sz w:val="24"/>
              </w:rPr>
              <w:t>②大气环境分区管控</w:t>
            </w:r>
          </w:p>
          <w:p w14:paraId="0A7A5F8A">
            <w:pPr>
              <w:adjustRightInd w:val="0"/>
              <w:snapToGrid w:val="0"/>
              <w:spacing w:line="360" w:lineRule="auto"/>
              <w:ind w:firstLine="480" w:firstLineChars="200"/>
              <w:rPr>
                <w:rFonts w:hint="eastAsia"/>
                <w:color w:val="auto"/>
                <w:sz w:val="24"/>
              </w:rPr>
            </w:pPr>
            <w:r>
              <w:rPr>
                <w:rFonts w:hint="eastAsia"/>
                <w:color w:val="auto"/>
                <w:sz w:val="24"/>
              </w:rPr>
              <w:t>对照</w:t>
            </w:r>
            <w:r>
              <w:rPr>
                <w:rFonts w:hint="eastAsia"/>
                <w:color w:val="auto"/>
                <w:sz w:val="24"/>
                <w:lang w:eastAsia="zh-CN"/>
              </w:rPr>
              <w:t>六安市</w:t>
            </w:r>
            <w:r>
              <w:rPr>
                <w:rFonts w:hint="eastAsia"/>
                <w:color w:val="auto"/>
                <w:sz w:val="24"/>
              </w:rPr>
              <w:t>大气环境管控分区图，项目位于</w:t>
            </w:r>
            <w:r>
              <w:rPr>
                <w:rFonts w:hint="eastAsia"/>
                <w:color w:val="auto"/>
                <w:sz w:val="24"/>
                <w:lang w:val="en-US" w:eastAsia="zh-CN"/>
              </w:rPr>
              <w:t>布局</w:t>
            </w:r>
            <w:r>
              <w:rPr>
                <w:rFonts w:hint="eastAsia"/>
                <w:color w:val="auto"/>
                <w:sz w:val="24"/>
              </w:rPr>
              <w:t>敏感重点管控区。</w:t>
            </w:r>
          </w:p>
          <w:p w14:paraId="49BD2A55">
            <w:pPr>
              <w:adjustRightInd w:val="0"/>
              <w:snapToGrid w:val="0"/>
              <w:spacing w:line="360" w:lineRule="auto"/>
              <w:ind w:firstLine="480" w:firstLineChars="200"/>
              <w:rPr>
                <w:rFonts w:hint="eastAsia"/>
                <w:color w:val="auto"/>
                <w:sz w:val="24"/>
              </w:rPr>
            </w:pPr>
            <w:r>
              <w:rPr>
                <w:rFonts w:hint="eastAsia"/>
                <w:color w:val="auto"/>
                <w:sz w:val="24"/>
              </w:rPr>
              <w:t>具体管理要求：落实《安徽省大气污染防治条例》《安徽省碳达峰实施方案的通知》《安徽省工业领域碳达峰实施方案》 《安徽省城乡建设领域碳达峰实施方案》《关于进一步加强新上“两高”项目管理的通知》《安徽省挥发性有机物污染整治工作方案》《关于进一步加强建设项目新增大气污染物总量控制指标管理工作的通知》《安徽省“十四五”节能减排实施方案》《六安市能源发展“十四五”规划》《六安市“十四五”工业发展规划》《深入打好污染防治攻坚战行动方案》等要求；严格目标实施计划，加强环境监管，促进生态环境质量好转；新建、改建和扩建项目大气污染物实施“倍量替代”，执行特别排放标准的行业实施提标升级改造。</w:t>
            </w:r>
          </w:p>
          <w:p w14:paraId="2932CC2E">
            <w:pPr>
              <w:adjustRightInd w:val="0"/>
              <w:snapToGrid w:val="0"/>
              <w:spacing w:line="360" w:lineRule="auto"/>
              <w:ind w:firstLine="480" w:firstLineChars="200"/>
              <w:rPr>
                <w:rFonts w:hint="eastAsia"/>
                <w:color w:val="auto"/>
                <w:sz w:val="24"/>
              </w:rPr>
            </w:pPr>
            <w:r>
              <w:rPr>
                <w:rFonts w:hint="eastAsia"/>
                <w:color w:val="auto"/>
                <w:sz w:val="24"/>
              </w:rPr>
              <w:t>本项目属于</w:t>
            </w:r>
            <w:r>
              <w:rPr>
                <w:rFonts w:hint="eastAsia"/>
                <w:color w:val="auto"/>
                <w:sz w:val="24"/>
                <w:lang w:eastAsia="zh-CN"/>
              </w:rPr>
              <w:t>C2542生物质致密成型燃料加工</w:t>
            </w:r>
            <w:r>
              <w:rPr>
                <w:rFonts w:hint="eastAsia"/>
                <w:color w:val="auto"/>
                <w:sz w:val="24"/>
              </w:rPr>
              <w:t>，项目建设运营期产生的污染物经处理后可达标排放，本项目的建设不会导致当地大气环境质量恶化，满足大气环境</w:t>
            </w:r>
            <w:r>
              <w:rPr>
                <w:rFonts w:hint="eastAsia"/>
                <w:color w:val="auto"/>
                <w:sz w:val="24"/>
                <w:lang w:val="en-US" w:eastAsia="zh-CN"/>
              </w:rPr>
              <w:t>布局</w:t>
            </w:r>
            <w:r>
              <w:rPr>
                <w:rFonts w:hint="eastAsia"/>
                <w:color w:val="auto"/>
                <w:sz w:val="24"/>
              </w:rPr>
              <w:t>敏感重点管控区管控要求。</w:t>
            </w:r>
          </w:p>
          <w:p w14:paraId="443433A5">
            <w:pPr>
              <w:adjustRightInd w:val="0"/>
              <w:snapToGrid w:val="0"/>
              <w:spacing w:line="360" w:lineRule="auto"/>
              <w:ind w:firstLine="480" w:firstLineChars="200"/>
              <w:rPr>
                <w:rFonts w:hint="eastAsia"/>
                <w:color w:val="auto"/>
                <w:sz w:val="24"/>
              </w:rPr>
            </w:pPr>
            <w:r>
              <w:rPr>
                <w:rFonts w:hint="eastAsia"/>
                <w:color w:val="auto"/>
                <w:sz w:val="24"/>
              </w:rPr>
              <w:t>③土壤环境分区管控</w:t>
            </w:r>
          </w:p>
          <w:p w14:paraId="44D72D87">
            <w:pPr>
              <w:adjustRightInd w:val="0"/>
              <w:snapToGrid w:val="0"/>
              <w:spacing w:line="360" w:lineRule="auto"/>
              <w:ind w:firstLine="480" w:firstLineChars="200"/>
              <w:rPr>
                <w:rFonts w:hint="eastAsia"/>
                <w:color w:val="auto"/>
                <w:sz w:val="24"/>
              </w:rPr>
            </w:pPr>
            <w:r>
              <w:rPr>
                <w:rFonts w:hint="eastAsia"/>
                <w:color w:val="auto"/>
                <w:sz w:val="24"/>
              </w:rPr>
              <w:t>对照</w:t>
            </w:r>
            <w:r>
              <w:rPr>
                <w:rFonts w:hint="eastAsia"/>
                <w:color w:val="auto"/>
                <w:sz w:val="24"/>
                <w:lang w:eastAsia="zh-CN"/>
              </w:rPr>
              <w:t>六安市</w:t>
            </w:r>
            <w:r>
              <w:rPr>
                <w:rFonts w:hint="eastAsia"/>
                <w:color w:val="auto"/>
                <w:sz w:val="24"/>
              </w:rPr>
              <w:t>土壤环境管控分区图，项目位于一般防控区。</w:t>
            </w:r>
          </w:p>
          <w:p w14:paraId="258197F3">
            <w:pPr>
              <w:adjustRightInd w:val="0"/>
              <w:snapToGrid w:val="0"/>
              <w:spacing w:line="360" w:lineRule="auto"/>
              <w:ind w:firstLine="480" w:firstLineChars="200"/>
              <w:rPr>
                <w:rFonts w:hint="eastAsia"/>
                <w:color w:val="auto"/>
                <w:sz w:val="24"/>
              </w:rPr>
            </w:pPr>
            <w:r>
              <w:rPr>
                <w:rFonts w:hint="eastAsia"/>
                <w:color w:val="auto"/>
                <w:sz w:val="24"/>
              </w:rPr>
              <w:t>具体管控要求：依据《中华人民共和国土壤污染防治法》《土壤污染防治行动计划》《安徽省土壤污染防治工作方案》《安徽省“十四五”环境保护规划》《安徽省“十四五”土壤、地下水和农村生态环境保护规划》《安徽省重金属污染防控工作方案》《安徽省“十四五”危险废物工业固体废物污染环境防治规划》《安徽省土壤污染防治工作方案》《六安市“十四五”生态环境保护规划》《六安市土壤污染防治工作方案》等要求对一般管控区实施管控。</w:t>
            </w:r>
          </w:p>
          <w:p w14:paraId="6FFA65A1">
            <w:pPr>
              <w:adjustRightInd w:val="0"/>
              <w:snapToGrid w:val="0"/>
              <w:spacing w:line="360" w:lineRule="auto"/>
              <w:ind w:firstLine="480" w:firstLineChars="200"/>
              <w:rPr>
                <w:rFonts w:hint="eastAsia"/>
                <w:color w:val="auto"/>
                <w:sz w:val="24"/>
              </w:rPr>
            </w:pPr>
            <w:r>
              <w:rPr>
                <w:rFonts w:hint="eastAsia"/>
                <w:color w:val="auto"/>
                <w:sz w:val="24"/>
              </w:rPr>
              <w:t>拟建项目属于</w:t>
            </w:r>
            <w:r>
              <w:rPr>
                <w:rFonts w:hint="eastAsia"/>
                <w:color w:val="auto"/>
                <w:sz w:val="24"/>
                <w:lang w:eastAsia="zh-CN"/>
              </w:rPr>
              <w:t>C2542生物质致密成型燃料加工</w:t>
            </w:r>
            <w:r>
              <w:rPr>
                <w:rFonts w:hint="eastAsia"/>
                <w:color w:val="auto"/>
                <w:sz w:val="24"/>
              </w:rPr>
              <w:t>，本项目危废暂存间地面做好防渗措施，本项目实施后基本不会对区域土壤环境产生影响，满足土壤环境一般防控区管控要求。</w:t>
            </w:r>
          </w:p>
          <w:p w14:paraId="39058AD4">
            <w:pPr>
              <w:adjustRightInd w:val="0"/>
              <w:snapToGrid w:val="0"/>
              <w:spacing w:line="360" w:lineRule="auto"/>
              <w:ind w:firstLine="480" w:firstLineChars="200"/>
              <w:rPr>
                <w:rFonts w:hint="eastAsia"/>
                <w:color w:val="auto"/>
                <w:sz w:val="24"/>
                <w:lang w:val="en-US" w:eastAsia="zh-CN"/>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lang w:val="en-US" w:eastAsia="zh-CN"/>
              </w:rPr>
              <w:t>与</w:t>
            </w:r>
            <w:r>
              <w:rPr>
                <w:rFonts w:hint="eastAsia"/>
                <w:color w:val="auto"/>
                <w:sz w:val="24"/>
              </w:rPr>
              <w:t>环境质量底线</w:t>
            </w:r>
            <w:r>
              <w:rPr>
                <w:rFonts w:hint="eastAsia"/>
                <w:color w:val="auto"/>
                <w:sz w:val="24"/>
                <w:lang w:val="en-US" w:eastAsia="zh-CN"/>
              </w:rPr>
              <w:t>符合性分析</w:t>
            </w:r>
          </w:p>
          <w:p w14:paraId="26D99C65">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①环境空气：</w:t>
            </w:r>
            <w:r>
              <w:rPr>
                <w:rFonts w:hint="eastAsia"/>
                <w:color w:val="auto"/>
                <w:sz w:val="24"/>
                <w:lang w:eastAsia="zh-CN"/>
              </w:rPr>
              <w:t>根据《2023年金寨县环境质量年报》，项目区域内PM</w:t>
            </w:r>
            <w:r>
              <w:rPr>
                <w:rFonts w:hint="eastAsia"/>
                <w:color w:val="auto"/>
                <w:sz w:val="24"/>
                <w:vertAlign w:val="subscript"/>
                <w:lang w:eastAsia="zh-CN"/>
              </w:rPr>
              <w:t>10</w:t>
            </w:r>
            <w:r>
              <w:rPr>
                <w:rFonts w:hint="eastAsia"/>
                <w:color w:val="auto"/>
                <w:sz w:val="24"/>
                <w:lang w:eastAsia="zh-CN"/>
              </w:rPr>
              <w:t>、PM</w:t>
            </w:r>
            <w:r>
              <w:rPr>
                <w:rFonts w:hint="eastAsia"/>
                <w:color w:val="auto"/>
                <w:sz w:val="24"/>
                <w:vertAlign w:val="subscript"/>
                <w:lang w:eastAsia="zh-CN"/>
              </w:rPr>
              <w:t>2.5</w:t>
            </w:r>
            <w:r>
              <w:rPr>
                <w:rFonts w:hint="eastAsia"/>
                <w:color w:val="auto"/>
                <w:sz w:val="24"/>
                <w:lang w:eastAsia="zh-CN"/>
              </w:rPr>
              <w:t>、SO</w:t>
            </w:r>
            <w:r>
              <w:rPr>
                <w:rFonts w:hint="eastAsia"/>
                <w:color w:val="auto"/>
                <w:sz w:val="24"/>
                <w:vertAlign w:val="subscript"/>
                <w:lang w:eastAsia="zh-CN"/>
              </w:rPr>
              <w:t>2</w:t>
            </w:r>
            <w:r>
              <w:rPr>
                <w:rFonts w:hint="eastAsia"/>
                <w:color w:val="auto"/>
                <w:sz w:val="24"/>
                <w:lang w:eastAsia="zh-CN"/>
              </w:rPr>
              <w:t>、NO</w:t>
            </w:r>
            <w:r>
              <w:rPr>
                <w:rFonts w:hint="eastAsia"/>
                <w:color w:val="auto"/>
                <w:sz w:val="24"/>
                <w:vertAlign w:val="subscript"/>
                <w:lang w:eastAsia="zh-CN"/>
              </w:rPr>
              <w:t>2</w:t>
            </w:r>
            <w:r>
              <w:rPr>
                <w:rFonts w:hint="eastAsia"/>
                <w:color w:val="auto"/>
                <w:sz w:val="24"/>
                <w:lang w:eastAsia="zh-CN"/>
              </w:rPr>
              <w:t>、O</w:t>
            </w:r>
            <w:r>
              <w:rPr>
                <w:rFonts w:hint="eastAsia"/>
                <w:color w:val="auto"/>
                <w:sz w:val="24"/>
                <w:vertAlign w:val="subscript"/>
                <w:lang w:eastAsia="zh-CN"/>
              </w:rPr>
              <w:t>3</w:t>
            </w:r>
            <w:r>
              <w:rPr>
                <w:rFonts w:hint="eastAsia"/>
                <w:color w:val="auto"/>
                <w:sz w:val="24"/>
                <w:lang w:eastAsia="zh-CN"/>
              </w:rPr>
              <w:t>、CO年均值均达到《环境空气质量标准》（GB3095-2012）二级标准要求。项目所在区域环境空气质量为达标区。本项目对项目区大气环境质量现状影响较小，不改变所在区域功能区属性</w:t>
            </w:r>
            <w:r>
              <w:rPr>
                <w:rFonts w:hint="eastAsia"/>
                <w:color w:val="auto"/>
                <w:sz w:val="24"/>
                <w:lang w:val="en-US" w:eastAsia="zh-CN"/>
              </w:rPr>
              <w:t>，项目运营后，污染物均可达标排放。</w:t>
            </w:r>
          </w:p>
          <w:p w14:paraId="65C25A53">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②地表水：</w:t>
            </w:r>
            <w:r>
              <w:rPr>
                <w:rFonts w:hint="eastAsia"/>
                <w:color w:val="auto"/>
                <w:sz w:val="24"/>
                <w:lang w:eastAsia="zh-CN"/>
              </w:rPr>
              <w:t>根据《2023年金寨县环境质量年报》，</w:t>
            </w:r>
            <w:r>
              <w:rPr>
                <w:rFonts w:hint="eastAsia"/>
                <w:color w:val="auto"/>
                <w:sz w:val="24"/>
                <w:lang w:val="en-US" w:eastAsia="zh-CN"/>
              </w:rPr>
              <w:t>金寨县地表水国控断面和省控断面满足《地表水环境质量标准》（GB3838-2002）Ⅱ类标准。</w:t>
            </w:r>
          </w:p>
          <w:p w14:paraId="11FE7477">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③声环境：根据声环境现状调查监测，项目最近敏感点处声环境满足《声环境质量标准》（GB3096-2008）2类标准要求。</w:t>
            </w:r>
          </w:p>
          <w:p w14:paraId="44E48566">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项目选用低噪声设备、优化布局，高噪声设备采取基础减振，风机进出口与风道连接处采用柔性连接、安装消音装置、风机外部采用隔声罩。经预项目厂界噪声排放可满足《工业企业厂界环境噪声排放标准》（GB12348-20</w:t>
            </w:r>
            <w:r>
              <w:rPr>
                <w:rFonts w:hint="default" w:ascii="Times New Roman" w:hAnsi="Times New Roman" w:cs="Times New Roman"/>
                <w:color w:val="auto"/>
                <w:sz w:val="24"/>
                <w:lang w:val="en-US" w:eastAsia="zh-CN"/>
              </w:rPr>
              <w:t>08）2 类声</w:t>
            </w:r>
            <w:r>
              <w:rPr>
                <w:rFonts w:hint="eastAsia"/>
                <w:color w:val="auto"/>
                <w:sz w:val="24"/>
                <w:lang w:val="en-US" w:eastAsia="zh-CN"/>
              </w:rPr>
              <w:t>环境功能区标准要求。</w:t>
            </w:r>
          </w:p>
          <w:p w14:paraId="3B5BC6E3">
            <w:pPr>
              <w:pStyle w:val="6"/>
              <w:numPr>
                <w:ilvl w:val="2"/>
                <w:numId w:val="0"/>
              </w:numPr>
              <w:ind w:left="210" w:leftChars="100"/>
              <w:rPr>
                <w:b w:val="0"/>
                <w:bCs w:val="0"/>
                <w:color w:val="auto"/>
                <w:kern w:val="2"/>
                <w:sz w:val="24"/>
                <w:szCs w:val="24"/>
              </w:rPr>
            </w:pPr>
            <w:r>
              <w:rPr>
                <w:rFonts w:hint="eastAsia"/>
                <w:b w:val="0"/>
                <w:bCs w:val="0"/>
                <w:color w:val="auto"/>
                <w:kern w:val="2"/>
                <w:sz w:val="24"/>
                <w:szCs w:val="24"/>
              </w:rPr>
              <w:t>（</w:t>
            </w:r>
            <w:r>
              <w:rPr>
                <w:rFonts w:hint="eastAsia"/>
                <w:b w:val="0"/>
                <w:bCs w:val="0"/>
                <w:color w:val="auto"/>
                <w:kern w:val="2"/>
                <w:sz w:val="24"/>
                <w:szCs w:val="24"/>
                <w:lang w:val="en-US" w:eastAsia="zh-CN"/>
              </w:rPr>
              <w:t>4</w:t>
            </w:r>
            <w:r>
              <w:rPr>
                <w:rFonts w:hint="eastAsia"/>
                <w:b w:val="0"/>
                <w:bCs w:val="0"/>
                <w:color w:val="auto"/>
                <w:kern w:val="2"/>
                <w:sz w:val="24"/>
                <w:szCs w:val="24"/>
              </w:rPr>
              <w:t>）资源利用上线</w:t>
            </w:r>
          </w:p>
          <w:p w14:paraId="039A5101">
            <w:pPr>
              <w:adjustRightInd w:val="0"/>
              <w:snapToGrid w:val="0"/>
              <w:spacing w:line="360" w:lineRule="auto"/>
              <w:ind w:firstLine="480" w:firstLineChars="200"/>
              <w:rPr>
                <w:color w:val="auto"/>
                <w:sz w:val="24"/>
              </w:rPr>
            </w:pPr>
            <w:r>
              <w:rPr>
                <w:rFonts w:hint="eastAsia"/>
                <w:color w:val="auto"/>
                <w:sz w:val="24"/>
              </w:rPr>
              <w:t xml:space="preserve">本项目所用资源能源主要为水、电能。项目用水主要为职工生活用水，由市政供水管网供给；项目用电由市政电网统一供给，不会达到资源利用上线；项目建设土地不涉及基本农田，土地资源消耗符合要求。项目建成运行后通过内部管理、设备选择、原辅材料的选用和管理、废物回收利用、污染治理等多方面的措施，可使产生的污染物得到了有效的处置，符合清洁运营的要求。项目在生产过程中尽可能做到合理利用和节约能耗，最大限度地减少物耗及能耗。 </w:t>
            </w:r>
          </w:p>
          <w:p w14:paraId="6BF15A74">
            <w:pPr>
              <w:adjustRightInd w:val="0"/>
              <w:snapToGrid w:val="0"/>
              <w:spacing w:line="360" w:lineRule="auto"/>
              <w:ind w:firstLine="480" w:firstLineChars="200"/>
              <w:rPr>
                <w:rFonts w:hint="eastAsia"/>
                <w:color w:val="auto"/>
                <w:sz w:val="24"/>
                <w:lang w:val="en-US" w:eastAsia="zh-CN"/>
              </w:rPr>
            </w:pPr>
            <w:r>
              <w:rPr>
                <w:rFonts w:hint="eastAsia"/>
                <w:color w:val="auto"/>
                <w:sz w:val="24"/>
              </w:rPr>
              <w:t>综上</w:t>
            </w:r>
            <w:r>
              <w:rPr>
                <w:rFonts w:hint="eastAsia"/>
                <w:color w:val="auto"/>
                <w:sz w:val="24"/>
                <w:lang w:val="en-US" w:eastAsia="zh-CN"/>
              </w:rPr>
              <w:t>，本项目符合资源利用上线的要求。</w:t>
            </w:r>
          </w:p>
          <w:p w14:paraId="01BF209E">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（5）生态环境准入清单</w:t>
            </w:r>
          </w:p>
          <w:p w14:paraId="4CED05A8">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本项目不属于照国家发改委颁布的《产业结构调整指导目录（2024年本）》中的淘汰类和限制类，属于允许类项目，符合国家产业政策。</w:t>
            </w:r>
          </w:p>
          <w:p w14:paraId="4396406C">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项目已经金寨县发展和改革委员会备案，项目代码：</w:t>
            </w:r>
            <w:r>
              <w:rPr>
                <w:rFonts w:hint="eastAsia"/>
                <w:color w:val="auto"/>
                <w:sz w:val="24"/>
                <w:lang w:eastAsia="zh-CN"/>
              </w:rPr>
              <w:t>2409-341524-04-01-822807</w:t>
            </w:r>
            <w:r>
              <w:rPr>
                <w:rFonts w:hint="eastAsia"/>
                <w:color w:val="auto"/>
                <w:sz w:val="24"/>
                <w:lang w:val="en-US" w:eastAsia="zh-CN"/>
              </w:rPr>
              <w:t>。</w:t>
            </w:r>
          </w:p>
          <w:p w14:paraId="5CCBAF47">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综上所述，本项目建设符合“安徽省六安市生态环境分区管控”的要求。</w:t>
            </w:r>
          </w:p>
          <w:p w14:paraId="6276BA08">
            <w:pPr>
              <w:spacing w:line="360" w:lineRule="auto"/>
              <w:ind w:firstLine="482" w:firstLineChars="200"/>
              <w:rPr>
                <w:b/>
                <w:bCs/>
                <w:color w:val="auto"/>
                <w:sz w:val="24"/>
              </w:rPr>
            </w:pPr>
            <w:r>
              <w:rPr>
                <w:rFonts w:hint="eastAsia"/>
                <w:b/>
                <w:color w:val="auto"/>
                <w:kern w:val="0"/>
                <w:sz w:val="24"/>
                <w:lang w:val="en-US" w:eastAsia="zh-CN"/>
              </w:rPr>
              <w:t>3</w:t>
            </w:r>
            <w:r>
              <w:rPr>
                <w:b/>
                <w:bCs/>
                <w:color w:val="auto"/>
                <w:sz w:val="24"/>
              </w:rPr>
              <w:t>、产业政策符合性分析</w:t>
            </w:r>
          </w:p>
          <w:p w14:paraId="6E75B0F2">
            <w:pPr>
              <w:spacing w:line="360" w:lineRule="auto"/>
              <w:ind w:firstLine="480" w:firstLineChars="200"/>
              <w:rPr>
                <w:color w:val="auto"/>
                <w:sz w:val="24"/>
              </w:rPr>
            </w:pPr>
            <w:r>
              <w:rPr>
                <w:color w:val="auto"/>
                <w:sz w:val="24"/>
              </w:rPr>
              <w:t>对照《国民经济行业分类》（GB/T4754-2017）、《产业结构调整指导目录（20</w:t>
            </w:r>
            <w:r>
              <w:rPr>
                <w:rFonts w:hint="eastAsia"/>
                <w:color w:val="auto"/>
                <w:sz w:val="24"/>
              </w:rPr>
              <w:t>24</w:t>
            </w:r>
            <w:r>
              <w:rPr>
                <w:color w:val="auto"/>
                <w:sz w:val="24"/>
              </w:rPr>
              <w:t>年版）》及《安徽省工业产业结构调整指导目录》，本项目属于</w:t>
            </w:r>
            <w:r>
              <w:rPr>
                <w:rFonts w:hint="eastAsia"/>
                <w:color w:val="auto"/>
                <w:sz w:val="24"/>
                <w:lang w:eastAsia="zh-CN"/>
              </w:rPr>
              <w:t>C2542生物质致密成型燃料加工</w:t>
            </w:r>
            <w:r>
              <w:rPr>
                <w:color w:val="auto"/>
                <w:sz w:val="24"/>
              </w:rPr>
              <w:t>，不属于其中限制类或淘汰类项目，属于允许类项目。因此，本项目的建设符合国家的产业政策及安徽省工业产业结构调整指导目录要求。</w:t>
            </w:r>
          </w:p>
          <w:p w14:paraId="7B030CE4">
            <w:pPr>
              <w:tabs>
                <w:tab w:val="left" w:pos="290"/>
              </w:tabs>
              <w:spacing w:line="360" w:lineRule="auto"/>
              <w:ind w:firstLine="482" w:firstLineChars="200"/>
              <w:rPr>
                <w:b/>
                <w:bCs/>
                <w:color w:val="auto"/>
                <w:sz w:val="24"/>
              </w:rPr>
            </w:pPr>
            <w:r>
              <w:rPr>
                <w:rFonts w:hint="eastAsia"/>
                <w:b/>
                <w:bCs/>
                <w:color w:val="auto"/>
                <w:sz w:val="24"/>
                <w:lang w:val="en-US" w:eastAsia="zh-CN"/>
              </w:rPr>
              <w:t>4</w:t>
            </w:r>
            <w:r>
              <w:rPr>
                <w:b/>
                <w:bCs/>
                <w:color w:val="auto"/>
                <w:sz w:val="24"/>
              </w:rPr>
              <w:t>、选址符合性分析</w:t>
            </w:r>
          </w:p>
          <w:p w14:paraId="5CDAAA4D">
            <w:pPr>
              <w:spacing w:line="360" w:lineRule="auto"/>
              <w:ind w:firstLine="480" w:firstLineChars="200"/>
              <w:rPr>
                <w:color w:val="auto"/>
                <w:sz w:val="24"/>
                <w:szCs w:val="20"/>
              </w:rPr>
            </w:pPr>
            <w:r>
              <w:rPr>
                <w:color w:val="auto"/>
                <w:sz w:val="24"/>
                <w:szCs w:val="20"/>
              </w:rPr>
              <w:t>（1）项目用地符合性分析</w:t>
            </w:r>
          </w:p>
          <w:p w14:paraId="5E617210">
            <w:pPr>
              <w:spacing w:line="360" w:lineRule="auto"/>
              <w:ind w:firstLine="480" w:firstLineChars="200"/>
              <w:rPr>
                <w:color w:val="auto"/>
                <w:sz w:val="24"/>
                <w:szCs w:val="20"/>
              </w:rPr>
            </w:pPr>
            <w:r>
              <w:rPr>
                <w:color w:val="auto"/>
                <w:sz w:val="24"/>
                <w:szCs w:val="20"/>
              </w:rPr>
              <w:t>项目位于</w:t>
            </w:r>
            <w:r>
              <w:rPr>
                <w:rFonts w:hint="eastAsia"/>
                <w:color w:val="auto"/>
                <w:sz w:val="24"/>
                <w:lang w:eastAsia="zh-CN"/>
              </w:rPr>
              <w:t>金寨县梅山镇汪冲村</w:t>
            </w:r>
            <w:r>
              <w:rPr>
                <w:color w:val="auto"/>
                <w:sz w:val="24"/>
                <w:szCs w:val="20"/>
              </w:rPr>
              <w:t>，</w:t>
            </w:r>
            <w:r>
              <w:rPr>
                <w:rFonts w:hint="eastAsia"/>
                <w:color w:val="auto"/>
                <w:sz w:val="24"/>
                <w:szCs w:val="20"/>
                <w:lang w:val="en-US" w:eastAsia="zh-CN"/>
              </w:rPr>
              <w:t>根据企业提供的用地证明，</w:t>
            </w:r>
            <w:r>
              <w:rPr>
                <w:color w:val="auto"/>
                <w:sz w:val="24"/>
                <w:szCs w:val="20"/>
              </w:rPr>
              <w:t>项目</w:t>
            </w:r>
            <w:r>
              <w:rPr>
                <w:rFonts w:hint="eastAsia"/>
                <w:color w:val="auto"/>
                <w:sz w:val="24"/>
                <w:szCs w:val="20"/>
                <w:lang w:val="en-US" w:eastAsia="zh-CN"/>
              </w:rPr>
              <w:t>用地为工业用地</w:t>
            </w:r>
            <w:r>
              <w:rPr>
                <w:color w:val="auto"/>
                <w:sz w:val="24"/>
                <w:szCs w:val="20"/>
              </w:rPr>
              <w:t>。</w:t>
            </w:r>
          </w:p>
          <w:p w14:paraId="35A1E59D">
            <w:pPr>
              <w:spacing w:line="360" w:lineRule="auto"/>
              <w:ind w:firstLine="480" w:firstLineChars="200"/>
              <w:rPr>
                <w:color w:val="auto"/>
                <w:sz w:val="24"/>
                <w:szCs w:val="20"/>
              </w:rPr>
            </w:pPr>
            <w:r>
              <w:rPr>
                <w:color w:val="auto"/>
                <w:sz w:val="24"/>
                <w:szCs w:val="20"/>
              </w:rPr>
              <w:t>（2）环境相容性</w:t>
            </w:r>
          </w:p>
          <w:p w14:paraId="31438EFF">
            <w:pPr>
              <w:spacing w:line="360" w:lineRule="auto"/>
              <w:ind w:firstLine="480" w:firstLineChars="200"/>
              <w:rPr>
                <w:color w:val="auto"/>
                <w:sz w:val="24"/>
                <w:szCs w:val="20"/>
              </w:rPr>
            </w:pPr>
            <w:r>
              <w:rPr>
                <w:color w:val="auto"/>
                <w:sz w:val="24"/>
                <w:szCs w:val="20"/>
              </w:rPr>
              <w:t>评价区域内无国家公园、自然保护地、风景名胜区、文物保护单位及饮用水源保护区等环境敏感区域，项目选址地块周边以工业企业生产活动为主，外环境制约因素小，运营期产生的污染物可实现达标排放，对周边环境影响是可接受的。因此本项目建设与周边环境是相容的。</w:t>
            </w:r>
          </w:p>
          <w:p w14:paraId="2CD45358">
            <w:pPr>
              <w:spacing w:line="360" w:lineRule="auto"/>
              <w:ind w:firstLine="480" w:firstLineChars="200"/>
              <w:rPr>
                <w:color w:val="auto"/>
                <w:sz w:val="24"/>
                <w:szCs w:val="20"/>
              </w:rPr>
            </w:pPr>
            <w:r>
              <w:rPr>
                <w:color w:val="auto"/>
                <w:sz w:val="24"/>
                <w:szCs w:val="20"/>
              </w:rPr>
              <w:t>（3）外部建设条件可行性</w:t>
            </w:r>
          </w:p>
          <w:p w14:paraId="74AC8AF2">
            <w:pPr>
              <w:spacing w:line="360" w:lineRule="auto"/>
              <w:ind w:firstLine="480" w:firstLineChars="200"/>
              <w:rPr>
                <w:color w:val="auto"/>
                <w:sz w:val="24"/>
                <w:szCs w:val="20"/>
              </w:rPr>
            </w:pPr>
            <w:r>
              <w:rPr>
                <w:rFonts w:hint="eastAsia"/>
                <w:color w:val="auto"/>
                <w:sz w:val="24"/>
              </w:rPr>
              <w:t>本项目位于</w:t>
            </w:r>
            <w:r>
              <w:rPr>
                <w:rFonts w:hint="eastAsia"/>
                <w:color w:val="auto"/>
                <w:sz w:val="24"/>
                <w:lang w:eastAsia="zh-CN"/>
              </w:rPr>
              <w:t>金寨县梅山镇汪冲村</w:t>
            </w:r>
            <w:r>
              <w:rPr>
                <w:color w:val="auto"/>
                <w:sz w:val="24"/>
                <w:szCs w:val="20"/>
              </w:rPr>
              <w:t>，企业所在地理位置条件较好，交通便利，区域水、电、通讯等基础配套设施齐全。</w:t>
            </w:r>
          </w:p>
          <w:p w14:paraId="0B735253">
            <w:pPr>
              <w:spacing w:line="360" w:lineRule="auto"/>
              <w:ind w:firstLine="480" w:firstLineChars="200"/>
              <w:rPr>
                <w:color w:val="auto"/>
                <w:sz w:val="24"/>
                <w:szCs w:val="20"/>
              </w:rPr>
            </w:pPr>
            <w:r>
              <w:rPr>
                <w:color w:val="auto"/>
                <w:sz w:val="24"/>
                <w:szCs w:val="20"/>
              </w:rPr>
              <w:t>（4）对外环境的影响：本项目自身产污环节较少，污染物相对简单，在采取相应的防治措施后，可满足各污染物的排放标准要求，对区域环境影响较是可以接受的。</w:t>
            </w:r>
          </w:p>
          <w:p w14:paraId="2105DF07">
            <w:pPr>
              <w:spacing w:line="360" w:lineRule="auto"/>
              <w:ind w:firstLine="480" w:firstLineChars="200"/>
              <w:rPr>
                <w:color w:val="auto"/>
                <w:sz w:val="24"/>
              </w:rPr>
            </w:pPr>
            <w:r>
              <w:rPr>
                <w:color w:val="auto"/>
                <w:sz w:val="24"/>
                <w:szCs w:val="20"/>
              </w:rPr>
              <w:t>综上所述，本项目建设选址较合理</w:t>
            </w:r>
            <w:r>
              <w:rPr>
                <w:color w:val="auto"/>
                <w:sz w:val="24"/>
              </w:rPr>
              <w:t>。</w:t>
            </w:r>
          </w:p>
          <w:p w14:paraId="630A2EF2">
            <w:pPr>
              <w:adjustRightInd w:val="0"/>
              <w:snapToGrid w:val="0"/>
              <w:spacing w:line="360" w:lineRule="auto"/>
              <w:rPr>
                <w:b/>
                <w:bCs/>
                <w:color w:val="auto"/>
                <w:sz w:val="24"/>
              </w:rPr>
            </w:pPr>
            <w:r>
              <w:rPr>
                <w:rFonts w:hint="eastAsia"/>
                <w:b/>
                <w:bCs/>
                <w:color w:val="auto"/>
                <w:sz w:val="24"/>
                <w:lang w:val="en-US" w:eastAsia="zh-CN"/>
              </w:rPr>
              <w:t>5</w:t>
            </w:r>
            <w:r>
              <w:rPr>
                <w:rFonts w:hint="eastAsia"/>
                <w:b/>
                <w:bCs/>
                <w:color w:val="auto"/>
                <w:sz w:val="24"/>
              </w:rPr>
              <w:t>、</w:t>
            </w:r>
            <w:r>
              <w:rPr>
                <w:b/>
                <w:bCs/>
                <w:color w:val="auto"/>
                <w:sz w:val="24"/>
              </w:rPr>
              <w:t>项目与相关环保政策相符性分析</w:t>
            </w:r>
          </w:p>
          <w:p w14:paraId="7E516771">
            <w:pPr>
              <w:numPr>
                <w:ilvl w:val="0"/>
                <w:numId w:val="0"/>
              </w:numPr>
              <w:spacing w:line="360" w:lineRule="auto"/>
              <w:ind w:firstLine="480" w:firstLineChars="20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对照</w:t>
            </w:r>
            <w:r>
              <w:rPr>
                <w:rFonts w:hint="default" w:ascii="Times New Roman" w:hAnsi="Times New Roman" w:cs="Times New Roman" w:eastAsiaTheme="minorEastAsia"/>
                <w:color w:val="auto"/>
                <w:kern w:val="0"/>
                <w:sz w:val="24"/>
                <w:szCs w:val="20"/>
                <w:lang w:val="en-US" w:eastAsia="zh-CN" w:bidi="ar-SA"/>
              </w:rPr>
              <w:t>《安徽省淮河流域水污染防治条例》</w:t>
            </w:r>
            <w:r>
              <w:rPr>
                <w:rFonts w:hint="default" w:ascii="Times New Roman" w:hAnsi="Times New Roman" w:cs="Times New Roman" w:eastAsiaTheme="minorEastAsia"/>
                <w:color w:val="auto"/>
                <w:kern w:val="0"/>
                <w:sz w:val="24"/>
                <w:szCs w:val="20"/>
                <w:lang w:eastAsia="zh-CN"/>
              </w:rPr>
              <w:t>、</w:t>
            </w:r>
            <w:r>
              <w:rPr>
                <w:rFonts w:hint="default" w:ascii="Times New Roman" w:hAnsi="Times New Roman" w:cs="Times New Roman" w:eastAsiaTheme="minorEastAsia"/>
                <w:color w:val="auto"/>
                <w:kern w:val="0"/>
                <w:sz w:val="24"/>
                <w:szCs w:val="20"/>
                <w:lang w:val="en-US" w:eastAsia="zh-CN"/>
              </w:rPr>
              <w:t>《安徽省</w:t>
            </w:r>
            <w:r>
              <w:rPr>
                <w:rFonts w:hint="eastAsia" w:ascii="Times New Roman" w:hAnsi="Times New Roman" w:cs="Times New Roman" w:eastAsiaTheme="minorEastAsia"/>
                <w:color w:val="auto"/>
                <w:kern w:val="0"/>
                <w:sz w:val="24"/>
                <w:szCs w:val="20"/>
                <w:lang w:val="en-US" w:eastAsia="zh-CN"/>
              </w:rPr>
              <w:t>“</w:t>
            </w:r>
            <w:r>
              <w:rPr>
                <w:rFonts w:hint="default" w:ascii="Times New Roman" w:hAnsi="Times New Roman" w:cs="Times New Roman" w:eastAsiaTheme="minorEastAsia"/>
                <w:color w:val="auto"/>
                <w:kern w:val="0"/>
                <w:sz w:val="24"/>
                <w:szCs w:val="20"/>
                <w:lang w:val="en-US" w:eastAsia="zh-CN"/>
              </w:rPr>
              <w:t>十四五</w:t>
            </w:r>
            <w:r>
              <w:rPr>
                <w:rFonts w:hint="eastAsia" w:ascii="Times New Roman" w:hAnsi="Times New Roman" w:cs="Times New Roman" w:eastAsiaTheme="minorEastAsia"/>
                <w:color w:val="auto"/>
                <w:kern w:val="0"/>
                <w:sz w:val="24"/>
                <w:szCs w:val="20"/>
                <w:lang w:val="en-US" w:eastAsia="zh-CN"/>
              </w:rPr>
              <w:t>”</w:t>
            </w:r>
            <w:r>
              <w:rPr>
                <w:rFonts w:hint="default" w:ascii="Times New Roman" w:hAnsi="Times New Roman" w:cs="Times New Roman" w:eastAsiaTheme="minorEastAsia"/>
                <w:color w:val="auto"/>
                <w:kern w:val="0"/>
                <w:sz w:val="24"/>
                <w:szCs w:val="20"/>
                <w:lang w:val="en-US" w:eastAsia="zh-CN"/>
              </w:rPr>
              <w:t>生态环境保护规划》皖环发〔2022〕8号、</w:t>
            </w:r>
            <w:r>
              <w:rPr>
                <w:rFonts w:hint="default" w:ascii="Times New Roman" w:hAnsi="Times New Roman" w:cs="Times New Roman" w:eastAsiaTheme="minorEastAsia"/>
                <w:color w:val="auto"/>
                <w:kern w:val="0"/>
                <w:sz w:val="24"/>
                <w:szCs w:val="20"/>
              </w:rPr>
              <w:t>《</w:t>
            </w:r>
            <w:r>
              <w:rPr>
                <w:rFonts w:hint="eastAsia" w:ascii="Times New Roman" w:hAnsi="Times New Roman" w:cs="Times New Roman" w:eastAsiaTheme="minorEastAsia"/>
                <w:color w:val="auto"/>
                <w:kern w:val="0"/>
                <w:sz w:val="24"/>
                <w:szCs w:val="20"/>
                <w:lang w:val="en-US" w:eastAsia="zh-CN"/>
              </w:rPr>
              <w:t>金寨县“十四五”生态环境保护规划</w:t>
            </w:r>
            <w:r>
              <w:rPr>
                <w:rFonts w:hint="default" w:ascii="Times New Roman" w:hAnsi="Times New Roman" w:cs="Times New Roman" w:eastAsiaTheme="minorEastAsia"/>
                <w:color w:val="auto"/>
                <w:kern w:val="0"/>
                <w:sz w:val="24"/>
                <w:szCs w:val="20"/>
                <w:lang w:eastAsia="zh-CN"/>
              </w:rPr>
              <w:t>》</w:t>
            </w:r>
            <w:r>
              <w:rPr>
                <w:rFonts w:hint="default" w:ascii="Times New Roman" w:hAnsi="Times New Roman" w:cs="Times New Roman" w:eastAsiaTheme="minorEastAsia"/>
                <w:color w:val="auto"/>
                <w:kern w:val="0"/>
                <w:sz w:val="24"/>
                <w:szCs w:val="20"/>
              </w:rPr>
              <w:t>等相关政策要求，本项目的政策相符性分析汇总见表1-</w:t>
            </w:r>
            <w:r>
              <w:rPr>
                <w:rFonts w:hint="eastAsia" w:ascii="Times New Roman" w:hAnsi="Times New Roman" w:cs="Times New Roman" w:eastAsiaTheme="minorEastAsia"/>
                <w:color w:val="auto"/>
                <w:kern w:val="0"/>
                <w:sz w:val="24"/>
                <w:szCs w:val="20"/>
                <w:lang w:val="en-US" w:eastAsia="zh-CN"/>
              </w:rPr>
              <w:t>1</w:t>
            </w:r>
            <w:r>
              <w:rPr>
                <w:rFonts w:hint="default" w:ascii="Times New Roman" w:hAnsi="Times New Roman" w:cs="Times New Roman" w:eastAsiaTheme="minorEastAsia"/>
                <w:color w:val="auto"/>
                <w:kern w:val="0"/>
                <w:sz w:val="24"/>
                <w:szCs w:val="20"/>
              </w:rPr>
              <w:t>。</w:t>
            </w:r>
          </w:p>
          <w:p w14:paraId="5FFEC6E5">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FF0000"/>
                <w:sz w:val="24"/>
                <w:szCs w:val="20"/>
              </w:rPr>
            </w:pPr>
            <w:r>
              <w:rPr>
                <w:rFonts w:hint="default" w:ascii="Times New Roman" w:hAnsi="Times New Roman" w:cs="Times New Roman" w:eastAsiaTheme="minorEastAsia"/>
                <w:b/>
                <w:bCs/>
                <w:color w:val="auto"/>
                <w:sz w:val="24"/>
                <w:szCs w:val="20"/>
              </w:rPr>
              <w:t>表1-</w:t>
            </w:r>
            <w:r>
              <w:rPr>
                <w:rFonts w:hint="eastAsia" w:ascii="Times New Roman" w:hAnsi="Times New Roman" w:cs="Times New Roman" w:eastAsiaTheme="minorEastAsia"/>
                <w:b/>
                <w:bCs/>
                <w:color w:val="auto"/>
                <w:sz w:val="24"/>
                <w:szCs w:val="20"/>
                <w:lang w:val="en-US" w:eastAsia="zh-CN"/>
              </w:rPr>
              <w:t>1</w:t>
            </w:r>
            <w:r>
              <w:rPr>
                <w:rFonts w:hint="default" w:ascii="Times New Roman" w:hAnsi="Times New Roman" w:cs="Times New Roman" w:eastAsiaTheme="minorEastAsia"/>
                <w:b/>
                <w:bCs/>
                <w:color w:val="auto"/>
                <w:sz w:val="24"/>
                <w:szCs w:val="20"/>
              </w:rPr>
              <w:t>项目实施的政策相符性分析一览表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015"/>
              <w:gridCol w:w="1798"/>
              <w:gridCol w:w="678"/>
            </w:tblGrid>
            <w:tr w14:paraId="7367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6791878C">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政策名称</w:t>
                  </w:r>
                </w:p>
              </w:tc>
              <w:tc>
                <w:tcPr>
                  <w:tcW w:w="4015" w:type="dxa"/>
                  <w:noWrap w:val="0"/>
                  <w:vAlign w:val="center"/>
                </w:tcPr>
                <w:p w14:paraId="25476AA9">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相关要求</w:t>
                  </w:r>
                </w:p>
              </w:tc>
              <w:tc>
                <w:tcPr>
                  <w:tcW w:w="1798" w:type="dxa"/>
                  <w:noWrap w:val="0"/>
                  <w:vAlign w:val="center"/>
                </w:tcPr>
                <w:p w14:paraId="30CFF089">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符合性分析</w:t>
                  </w:r>
                </w:p>
              </w:tc>
              <w:tc>
                <w:tcPr>
                  <w:tcW w:w="678" w:type="dxa"/>
                  <w:noWrap w:val="0"/>
                  <w:vAlign w:val="center"/>
                </w:tcPr>
                <w:p w14:paraId="63183C3B">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相符性</w:t>
                  </w:r>
                </w:p>
              </w:tc>
            </w:tr>
            <w:tr w14:paraId="51FD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restart"/>
                  <w:noWrap w:val="0"/>
                  <w:vAlign w:val="center"/>
                </w:tcPr>
                <w:p w14:paraId="1D484F17">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lang w:val="en-US" w:eastAsia="zh-CN"/>
                    </w:rPr>
                    <w:t>《安徽省淮河流域水污染防治条例》</w:t>
                  </w:r>
                </w:p>
              </w:tc>
              <w:tc>
                <w:tcPr>
                  <w:tcW w:w="4015" w:type="dxa"/>
                  <w:noWrap w:val="0"/>
                  <w:vAlign w:val="center"/>
                </w:tcPr>
                <w:p w14:paraId="61722045">
                  <w:pPr>
                    <w:jc w:val="center"/>
                    <w:rPr>
                      <w:rFonts w:ascii="Times New Roman" w:hAnsi="Times New Roman" w:eastAsia="宋体" w:cs="Times New Roman"/>
                      <w:bCs/>
                      <w:color w:val="auto"/>
                    </w:rPr>
                  </w:pPr>
                  <w:r>
                    <w:rPr>
                      <w:rFonts w:hint="default" w:ascii="Times New Roman" w:hAnsi="Times New Roman" w:eastAsia="宋体" w:cs="Times New Roman"/>
                      <w:bCs/>
                      <w:color w:val="auto"/>
                      <w:lang w:val="en-US" w:eastAsia="zh-CN"/>
                    </w:rPr>
                    <w:t>禁止在淮河流域新建化学制浆造纸企业和印染、制革、化工、电镀、酿造等污染严重的小型企业。</w:t>
                  </w:r>
                </w:p>
                <w:p w14:paraId="194435D9">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严格限制在淮河流域新建印染、制革、化工、电镀、酿造等大中型项目或者其他污染严重的项目；</w:t>
                  </w:r>
                </w:p>
              </w:tc>
              <w:tc>
                <w:tcPr>
                  <w:tcW w:w="1798" w:type="dxa"/>
                  <w:noWrap w:val="0"/>
                  <w:vAlign w:val="center"/>
                </w:tcPr>
                <w:p w14:paraId="6CE5E9BA">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本项目不属于化学制浆造纸企业和印染、制革、化工、电镀、酿造等污染严重的小型企业</w:t>
                  </w:r>
                  <w:r>
                    <w:rPr>
                      <w:rFonts w:hint="eastAsia" w:ascii="Times New Roman" w:hAnsi="Times New Roman" w:eastAsia="宋体" w:cs="Times New Roman"/>
                      <w:bCs/>
                      <w:color w:val="auto"/>
                      <w:lang w:val="en-US" w:eastAsia="zh-CN"/>
                    </w:rPr>
                    <w:t>和</w:t>
                  </w:r>
                  <w:r>
                    <w:rPr>
                      <w:rFonts w:hint="default" w:ascii="Times New Roman" w:hAnsi="Times New Roman" w:eastAsia="宋体" w:cs="Times New Roman"/>
                      <w:bCs/>
                      <w:color w:val="auto"/>
                      <w:lang w:val="en-US" w:eastAsia="zh-CN"/>
                    </w:rPr>
                    <w:t>严格限制的印染、制革、化工、电镀、酿造等大中型项目或者其他污染严重的项目。</w:t>
                  </w:r>
                </w:p>
              </w:tc>
              <w:tc>
                <w:tcPr>
                  <w:tcW w:w="678" w:type="dxa"/>
                  <w:noWrap w:val="0"/>
                  <w:vAlign w:val="center"/>
                </w:tcPr>
                <w:p w14:paraId="034A6AD6">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5DD4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3BB61893">
                  <w:pPr>
                    <w:jc w:val="center"/>
                    <w:rPr>
                      <w:rFonts w:hint="default" w:ascii="Times New Roman" w:hAnsi="Times New Roman" w:eastAsia="宋体" w:cs="Times New Roman"/>
                      <w:bCs/>
                      <w:color w:val="auto"/>
                    </w:rPr>
                  </w:pPr>
                </w:p>
              </w:tc>
              <w:tc>
                <w:tcPr>
                  <w:tcW w:w="4015" w:type="dxa"/>
                  <w:noWrap w:val="0"/>
                  <w:vAlign w:val="center"/>
                </w:tcPr>
                <w:p w14:paraId="768D6954">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新建、扩建、改建项目，除执行</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环境影响报告书（表）</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和环境保护设施必须与主体工程同时设计、同时施工、同时投产使用外。还必须遵守下列规定：</w:t>
                  </w:r>
                </w:p>
                <w:p w14:paraId="621B6E63">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（1）新建项目的选址应符合城市总体规划，避开饮用水源地和对环境有特殊要求的功能区；</w:t>
                  </w:r>
                </w:p>
                <w:p w14:paraId="636F7DBE">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（2）采用资源利用率高、污染物排放量少的先进设备和先进工艺。</w:t>
                  </w:r>
                </w:p>
              </w:tc>
              <w:tc>
                <w:tcPr>
                  <w:tcW w:w="1798" w:type="dxa"/>
                  <w:noWrap w:val="0"/>
                  <w:vAlign w:val="center"/>
                </w:tcPr>
                <w:p w14:paraId="157170B4">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本项目符合</w:t>
                  </w:r>
                  <w:r>
                    <w:rPr>
                      <w:rFonts w:hint="eastAsia" w:ascii="Times New Roman" w:hAnsi="Times New Roman" w:eastAsia="宋体" w:cs="Times New Roman"/>
                      <w:bCs/>
                      <w:color w:val="auto"/>
                      <w:lang w:val="en-US" w:eastAsia="zh-CN"/>
                    </w:rPr>
                    <w:t>金寨县</w:t>
                  </w:r>
                  <w:r>
                    <w:rPr>
                      <w:rFonts w:hint="default" w:ascii="Times New Roman" w:hAnsi="Times New Roman" w:eastAsia="宋体" w:cs="Times New Roman"/>
                      <w:bCs/>
                      <w:color w:val="auto"/>
                      <w:lang w:val="en-US" w:eastAsia="zh-CN"/>
                    </w:rPr>
                    <w:t>产业定位，选址不涉及饮用水源地和对环境有特殊要求的功能区；生产设备和生产工艺资源利用率高、废水污染物减排。</w:t>
                  </w:r>
                </w:p>
              </w:tc>
              <w:tc>
                <w:tcPr>
                  <w:tcW w:w="678" w:type="dxa"/>
                  <w:noWrap w:val="0"/>
                  <w:vAlign w:val="center"/>
                </w:tcPr>
                <w:p w14:paraId="1A776706">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3DFE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restart"/>
                  <w:noWrap w:val="0"/>
                  <w:vAlign w:val="center"/>
                </w:tcPr>
                <w:p w14:paraId="1644DE22">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lang w:val="en-US" w:eastAsia="zh-CN"/>
                    </w:rPr>
                    <w:t>《安徽省</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十四五</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生态环境保护规划》皖环发〔2022〕8号</w:t>
                  </w:r>
                </w:p>
              </w:tc>
              <w:tc>
                <w:tcPr>
                  <w:tcW w:w="4015" w:type="dxa"/>
                  <w:noWrap w:val="0"/>
                  <w:vAlign w:val="center"/>
                </w:tcPr>
                <w:p w14:paraId="4BD0118E">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1）加快产业结构转型升级。以钢铁、水泥、石化、化工、玻璃、有色、印染等行业为重点，开展全流程清洁化、循环化、低碳化改造，促进传统产业绿色转型升级，在火电、钢铁、建材等行业开展减污降碳协同增效。</w:t>
                  </w:r>
                </w:p>
              </w:tc>
              <w:tc>
                <w:tcPr>
                  <w:tcW w:w="1798" w:type="dxa"/>
                  <w:noWrap w:val="0"/>
                  <w:vAlign w:val="center"/>
                </w:tcPr>
                <w:p w14:paraId="695740C5">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本项目不属于钢铁、水泥、石化、化工、玻璃、有色、印染等重点行业。</w:t>
                  </w:r>
                </w:p>
              </w:tc>
              <w:tc>
                <w:tcPr>
                  <w:tcW w:w="678" w:type="dxa"/>
                  <w:noWrap w:val="0"/>
                  <w:vAlign w:val="center"/>
                </w:tcPr>
                <w:p w14:paraId="2FF76DB3">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2F00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63551ACE">
                  <w:pPr>
                    <w:jc w:val="center"/>
                    <w:rPr>
                      <w:rFonts w:hint="default" w:ascii="Times New Roman" w:hAnsi="Times New Roman" w:eastAsia="宋体" w:cs="Times New Roman"/>
                      <w:bCs/>
                      <w:color w:val="auto"/>
                      <w:lang w:val="en-US" w:eastAsia="zh-CN"/>
                    </w:rPr>
                  </w:pPr>
                </w:p>
              </w:tc>
              <w:tc>
                <w:tcPr>
                  <w:tcW w:w="4015" w:type="dxa"/>
                  <w:noWrap w:val="0"/>
                  <w:vAlign w:val="center"/>
                </w:tcPr>
                <w:p w14:paraId="5A5A4B15">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（2）推动能源结构优化。强化能源消费总量和强度双控制度，严格控制能耗强度，有效控制能源消费增量，坚决遏制</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两高</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项目盲目发展。发挥市场配置资源作用，引导能源要素合理流动和高效配置。严格控制煤炭消费总量，大气污染防治重点区域内新、改、扩建用煤项目严格实施煤炭等量或减量替代。</w:t>
                  </w:r>
                </w:p>
              </w:tc>
              <w:tc>
                <w:tcPr>
                  <w:tcW w:w="1798" w:type="dxa"/>
                  <w:noWrap w:val="0"/>
                  <w:vAlign w:val="center"/>
                </w:tcPr>
                <w:p w14:paraId="66222AC4">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本项目不属于安徽省</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两高</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项目管理目录（试行）中规定的</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两高</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项目，本项目不使用煤炭。</w:t>
                  </w:r>
                </w:p>
              </w:tc>
              <w:tc>
                <w:tcPr>
                  <w:tcW w:w="678" w:type="dxa"/>
                  <w:noWrap w:val="0"/>
                  <w:vAlign w:val="center"/>
                </w:tcPr>
                <w:p w14:paraId="3C81654F">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781A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00E6762E">
                  <w:pPr>
                    <w:jc w:val="center"/>
                    <w:rPr>
                      <w:rFonts w:hint="default" w:ascii="Times New Roman" w:hAnsi="Times New Roman" w:eastAsia="宋体" w:cs="Times New Roman"/>
                      <w:bCs/>
                      <w:color w:val="auto"/>
                      <w:lang w:val="en-US" w:eastAsia="zh-CN"/>
                    </w:rPr>
                  </w:pPr>
                </w:p>
              </w:tc>
              <w:tc>
                <w:tcPr>
                  <w:tcW w:w="4015" w:type="dxa"/>
                  <w:noWrap w:val="0"/>
                  <w:vAlign w:val="center"/>
                </w:tcPr>
                <w:p w14:paraId="1C93EFC4">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（3）持续推进重金属污染防控。对排放重金属污染物的重点行业，严格按照等量置换、减量置换原则实施重金属排放总量控制。</w:t>
                  </w:r>
                </w:p>
              </w:tc>
              <w:tc>
                <w:tcPr>
                  <w:tcW w:w="1798" w:type="dxa"/>
                  <w:noWrap w:val="0"/>
                  <w:vAlign w:val="center"/>
                </w:tcPr>
                <w:p w14:paraId="26AB2D2A">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本项目不属于排放重金属污染物的重点行业</w:t>
                  </w:r>
                </w:p>
              </w:tc>
              <w:tc>
                <w:tcPr>
                  <w:tcW w:w="678" w:type="dxa"/>
                  <w:noWrap w:val="0"/>
                  <w:vAlign w:val="center"/>
                </w:tcPr>
                <w:p w14:paraId="71111C30">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1DA2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restart"/>
                  <w:noWrap w:val="0"/>
                  <w:vAlign w:val="center"/>
                </w:tcPr>
                <w:p w14:paraId="5FA6F734">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金寨县“十四五”生态环境保护规划</w:t>
                  </w:r>
                </w:p>
              </w:tc>
              <w:tc>
                <w:tcPr>
                  <w:tcW w:w="4015" w:type="dxa"/>
                  <w:noWrap w:val="0"/>
                  <w:vAlign w:val="center"/>
                </w:tcPr>
                <w:p w14:paraId="3CFC0A59">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在生态保护红线区域内，禁止城镇化、工业化活动和矿产资源开发，禁止建设破坏主要生态功能和生态环境的工程项目，禁止改变区域生态用地，确保空间面积不减少，生态功能不降低，用地性质不转换，主体责任不改变。严格环境准入，各市县要按照管控的严格程度和生态功能重要性，分区分类制定生态保护红线内建设项目环境准入负面清单。</w:t>
                  </w:r>
                </w:p>
              </w:tc>
              <w:tc>
                <w:tcPr>
                  <w:tcW w:w="1798" w:type="dxa"/>
                  <w:noWrap w:val="0"/>
                  <w:vAlign w:val="center"/>
                </w:tcPr>
                <w:p w14:paraId="5C82F4EE">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本项目不在生态红线范围内，不属于环境准入负面清单中的建设项目。</w:t>
                  </w:r>
                </w:p>
              </w:tc>
              <w:tc>
                <w:tcPr>
                  <w:tcW w:w="678" w:type="dxa"/>
                  <w:noWrap w:val="0"/>
                  <w:vAlign w:val="center"/>
                </w:tcPr>
                <w:p w14:paraId="0E9CBB3E">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4A35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21FE8E2F">
                  <w:pPr>
                    <w:jc w:val="center"/>
                    <w:rPr>
                      <w:rFonts w:hint="default" w:ascii="Times New Roman" w:hAnsi="Times New Roman" w:eastAsia="宋体" w:cs="Times New Roman"/>
                      <w:bCs/>
                      <w:color w:val="auto"/>
                      <w:lang w:val="en-US" w:eastAsia="zh-CN"/>
                    </w:rPr>
                  </w:pPr>
                </w:p>
              </w:tc>
              <w:tc>
                <w:tcPr>
                  <w:tcW w:w="4015" w:type="dxa"/>
                  <w:noWrap w:val="0"/>
                  <w:vAlign w:val="center"/>
                </w:tcPr>
                <w:p w14:paraId="7E83F1A3">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强化目标和任务的过程管理，落实钢铁、水泥行业提标改造。大力推进清洁能源使用，加强油品等能源产品质量监管，加强移动源污染治理，加大城市扬尘和餐饮服务业油烟污染整治力度。全面实施有组织排放和无组织排放治理，组织实施《安徽省水泥工业大气污染物排放标准》。推进工业炉窑大气污染综合治理。全面执行锅炉颗粒物、二氧化硫和氮氧化物特别排放限值，动态更新工业炉窑管理清单。</w:t>
                  </w:r>
                </w:p>
              </w:tc>
              <w:tc>
                <w:tcPr>
                  <w:tcW w:w="1798" w:type="dxa"/>
                  <w:noWrap w:val="0"/>
                  <w:vAlign w:val="center"/>
                </w:tcPr>
                <w:p w14:paraId="23732E5C">
                  <w:pPr>
                    <w:jc w:val="center"/>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本项目不属于钢铁、水泥行业，本项目</w:t>
                  </w:r>
                  <w:r>
                    <w:rPr>
                      <w:rFonts w:hint="eastAsia" w:cs="Times New Roman"/>
                      <w:bCs/>
                      <w:color w:val="auto"/>
                      <w:lang w:val="en-US" w:eastAsia="zh-CN"/>
                    </w:rPr>
                    <w:t>生物质锅炉</w:t>
                  </w:r>
                  <w:r>
                    <w:rPr>
                      <w:rFonts w:hint="eastAsia" w:ascii="Times New Roman" w:hAnsi="Times New Roman" w:eastAsia="宋体" w:cs="Times New Roman"/>
                      <w:bCs/>
                      <w:color w:val="auto"/>
                      <w:lang w:val="en-US" w:eastAsia="zh-CN"/>
                    </w:rPr>
                    <w:t>产生的颗粒物、SO</w:t>
                  </w:r>
                  <w:r>
                    <w:rPr>
                      <w:rFonts w:hint="eastAsia" w:ascii="Times New Roman" w:hAnsi="Times New Roman" w:eastAsia="宋体" w:cs="Times New Roman"/>
                      <w:bCs/>
                      <w:color w:val="auto"/>
                      <w:vertAlign w:val="subscript"/>
                      <w:lang w:val="en-US" w:eastAsia="zh-CN"/>
                    </w:rPr>
                    <w:t>2</w:t>
                  </w:r>
                  <w:r>
                    <w:rPr>
                      <w:rFonts w:hint="eastAsia" w:ascii="Times New Roman" w:hAnsi="Times New Roman" w:eastAsia="宋体" w:cs="Times New Roman"/>
                      <w:bCs/>
                      <w:color w:val="auto"/>
                      <w:lang w:val="en-US" w:eastAsia="zh-CN"/>
                    </w:rPr>
                    <w:t>、NO</w:t>
                  </w:r>
                  <w:r>
                    <w:rPr>
                      <w:rFonts w:hint="eastAsia" w:ascii="Times New Roman" w:hAnsi="Times New Roman" w:eastAsia="宋体" w:cs="Times New Roman"/>
                      <w:bCs/>
                      <w:color w:val="auto"/>
                      <w:vertAlign w:val="subscript"/>
                      <w:lang w:val="en-US" w:eastAsia="zh-CN"/>
                    </w:rPr>
                    <w:t>X</w:t>
                  </w:r>
                  <w:r>
                    <w:rPr>
                      <w:rFonts w:hint="eastAsia" w:ascii="Times New Roman" w:hAnsi="Times New Roman" w:eastAsia="宋体" w:cs="Times New Roman"/>
                      <w:bCs/>
                      <w:color w:val="auto"/>
                      <w:lang w:val="en-US" w:eastAsia="zh-CN"/>
                    </w:rPr>
                    <w:t>参照执行《工业炉窑大气污染综合治理方案》</w:t>
                  </w:r>
                </w:p>
                <w:p w14:paraId="757A02D1">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（环大气〔2019〕56 号）中排放限值要求</w:t>
                  </w:r>
                </w:p>
              </w:tc>
              <w:tc>
                <w:tcPr>
                  <w:tcW w:w="678" w:type="dxa"/>
                  <w:noWrap w:val="0"/>
                  <w:vAlign w:val="center"/>
                </w:tcPr>
                <w:p w14:paraId="6112BD67">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bl>
          <w:p w14:paraId="6779DF59">
            <w:pPr>
              <w:adjustRightInd w:val="0"/>
              <w:snapToGrid w:val="0"/>
              <w:jc w:val="left"/>
              <w:rPr>
                <w:color w:val="FF0000"/>
                <w:sz w:val="24"/>
              </w:rPr>
            </w:pPr>
          </w:p>
        </w:tc>
      </w:tr>
    </w:tbl>
    <w:p w14:paraId="0CC0B2AA">
      <w:pPr>
        <w:spacing w:line="360" w:lineRule="auto"/>
        <w:outlineLvl w:val="0"/>
        <w:rPr>
          <w:rFonts w:eastAsia="黑体"/>
          <w:color w:val="FF0000"/>
          <w:sz w:val="30"/>
        </w:rPr>
        <w:sectPr>
          <w:headerReference r:id="rId3" w:type="default"/>
          <w:footerReference r:id="rId4" w:type="default"/>
          <w:pgSz w:w="11906" w:h="16838"/>
          <w:pgMar w:top="1417" w:right="1417" w:bottom="1417" w:left="1417" w:header="851" w:footer="1077" w:gutter="0"/>
          <w:cols w:space="720" w:num="1"/>
          <w:docGrid w:linePitch="312" w:charSpace="0"/>
        </w:sectPr>
      </w:pPr>
    </w:p>
    <w:p w14:paraId="61EC9C9A">
      <w:pPr>
        <w:pStyle w:val="27"/>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二、建设项目工程分析</w:t>
      </w:r>
    </w:p>
    <w:tbl>
      <w:tblPr>
        <w:tblStyle w:val="30"/>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679"/>
      </w:tblGrid>
      <w:tr w14:paraId="66BAB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7" w:type="pct"/>
            <w:vAlign w:val="center"/>
          </w:tcPr>
          <w:p w14:paraId="33F713DF">
            <w:pPr>
              <w:pStyle w:val="27"/>
              <w:adjustRightInd w:val="0"/>
              <w:snapToGrid w:val="0"/>
              <w:spacing w:before="0" w:beforeAutospacing="0" w:after="0" w:afterAutospacing="0" w:line="360" w:lineRule="auto"/>
              <w:jc w:val="center"/>
              <w:rPr>
                <w:rFonts w:ascii="Times New Roman" w:hAnsi="Times New Roman"/>
                <w:color w:val="FF0000"/>
                <w:sz w:val="21"/>
                <w:szCs w:val="21"/>
              </w:rPr>
            </w:pPr>
            <w:r>
              <w:rPr>
                <w:rFonts w:ascii="Times New Roman" w:hAnsi="Times New Roman"/>
                <w:b/>
                <w:bCs/>
                <w:color w:val="auto"/>
              </w:rPr>
              <w:t>建设内容</w:t>
            </w:r>
          </w:p>
        </w:tc>
        <w:tc>
          <w:tcPr>
            <w:tcW w:w="4672" w:type="pct"/>
            <w:vAlign w:val="center"/>
          </w:tcPr>
          <w:p w14:paraId="174B58A9">
            <w:pPr>
              <w:adjustRightInd w:val="0"/>
              <w:snapToGrid w:val="0"/>
              <w:spacing w:line="360" w:lineRule="auto"/>
              <w:rPr>
                <w:b/>
                <w:bCs/>
                <w:color w:val="auto"/>
                <w:sz w:val="28"/>
                <w:szCs w:val="28"/>
              </w:rPr>
            </w:pPr>
            <w:r>
              <w:rPr>
                <w:b/>
                <w:bCs/>
                <w:color w:val="auto"/>
                <w:sz w:val="28"/>
                <w:szCs w:val="28"/>
              </w:rPr>
              <w:t>一、项目建设情况</w:t>
            </w:r>
          </w:p>
          <w:p w14:paraId="5CBAD225">
            <w:pPr>
              <w:spacing w:line="360" w:lineRule="auto"/>
              <w:ind w:firstLine="482" w:firstLineChars="200"/>
              <w:rPr>
                <w:b/>
                <w:color w:val="auto"/>
                <w:sz w:val="24"/>
                <w:szCs w:val="32"/>
              </w:rPr>
            </w:pPr>
            <w:r>
              <w:rPr>
                <w:rFonts w:hint="eastAsia"/>
                <w:b/>
                <w:color w:val="auto"/>
                <w:sz w:val="24"/>
                <w:szCs w:val="32"/>
              </w:rPr>
              <w:t>1、项目由来</w:t>
            </w:r>
          </w:p>
          <w:p w14:paraId="3844F8FC">
            <w:pPr>
              <w:snapToGrid w:val="0"/>
              <w:spacing w:line="360" w:lineRule="auto"/>
              <w:ind w:firstLine="480" w:firstLineChars="200"/>
              <w:rPr>
                <w:bCs/>
                <w:color w:val="auto"/>
                <w:sz w:val="24"/>
              </w:rPr>
            </w:pPr>
            <w:r>
              <w:rPr>
                <w:rFonts w:hint="eastAsia"/>
                <w:color w:val="auto"/>
                <w:sz w:val="24"/>
                <w:lang w:eastAsia="zh-CN"/>
              </w:rPr>
              <w:t>金寨恒瑞竹制品有限公司</w:t>
            </w:r>
            <w:r>
              <w:rPr>
                <w:rFonts w:hint="eastAsia"/>
                <w:color w:val="auto"/>
                <w:sz w:val="24"/>
              </w:rPr>
              <w:t>拟投资</w:t>
            </w:r>
            <w:r>
              <w:rPr>
                <w:rFonts w:hint="eastAsia"/>
                <w:color w:val="auto"/>
                <w:sz w:val="24"/>
                <w:lang w:val="en-US" w:eastAsia="zh-CN"/>
              </w:rPr>
              <w:t>4250</w:t>
            </w:r>
            <w:r>
              <w:rPr>
                <w:rFonts w:hint="eastAsia"/>
                <w:color w:val="auto"/>
                <w:sz w:val="24"/>
              </w:rPr>
              <w:t>万元，</w:t>
            </w:r>
            <w:r>
              <w:rPr>
                <w:rFonts w:hint="eastAsia"/>
                <w:bCs/>
                <w:color w:val="auto"/>
                <w:sz w:val="24"/>
              </w:rPr>
              <w:t>于</w:t>
            </w:r>
            <w:r>
              <w:rPr>
                <w:rFonts w:hint="eastAsia"/>
                <w:color w:val="auto"/>
                <w:sz w:val="24"/>
                <w:szCs w:val="32"/>
                <w:lang w:eastAsia="zh-CN"/>
              </w:rPr>
              <w:t>金寨县梅山镇汪冲村</w:t>
            </w:r>
            <w:r>
              <w:rPr>
                <w:rFonts w:hint="eastAsia"/>
                <w:bCs/>
                <w:color w:val="auto"/>
                <w:sz w:val="24"/>
                <w:lang w:val="en-US" w:eastAsia="zh-CN"/>
              </w:rPr>
              <w:t>建设</w:t>
            </w:r>
            <w:r>
              <w:rPr>
                <w:rFonts w:hint="eastAsia"/>
                <w:bCs/>
                <w:color w:val="auto"/>
                <w:sz w:val="24"/>
                <w:lang w:eastAsia="zh-CN"/>
              </w:rPr>
              <w:t>金寨恒瑞竹制品有限公司竹制品加工厂项目</w:t>
            </w:r>
            <w:r>
              <w:rPr>
                <w:rFonts w:hint="eastAsia"/>
                <w:bCs/>
                <w:color w:val="auto"/>
                <w:sz w:val="24"/>
              </w:rPr>
              <w:t>，总</w:t>
            </w:r>
            <w:r>
              <w:rPr>
                <w:rFonts w:hint="eastAsia"/>
                <w:bCs/>
                <w:color w:val="auto"/>
                <w:sz w:val="24"/>
                <w:lang w:val="en-US" w:eastAsia="zh-CN"/>
              </w:rPr>
              <w:t>占地</w:t>
            </w:r>
            <w:r>
              <w:rPr>
                <w:rFonts w:hint="eastAsia"/>
                <w:bCs/>
                <w:color w:val="auto"/>
                <w:sz w:val="24"/>
              </w:rPr>
              <w:t>面积</w:t>
            </w:r>
            <w:r>
              <w:rPr>
                <w:rFonts w:hint="eastAsia"/>
                <w:bCs/>
                <w:color w:val="auto"/>
                <w:sz w:val="24"/>
                <w:lang w:val="en-US" w:eastAsia="zh-CN"/>
              </w:rPr>
              <w:t>约5369m</w:t>
            </w:r>
            <w:r>
              <w:rPr>
                <w:rFonts w:hint="eastAsia"/>
                <w:bCs/>
                <w:color w:val="auto"/>
                <w:sz w:val="24"/>
                <w:vertAlign w:val="superscript"/>
                <w:lang w:val="en-US" w:eastAsia="zh-CN"/>
              </w:rPr>
              <w:t>2</w:t>
            </w:r>
            <w:r>
              <w:rPr>
                <w:rFonts w:hint="eastAsia"/>
                <w:bCs/>
                <w:color w:val="auto"/>
                <w:sz w:val="24"/>
              </w:rPr>
              <w:t>，新建竹丝、竹片、竹签生产线20条、生物质颗粒等生产线4条，项目建成后达</w:t>
            </w:r>
            <w:r>
              <w:rPr>
                <w:rFonts w:hint="eastAsia"/>
                <w:bCs/>
                <w:color w:val="auto"/>
                <w:sz w:val="24"/>
                <w:lang w:eastAsia="zh-CN"/>
              </w:rPr>
              <w:t>年产</w:t>
            </w:r>
            <w:r>
              <w:rPr>
                <w:rFonts w:hint="eastAsia"/>
                <w:bCs/>
                <w:color w:val="auto"/>
                <w:sz w:val="24"/>
                <w:lang w:val="en-US" w:eastAsia="zh-CN"/>
              </w:rPr>
              <w:t>15000吨生物质颗粒和5000吨竹制品</w:t>
            </w:r>
            <w:r>
              <w:rPr>
                <w:rFonts w:hint="eastAsia"/>
                <w:bCs/>
                <w:color w:val="auto"/>
                <w:sz w:val="24"/>
              </w:rPr>
              <w:t>的</w:t>
            </w:r>
            <w:r>
              <w:rPr>
                <w:rFonts w:hint="eastAsia"/>
                <w:bCs/>
                <w:color w:val="auto"/>
                <w:sz w:val="24"/>
                <w:lang w:val="en-US" w:eastAsia="zh-CN"/>
              </w:rPr>
              <w:t>生产</w:t>
            </w:r>
            <w:r>
              <w:rPr>
                <w:rFonts w:hint="eastAsia"/>
                <w:bCs/>
                <w:color w:val="auto"/>
                <w:sz w:val="24"/>
              </w:rPr>
              <w:t>规模。</w:t>
            </w:r>
          </w:p>
          <w:p w14:paraId="71D4F947">
            <w:pPr>
              <w:snapToGrid w:val="0"/>
              <w:spacing w:line="360" w:lineRule="auto"/>
              <w:ind w:firstLine="480" w:firstLineChars="200"/>
              <w:rPr>
                <w:bCs/>
                <w:color w:val="auto"/>
                <w:sz w:val="24"/>
              </w:rPr>
            </w:pPr>
            <w:r>
              <w:rPr>
                <w:bCs/>
                <w:color w:val="auto"/>
                <w:sz w:val="24"/>
              </w:rPr>
              <w:t>根据《建设项目环境影响评价分类管理名录》（2021版），</w:t>
            </w:r>
            <w:r>
              <w:rPr>
                <w:rFonts w:hint="eastAsia"/>
                <w:bCs/>
                <w:color w:val="auto"/>
                <w:sz w:val="24"/>
              </w:rPr>
              <w:t>本项目属于“</w:t>
            </w:r>
            <w:r>
              <w:rPr>
                <w:rFonts w:hint="eastAsia"/>
                <w:color w:val="auto"/>
                <w:sz w:val="24"/>
                <w:lang w:val="en-US" w:eastAsia="zh-CN"/>
              </w:rPr>
              <w:t>二十二、石油、煤炭及其他燃料加工业 25、生物质燃料加工 254-生物质致密成型燃料加工</w:t>
            </w:r>
            <w:r>
              <w:rPr>
                <w:rFonts w:hint="eastAsia"/>
                <w:bCs/>
                <w:color w:val="auto"/>
                <w:sz w:val="24"/>
              </w:rPr>
              <w:t>”</w:t>
            </w:r>
            <w:r>
              <w:rPr>
                <w:rFonts w:hint="eastAsia"/>
                <w:color w:val="auto"/>
                <w:sz w:val="24"/>
              </w:rPr>
              <w:t>，</w:t>
            </w:r>
            <w:r>
              <w:rPr>
                <w:rFonts w:hint="eastAsia"/>
                <w:bCs/>
                <w:color w:val="auto"/>
                <w:sz w:val="24"/>
              </w:rPr>
              <w:t>应编制报告表。</w:t>
            </w:r>
          </w:p>
          <w:p w14:paraId="48D4AA61">
            <w:pPr>
              <w:pStyle w:val="96"/>
              <w:spacing w:line="360" w:lineRule="auto"/>
              <w:rPr>
                <w:color w:val="auto"/>
              </w:rPr>
            </w:pPr>
            <w:r>
              <w:rPr>
                <w:bCs w:val="0"/>
                <w:color w:val="auto"/>
                <w:kern w:val="2"/>
                <w:sz w:val="24"/>
                <w:szCs w:val="21"/>
              </w:rPr>
              <w:t>表2-1建设项目环境影响评价分类管理名录（2021年版，摘录）</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542"/>
              <w:gridCol w:w="1274"/>
              <w:gridCol w:w="4240"/>
              <w:gridCol w:w="882"/>
            </w:tblGrid>
            <w:tr w14:paraId="62A9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57" w:type="dxa"/>
                  <w:gridSpan w:val="2"/>
                  <w:tcBorders>
                    <w:tl2br w:val="single" w:color="auto" w:sz="4" w:space="0"/>
                  </w:tcBorders>
                  <w:shd w:val="clear" w:color="auto" w:fill="auto"/>
                </w:tcPr>
                <w:p w14:paraId="198CFEEC">
                  <w:pPr>
                    <w:jc w:val="center"/>
                    <w:rPr>
                      <w:b/>
                      <w:color w:val="auto"/>
                    </w:rPr>
                  </w:pPr>
                  <w:r>
                    <w:rPr>
                      <w:rFonts w:hint="eastAsia"/>
                      <w:b/>
                      <w:color w:val="auto"/>
                    </w:rPr>
                    <w:t xml:space="preserve"> </w:t>
                  </w:r>
                  <w:r>
                    <w:rPr>
                      <w:b/>
                      <w:color w:val="auto"/>
                    </w:rPr>
                    <w:t xml:space="preserve">        环评类别</w:t>
                  </w:r>
                </w:p>
                <w:p w14:paraId="4A7BC7B0">
                  <w:pPr>
                    <w:jc w:val="center"/>
                    <w:rPr>
                      <w:b/>
                      <w:color w:val="auto"/>
                    </w:rPr>
                  </w:pPr>
                  <w:r>
                    <w:rPr>
                      <w:b/>
                      <w:color w:val="auto"/>
                    </w:rPr>
                    <w:t>项目类别</w:t>
                  </w:r>
                </w:p>
              </w:tc>
              <w:tc>
                <w:tcPr>
                  <w:tcW w:w="1274" w:type="dxa"/>
                  <w:shd w:val="clear" w:color="auto" w:fill="auto"/>
                  <w:vAlign w:val="center"/>
                </w:tcPr>
                <w:p w14:paraId="111996EF">
                  <w:pPr>
                    <w:jc w:val="center"/>
                    <w:rPr>
                      <w:b/>
                      <w:color w:val="auto"/>
                    </w:rPr>
                  </w:pPr>
                  <w:r>
                    <w:rPr>
                      <w:b/>
                      <w:color w:val="auto"/>
                    </w:rPr>
                    <w:t>报告书</w:t>
                  </w:r>
                </w:p>
              </w:tc>
              <w:tc>
                <w:tcPr>
                  <w:tcW w:w="4240" w:type="dxa"/>
                  <w:shd w:val="clear" w:color="auto" w:fill="auto"/>
                  <w:vAlign w:val="center"/>
                </w:tcPr>
                <w:p w14:paraId="700386EC">
                  <w:pPr>
                    <w:jc w:val="center"/>
                    <w:rPr>
                      <w:b/>
                      <w:color w:val="auto"/>
                    </w:rPr>
                  </w:pPr>
                  <w:r>
                    <w:rPr>
                      <w:b/>
                      <w:color w:val="auto"/>
                    </w:rPr>
                    <w:t>报告表</w:t>
                  </w:r>
                </w:p>
              </w:tc>
              <w:tc>
                <w:tcPr>
                  <w:tcW w:w="882" w:type="dxa"/>
                  <w:shd w:val="clear" w:color="auto" w:fill="auto"/>
                  <w:vAlign w:val="center"/>
                </w:tcPr>
                <w:p w14:paraId="7A9D2A70">
                  <w:pPr>
                    <w:jc w:val="center"/>
                    <w:rPr>
                      <w:b/>
                      <w:color w:val="auto"/>
                    </w:rPr>
                  </w:pPr>
                  <w:r>
                    <w:rPr>
                      <w:b/>
                      <w:color w:val="auto"/>
                    </w:rPr>
                    <w:t>登记表</w:t>
                  </w:r>
                </w:p>
              </w:tc>
            </w:tr>
            <w:tr w14:paraId="74F0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53" w:type="dxa"/>
                  <w:gridSpan w:val="5"/>
                  <w:shd w:val="clear" w:color="auto" w:fill="auto"/>
                  <w:vAlign w:val="center"/>
                </w:tcPr>
                <w:p w14:paraId="6868AB41">
                  <w:pPr>
                    <w:jc w:val="center"/>
                    <w:rPr>
                      <w:bCs/>
                      <w:color w:val="auto"/>
                    </w:rPr>
                  </w:pPr>
                  <w:r>
                    <w:rPr>
                      <w:rFonts w:hint="eastAsia"/>
                      <w:bCs/>
                      <w:color w:val="auto"/>
                      <w:lang w:val="en-US" w:eastAsia="zh-CN"/>
                    </w:rPr>
                    <w:t>二十二、石油、煤炭及其他燃料加工业 25</w:t>
                  </w:r>
                </w:p>
              </w:tc>
            </w:tr>
            <w:tr w14:paraId="3E25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15" w:type="dxa"/>
                  <w:shd w:val="clear" w:color="auto" w:fill="auto"/>
                  <w:vAlign w:val="center"/>
                </w:tcPr>
                <w:p w14:paraId="3F3F8E7E">
                  <w:pPr>
                    <w:jc w:val="center"/>
                    <w:rPr>
                      <w:rFonts w:hint="default" w:eastAsia="宋体"/>
                      <w:bCs/>
                      <w:color w:val="auto"/>
                      <w:lang w:val="en-US" w:eastAsia="zh-CN"/>
                    </w:rPr>
                  </w:pPr>
                  <w:r>
                    <w:rPr>
                      <w:rFonts w:hint="eastAsia"/>
                      <w:bCs/>
                      <w:color w:val="auto"/>
                      <w:lang w:val="en-US" w:eastAsia="zh-CN"/>
                    </w:rPr>
                    <w:t>43</w:t>
                  </w:r>
                </w:p>
              </w:tc>
              <w:tc>
                <w:tcPr>
                  <w:tcW w:w="1542" w:type="dxa"/>
                  <w:shd w:val="clear" w:color="auto" w:fill="auto"/>
                  <w:vAlign w:val="center"/>
                </w:tcPr>
                <w:p w14:paraId="7987198C">
                  <w:pPr>
                    <w:jc w:val="center"/>
                    <w:rPr>
                      <w:bCs/>
                      <w:color w:val="auto"/>
                    </w:rPr>
                  </w:pPr>
                  <w:r>
                    <w:rPr>
                      <w:rFonts w:hint="eastAsia"/>
                      <w:bCs/>
                      <w:color w:val="auto"/>
                    </w:rPr>
                    <w:t>生物质燃料加工 254</w:t>
                  </w:r>
                </w:p>
              </w:tc>
              <w:tc>
                <w:tcPr>
                  <w:tcW w:w="1274" w:type="dxa"/>
                  <w:shd w:val="clear" w:color="auto" w:fill="auto"/>
                  <w:vAlign w:val="center"/>
                </w:tcPr>
                <w:p w14:paraId="04B8022B">
                  <w:pPr>
                    <w:jc w:val="center"/>
                    <w:rPr>
                      <w:b w:val="0"/>
                      <w:bCs/>
                      <w:color w:val="auto"/>
                    </w:rPr>
                  </w:pPr>
                  <w:r>
                    <w:rPr>
                      <w:rFonts w:hint="eastAsia"/>
                      <w:b w:val="0"/>
                      <w:bCs/>
                      <w:color w:val="auto"/>
                    </w:rPr>
                    <w:t>生物质液体燃料生产</w:t>
                  </w:r>
                </w:p>
              </w:tc>
              <w:tc>
                <w:tcPr>
                  <w:tcW w:w="4240" w:type="dxa"/>
                  <w:shd w:val="clear" w:color="auto" w:fill="FFFFFF" w:themeFill="background1"/>
                  <w:vAlign w:val="center"/>
                </w:tcPr>
                <w:p w14:paraId="70CBD2E4">
                  <w:pPr>
                    <w:jc w:val="center"/>
                    <w:rPr>
                      <w:b w:val="0"/>
                      <w:bCs/>
                      <w:color w:val="auto"/>
                    </w:rPr>
                  </w:pPr>
                  <w:r>
                    <w:rPr>
                      <w:rFonts w:hint="eastAsia"/>
                      <w:b/>
                      <w:bCs w:val="0"/>
                      <w:color w:val="auto"/>
                    </w:rPr>
                    <w:t>生物质致密成型燃料加工</w:t>
                  </w:r>
                </w:p>
              </w:tc>
              <w:tc>
                <w:tcPr>
                  <w:tcW w:w="882" w:type="dxa"/>
                  <w:shd w:val="clear" w:color="auto" w:fill="auto"/>
                  <w:vAlign w:val="center"/>
                </w:tcPr>
                <w:p w14:paraId="1ED279FB">
                  <w:pPr>
                    <w:jc w:val="center"/>
                    <w:rPr>
                      <w:bCs/>
                      <w:color w:val="auto"/>
                    </w:rPr>
                  </w:pPr>
                  <w:r>
                    <w:rPr>
                      <w:bCs/>
                      <w:color w:val="auto"/>
                    </w:rPr>
                    <w:t>/</w:t>
                  </w:r>
                </w:p>
              </w:tc>
            </w:tr>
          </w:tbl>
          <w:p w14:paraId="22764DD4">
            <w:pPr>
              <w:snapToGrid w:val="0"/>
              <w:spacing w:line="360" w:lineRule="auto"/>
              <w:ind w:firstLine="480" w:firstLineChars="200"/>
              <w:rPr>
                <w:color w:val="auto"/>
                <w:sz w:val="24"/>
              </w:rPr>
            </w:pPr>
            <w:r>
              <w:rPr>
                <w:rFonts w:hint="eastAsia"/>
                <w:color w:val="auto"/>
                <w:sz w:val="24"/>
              </w:rPr>
              <w:t>本项目属于</w:t>
            </w:r>
            <w:r>
              <w:rPr>
                <w:rFonts w:hint="eastAsia"/>
                <w:color w:val="auto"/>
                <w:sz w:val="24"/>
                <w:lang w:eastAsia="zh-CN"/>
              </w:rPr>
              <w:t>C2542生物质致密成型燃料加工</w:t>
            </w:r>
            <w:r>
              <w:rPr>
                <w:rFonts w:hint="eastAsia"/>
                <w:color w:val="auto"/>
                <w:sz w:val="24"/>
              </w:rPr>
              <w:t>。根据《固定污染源排污许可分类管理名录》（2019年版）中相关内容。本次</w:t>
            </w:r>
            <w:r>
              <w:rPr>
                <w:rFonts w:hint="eastAsia"/>
                <w:color w:val="auto"/>
                <w:sz w:val="24"/>
                <w:lang w:val="en-US" w:eastAsia="zh-CN"/>
              </w:rPr>
              <w:t>扩</w:t>
            </w:r>
            <w:r>
              <w:rPr>
                <w:rFonts w:hint="eastAsia"/>
                <w:color w:val="auto"/>
                <w:sz w:val="24"/>
              </w:rPr>
              <w:t>建项目属于排污许可中“</w:t>
            </w:r>
            <w:r>
              <w:rPr>
                <w:rFonts w:hint="eastAsia"/>
                <w:color w:val="auto"/>
                <w:sz w:val="24"/>
                <w:lang w:val="en-US" w:eastAsia="zh-CN"/>
              </w:rPr>
              <w:t>登记管理</w:t>
            </w:r>
            <w:r>
              <w:rPr>
                <w:rFonts w:hint="eastAsia"/>
                <w:color w:val="auto"/>
                <w:sz w:val="24"/>
              </w:rPr>
              <w:t>”。</w:t>
            </w:r>
          </w:p>
          <w:p w14:paraId="28C43E0B">
            <w:pPr>
              <w:pStyle w:val="96"/>
              <w:spacing w:line="360" w:lineRule="auto"/>
              <w:rPr>
                <w:color w:val="auto"/>
              </w:rPr>
            </w:pPr>
            <w:r>
              <w:rPr>
                <w:bCs w:val="0"/>
                <w:color w:val="auto"/>
                <w:kern w:val="2"/>
                <w:sz w:val="24"/>
                <w:szCs w:val="21"/>
              </w:rPr>
              <w:t>表2-</w:t>
            </w:r>
            <w:r>
              <w:rPr>
                <w:rFonts w:hint="eastAsia"/>
                <w:bCs w:val="0"/>
                <w:color w:val="auto"/>
                <w:kern w:val="2"/>
                <w:sz w:val="24"/>
                <w:szCs w:val="21"/>
              </w:rPr>
              <w:t>2固定污染源</w:t>
            </w:r>
            <w:r>
              <w:rPr>
                <w:bCs w:val="0"/>
                <w:color w:val="auto"/>
                <w:kern w:val="2"/>
                <w:sz w:val="24"/>
                <w:szCs w:val="21"/>
              </w:rPr>
              <w:t>分类管理名录（20</w:t>
            </w:r>
            <w:r>
              <w:rPr>
                <w:rFonts w:hint="eastAsia"/>
                <w:bCs w:val="0"/>
                <w:color w:val="auto"/>
                <w:kern w:val="2"/>
                <w:sz w:val="24"/>
                <w:szCs w:val="21"/>
              </w:rPr>
              <w:t>19</w:t>
            </w:r>
            <w:r>
              <w:rPr>
                <w:bCs w:val="0"/>
                <w:color w:val="auto"/>
                <w:kern w:val="2"/>
                <w:sz w:val="24"/>
                <w:szCs w:val="21"/>
              </w:rPr>
              <w:t>年版，摘录）</w:t>
            </w:r>
          </w:p>
          <w:tbl>
            <w:tblPr>
              <w:tblStyle w:val="30"/>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1790"/>
              <w:gridCol w:w="3745"/>
              <w:gridCol w:w="883"/>
              <w:gridCol w:w="883"/>
            </w:tblGrid>
            <w:tr w14:paraId="6FA7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5" w:type="dxa"/>
                  <w:gridSpan w:val="2"/>
                  <w:tcBorders>
                    <w:tl2br w:val="single" w:color="auto" w:sz="4" w:space="0"/>
                  </w:tcBorders>
                  <w:shd w:val="clear" w:color="auto" w:fill="auto"/>
                </w:tcPr>
                <w:p w14:paraId="5A33CF59">
                  <w:pPr>
                    <w:jc w:val="center"/>
                    <w:rPr>
                      <w:b/>
                      <w:color w:val="auto"/>
                    </w:rPr>
                  </w:pPr>
                  <w:r>
                    <w:rPr>
                      <w:rFonts w:hint="eastAsia"/>
                      <w:b/>
                      <w:color w:val="auto"/>
                    </w:rPr>
                    <w:t>管理类别</w:t>
                  </w:r>
                </w:p>
                <w:p w14:paraId="030ED953">
                  <w:pPr>
                    <w:jc w:val="center"/>
                    <w:rPr>
                      <w:b/>
                      <w:color w:val="auto"/>
                    </w:rPr>
                  </w:pPr>
                  <w:r>
                    <w:rPr>
                      <w:rFonts w:hint="eastAsia"/>
                      <w:b/>
                      <w:color w:val="auto"/>
                    </w:rPr>
                    <w:t>行业类别</w:t>
                  </w:r>
                </w:p>
              </w:tc>
              <w:tc>
                <w:tcPr>
                  <w:tcW w:w="1790" w:type="dxa"/>
                  <w:shd w:val="clear" w:color="auto" w:fill="auto"/>
                  <w:vAlign w:val="center"/>
                </w:tcPr>
                <w:p w14:paraId="3A1F7CE7">
                  <w:pPr>
                    <w:jc w:val="center"/>
                    <w:rPr>
                      <w:b/>
                      <w:color w:val="auto"/>
                    </w:rPr>
                  </w:pPr>
                  <w:r>
                    <w:rPr>
                      <w:rFonts w:hint="eastAsia"/>
                      <w:b/>
                      <w:color w:val="auto"/>
                    </w:rPr>
                    <w:t>重点管理</w:t>
                  </w:r>
                </w:p>
              </w:tc>
              <w:tc>
                <w:tcPr>
                  <w:tcW w:w="3745" w:type="dxa"/>
                  <w:shd w:val="clear" w:color="auto" w:fill="auto"/>
                  <w:vAlign w:val="center"/>
                </w:tcPr>
                <w:p w14:paraId="2CA413EC">
                  <w:pPr>
                    <w:jc w:val="center"/>
                    <w:rPr>
                      <w:b/>
                      <w:color w:val="auto"/>
                    </w:rPr>
                  </w:pPr>
                  <w:r>
                    <w:rPr>
                      <w:rFonts w:hint="eastAsia"/>
                      <w:b/>
                      <w:color w:val="auto"/>
                    </w:rPr>
                    <w:t>简化管理</w:t>
                  </w:r>
                </w:p>
              </w:tc>
              <w:tc>
                <w:tcPr>
                  <w:tcW w:w="883" w:type="dxa"/>
                  <w:shd w:val="clear" w:color="auto" w:fill="auto"/>
                  <w:vAlign w:val="center"/>
                </w:tcPr>
                <w:p w14:paraId="72F4531B">
                  <w:pPr>
                    <w:jc w:val="center"/>
                    <w:rPr>
                      <w:b/>
                      <w:color w:val="auto"/>
                    </w:rPr>
                  </w:pPr>
                  <w:r>
                    <w:rPr>
                      <w:rFonts w:hint="eastAsia"/>
                      <w:b/>
                      <w:color w:val="auto"/>
                    </w:rPr>
                    <w:t>登记管理</w:t>
                  </w:r>
                </w:p>
              </w:tc>
              <w:tc>
                <w:tcPr>
                  <w:tcW w:w="883" w:type="dxa"/>
                  <w:shd w:val="clear" w:color="auto" w:fill="auto"/>
                  <w:vAlign w:val="center"/>
                </w:tcPr>
                <w:p w14:paraId="05463D49">
                  <w:pPr>
                    <w:jc w:val="center"/>
                    <w:rPr>
                      <w:rFonts w:hint="eastAsia"/>
                      <w:b/>
                      <w:color w:val="auto"/>
                    </w:rPr>
                  </w:pPr>
                </w:p>
              </w:tc>
            </w:tr>
            <w:tr w14:paraId="0A63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53" w:type="dxa"/>
                  <w:gridSpan w:val="5"/>
                  <w:shd w:val="clear" w:color="auto" w:fill="auto"/>
                  <w:vAlign w:val="center"/>
                </w:tcPr>
                <w:p w14:paraId="790EA322">
                  <w:pPr>
                    <w:jc w:val="center"/>
                    <w:rPr>
                      <w:bCs/>
                      <w:color w:val="auto"/>
                    </w:rPr>
                  </w:pPr>
                  <w:r>
                    <w:rPr>
                      <w:rFonts w:hint="eastAsia"/>
                      <w:bCs/>
                      <w:color w:val="auto"/>
                    </w:rPr>
                    <w:t>二十、石油、煤炭及其他燃料加工业 25</w:t>
                  </w:r>
                </w:p>
              </w:tc>
              <w:tc>
                <w:tcPr>
                  <w:tcW w:w="883" w:type="dxa"/>
                  <w:shd w:val="clear" w:color="auto" w:fill="auto"/>
                  <w:vAlign w:val="center"/>
                </w:tcPr>
                <w:p w14:paraId="721CEA54">
                  <w:pPr>
                    <w:jc w:val="center"/>
                    <w:rPr>
                      <w:rFonts w:hint="eastAsia"/>
                      <w:bCs/>
                      <w:color w:val="auto"/>
                    </w:rPr>
                  </w:pPr>
                </w:p>
              </w:tc>
            </w:tr>
            <w:tr w14:paraId="30B1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51" w:type="dxa"/>
                  <w:shd w:val="clear" w:color="auto" w:fill="auto"/>
                  <w:vAlign w:val="center"/>
                </w:tcPr>
                <w:p w14:paraId="023B67B4">
                  <w:pPr>
                    <w:jc w:val="center"/>
                    <w:rPr>
                      <w:rFonts w:hint="default" w:eastAsia="宋体"/>
                      <w:bCs/>
                      <w:color w:val="auto"/>
                      <w:lang w:val="en-US" w:eastAsia="zh-CN"/>
                    </w:rPr>
                  </w:pPr>
                  <w:r>
                    <w:rPr>
                      <w:rFonts w:hint="eastAsia"/>
                      <w:bCs/>
                      <w:color w:val="auto"/>
                      <w:lang w:val="en-US" w:eastAsia="zh-CN"/>
                    </w:rPr>
                    <w:t>44</w:t>
                  </w:r>
                </w:p>
              </w:tc>
              <w:tc>
                <w:tcPr>
                  <w:tcW w:w="1384" w:type="dxa"/>
                  <w:shd w:val="clear" w:color="auto" w:fill="auto"/>
                  <w:vAlign w:val="center"/>
                </w:tcPr>
                <w:p w14:paraId="7AA6455F">
                  <w:pPr>
                    <w:jc w:val="center"/>
                    <w:rPr>
                      <w:bCs/>
                      <w:color w:val="auto"/>
                    </w:rPr>
                  </w:pPr>
                  <w:r>
                    <w:rPr>
                      <w:rFonts w:hint="eastAsia"/>
                      <w:bCs/>
                      <w:color w:val="auto"/>
                    </w:rPr>
                    <w:t>生物质燃料加工 254</w:t>
                  </w:r>
                </w:p>
              </w:tc>
              <w:tc>
                <w:tcPr>
                  <w:tcW w:w="1790" w:type="dxa"/>
                  <w:shd w:val="clear" w:color="auto" w:fill="auto"/>
                  <w:vAlign w:val="center"/>
                </w:tcPr>
                <w:p w14:paraId="389DFC50">
                  <w:pPr>
                    <w:jc w:val="center"/>
                    <w:rPr>
                      <w:bCs/>
                      <w:color w:val="auto"/>
                    </w:rPr>
                  </w:pPr>
                  <w:r>
                    <w:rPr>
                      <w:rFonts w:hint="eastAsia"/>
                      <w:bCs/>
                      <w:color w:val="auto"/>
                    </w:rPr>
                    <w:t>涉及通用工序重点管理的</w:t>
                  </w:r>
                </w:p>
              </w:tc>
              <w:tc>
                <w:tcPr>
                  <w:tcW w:w="3745" w:type="dxa"/>
                  <w:shd w:val="clear" w:color="auto" w:fill="auto"/>
                  <w:vAlign w:val="center"/>
                </w:tcPr>
                <w:p w14:paraId="0C5431D5">
                  <w:pPr>
                    <w:jc w:val="center"/>
                    <w:rPr>
                      <w:bCs/>
                      <w:color w:val="auto"/>
                    </w:rPr>
                  </w:pPr>
                  <w:r>
                    <w:rPr>
                      <w:rFonts w:hint="eastAsia"/>
                      <w:bCs/>
                      <w:color w:val="auto"/>
                    </w:rPr>
                    <w:t>涉及通用工序简化管理的</w:t>
                  </w:r>
                </w:p>
              </w:tc>
              <w:tc>
                <w:tcPr>
                  <w:tcW w:w="883" w:type="dxa"/>
                  <w:shd w:val="clear" w:color="auto" w:fill="FFFFFF" w:themeFill="background1"/>
                  <w:vAlign w:val="center"/>
                </w:tcPr>
                <w:p w14:paraId="0E2D2BB3">
                  <w:pPr>
                    <w:jc w:val="center"/>
                    <w:rPr>
                      <w:bCs/>
                      <w:color w:val="auto"/>
                    </w:rPr>
                  </w:pPr>
                  <w:r>
                    <w:rPr>
                      <w:rFonts w:hint="eastAsia"/>
                      <w:b/>
                      <w:bCs w:val="0"/>
                      <w:color w:val="auto"/>
                    </w:rPr>
                    <w:t>其他</w:t>
                  </w:r>
                </w:p>
              </w:tc>
              <w:tc>
                <w:tcPr>
                  <w:tcW w:w="883" w:type="dxa"/>
                  <w:shd w:val="clear" w:color="auto" w:fill="FFFFFF" w:themeFill="background1"/>
                  <w:vAlign w:val="center"/>
                </w:tcPr>
                <w:p w14:paraId="3A130710">
                  <w:pPr>
                    <w:jc w:val="center"/>
                    <w:rPr>
                      <w:rFonts w:hint="eastAsia"/>
                      <w:b/>
                      <w:bCs w:val="0"/>
                      <w:color w:val="auto"/>
                    </w:rPr>
                  </w:pPr>
                </w:p>
              </w:tc>
            </w:tr>
          </w:tbl>
          <w:p w14:paraId="571167C0">
            <w:pPr>
              <w:spacing w:line="360" w:lineRule="auto"/>
              <w:ind w:firstLine="482" w:firstLineChars="200"/>
              <w:rPr>
                <w:b/>
                <w:color w:val="auto"/>
                <w:sz w:val="24"/>
                <w:szCs w:val="32"/>
              </w:rPr>
            </w:pPr>
            <w:r>
              <w:rPr>
                <w:rFonts w:hint="eastAsia"/>
                <w:b/>
                <w:color w:val="auto"/>
                <w:sz w:val="24"/>
                <w:szCs w:val="32"/>
              </w:rPr>
              <w:t>2</w:t>
            </w:r>
            <w:r>
              <w:rPr>
                <w:b/>
                <w:color w:val="auto"/>
                <w:sz w:val="24"/>
                <w:szCs w:val="32"/>
              </w:rPr>
              <w:t>、项目名称、地点、建设单位</w:t>
            </w:r>
          </w:p>
          <w:p w14:paraId="05D34BCB">
            <w:pPr>
              <w:spacing w:line="360" w:lineRule="auto"/>
              <w:ind w:firstLine="480" w:firstLineChars="200"/>
              <w:rPr>
                <w:color w:val="auto"/>
                <w:sz w:val="24"/>
                <w:szCs w:val="32"/>
              </w:rPr>
            </w:pPr>
            <w:r>
              <w:rPr>
                <w:color w:val="auto"/>
                <w:sz w:val="24"/>
                <w:szCs w:val="32"/>
              </w:rPr>
              <w:t>建设单位：</w:t>
            </w:r>
            <w:r>
              <w:rPr>
                <w:rFonts w:hint="eastAsia"/>
                <w:color w:val="auto"/>
                <w:sz w:val="24"/>
                <w:szCs w:val="32"/>
                <w:lang w:eastAsia="zh-CN"/>
              </w:rPr>
              <w:t>金寨恒瑞竹制品有限公司</w:t>
            </w:r>
            <w:r>
              <w:rPr>
                <w:color w:val="auto"/>
                <w:sz w:val="24"/>
                <w:szCs w:val="32"/>
              </w:rPr>
              <w:t>；</w:t>
            </w:r>
          </w:p>
          <w:p w14:paraId="666F49F5">
            <w:pPr>
              <w:spacing w:line="360" w:lineRule="auto"/>
              <w:ind w:firstLine="480" w:firstLineChars="200"/>
              <w:rPr>
                <w:color w:val="auto"/>
                <w:sz w:val="24"/>
                <w:szCs w:val="32"/>
              </w:rPr>
            </w:pPr>
            <w:r>
              <w:rPr>
                <w:color w:val="auto"/>
                <w:sz w:val="24"/>
                <w:szCs w:val="32"/>
              </w:rPr>
              <w:t>项目名称：</w:t>
            </w:r>
            <w:r>
              <w:rPr>
                <w:rFonts w:hint="eastAsia"/>
                <w:color w:val="auto"/>
                <w:sz w:val="24"/>
                <w:lang w:eastAsia="zh-CN"/>
              </w:rPr>
              <w:t>金寨恒瑞竹制品有限公司竹制品加工厂项目</w:t>
            </w:r>
            <w:r>
              <w:rPr>
                <w:color w:val="auto"/>
                <w:sz w:val="24"/>
                <w:szCs w:val="32"/>
              </w:rPr>
              <w:t>；</w:t>
            </w:r>
          </w:p>
          <w:p w14:paraId="02C6F691">
            <w:pPr>
              <w:spacing w:line="360" w:lineRule="auto"/>
              <w:ind w:firstLine="480" w:firstLineChars="200"/>
              <w:rPr>
                <w:color w:val="auto"/>
                <w:sz w:val="24"/>
                <w:szCs w:val="32"/>
              </w:rPr>
            </w:pPr>
            <w:r>
              <w:rPr>
                <w:color w:val="auto"/>
                <w:sz w:val="24"/>
                <w:szCs w:val="32"/>
              </w:rPr>
              <w:t>建设地点：</w:t>
            </w:r>
            <w:r>
              <w:rPr>
                <w:rFonts w:hint="eastAsia"/>
                <w:color w:val="auto"/>
                <w:sz w:val="24"/>
                <w:szCs w:val="32"/>
                <w:lang w:eastAsia="zh-CN"/>
              </w:rPr>
              <w:t>金寨县梅山镇汪冲村</w:t>
            </w:r>
            <w:r>
              <w:rPr>
                <w:color w:val="auto"/>
                <w:sz w:val="24"/>
                <w:szCs w:val="32"/>
              </w:rPr>
              <w:t>；</w:t>
            </w:r>
          </w:p>
          <w:p w14:paraId="598FC4CD">
            <w:pPr>
              <w:spacing w:line="360" w:lineRule="auto"/>
              <w:ind w:firstLine="480" w:firstLineChars="200"/>
              <w:rPr>
                <w:color w:val="auto"/>
                <w:sz w:val="24"/>
                <w:szCs w:val="32"/>
              </w:rPr>
            </w:pPr>
            <w:r>
              <w:rPr>
                <w:color w:val="auto"/>
                <w:sz w:val="24"/>
                <w:szCs w:val="32"/>
              </w:rPr>
              <w:t>建设规模：</w:t>
            </w:r>
            <w:r>
              <w:rPr>
                <w:rFonts w:hint="eastAsia"/>
                <w:bCs/>
                <w:color w:val="auto"/>
                <w:sz w:val="24"/>
              </w:rPr>
              <w:t>总</w:t>
            </w:r>
            <w:r>
              <w:rPr>
                <w:rFonts w:hint="eastAsia"/>
                <w:bCs/>
                <w:color w:val="auto"/>
                <w:sz w:val="24"/>
                <w:lang w:val="en-US" w:eastAsia="zh-CN"/>
              </w:rPr>
              <w:t>占地</w:t>
            </w:r>
            <w:r>
              <w:rPr>
                <w:rFonts w:hint="eastAsia"/>
                <w:bCs/>
                <w:color w:val="auto"/>
                <w:sz w:val="24"/>
              </w:rPr>
              <w:t>面积</w:t>
            </w:r>
            <w:r>
              <w:rPr>
                <w:rFonts w:hint="eastAsia"/>
                <w:bCs/>
                <w:color w:val="auto"/>
                <w:sz w:val="24"/>
                <w:lang w:val="en-US" w:eastAsia="zh-CN"/>
              </w:rPr>
              <w:t>约5369m</w:t>
            </w:r>
            <w:r>
              <w:rPr>
                <w:rFonts w:hint="eastAsia"/>
                <w:bCs/>
                <w:color w:val="auto"/>
                <w:sz w:val="24"/>
                <w:vertAlign w:val="superscript"/>
                <w:lang w:val="en-US" w:eastAsia="zh-CN"/>
              </w:rPr>
              <w:t>2</w:t>
            </w:r>
            <w:r>
              <w:rPr>
                <w:rFonts w:hint="eastAsia"/>
                <w:bCs/>
                <w:color w:val="auto"/>
                <w:sz w:val="24"/>
              </w:rPr>
              <w:t>，新建竹丝、竹片、竹签生产线20条、生物质颗粒等生产线4条，项目建成后达</w:t>
            </w:r>
            <w:r>
              <w:rPr>
                <w:rFonts w:hint="eastAsia"/>
                <w:bCs/>
                <w:color w:val="auto"/>
                <w:sz w:val="24"/>
                <w:lang w:eastAsia="zh-CN"/>
              </w:rPr>
              <w:t>年产</w:t>
            </w:r>
            <w:r>
              <w:rPr>
                <w:rFonts w:hint="eastAsia"/>
                <w:bCs/>
                <w:color w:val="auto"/>
                <w:sz w:val="24"/>
                <w:lang w:val="en-US" w:eastAsia="zh-CN"/>
              </w:rPr>
              <w:t>15000吨生物质颗粒和5000吨竹制品</w:t>
            </w:r>
            <w:r>
              <w:rPr>
                <w:rFonts w:hint="eastAsia"/>
                <w:bCs/>
                <w:color w:val="auto"/>
                <w:sz w:val="24"/>
              </w:rPr>
              <w:t>的</w:t>
            </w:r>
            <w:r>
              <w:rPr>
                <w:rFonts w:hint="eastAsia"/>
                <w:bCs/>
                <w:color w:val="auto"/>
                <w:sz w:val="24"/>
                <w:lang w:val="en-US" w:eastAsia="zh-CN"/>
              </w:rPr>
              <w:t>生产</w:t>
            </w:r>
            <w:r>
              <w:rPr>
                <w:rFonts w:hint="eastAsia"/>
                <w:bCs/>
                <w:color w:val="auto"/>
                <w:sz w:val="24"/>
              </w:rPr>
              <w:t>规模</w:t>
            </w:r>
            <w:r>
              <w:rPr>
                <w:color w:val="auto"/>
                <w:sz w:val="24"/>
                <w:szCs w:val="32"/>
              </w:rPr>
              <w:t>。</w:t>
            </w:r>
          </w:p>
          <w:p w14:paraId="31DC2D10">
            <w:pPr>
              <w:spacing w:line="360" w:lineRule="auto"/>
              <w:ind w:firstLine="480" w:firstLineChars="200"/>
              <w:rPr>
                <w:color w:val="auto"/>
                <w:sz w:val="24"/>
                <w:szCs w:val="32"/>
              </w:rPr>
            </w:pPr>
            <w:r>
              <w:rPr>
                <w:color w:val="auto"/>
                <w:sz w:val="24"/>
                <w:szCs w:val="32"/>
              </w:rPr>
              <w:t>建设性质：</w:t>
            </w:r>
            <w:r>
              <w:rPr>
                <w:rFonts w:hint="eastAsia"/>
                <w:color w:val="auto"/>
                <w:sz w:val="24"/>
                <w:szCs w:val="32"/>
                <w:lang w:val="en-US" w:eastAsia="zh-CN"/>
              </w:rPr>
              <w:t>新</w:t>
            </w:r>
            <w:r>
              <w:rPr>
                <w:color w:val="auto"/>
                <w:sz w:val="24"/>
                <w:szCs w:val="32"/>
              </w:rPr>
              <w:t>建；</w:t>
            </w:r>
          </w:p>
          <w:p w14:paraId="3FB0B3DC">
            <w:pPr>
              <w:spacing w:line="360" w:lineRule="auto"/>
              <w:ind w:firstLine="480" w:firstLineChars="200"/>
              <w:rPr>
                <w:color w:val="auto"/>
                <w:sz w:val="24"/>
                <w:szCs w:val="32"/>
              </w:rPr>
            </w:pPr>
            <w:r>
              <w:rPr>
                <w:color w:val="auto"/>
                <w:sz w:val="24"/>
                <w:szCs w:val="32"/>
              </w:rPr>
              <w:t>占地面积：</w:t>
            </w:r>
            <w:r>
              <w:rPr>
                <w:rFonts w:hint="eastAsia"/>
                <w:bCs/>
                <w:color w:val="auto"/>
                <w:sz w:val="24"/>
                <w:lang w:val="en-US" w:eastAsia="zh-CN"/>
              </w:rPr>
              <w:t>5369m</w:t>
            </w:r>
            <w:r>
              <w:rPr>
                <w:rFonts w:hint="eastAsia"/>
                <w:bCs/>
                <w:color w:val="auto"/>
                <w:sz w:val="24"/>
                <w:vertAlign w:val="superscript"/>
                <w:lang w:val="en-US" w:eastAsia="zh-CN"/>
              </w:rPr>
              <w:t>2</w:t>
            </w:r>
            <w:r>
              <w:rPr>
                <w:color w:val="auto"/>
                <w:sz w:val="24"/>
                <w:szCs w:val="32"/>
              </w:rPr>
              <w:t>；</w:t>
            </w:r>
          </w:p>
          <w:p w14:paraId="30823008">
            <w:pPr>
              <w:spacing w:line="360" w:lineRule="auto"/>
              <w:ind w:firstLine="480" w:firstLineChars="200"/>
              <w:rPr>
                <w:b/>
                <w:color w:val="auto"/>
                <w:sz w:val="24"/>
                <w:szCs w:val="21"/>
              </w:rPr>
            </w:pPr>
            <w:r>
              <w:rPr>
                <w:color w:val="auto"/>
                <w:sz w:val="24"/>
                <w:szCs w:val="32"/>
              </w:rPr>
              <w:t>总投资：</w:t>
            </w:r>
            <w:r>
              <w:rPr>
                <w:rFonts w:hint="eastAsia"/>
                <w:color w:val="auto"/>
                <w:sz w:val="24"/>
                <w:szCs w:val="32"/>
                <w:lang w:val="en-US" w:eastAsia="zh-CN"/>
              </w:rPr>
              <w:t>4250</w:t>
            </w:r>
            <w:r>
              <w:rPr>
                <w:color w:val="auto"/>
                <w:sz w:val="24"/>
                <w:szCs w:val="32"/>
              </w:rPr>
              <w:t>万元，其中环保投资</w:t>
            </w:r>
            <w:r>
              <w:rPr>
                <w:rFonts w:hint="eastAsia"/>
                <w:color w:val="auto"/>
                <w:sz w:val="24"/>
                <w:szCs w:val="32"/>
                <w:lang w:val="en-US" w:eastAsia="zh-CN"/>
              </w:rPr>
              <w:t>20</w:t>
            </w:r>
            <w:r>
              <w:rPr>
                <w:color w:val="auto"/>
                <w:sz w:val="24"/>
                <w:szCs w:val="32"/>
              </w:rPr>
              <w:t>万元；</w:t>
            </w:r>
          </w:p>
          <w:p w14:paraId="28A2A786">
            <w:pPr>
              <w:tabs>
                <w:tab w:val="left" w:pos="3255"/>
              </w:tabs>
              <w:spacing w:line="360" w:lineRule="auto"/>
              <w:jc w:val="center"/>
              <w:rPr>
                <w:b/>
                <w:color w:val="000000" w:themeColor="text1"/>
                <w:szCs w:val="18"/>
                <w14:textFill>
                  <w14:solidFill>
                    <w14:schemeClr w14:val="tx1"/>
                  </w14:solidFill>
                </w14:textFill>
              </w:rPr>
            </w:pPr>
            <w:r>
              <w:rPr>
                <w:b/>
                <w:color w:val="000000" w:themeColor="text1"/>
                <w:sz w:val="24"/>
                <w:szCs w:val="21"/>
                <w14:textFill>
                  <w14:solidFill>
                    <w14:schemeClr w14:val="tx1"/>
                  </w14:solidFill>
                </w14:textFill>
              </w:rPr>
              <w:t>表2-</w:t>
            </w:r>
            <w:r>
              <w:rPr>
                <w:rFonts w:hint="eastAsia"/>
                <w:b/>
                <w:color w:val="000000" w:themeColor="text1"/>
                <w:sz w:val="24"/>
                <w:szCs w:val="21"/>
                <w14:textFill>
                  <w14:solidFill>
                    <w14:schemeClr w14:val="tx1"/>
                  </w14:solidFill>
                </w14:textFill>
              </w:rPr>
              <w:t>3</w:t>
            </w:r>
            <w:r>
              <w:rPr>
                <w:b/>
                <w:color w:val="000000" w:themeColor="text1"/>
                <w:sz w:val="24"/>
                <w:szCs w:val="21"/>
                <w14:textFill>
                  <w14:solidFill>
                    <w14:schemeClr w14:val="tx1"/>
                  </w14:solidFill>
                </w14:textFill>
              </w:rPr>
              <w:t xml:space="preserve">  建设项目组成一览表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835"/>
              <w:gridCol w:w="887"/>
              <w:gridCol w:w="4671"/>
            </w:tblGrid>
            <w:tr w14:paraId="6E87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Align w:val="center"/>
                </w:tcPr>
                <w:p w14:paraId="779CD428">
                  <w:pPr>
                    <w:jc w:val="center"/>
                    <w:rPr>
                      <w:b/>
                      <w:color w:val="000000" w:themeColor="text1"/>
                      <w14:textFill>
                        <w14:solidFill>
                          <w14:schemeClr w14:val="tx1"/>
                        </w14:solidFill>
                      </w14:textFill>
                    </w:rPr>
                  </w:pPr>
                  <w:bookmarkStart w:id="1" w:name="OLE_LINK103"/>
                  <w:bookmarkStart w:id="2" w:name="OLE_LINK105"/>
                  <w:bookmarkStart w:id="3" w:name="OLE_LINK104"/>
                  <w:r>
                    <w:rPr>
                      <w:b/>
                      <w:color w:val="000000" w:themeColor="text1"/>
                      <w14:textFill>
                        <w14:solidFill>
                          <w14:schemeClr w14:val="tx1"/>
                        </w14:solidFill>
                      </w14:textFill>
                    </w:rPr>
                    <w:t>类别</w:t>
                  </w:r>
                </w:p>
              </w:tc>
              <w:tc>
                <w:tcPr>
                  <w:tcW w:w="1085" w:type="pct"/>
                  <w:vAlign w:val="center"/>
                </w:tcPr>
                <w:p w14:paraId="2AB71243">
                  <w:pPr>
                    <w:jc w:val="center"/>
                    <w:rPr>
                      <w:b/>
                      <w:color w:val="000000" w:themeColor="text1"/>
                      <w14:textFill>
                        <w14:solidFill>
                          <w14:schemeClr w14:val="tx1"/>
                        </w14:solidFill>
                      </w14:textFill>
                    </w:rPr>
                  </w:pPr>
                  <w:r>
                    <w:rPr>
                      <w:b/>
                      <w:color w:val="000000" w:themeColor="text1"/>
                      <w14:textFill>
                        <w14:solidFill>
                          <w14:schemeClr w14:val="tx1"/>
                        </w14:solidFill>
                      </w14:textFill>
                    </w:rPr>
                    <w:t>建设名称</w:t>
                  </w:r>
                </w:p>
              </w:tc>
              <w:tc>
                <w:tcPr>
                  <w:tcW w:w="3287" w:type="pct"/>
                  <w:gridSpan w:val="2"/>
                  <w:vAlign w:val="center"/>
                </w:tcPr>
                <w:p w14:paraId="4F840702">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项目</w:t>
                  </w:r>
                  <w:r>
                    <w:rPr>
                      <w:b/>
                      <w:color w:val="000000" w:themeColor="text1"/>
                      <w14:textFill>
                        <w14:solidFill>
                          <w14:schemeClr w14:val="tx1"/>
                        </w14:solidFill>
                      </w14:textFill>
                    </w:rPr>
                    <w:t>工程内容及规模</w:t>
                  </w:r>
                </w:p>
              </w:tc>
            </w:tr>
            <w:tr w14:paraId="102E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26" w:type="pct"/>
                  <w:vMerge w:val="restart"/>
                  <w:vAlign w:val="center"/>
                </w:tcPr>
                <w:p w14:paraId="48F036DE">
                  <w:pPr>
                    <w:jc w:val="center"/>
                    <w:rPr>
                      <w:color w:val="000000" w:themeColor="text1"/>
                      <w14:textFill>
                        <w14:solidFill>
                          <w14:schemeClr w14:val="tx1"/>
                        </w14:solidFill>
                      </w14:textFill>
                    </w:rPr>
                  </w:pPr>
                  <w:r>
                    <w:rPr>
                      <w:color w:val="000000" w:themeColor="text1"/>
                      <w14:textFill>
                        <w14:solidFill>
                          <w14:schemeClr w14:val="tx1"/>
                        </w14:solidFill>
                      </w14:textFill>
                    </w:rPr>
                    <w:t>主体工程</w:t>
                  </w:r>
                </w:p>
              </w:tc>
              <w:tc>
                <w:tcPr>
                  <w:tcW w:w="1085" w:type="pct"/>
                  <w:vAlign w:val="center"/>
                </w:tcPr>
                <w:p w14:paraId="05D274FE">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竹制品生产车间</w:t>
                  </w:r>
                </w:p>
              </w:tc>
              <w:tc>
                <w:tcPr>
                  <w:tcW w:w="3287" w:type="pct"/>
                  <w:gridSpan w:val="2"/>
                  <w:vAlign w:val="center"/>
                </w:tcPr>
                <w:p w14:paraId="63EA3E6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单层生产车间，</w:t>
                  </w:r>
                  <w:r>
                    <w:rPr>
                      <w:rFonts w:hint="eastAsia"/>
                      <w:color w:val="000000" w:themeColor="text1"/>
                      <w:lang w:val="en-US" w:eastAsia="zh-CN"/>
                      <w14:textFill>
                        <w14:solidFill>
                          <w14:schemeClr w14:val="tx1"/>
                        </w14:solidFill>
                      </w14:textFill>
                    </w:rPr>
                    <w:t>位于厂区北侧，</w:t>
                  </w:r>
                  <w:r>
                    <w:rPr>
                      <w:rFonts w:hint="eastAsia"/>
                      <w:color w:val="000000" w:themeColor="text1"/>
                      <w14:textFill>
                        <w14:solidFill>
                          <w14:schemeClr w14:val="tx1"/>
                        </w14:solidFill>
                      </w14:textFill>
                    </w:rPr>
                    <w:t>建筑面积</w:t>
                  </w:r>
                  <w:r>
                    <w:rPr>
                      <w:rFonts w:hint="eastAsia"/>
                      <w:color w:val="000000" w:themeColor="text1"/>
                      <w:lang w:val="en-US" w:eastAsia="zh-CN"/>
                      <w14:textFill>
                        <w14:solidFill>
                          <w14:schemeClr w14:val="tx1"/>
                        </w14:solidFill>
                      </w14:textFill>
                    </w:rPr>
                    <w:t>约2200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设置原料区、成品区和竹制品加工区</w:t>
                  </w:r>
                  <w:r>
                    <w:rPr>
                      <w:rFonts w:hint="eastAsia"/>
                      <w:color w:val="000000" w:themeColor="text1"/>
                      <w14:textFill>
                        <w14:solidFill>
                          <w14:schemeClr w14:val="tx1"/>
                        </w14:solidFill>
                      </w14:textFill>
                    </w:rPr>
                    <w:t>。</w:t>
                  </w:r>
                </w:p>
              </w:tc>
            </w:tr>
            <w:tr w14:paraId="1AB0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26" w:type="pct"/>
                  <w:vMerge w:val="continue"/>
                  <w:vAlign w:val="center"/>
                </w:tcPr>
                <w:p w14:paraId="1631ACF8">
                  <w:pPr>
                    <w:jc w:val="center"/>
                    <w:rPr>
                      <w:color w:val="000000" w:themeColor="text1"/>
                      <w14:textFill>
                        <w14:solidFill>
                          <w14:schemeClr w14:val="tx1"/>
                        </w14:solidFill>
                      </w14:textFill>
                    </w:rPr>
                  </w:pPr>
                </w:p>
              </w:tc>
              <w:tc>
                <w:tcPr>
                  <w:tcW w:w="1085" w:type="pct"/>
                  <w:vAlign w:val="center"/>
                </w:tcPr>
                <w:p w14:paraId="65E0134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造粒生产车间</w:t>
                  </w:r>
                </w:p>
              </w:tc>
              <w:tc>
                <w:tcPr>
                  <w:tcW w:w="3287" w:type="pct"/>
                  <w:gridSpan w:val="2"/>
                  <w:vAlign w:val="center"/>
                </w:tcPr>
                <w:p w14:paraId="1D722E74">
                  <w:pPr>
                    <w:jc w:val="cente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单层生产车间，</w:t>
                  </w:r>
                  <w:r>
                    <w:rPr>
                      <w:rFonts w:hint="eastAsia"/>
                      <w:color w:val="000000" w:themeColor="text1"/>
                      <w:lang w:val="en-US" w:eastAsia="zh-CN"/>
                      <w14:textFill>
                        <w14:solidFill>
                          <w14:schemeClr w14:val="tx1"/>
                        </w14:solidFill>
                      </w14:textFill>
                    </w:rPr>
                    <w:t>位于厂区南侧，</w:t>
                  </w:r>
                  <w:r>
                    <w:rPr>
                      <w:rFonts w:hint="eastAsia"/>
                      <w:color w:val="000000" w:themeColor="text1"/>
                      <w14:textFill>
                        <w14:solidFill>
                          <w14:schemeClr w14:val="tx1"/>
                        </w14:solidFill>
                      </w14:textFill>
                    </w:rPr>
                    <w:t>建筑面积</w:t>
                  </w:r>
                  <w:r>
                    <w:rPr>
                      <w:rFonts w:hint="eastAsia"/>
                      <w:color w:val="000000" w:themeColor="text1"/>
                      <w:lang w:val="en-US" w:eastAsia="zh-CN"/>
                      <w14:textFill>
                        <w14:solidFill>
                          <w14:schemeClr w14:val="tx1"/>
                        </w14:solidFill>
                      </w14:textFill>
                    </w:rPr>
                    <w:t>约3000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设置原料区、成品区、破碎区、烘干区和造粒区</w:t>
                  </w:r>
                  <w:r>
                    <w:rPr>
                      <w:rFonts w:hint="eastAsia"/>
                      <w:color w:val="000000" w:themeColor="text1"/>
                      <w14:textFill>
                        <w14:solidFill>
                          <w14:schemeClr w14:val="tx1"/>
                        </w14:solidFill>
                      </w14:textFill>
                    </w:rPr>
                    <w:t>。</w:t>
                  </w:r>
                </w:p>
              </w:tc>
            </w:tr>
            <w:tr w14:paraId="4145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26" w:type="pct"/>
                  <w:vMerge w:val="restart"/>
                  <w:vAlign w:val="center"/>
                </w:tcPr>
                <w:p w14:paraId="16B9C516">
                  <w:pPr>
                    <w:jc w:val="center"/>
                    <w:rPr>
                      <w:color w:val="000000" w:themeColor="text1"/>
                      <w14:textFill>
                        <w14:solidFill>
                          <w14:schemeClr w14:val="tx1"/>
                        </w14:solidFill>
                      </w14:textFill>
                    </w:rPr>
                  </w:pPr>
                  <w:r>
                    <w:rPr>
                      <w:color w:val="000000" w:themeColor="text1"/>
                      <w14:textFill>
                        <w14:solidFill>
                          <w14:schemeClr w14:val="tx1"/>
                        </w14:solidFill>
                      </w14:textFill>
                    </w:rPr>
                    <w:t>储运工程</w:t>
                  </w:r>
                </w:p>
              </w:tc>
              <w:tc>
                <w:tcPr>
                  <w:tcW w:w="1085" w:type="pct"/>
                  <w:vAlign w:val="center"/>
                </w:tcPr>
                <w:p w14:paraId="2FDEA06A">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原料区</w:t>
                  </w:r>
                </w:p>
              </w:tc>
              <w:tc>
                <w:tcPr>
                  <w:tcW w:w="3287" w:type="pct"/>
                  <w:gridSpan w:val="2"/>
                  <w:vAlign w:val="center"/>
                </w:tcPr>
                <w:p w14:paraId="3C643AC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竹制品生产车间北侧原料区建筑面积约500m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造粒生产车间北侧原料区建筑面积约600m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14:textFill>
                        <w14:solidFill>
                          <w14:schemeClr w14:val="tx1"/>
                        </w14:solidFill>
                      </w14:textFill>
                    </w:rPr>
                    <w:t>，主要用于储存原料</w:t>
                  </w:r>
                </w:p>
              </w:tc>
            </w:tr>
            <w:tr w14:paraId="1DAB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26" w:type="pct"/>
                  <w:vMerge w:val="continue"/>
                  <w:vAlign w:val="center"/>
                </w:tcPr>
                <w:p w14:paraId="22789129">
                  <w:pPr>
                    <w:jc w:val="center"/>
                    <w:rPr>
                      <w:color w:val="000000" w:themeColor="text1"/>
                      <w14:textFill>
                        <w14:solidFill>
                          <w14:schemeClr w14:val="tx1"/>
                        </w14:solidFill>
                      </w14:textFill>
                    </w:rPr>
                  </w:pPr>
                </w:p>
              </w:tc>
              <w:tc>
                <w:tcPr>
                  <w:tcW w:w="1085" w:type="pct"/>
                  <w:vAlign w:val="center"/>
                </w:tcPr>
                <w:p w14:paraId="648CEE93">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成品区</w:t>
                  </w:r>
                </w:p>
              </w:tc>
              <w:tc>
                <w:tcPr>
                  <w:tcW w:w="3287" w:type="pct"/>
                  <w:gridSpan w:val="2"/>
                  <w:vAlign w:val="center"/>
                </w:tcPr>
                <w:p w14:paraId="3197E448">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竹制品生产车间南侧原料区建筑面积约500m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造粒生产车间南侧原料区建筑面积约500m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14:textFill>
                        <w14:solidFill>
                          <w14:schemeClr w14:val="tx1"/>
                        </w14:solidFill>
                      </w14:textFill>
                    </w:rPr>
                    <w:t>，主要用于储存</w:t>
                  </w:r>
                  <w:r>
                    <w:rPr>
                      <w:rFonts w:hint="eastAsia"/>
                      <w:color w:val="000000" w:themeColor="text1"/>
                      <w:lang w:val="en-US" w:eastAsia="zh-CN"/>
                      <w14:textFill>
                        <w14:solidFill>
                          <w14:schemeClr w14:val="tx1"/>
                        </w14:solidFill>
                      </w14:textFill>
                    </w:rPr>
                    <w:t>成品</w:t>
                  </w:r>
                </w:p>
              </w:tc>
            </w:tr>
            <w:tr w14:paraId="289E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6" w:type="pct"/>
                  <w:vAlign w:val="center"/>
                </w:tcPr>
                <w:p w14:paraId="707FC0EE">
                  <w:pPr>
                    <w:jc w:val="center"/>
                    <w:rPr>
                      <w:color w:val="000000" w:themeColor="text1"/>
                      <w14:textFill>
                        <w14:solidFill>
                          <w14:schemeClr w14:val="tx1"/>
                        </w14:solidFill>
                      </w14:textFill>
                    </w:rPr>
                  </w:pPr>
                  <w:r>
                    <w:rPr>
                      <w:color w:val="000000" w:themeColor="text1"/>
                      <w14:textFill>
                        <w14:solidFill>
                          <w14:schemeClr w14:val="tx1"/>
                        </w14:solidFill>
                      </w14:textFill>
                    </w:rPr>
                    <w:t>辅助工程</w:t>
                  </w:r>
                </w:p>
              </w:tc>
              <w:tc>
                <w:tcPr>
                  <w:tcW w:w="1085" w:type="pct"/>
                  <w:vAlign w:val="center"/>
                </w:tcPr>
                <w:p w14:paraId="6F1476FC">
                  <w:pPr>
                    <w:pStyle w:val="13"/>
                    <w:spacing w:before="0" w:after="0" w:line="240" w:lineRule="auto"/>
                    <w:ind w:right="0"/>
                    <w:jc w:val="center"/>
                    <w:rPr>
                      <w:rFonts w:hint="eastAsia" w:eastAsia="宋体"/>
                      <w:color w:val="000000" w:themeColor="text1"/>
                      <w:kern w:val="2"/>
                      <w:sz w:val="21"/>
                      <w:szCs w:val="24"/>
                      <w:lang w:val="en-US" w:eastAsia="zh-CN"/>
                      <w14:textFill>
                        <w14:solidFill>
                          <w14:schemeClr w14:val="tx1"/>
                        </w14:solidFill>
                      </w14:textFill>
                    </w:rPr>
                  </w:pPr>
                  <w:r>
                    <w:rPr>
                      <w:rFonts w:hint="eastAsia"/>
                      <w:color w:val="000000" w:themeColor="text1"/>
                      <w:kern w:val="2"/>
                      <w:sz w:val="21"/>
                      <w:szCs w:val="24"/>
                      <w:lang w:val="en-US" w:eastAsia="zh-CN"/>
                      <w14:textFill>
                        <w14:solidFill>
                          <w14:schemeClr w14:val="tx1"/>
                        </w14:solidFill>
                      </w14:textFill>
                    </w:rPr>
                    <w:t>办公区</w:t>
                  </w:r>
                </w:p>
              </w:tc>
              <w:tc>
                <w:tcPr>
                  <w:tcW w:w="3287" w:type="pct"/>
                  <w:gridSpan w:val="2"/>
                  <w:vAlign w:val="center"/>
                </w:tcPr>
                <w:p w14:paraId="3C7F08C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位于</w:t>
                  </w:r>
                  <w:r>
                    <w:rPr>
                      <w:rFonts w:hint="eastAsia"/>
                      <w:color w:val="000000" w:themeColor="text1"/>
                      <w:lang w:val="en-US" w:eastAsia="zh-CN"/>
                      <w14:textFill>
                        <w14:solidFill>
                          <w14:schemeClr w14:val="tx1"/>
                        </w14:solidFill>
                      </w14:textFill>
                    </w:rPr>
                    <w:t>竹制品生产车间北侧</w:t>
                  </w:r>
                  <w:r>
                    <w:rPr>
                      <w:rFonts w:hint="eastAsia"/>
                      <w:color w:val="000000" w:themeColor="text1"/>
                      <w14:textFill>
                        <w14:solidFill>
                          <w14:schemeClr w14:val="tx1"/>
                        </w14:solidFill>
                      </w14:textFill>
                    </w:rPr>
                    <w:t>，建筑面积</w:t>
                  </w: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，主要作为员工办公和</w:t>
                  </w:r>
                  <w:r>
                    <w:rPr>
                      <w:rFonts w:hint="eastAsia"/>
                      <w:color w:val="000000" w:themeColor="text1"/>
                      <w:lang w:val="en-US" w:eastAsia="zh-CN"/>
                      <w14:textFill>
                        <w14:solidFill>
                          <w14:schemeClr w14:val="tx1"/>
                        </w14:solidFill>
                      </w14:textFill>
                    </w:rPr>
                    <w:t>休息</w:t>
                  </w:r>
                </w:p>
              </w:tc>
            </w:tr>
            <w:tr w14:paraId="7EA5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pct"/>
                  <w:vMerge w:val="restart"/>
                  <w:vAlign w:val="center"/>
                </w:tcPr>
                <w:p w14:paraId="1CA9AA9B">
                  <w:pPr>
                    <w:jc w:val="center"/>
                    <w:rPr>
                      <w:color w:val="auto"/>
                    </w:rPr>
                  </w:pPr>
                  <w:r>
                    <w:rPr>
                      <w:color w:val="auto"/>
                    </w:rPr>
                    <w:t>公用工程</w:t>
                  </w:r>
                </w:p>
              </w:tc>
              <w:tc>
                <w:tcPr>
                  <w:tcW w:w="1085" w:type="pct"/>
                  <w:vAlign w:val="center"/>
                </w:tcPr>
                <w:p w14:paraId="6EA15FCD">
                  <w:pPr>
                    <w:jc w:val="center"/>
                    <w:rPr>
                      <w:color w:val="auto"/>
                    </w:rPr>
                  </w:pPr>
                  <w:r>
                    <w:rPr>
                      <w:color w:val="auto"/>
                    </w:rPr>
                    <w:t>给水</w:t>
                  </w:r>
                </w:p>
              </w:tc>
              <w:tc>
                <w:tcPr>
                  <w:tcW w:w="3287" w:type="pct"/>
                  <w:gridSpan w:val="2"/>
                  <w:vAlign w:val="center"/>
                </w:tcPr>
                <w:p w14:paraId="770FB766">
                  <w:pPr>
                    <w:jc w:val="center"/>
                    <w:rPr>
                      <w:color w:val="auto"/>
                      <w:szCs w:val="21"/>
                    </w:rPr>
                  </w:pPr>
                  <w:r>
                    <w:rPr>
                      <w:rFonts w:hint="eastAsia"/>
                      <w:color w:val="auto"/>
                      <w:szCs w:val="21"/>
                      <w:lang w:val="en-US" w:eastAsia="zh-CN"/>
                    </w:rPr>
                    <w:t>市政管网供水，</w:t>
                  </w:r>
                  <w:r>
                    <w:rPr>
                      <w:color w:val="auto"/>
                      <w:szCs w:val="21"/>
                    </w:rPr>
                    <w:t>年用水量</w:t>
                  </w:r>
                  <w:r>
                    <w:rPr>
                      <w:rFonts w:hint="eastAsia"/>
                      <w:color w:val="auto"/>
                      <w:szCs w:val="21"/>
                      <w:lang w:val="en-US" w:eastAsia="zh-CN"/>
                    </w:rPr>
                    <w:t>1556.01</w:t>
                  </w:r>
                  <w:r>
                    <w:rPr>
                      <w:rFonts w:hint="eastAsia"/>
                      <w:color w:val="auto"/>
                      <w:szCs w:val="21"/>
                    </w:rPr>
                    <w:t>t</w:t>
                  </w:r>
                  <w:r>
                    <w:rPr>
                      <w:color w:val="auto"/>
                      <w:szCs w:val="21"/>
                    </w:rPr>
                    <w:t>/a</w:t>
                  </w:r>
                </w:p>
              </w:tc>
            </w:tr>
            <w:tr w14:paraId="5354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continue"/>
                  <w:vAlign w:val="center"/>
                </w:tcPr>
                <w:p w14:paraId="45D113E6">
                  <w:pPr>
                    <w:jc w:val="center"/>
                    <w:rPr>
                      <w:color w:val="auto"/>
                    </w:rPr>
                  </w:pPr>
                </w:p>
              </w:tc>
              <w:tc>
                <w:tcPr>
                  <w:tcW w:w="1085" w:type="pct"/>
                  <w:vAlign w:val="center"/>
                </w:tcPr>
                <w:p w14:paraId="4BDBC632">
                  <w:pPr>
                    <w:jc w:val="center"/>
                    <w:rPr>
                      <w:color w:val="auto"/>
                    </w:rPr>
                  </w:pPr>
                  <w:r>
                    <w:rPr>
                      <w:color w:val="auto"/>
                    </w:rPr>
                    <w:t>排水</w:t>
                  </w:r>
                </w:p>
              </w:tc>
              <w:tc>
                <w:tcPr>
                  <w:tcW w:w="3287" w:type="pct"/>
                  <w:gridSpan w:val="2"/>
                  <w:vAlign w:val="center"/>
                </w:tcPr>
                <w:p w14:paraId="4E6EA930">
                  <w:pPr>
                    <w:jc w:val="center"/>
                    <w:rPr>
                      <w:rFonts w:hint="eastAsia" w:eastAsia="宋体"/>
                      <w:color w:val="auto"/>
                      <w:szCs w:val="21"/>
                      <w:lang w:eastAsia="zh-CN"/>
                    </w:rPr>
                  </w:pPr>
                  <w:r>
                    <w:rPr>
                      <w:rFonts w:hint="eastAsia"/>
                      <w:color w:val="auto"/>
                      <w:szCs w:val="21"/>
                    </w:rPr>
                    <w:t>生活污水经化粪池处理后，通过地埋式污水处理设施处理，处理后的废水用于厂区绿化灌溉，不外排</w:t>
                  </w:r>
                  <w:r>
                    <w:rPr>
                      <w:rFonts w:hint="eastAsia"/>
                      <w:color w:val="auto"/>
                      <w:szCs w:val="21"/>
                      <w:lang w:eastAsia="zh-CN"/>
                    </w:rPr>
                    <w:t>；</w:t>
                  </w:r>
                  <w:r>
                    <w:rPr>
                      <w:rFonts w:hint="eastAsia"/>
                      <w:bCs/>
                      <w:color w:val="auto"/>
                      <w:szCs w:val="21"/>
                    </w:rPr>
                    <w:t>锅炉</w:t>
                  </w:r>
                  <w:r>
                    <w:rPr>
                      <w:rFonts w:hint="eastAsia"/>
                      <w:bCs/>
                      <w:color w:val="auto"/>
                      <w:szCs w:val="21"/>
                      <w:lang w:val="en-US" w:eastAsia="zh-CN"/>
                    </w:rPr>
                    <w:t>废</w:t>
                  </w:r>
                  <w:r>
                    <w:rPr>
                      <w:rFonts w:hint="eastAsia"/>
                      <w:bCs/>
                      <w:color w:val="auto"/>
                      <w:szCs w:val="21"/>
                    </w:rPr>
                    <w:t>水通过地埋式污水处理设施处理，处理后的废水用于厂区绿化灌溉</w:t>
                  </w:r>
                  <w:r>
                    <w:rPr>
                      <w:rFonts w:hint="eastAsia"/>
                      <w:color w:val="auto"/>
                      <w:szCs w:val="21"/>
                    </w:rPr>
                    <w:t>不外排</w:t>
                  </w:r>
                </w:p>
              </w:tc>
            </w:tr>
            <w:tr w14:paraId="4795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continue"/>
                  <w:vAlign w:val="center"/>
                </w:tcPr>
                <w:p w14:paraId="22DB4525">
                  <w:pPr>
                    <w:jc w:val="center"/>
                    <w:rPr>
                      <w:color w:val="auto"/>
                    </w:rPr>
                  </w:pPr>
                </w:p>
              </w:tc>
              <w:tc>
                <w:tcPr>
                  <w:tcW w:w="1085" w:type="pct"/>
                  <w:vAlign w:val="center"/>
                </w:tcPr>
                <w:p w14:paraId="42584B69">
                  <w:pPr>
                    <w:jc w:val="center"/>
                    <w:rPr>
                      <w:color w:val="auto"/>
                    </w:rPr>
                  </w:pPr>
                  <w:r>
                    <w:rPr>
                      <w:color w:val="auto"/>
                    </w:rPr>
                    <w:t>供电</w:t>
                  </w:r>
                </w:p>
              </w:tc>
              <w:tc>
                <w:tcPr>
                  <w:tcW w:w="3287" w:type="pct"/>
                  <w:gridSpan w:val="2"/>
                  <w:vAlign w:val="center"/>
                </w:tcPr>
                <w:p w14:paraId="582C939B">
                  <w:pPr>
                    <w:jc w:val="center"/>
                    <w:rPr>
                      <w:color w:val="auto"/>
                      <w:szCs w:val="21"/>
                    </w:rPr>
                  </w:pPr>
                  <w:r>
                    <w:rPr>
                      <w:rFonts w:hint="eastAsia"/>
                      <w:color w:val="auto"/>
                      <w:szCs w:val="21"/>
                    </w:rPr>
                    <w:t>市供电电网供电，年用电</w:t>
                  </w:r>
                  <w:r>
                    <w:rPr>
                      <w:rFonts w:hint="eastAsia"/>
                      <w:color w:val="auto"/>
                      <w:szCs w:val="21"/>
                      <w:lang w:val="en-US" w:eastAsia="zh-CN"/>
                    </w:rPr>
                    <w:t>200</w:t>
                  </w:r>
                  <w:r>
                    <w:rPr>
                      <w:rFonts w:hint="eastAsia"/>
                      <w:color w:val="auto"/>
                      <w:szCs w:val="21"/>
                    </w:rPr>
                    <w:t>万KW</w:t>
                  </w:r>
                  <w:r>
                    <w:rPr>
                      <w:color w:val="auto"/>
                      <w:szCs w:val="21"/>
                    </w:rPr>
                    <w:t>·</w:t>
                  </w:r>
                  <w:r>
                    <w:rPr>
                      <w:rFonts w:hint="eastAsia"/>
                      <w:color w:val="auto"/>
                      <w:szCs w:val="21"/>
                    </w:rPr>
                    <w:t>h</w:t>
                  </w:r>
                </w:p>
              </w:tc>
            </w:tr>
            <w:tr w14:paraId="025F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restart"/>
                  <w:vAlign w:val="center"/>
                </w:tcPr>
                <w:p w14:paraId="32EB9622">
                  <w:pPr>
                    <w:jc w:val="center"/>
                    <w:rPr>
                      <w:color w:val="auto"/>
                    </w:rPr>
                  </w:pPr>
                  <w:r>
                    <w:rPr>
                      <w:color w:val="auto"/>
                    </w:rPr>
                    <w:t>环保工程</w:t>
                  </w:r>
                </w:p>
              </w:tc>
              <w:tc>
                <w:tcPr>
                  <w:tcW w:w="1085" w:type="pct"/>
                  <w:vMerge w:val="restart"/>
                  <w:vAlign w:val="center"/>
                </w:tcPr>
                <w:p w14:paraId="12F14EBA">
                  <w:pPr>
                    <w:jc w:val="center"/>
                    <w:rPr>
                      <w:color w:val="auto"/>
                    </w:rPr>
                  </w:pPr>
                  <w:r>
                    <w:rPr>
                      <w:color w:val="auto"/>
                    </w:rPr>
                    <w:t>废气</w:t>
                  </w:r>
                </w:p>
              </w:tc>
              <w:tc>
                <w:tcPr>
                  <w:tcW w:w="524" w:type="pct"/>
                  <w:vMerge w:val="restart"/>
                  <w:vAlign w:val="center"/>
                </w:tcPr>
                <w:p w14:paraId="28BE715F">
                  <w:pPr>
                    <w:pStyle w:val="13"/>
                    <w:spacing w:before="0" w:after="0" w:line="240" w:lineRule="auto"/>
                    <w:ind w:right="0"/>
                    <w:jc w:val="center"/>
                    <w:rPr>
                      <w:rFonts w:hint="eastAsia" w:eastAsia="宋体"/>
                      <w:color w:val="auto"/>
                      <w:kern w:val="2"/>
                      <w:sz w:val="21"/>
                      <w:szCs w:val="21"/>
                      <w:lang w:eastAsia="zh-CN"/>
                    </w:rPr>
                  </w:pPr>
                  <w:r>
                    <w:rPr>
                      <w:rFonts w:hint="eastAsia"/>
                      <w:color w:val="auto"/>
                      <w:kern w:val="2"/>
                      <w:sz w:val="21"/>
                      <w:szCs w:val="21"/>
                      <w:lang w:val="en-US" w:eastAsia="zh-CN"/>
                    </w:rPr>
                    <w:t>粉尘</w:t>
                  </w:r>
                </w:p>
              </w:tc>
              <w:tc>
                <w:tcPr>
                  <w:tcW w:w="2762" w:type="pct"/>
                  <w:vAlign w:val="center"/>
                </w:tcPr>
                <w:p w14:paraId="691CCBB6">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破碎、造粒废气经收集后</w:t>
                  </w:r>
                  <w:r>
                    <w:rPr>
                      <w:rFonts w:hint="eastAsia"/>
                      <w:color w:val="auto"/>
                      <w:szCs w:val="21"/>
                    </w:rPr>
                    <w:t>，</w:t>
                  </w:r>
                  <w:r>
                    <w:rPr>
                      <w:rFonts w:hint="eastAsia"/>
                      <w:color w:val="auto"/>
                      <w:szCs w:val="21"/>
                      <w:lang w:val="en-US" w:eastAsia="zh-CN"/>
                    </w:rPr>
                    <w:t>一同经布袋除尘器</w:t>
                  </w:r>
                  <w:r>
                    <w:rPr>
                      <w:rFonts w:hint="eastAsia"/>
                      <w:color w:val="auto"/>
                      <w:szCs w:val="21"/>
                    </w:rPr>
                    <w:t>处理后，由一根15m高的</w:t>
                  </w:r>
                  <w:r>
                    <w:rPr>
                      <w:color w:val="auto"/>
                      <w:szCs w:val="21"/>
                    </w:rPr>
                    <w:t>排气筒（DA00</w:t>
                  </w:r>
                  <w:r>
                    <w:rPr>
                      <w:rFonts w:hint="eastAsia"/>
                      <w:color w:val="auto"/>
                      <w:szCs w:val="21"/>
                      <w:lang w:val="en-US" w:eastAsia="zh-CN"/>
                    </w:rPr>
                    <w:t>1</w:t>
                  </w:r>
                  <w:r>
                    <w:rPr>
                      <w:color w:val="auto"/>
                      <w:szCs w:val="21"/>
                    </w:rPr>
                    <w:t>）</w:t>
                  </w:r>
                  <w:r>
                    <w:rPr>
                      <w:rFonts w:hint="eastAsia"/>
                      <w:color w:val="auto"/>
                      <w:szCs w:val="21"/>
                    </w:rPr>
                    <w:t>排放</w:t>
                  </w:r>
                </w:p>
              </w:tc>
            </w:tr>
            <w:tr w14:paraId="1968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continue"/>
                  <w:vAlign w:val="center"/>
                </w:tcPr>
                <w:p w14:paraId="714AEBD1">
                  <w:pPr>
                    <w:jc w:val="center"/>
                    <w:rPr>
                      <w:color w:val="auto"/>
                    </w:rPr>
                  </w:pPr>
                </w:p>
              </w:tc>
              <w:tc>
                <w:tcPr>
                  <w:tcW w:w="1085" w:type="pct"/>
                  <w:vMerge w:val="continue"/>
                  <w:vAlign w:val="center"/>
                </w:tcPr>
                <w:p w14:paraId="690FBB96">
                  <w:pPr>
                    <w:jc w:val="center"/>
                    <w:rPr>
                      <w:color w:val="auto"/>
                    </w:rPr>
                  </w:pPr>
                </w:p>
              </w:tc>
              <w:tc>
                <w:tcPr>
                  <w:tcW w:w="524" w:type="pct"/>
                  <w:vMerge w:val="continue"/>
                  <w:vAlign w:val="center"/>
                </w:tcPr>
                <w:p w14:paraId="0E86A040">
                  <w:pPr>
                    <w:pStyle w:val="13"/>
                    <w:spacing w:before="0" w:after="0" w:line="240" w:lineRule="auto"/>
                    <w:ind w:right="0"/>
                    <w:jc w:val="center"/>
                    <w:rPr>
                      <w:rFonts w:hint="eastAsia" w:eastAsia="宋体"/>
                      <w:color w:val="auto"/>
                      <w:kern w:val="2"/>
                      <w:sz w:val="21"/>
                      <w:szCs w:val="21"/>
                      <w:lang w:eastAsia="zh-CN"/>
                    </w:rPr>
                  </w:pPr>
                </w:p>
              </w:tc>
              <w:tc>
                <w:tcPr>
                  <w:tcW w:w="2762" w:type="pct"/>
                  <w:vAlign w:val="center"/>
                </w:tcPr>
                <w:p w14:paraId="6B0234E3">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燃烧</w:t>
                  </w:r>
                  <w:r>
                    <w:rPr>
                      <w:rFonts w:hint="eastAsia"/>
                      <w:color w:val="auto"/>
                      <w:szCs w:val="21"/>
                    </w:rPr>
                    <w:t>废气经收集后，通过布袋除尘器处理，处理后由15m高度排气筒</w:t>
                  </w:r>
                  <w:r>
                    <w:rPr>
                      <w:color w:val="auto"/>
                      <w:szCs w:val="21"/>
                    </w:rPr>
                    <w:t>（DA00</w:t>
                  </w:r>
                  <w:r>
                    <w:rPr>
                      <w:rFonts w:hint="eastAsia"/>
                      <w:color w:val="auto"/>
                      <w:szCs w:val="21"/>
                      <w:lang w:val="en-US" w:eastAsia="zh-CN"/>
                    </w:rPr>
                    <w:t>2</w:t>
                  </w:r>
                  <w:r>
                    <w:rPr>
                      <w:color w:val="auto"/>
                      <w:szCs w:val="21"/>
                    </w:rPr>
                    <w:t>）</w:t>
                  </w:r>
                  <w:r>
                    <w:rPr>
                      <w:rFonts w:hint="eastAsia"/>
                      <w:color w:val="auto"/>
                      <w:szCs w:val="21"/>
                    </w:rPr>
                    <w:t>排放</w:t>
                  </w:r>
                </w:p>
              </w:tc>
            </w:tr>
            <w:tr w14:paraId="0E27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continue"/>
                  <w:vAlign w:val="center"/>
                </w:tcPr>
                <w:p w14:paraId="7A75BEDB">
                  <w:pPr>
                    <w:jc w:val="center"/>
                    <w:rPr>
                      <w:color w:val="auto"/>
                    </w:rPr>
                  </w:pPr>
                </w:p>
              </w:tc>
              <w:tc>
                <w:tcPr>
                  <w:tcW w:w="1085" w:type="pct"/>
                  <w:vAlign w:val="center"/>
                </w:tcPr>
                <w:p w14:paraId="2C884B1D">
                  <w:pPr>
                    <w:jc w:val="center"/>
                    <w:rPr>
                      <w:color w:val="auto"/>
                    </w:rPr>
                  </w:pPr>
                  <w:r>
                    <w:rPr>
                      <w:color w:val="auto"/>
                    </w:rPr>
                    <w:t>废水</w:t>
                  </w:r>
                </w:p>
              </w:tc>
              <w:tc>
                <w:tcPr>
                  <w:tcW w:w="3287" w:type="pct"/>
                  <w:gridSpan w:val="2"/>
                  <w:vAlign w:val="center"/>
                </w:tcPr>
                <w:p w14:paraId="29871D7A">
                  <w:pPr>
                    <w:jc w:val="center"/>
                    <w:rPr>
                      <w:color w:val="auto"/>
                      <w:szCs w:val="21"/>
                    </w:rPr>
                  </w:pPr>
                  <w:r>
                    <w:rPr>
                      <w:rFonts w:hint="eastAsia"/>
                      <w:color w:val="auto"/>
                      <w:szCs w:val="21"/>
                    </w:rPr>
                    <w:t>生活污水经化粪池处理后，通过地埋式污水处理设施处理，处理后的废水用于厂区绿化灌溉，不外排</w:t>
                  </w:r>
                  <w:r>
                    <w:rPr>
                      <w:rFonts w:hint="eastAsia"/>
                      <w:color w:val="auto"/>
                      <w:szCs w:val="21"/>
                      <w:lang w:eastAsia="zh-CN"/>
                    </w:rPr>
                    <w:t>；</w:t>
                  </w:r>
                  <w:r>
                    <w:rPr>
                      <w:rFonts w:hint="eastAsia"/>
                      <w:bCs/>
                      <w:color w:val="auto"/>
                      <w:szCs w:val="21"/>
                    </w:rPr>
                    <w:t>锅炉</w:t>
                  </w:r>
                  <w:r>
                    <w:rPr>
                      <w:rFonts w:hint="eastAsia"/>
                      <w:bCs/>
                      <w:color w:val="auto"/>
                      <w:szCs w:val="21"/>
                      <w:lang w:val="en-US" w:eastAsia="zh-CN"/>
                    </w:rPr>
                    <w:t>废</w:t>
                  </w:r>
                  <w:r>
                    <w:rPr>
                      <w:rFonts w:hint="eastAsia"/>
                      <w:bCs/>
                      <w:color w:val="auto"/>
                      <w:szCs w:val="21"/>
                    </w:rPr>
                    <w:t>水通过地埋式污水处理设施处理，处理后的废水用于厂区绿化灌溉</w:t>
                  </w:r>
                  <w:r>
                    <w:rPr>
                      <w:rFonts w:hint="eastAsia"/>
                      <w:color w:val="auto"/>
                      <w:szCs w:val="21"/>
                    </w:rPr>
                    <w:t>不外排</w:t>
                  </w:r>
                </w:p>
              </w:tc>
            </w:tr>
            <w:tr w14:paraId="0AEB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continue"/>
                  <w:vAlign w:val="center"/>
                </w:tcPr>
                <w:p w14:paraId="27FBDC58">
                  <w:pPr>
                    <w:jc w:val="center"/>
                    <w:rPr>
                      <w:color w:val="auto"/>
                    </w:rPr>
                  </w:pPr>
                </w:p>
              </w:tc>
              <w:tc>
                <w:tcPr>
                  <w:tcW w:w="1085" w:type="pct"/>
                  <w:vAlign w:val="center"/>
                </w:tcPr>
                <w:p w14:paraId="33E40FF3">
                  <w:pPr>
                    <w:jc w:val="center"/>
                    <w:rPr>
                      <w:color w:val="auto"/>
                    </w:rPr>
                  </w:pPr>
                  <w:r>
                    <w:rPr>
                      <w:color w:val="auto"/>
                    </w:rPr>
                    <w:t>噪声</w:t>
                  </w:r>
                </w:p>
              </w:tc>
              <w:tc>
                <w:tcPr>
                  <w:tcW w:w="3287" w:type="pct"/>
                  <w:gridSpan w:val="2"/>
                  <w:vAlign w:val="center"/>
                </w:tcPr>
                <w:p w14:paraId="6E24652D">
                  <w:pPr>
                    <w:jc w:val="center"/>
                    <w:textAlignment w:val="baseline"/>
                    <w:rPr>
                      <w:color w:val="auto"/>
                      <w:kern w:val="0"/>
                      <w:szCs w:val="21"/>
                    </w:rPr>
                  </w:pPr>
                  <w:r>
                    <w:rPr>
                      <w:bCs/>
                      <w:color w:val="auto"/>
                      <w:kern w:val="0"/>
                      <w:szCs w:val="21"/>
                    </w:rPr>
                    <w:t>采取优选低噪声设备、车间内</w:t>
                  </w:r>
                  <w:r>
                    <w:rPr>
                      <w:rFonts w:hint="eastAsia"/>
                      <w:bCs/>
                      <w:color w:val="auto"/>
                      <w:kern w:val="0"/>
                      <w:szCs w:val="21"/>
                      <w:lang w:val="en-US" w:eastAsia="zh-CN"/>
                    </w:rPr>
                    <w:t>合理</w:t>
                  </w:r>
                  <w:r>
                    <w:rPr>
                      <w:bCs/>
                      <w:color w:val="auto"/>
                      <w:kern w:val="0"/>
                      <w:szCs w:val="21"/>
                    </w:rPr>
                    <w:t>布置、隔声</w:t>
                  </w:r>
                  <w:r>
                    <w:rPr>
                      <w:rFonts w:hint="eastAsia"/>
                      <w:bCs/>
                      <w:color w:val="auto"/>
                      <w:kern w:val="0"/>
                      <w:szCs w:val="21"/>
                    </w:rPr>
                    <w:t>、</w:t>
                  </w:r>
                  <w:r>
                    <w:rPr>
                      <w:bCs/>
                      <w:color w:val="auto"/>
                      <w:kern w:val="0"/>
                      <w:szCs w:val="21"/>
                    </w:rPr>
                    <w:t>减振等措施</w:t>
                  </w:r>
                  <w:r>
                    <w:rPr>
                      <w:rFonts w:hint="eastAsia"/>
                      <w:bCs/>
                      <w:color w:val="auto"/>
                      <w:kern w:val="0"/>
                      <w:szCs w:val="21"/>
                    </w:rPr>
                    <w:t>，确保噪声达标排放</w:t>
                  </w:r>
                </w:p>
              </w:tc>
            </w:tr>
            <w:tr w14:paraId="1C77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26" w:type="pct"/>
                  <w:vMerge w:val="continue"/>
                  <w:vAlign w:val="center"/>
                </w:tcPr>
                <w:p w14:paraId="009BEDC5">
                  <w:pPr>
                    <w:jc w:val="center"/>
                    <w:rPr>
                      <w:color w:val="auto"/>
                    </w:rPr>
                  </w:pPr>
                </w:p>
              </w:tc>
              <w:tc>
                <w:tcPr>
                  <w:tcW w:w="1085" w:type="pct"/>
                  <w:vMerge w:val="restart"/>
                  <w:vAlign w:val="center"/>
                </w:tcPr>
                <w:p w14:paraId="35D16918">
                  <w:pPr>
                    <w:jc w:val="center"/>
                    <w:rPr>
                      <w:color w:val="auto"/>
                      <w:kern w:val="0"/>
                      <w:szCs w:val="21"/>
                    </w:rPr>
                  </w:pPr>
                  <w:r>
                    <w:rPr>
                      <w:color w:val="auto"/>
                      <w:kern w:val="0"/>
                      <w:szCs w:val="21"/>
                    </w:rPr>
                    <w:t>固废</w:t>
                  </w:r>
                </w:p>
              </w:tc>
              <w:tc>
                <w:tcPr>
                  <w:tcW w:w="524" w:type="pct"/>
                  <w:vAlign w:val="center"/>
                </w:tcPr>
                <w:p w14:paraId="3D578FBB">
                  <w:pPr>
                    <w:pStyle w:val="13"/>
                    <w:spacing w:before="0" w:after="0" w:line="240" w:lineRule="auto"/>
                    <w:ind w:right="0"/>
                    <w:jc w:val="center"/>
                    <w:rPr>
                      <w:bCs/>
                      <w:color w:val="auto"/>
                      <w:sz w:val="21"/>
                      <w:szCs w:val="21"/>
                    </w:rPr>
                  </w:pPr>
                  <w:r>
                    <w:rPr>
                      <w:rFonts w:hint="eastAsia"/>
                      <w:bCs/>
                      <w:color w:val="auto"/>
                      <w:sz w:val="21"/>
                      <w:szCs w:val="21"/>
                    </w:rPr>
                    <w:t>一般固废</w:t>
                  </w:r>
                </w:p>
              </w:tc>
              <w:tc>
                <w:tcPr>
                  <w:tcW w:w="2762" w:type="pct"/>
                  <w:vAlign w:val="center"/>
                </w:tcPr>
                <w:p w14:paraId="3952D11E">
                  <w:pPr>
                    <w:pStyle w:val="13"/>
                    <w:spacing w:before="0" w:after="0" w:line="240" w:lineRule="auto"/>
                    <w:ind w:right="0"/>
                    <w:jc w:val="center"/>
                    <w:rPr>
                      <w:bCs/>
                      <w:color w:val="auto"/>
                      <w:sz w:val="21"/>
                      <w:szCs w:val="21"/>
                    </w:rPr>
                  </w:pPr>
                  <w:r>
                    <w:rPr>
                      <w:rFonts w:hint="eastAsia"/>
                      <w:bCs/>
                      <w:color w:val="auto"/>
                      <w:sz w:val="21"/>
                      <w:szCs w:val="21"/>
                      <w:lang w:val="en-US" w:eastAsia="zh-CN"/>
                    </w:rPr>
                    <w:t>在厂区东北侧</w:t>
                  </w:r>
                  <w:r>
                    <w:rPr>
                      <w:rFonts w:hint="eastAsia"/>
                      <w:bCs/>
                      <w:color w:val="auto"/>
                      <w:sz w:val="21"/>
                      <w:szCs w:val="21"/>
                    </w:rPr>
                    <w:t>设置</w:t>
                  </w:r>
                  <w:r>
                    <w:rPr>
                      <w:rFonts w:hint="eastAsia"/>
                      <w:bCs/>
                      <w:color w:val="auto"/>
                      <w:sz w:val="21"/>
                      <w:szCs w:val="21"/>
                      <w:lang w:val="en-US" w:eastAsia="zh-CN"/>
                    </w:rPr>
                    <w:t>1</w:t>
                  </w:r>
                  <w:r>
                    <w:rPr>
                      <w:rFonts w:hint="eastAsia"/>
                      <w:bCs/>
                      <w:color w:val="auto"/>
                      <w:sz w:val="21"/>
                      <w:szCs w:val="21"/>
                    </w:rPr>
                    <w:t>0m</w:t>
                  </w:r>
                  <w:r>
                    <w:rPr>
                      <w:rFonts w:hint="eastAsia"/>
                      <w:bCs/>
                      <w:color w:val="auto"/>
                      <w:sz w:val="21"/>
                      <w:szCs w:val="21"/>
                      <w:vertAlign w:val="superscript"/>
                    </w:rPr>
                    <w:t>2</w:t>
                  </w:r>
                  <w:r>
                    <w:rPr>
                      <w:rFonts w:hint="eastAsia"/>
                      <w:bCs/>
                      <w:color w:val="auto"/>
                      <w:sz w:val="21"/>
                      <w:szCs w:val="21"/>
                    </w:rPr>
                    <w:t>的一般固废暂存间</w:t>
                  </w:r>
                </w:p>
              </w:tc>
            </w:tr>
            <w:tr w14:paraId="7270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6" w:type="pct"/>
                  <w:vMerge w:val="continue"/>
                  <w:vAlign w:val="center"/>
                </w:tcPr>
                <w:p w14:paraId="25E77265">
                  <w:pPr>
                    <w:jc w:val="center"/>
                    <w:rPr>
                      <w:color w:val="auto"/>
                    </w:rPr>
                  </w:pPr>
                </w:p>
              </w:tc>
              <w:tc>
                <w:tcPr>
                  <w:tcW w:w="1085" w:type="pct"/>
                  <w:vMerge w:val="continue"/>
                  <w:vAlign w:val="center"/>
                </w:tcPr>
                <w:p w14:paraId="2E44E405">
                  <w:pPr>
                    <w:jc w:val="center"/>
                    <w:rPr>
                      <w:color w:val="auto"/>
                    </w:rPr>
                  </w:pPr>
                </w:p>
              </w:tc>
              <w:tc>
                <w:tcPr>
                  <w:tcW w:w="524" w:type="pct"/>
                  <w:vAlign w:val="center"/>
                </w:tcPr>
                <w:p w14:paraId="6DE5630D">
                  <w:pPr>
                    <w:pStyle w:val="13"/>
                    <w:spacing w:before="0" w:after="0" w:line="240" w:lineRule="auto"/>
                    <w:ind w:right="0"/>
                    <w:jc w:val="center"/>
                    <w:rPr>
                      <w:bCs/>
                      <w:color w:val="auto"/>
                      <w:sz w:val="21"/>
                      <w:szCs w:val="21"/>
                    </w:rPr>
                  </w:pPr>
                  <w:r>
                    <w:rPr>
                      <w:rFonts w:hint="eastAsia"/>
                      <w:bCs/>
                      <w:color w:val="auto"/>
                      <w:sz w:val="21"/>
                      <w:szCs w:val="21"/>
                    </w:rPr>
                    <w:t>危险废物</w:t>
                  </w:r>
                </w:p>
              </w:tc>
              <w:tc>
                <w:tcPr>
                  <w:tcW w:w="2762" w:type="pct"/>
                  <w:vAlign w:val="center"/>
                </w:tcPr>
                <w:p w14:paraId="06A17328">
                  <w:pPr>
                    <w:pStyle w:val="13"/>
                    <w:spacing w:before="0" w:after="0" w:line="240" w:lineRule="auto"/>
                    <w:ind w:right="0"/>
                    <w:jc w:val="center"/>
                    <w:rPr>
                      <w:bCs/>
                      <w:color w:val="auto"/>
                      <w:sz w:val="21"/>
                      <w:szCs w:val="21"/>
                    </w:rPr>
                  </w:pPr>
                  <w:r>
                    <w:rPr>
                      <w:rFonts w:hint="eastAsia"/>
                      <w:bCs/>
                      <w:color w:val="auto"/>
                      <w:sz w:val="21"/>
                      <w:szCs w:val="21"/>
                      <w:lang w:val="en-US" w:eastAsia="zh-CN"/>
                    </w:rPr>
                    <w:t>在厂区东北侧</w:t>
                  </w:r>
                  <w:r>
                    <w:rPr>
                      <w:rFonts w:hint="eastAsia"/>
                      <w:bCs/>
                      <w:color w:val="auto"/>
                      <w:sz w:val="21"/>
                      <w:szCs w:val="21"/>
                    </w:rPr>
                    <w:t>设置</w:t>
                  </w:r>
                  <w:r>
                    <w:rPr>
                      <w:rFonts w:hint="eastAsia"/>
                      <w:bCs/>
                      <w:color w:val="auto"/>
                      <w:sz w:val="21"/>
                      <w:szCs w:val="21"/>
                      <w:lang w:val="en-US" w:eastAsia="zh-CN"/>
                    </w:rPr>
                    <w:t>1</w:t>
                  </w:r>
                  <w:r>
                    <w:rPr>
                      <w:rFonts w:hint="eastAsia"/>
                      <w:bCs/>
                      <w:color w:val="auto"/>
                      <w:sz w:val="21"/>
                      <w:szCs w:val="21"/>
                    </w:rPr>
                    <w:t>0m</w:t>
                  </w:r>
                  <w:r>
                    <w:rPr>
                      <w:rFonts w:hint="eastAsia"/>
                      <w:bCs/>
                      <w:color w:val="auto"/>
                      <w:sz w:val="21"/>
                      <w:szCs w:val="21"/>
                      <w:vertAlign w:val="superscript"/>
                    </w:rPr>
                    <w:t>2</w:t>
                  </w:r>
                  <w:r>
                    <w:rPr>
                      <w:rFonts w:hint="eastAsia"/>
                      <w:bCs/>
                      <w:color w:val="auto"/>
                      <w:sz w:val="21"/>
                      <w:szCs w:val="21"/>
                    </w:rPr>
                    <w:t>的危废间用于暂存危废</w:t>
                  </w:r>
                </w:p>
              </w:tc>
            </w:tr>
            <w:tr w14:paraId="1C16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6" w:type="pct"/>
                  <w:vMerge w:val="continue"/>
                  <w:vAlign w:val="center"/>
                </w:tcPr>
                <w:p w14:paraId="605C1C9D">
                  <w:pPr>
                    <w:jc w:val="center"/>
                    <w:rPr>
                      <w:color w:val="auto"/>
                    </w:rPr>
                  </w:pPr>
                </w:p>
              </w:tc>
              <w:tc>
                <w:tcPr>
                  <w:tcW w:w="1085" w:type="pct"/>
                  <w:vMerge w:val="continue"/>
                  <w:vAlign w:val="center"/>
                </w:tcPr>
                <w:p w14:paraId="4BD8AFC0">
                  <w:pPr>
                    <w:jc w:val="center"/>
                    <w:rPr>
                      <w:color w:val="auto"/>
                    </w:rPr>
                  </w:pPr>
                </w:p>
              </w:tc>
              <w:tc>
                <w:tcPr>
                  <w:tcW w:w="524" w:type="pct"/>
                  <w:vAlign w:val="center"/>
                </w:tcPr>
                <w:p w14:paraId="1ADADE5F">
                  <w:pPr>
                    <w:pStyle w:val="13"/>
                    <w:spacing w:before="0" w:after="0" w:line="240" w:lineRule="auto"/>
                    <w:ind w:right="0"/>
                    <w:jc w:val="center"/>
                    <w:rPr>
                      <w:bCs/>
                      <w:color w:val="auto"/>
                      <w:sz w:val="21"/>
                      <w:szCs w:val="21"/>
                    </w:rPr>
                  </w:pPr>
                  <w:r>
                    <w:rPr>
                      <w:rFonts w:hint="eastAsia"/>
                      <w:bCs/>
                      <w:color w:val="auto"/>
                      <w:sz w:val="21"/>
                      <w:szCs w:val="21"/>
                    </w:rPr>
                    <w:t>生活垃圾</w:t>
                  </w:r>
                </w:p>
              </w:tc>
              <w:tc>
                <w:tcPr>
                  <w:tcW w:w="2762" w:type="pct"/>
                  <w:vAlign w:val="center"/>
                </w:tcPr>
                <w:p w14:paraId="6194340B">
                  <w:pPr>
                    <w:pStyle w:val="13"/>
                    <w:spacing w:before="0" w:after="0" w:line="240" w:lineRule="auto"/>
                    <w:ind w:right="0"/>
                    <w:jc w:val="center"/>
                    <w:rPr>
                      <w:bCs/>
                      <w:color w:val="auto"/>
                      <w:sz w:val="21"/>
                      <w:szCs w:val="21"/>
                    </w:rPr>
                  </w:pPr>
                  <w:r>
                    <w:rPr>
                      <w:rFonts w:hint="eastAsia"/>
                      <w:bCs/>
                      <w:color w:val="auto"/>
                      <w:sz w:val="21"/>
                      <w:szCs w:val="21"/>
                    </w:rPr>
                    <w:t>厂区内设置若干垃圾桶，由环卫部门定期清运。</w:t>
                  </w:r>
                </w:p>
              </w:tc>
            </w:tr>
            <w:bookmarkEnd w:id="1"/>
            <w:bookmarkEnd w:id="2"/>
            <w:bookmarkEnd w:id="3"/>
          </w:tbl>
          <w:p w14:paraId="084B72C0">
            <w:pPr>
              <w:spacing w:line="360" w:lineRule="auto"/>
              <w:ind w:firstLine="482" w:firstLineChars="200"/>
              <w:rPr>
                <w:b/>
                <w:color w:val="auto"/>
                <w:sz w:val="24"/>
                <w:szCs w:val="32"/>
              </w:rPr>
            </w:pPr>
            <w:r>
              <w:rPr>
                <w:rFonts w:hint="eastAsia"/>
                <w:b/>
                <w:color w:val="auto"/>
                <w:sz w:val="24"/>
                <w:szCs w:val="32"/>
              </w:rPr>
              <w:t>3</w:t>
            </w:r>
            <w:r>
              <w:rPr>
                <w:b/>
                <w:color w:val="auto"/>
                <w:sz w:val="24"/>
                <w:szCs w:val="32"/>
              </w:rPr>
              <w:t>、项目规模及产品方案</w:t>
            </w:r>
          </w:p>
          <w:p w14:paraId="3A7DC401">
            <w:pPr>
              <w:spacing w:line="360" w:lineRule="auto"/>
              <w:ind w:firstLine="480" w:firstLineChars="200"/>
              <w:rPr>
                <w:b/>
                <w:color w:val="auto"/>
                <w:sz w:val="24"/>
                <w:szCs w:val="21"/>
              </w:rPr>
            </w:pPr>
            <w:r>
              <w:rPr>
                <w:rFonts w:hint="eastAsia"/>
                <w:color w:val="auto"/>
                <w:sz w:val="24"/>
                <w:szCs w:val="32"/>
              </w:rPr>
              <w:t>本</w:t>
            </w:r>
            <w:r>
              <w:rPr>
                <w:color w:val="auto"/>
                <w:sz w:val="24"/>
                <w:szCs w:val="32"/>
              </w:rPr>
              <w:t>项目产品主要为</w:t>
            </w:r>
            <w:r>
              <w:rPr>
                <w:rFonts w:hint="eastAsia"/>
                <w:bCs/>
                <w:color w:val="auto"/>
                <w:sz w:val="24"/>
                <w:lang w:val="en-US" w:eastAsia="zh-CN"/>
              </w:rPr>
              <w:t>15000吨生物质颗粒和5000吨竹制品</w:t>
            </w:r>
            <w:r>
              <w:rPr>
                <w:color w:val="auto"/>
                <w:sz w:val="24"/>
                <w:szCs w:val="32"/>
              </w:rPr>
              <w:t>，</w:t>
            </w:r>
            <w:r>
              <w:rPr>
                <w:rFonts w:hint="eastAsia"/>
                <w:color w:val="auto"/>
                <w:sz w:val="24"/>
                <w:szCs w:val="32"/>
              </w:rPr>
              <w:t>项目</w:t>
            </w:r>
            <w:r>
              <w:rPr>
                <w:color w:val="auto"/>
                <w:sz w:val="24"/>
                <w:szCs w:val="32"/>
              </w:rPr>
              <w:t>产品方案及规模详见下表。</w:t>
            </w:r>
          </w:p>
          <w:p w14:paraId="770E2AC4">
            <w:pPr>
              <w:tabs>
                <w:tab w:val="left" w:pos="3255"/>
              </w:tabs>
              <w:spacing w:line="360" w:lineRule="auto"/>
              <w:jc w:val="center"/>
              <w:rPr>
                <w:b/>
                <w:color w:val="auto"/>
                <w:sz w:val="24"/>
                <w:szCs w:val="21"/>
              </w:rPr>
            </w:pPr>
            <w:r>
              <w:rPr>
                <w:b/>
                <w:color w:val="auto"/>
                <w:sz w:val="24"/>
                <w:szCs w:val="21"/>
              </w:rPr>
              <w:t>表2-</w:t>
            </w:r>
            <w:r>
              <w:rPr>
                <w:rFonts w:hint="eastAsia"/>
                <w:b/>
                <w:color w:val="auto"/>
                <w:sz w:val="24"/>
                <w:szCs w:val="21"/>
              </w:rPr>
              <w:t>5项目产品方案及规模</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1"/>
              <w:gridCol w:w="1852"/>
              <w:gridCol w:w="2387"/>
              <w:gridCol w:w="2032"/>
            </w:tblGrid>
            <w:tr w14:paraId="1E71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1" w:type="dxa"/>
                  <w:vAlign w:val="center"/>
                </w:tcPr>
                <w:p w14:paraId="7062AA08">
                  <w:pPr>
                    <w:jc w:val="center"/>
                    <w:rPr>
                      <w:b/>
                      <w:bCs/>
                      <w:color w:val="auto"/>
                      <w:szCs w:val="21"/>
                    </w:rPr>
                  </w:pPr>
                  <w:r>
                    <w:rPr>
                      <w:rFonts w:hint="eastAsia"/>
                      <w:b/>
                      <w:bCs/>
                      <w:color w:val="auto"/>
                      <w:szCs w:val="21"/>
                    </w:rPr>
                    <w:t>序号</w:t>
                  </w:r>
                </w:p>
              </w:tc>
              <w:tc>
                <w:tcPr>
                  <w:tcW w:w="1451" w:type="dxa"/>
                  <w:vAlign w:val="center"/>
                </w:tcPr>
                <w:p w14:paraId="067E9BD2">
                  <w:pPr>
                    <w:jc w:val="center"/>
                    <w:rPr>
                      <w:b/>
                      <w:bCs/>
                      <w:color w:val="auto"/>
                      <w:szCs w:val="21"/>
                    </w:rPr>
                  </w:pPr>
                  <w:r>
                    <w:rPr>
                      <w:rFonts w:hint="eastAsia"/>
                      <w:b/>
                      <w:bCs/>
                      <w:color w:val="auto"/>
                      <w:szCs w:val="21"/>
                    </w:rPr>
                    <w:t>产品名称</w:t>
                  </w:r>
                </w:p>
              </w:tc>
              <w:tc>
                <w:tcPr>
                  <w:tcW w:w="1852" w:type="dxa"/>
                  <w:vAlign w:val="center"/>
                </w:tcPr>
                <w:p w14:paraId="7F29EE1A">
                  <w:pPr>
                    <w:jc w:val="center"/>
                    <w:rPr>
                      <w:rFonts w:hint="eastAsia" w:eastAsia="宋体"/>
                      <w:b/>
                      <w:bCs/>
                      <w:color w:val="auto"/>
                      <w:szCs w:val="21"/>
                      <w:lang w:eastAsia="zh-CN"/>
                    </w:rPr>
                  </w:pPr>
                  <w:r>
                    <w:rPr>
                      <w:rFonts w:hint="eastAsia"/>
                      <w:b/>
                      <w:bCs/>
                      <w:color w:val="auto"/>
                      <w:szCs w:val="21"/>
                      <w:lang w:val="en-US" w:eastAsia="zh-CN"/>
                    </w:rPr>
                    <w:t>年产量（t）</w:t>
                  </w:r>
                </w:p>
              </w:tc>
              <w:tc>
                <w:tcPr>
                  <w:tcW w:w="2387" w:type="dxa"/>
                  <w:vAlign w:val="center"/>
                </w:tcPr>
                <w:p w14:paraId="1869EB9A">
                  <w:pPr>
                    <w:jc w:val="center"/>
                    <w:rPr>
                      <w:rFonts w:hint="default" w:eastAsia="宋体"/>
                      <w:b/>
                      <w:bCs/>
                      <w:color w:val="auto"/>
                      <w:szCs w:val="21"/>
                      <w:lang w:val="en-US" w:eastAsia="zh-CN"/>
                    </w:rPr>
                  </w:pPr>
                  <w:r>
                    <w:rPr>
                      <w:rFonts w:hint="eastAsia"/>
                      <w:b/>
                      <w:bCs/>
                      <w:color w:val="auto"/>
                      <w:szCs w:val="21"/>
                      <w:lang w:val="en-US" w:eastAsia="zh-CN"/>
                    </w:rPr>
                    <w:t>规格</w:t>
                  </w:r>
                </w:p>
              </w:tc>
              <w:tc>
                <w:tcPr>
                  <w:tcW w:w="2032" w:type="dxa"/>
                  <w:vAlign w:val="center"/>
                </w:tcPr>
                <w:p w14:paraId="0072DD7F">
                  <w:pPr>
                    <w:jc w:val="center"/>
                    <w:rPr>
                      <w:b/>
                      <w:bCs/>
                      <w:color w:val="auto"/>
                      <w:szCs w:val="21"/>
                    </w:rPr>
                  </w:pPr>
                  <w:r>
                    <w:rPr>
                      <w:rFonts w:hint="eastAsia"/>
                      <w:b/>
                      <w:bCs/>
                      <w:color w:val="auto"/>
                      <w:szCs w:val="21"/>
                      <w:lang w:val="en-US" w:eastAsia="zh-CN"/>
                    </w:rPr>
                    <w:t>含水率</w:t>
                  </w:r>
                </w:p>
              </w:tc>
            </w:tr>
            <w:tr w14:paraId="4377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731" w:type="dxa"/>
                  <w:vAlign w:val="center"/>
                </w:tcPr>
                <w:p w14:paraId="0DE38D25">
                  <w:pPr>
                    <w:jc w:val="center"/>
                    <w:rPr>
                      <w:color w:val="auto"/>
                      <w:szCs w:val="21"/>
                    </w:rPr>
                  </w:pPr>
                  <w:r>
                    <w:rPr>
                      <w:rFonts w:hint="eastAsia"/>
                      <w:color w:val="auto"/>
                      <w:szCs w:val="21"/>
                    </w:rPr>
                    <w:t>1</w:t>
                  </w:r>
                </w:p>
              </w:tc>
              <w:tc>
                <w:tcPr>
                  <w:tcW w:w="1451" w:type="dxa"/>
                  <w:vAlign w:val="center"/>
                </w:tcPr>
                <w:p w14:paraId="54D8F52A">
                  <w:pPr>
                    <w:jc w:val="center"/>
                    <w:rPr>
                      <w:rFonts w:hint="default" w:eastAsia="宋体"/>
                      <w:color w:val="auto"/>
                      <w:szCs w:val="21"/>
                      <w:lang w:val="en-US" w:eastAsia="zh-CN"/>
                    </w:rPr>
                  </w:pPr>
                  <w:r>
                    <w:rPr>
                      <w:rFonts w:hint="eastAsia"/>
                      <w:color w:val="auto"/>
                      <w:szCs w:val="21"/>
                      <w:lang w:val="en-US" w:eastAsia="zh-CN"/>
                    </w:rPr>
                    <w:t>生物质颗粒</w:t>
                  </w:r>
                </w:p>
              </w:tc>
              <w:tc>
                <w:tcPr>
                  <w:tcW w:w="1852" w:type="dxa"/>
                  <w:vAlign w:val="center"/>
                </w:tcPr>
                <w:p w14:paraId="6E1AC301">
                  <w:pPr>
                    <w:jc w:val="center"/>
                    <w:rPr>
                      <w:rFonts w:hint="default" w:eastAsia="宋体"/>
                      <w:color w:val="auto"/>
                      <w:szCs w:val="21"/>
                      <w:lang w:val="en-US" w:eastAsia="zh-CN"/>
                    </w:rPr>
                  </w:pPr>
                  <w:r>
                    <w:rPr>
                      <w:rFonts w:hint="eastAsia"/>
                      <w:color w:val="auto"/>
                      <w:szCs w:val="21"/>
                      <w:lang w:val="en-US" w:eastAsia="zh-CN"/>
                    </w:rPr>
                    <w:t>15000</w:t>
                  </w:r>
                </w:p>
              </w:tc>
              <w:tc>
                <w:tcPr>
                  <w:tcW w:w="2387" w:type="dxa"/>
                  <w:vAlign w:val="center"/>
                </w:tcPr>
                <w:p w14:paraId="7677A794">
                  <w:pPr>
                    <w:jc w:val="center"/>
                    <w:rPr>
                      <w:rFonts w:hint="default" w:eastAsia="宋体"/>
                      <w:color w:val="auto"/>
                      <w:szCs w:val="21"/>
                      <w:lang w:val="en-US" w:eastAsia="zh-CN"/>
                    </w:rPr>
                  </w:pPr>
                  <w:r>
                    <w:rPr>
                      <w:rFonts w:hint="eastAsia"/>
                      <w:color w:val="auto"/>
                      <w:szCs w:val="21"/>
                      <w:lang w:val="en-US" w:eastAsia="zh-CN"/>
                    </w:rPr>
                    <w:t>Φ8-15mm</w:t>
                  </w:r>
                </w:p>
              </w:tc>
              <w:tc>
                <w:tcPr>
                  <w:tcW w:w="2032" w:type="dxa"/>
                  <w:vAlign w:val="center"/>
                </w:tcPr>
                <w:p w14:paraId="57A5BC67">
                  <w:pPr>
                    <w:jc w:val="center"/>
                    <w:rPr>
                      <w:rFonts w:hint="default" w:eastAsia="宋体"/>
                      <w:color w:val="auto"/>
                      <w:szCs w:val="21"/>
                      <w:lang w:val="en-US" w:eastAsia="zh-CN"/>
                    </w:rPr>
                  </w:pPr>
                  <w:r>
                    <w:rPr>
                      <w:rFonts w:hint="eastAsia"/>
                      <w:color w:val="auto"/>
                      <w:lang w:val="en-US" w:eastAsia="zh-CN"/>
                    </w:rPr>
                    <w:t>含水率约10%</w:t>
                  </w:r>
                </w:p>
              </w:tc>
            </w:tr>
            <w:tr w14:paraId="65A1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731" w:type="dxa"/>
                  <w:vAlign w:val="center"/>
                </w:tcPr>
                <w:p w14:paraId="3A8D1101">
                  <w:pPr>
                    <w:jc w:val="center"/>
                    <w:rPr>
                      <w:rFonts w:hint="eastAsia" w:eastAsia="宋体"/>
                      <w:color w:val="auto"/>
                      <w:szCs w:val="21"/>
                      <w:lang w:val="en-US" w:eastAsia="zh-CN"/>
                    </w:rPr>
                  </w:pPr>
                  <w:r>
                    <w:rPr>
                      <w:rFonts w:hint="eastAsia"/>
                      <w:color w:val="auto"/>
                      <w:szCs w:val="21"/>
                      <w:lang w:val="en-US" w:eastAsia="zh-CN"/>
                    </w:rPr>
                    <w:t>2</w:t>
                  </w:r>
                </w:p>
              </w:tc>
              <w:tc>
                <w:tcPr>
                  <w:tcW w:w="1451" w:type="dxa"/>
                  <w:vAlign w:val="center"/>
                </w:tcPr>
                <w:p w14:paraId="10D07C19">
                  <w:pPr>
                    <w:jc w:val="center"/>
                    <w:rPr>
                      <w:rFonts w:hint="default"/>
                      <w:color w:val="auto"/>
                      <w:szCs w:val="21"/>
                      <w:lang w:val="en-US" w:eastAsia="zh-CN"/>
                    </w:rPr>
                  </w:pPr>
                  <w:r>
                    <w:rPr>
                      <w:rFonts w:hint="eastAsia"/>
                      <w:color w:val="auto"/>
                      <w:szCs w:val="21"/>
                      <w:lang w:val="en-US" w:eastAsia="zh-CN"/>
                    </w:rPr>
                    <w:t>竹制品</w:t>
                  </w:r>
                </w:p>
              </w:tc>
              <w:tc>
                <w:tcPr>
                  <w:tcW w:w="1852" w:type="dxa"/>
                  <w:vAlign w:val="center"/>
                </w:tcPr>
                <w:p w14:paraId="757D59EC">
                  <w:pPr>
                    <w:jc w:val="center"/>
                    <w:rPr>
                      <w:rFonts w:hint="default"/>
                      <w:color w:val="auto"/>
                      <w:szCs w:val="21"/>
                      <w:lang w:val="en-US" w:eastAsia="zh-CN"/>
                    </w:rPr>
                  </w:pPr>
                  <w:r>
                    <w:rPr>
                      <w:rFonts w:hint="eastAsia"/>
                      <w:color w:val="auto"/>
                      <w:szCs w:val="21"/>
                      <w:lang w:val="en-US" w:eastAsia="zh-CN"/>
                    </w:rPr>
                    <w:t>5000</w:t>
                  </w:r>
                </w:p>
              </w:tc>
              <w:tc>
                <w:tcPr>
                  <w:tcW w:w="2387" w:type="dxa"/>
                  <w:vAlign w:val="center"/>
                </w:tcPr>
                <w:p w14:paraId="62061463">
                  <w:pPr>
                    <w:jc w:val="center"/>
                    <w:rPr>
                      <w:rFonts w:hint="eastAsia"/>
                      <w:color w:val="auto"/>
                      <w:szCs w:val="21"/>
                      <w:lang w:val="en-US" w:eastAsia="zh-CN"/>
                    </w:rPr>
                  </w:pPr>
                  <w:r>
                    <w:rPr>
                      <w:rFonts w:hint="eastAsia"/>
                      <w:color w:val="auto"/>
                      <w:szCs w:val="21"/>
                      <w:lang w:val="en-US" w:eastAsia="zh-CN"/>
                    </w:rPr>
                    <w:t>长：1.65-1.8m</w:t>
                  </w:r>
                </w:p>
                <w:p w14:paraId="7E65A447">
                  <w:pPr>
                    <w:jc w:val="center"/>
                    <w:rPr>
                      <w:rFonts w:hint="eastAsia"/>
                      <w:color w:val="auto"/>
                      <w:szCs w:val="21"/>
                      <w:lang w:val="en-US" w:eastAsia="zh-CN"/>
                    </w:rPr>
                  </w:pPr>
                  <w:r>
                    <w:rPr>
                      <w:rFonts w:hint="eastAsia"/>
                      <w:color w:val="auto"/>
                      <w:szCs w:val="21"/>
                      <w:lang w:val="en-US" w:eastAsia="zh-CN"/>
                    </w:rPr>
                    <w:t>侧面边长：10-15mm</w:t>
                  </w:r>
                </w:p>
              </w:tc>
              <w:tc>
                <w:tcPr>
                  <w:tcW w:w="2032" w:type="dxa"/>
                  <w:vAlign w:val="center"/>
                </w:tcPr>
                <w:p w14:paraId="4CFDA39F">
                  <w:pPr>
                    <w:jc w:val="center"/>
                    <w:rPr>
                      <w:rFonts w:hint="eastAsia" w:eastAsia="宋体"/>
                      <w:color w:val="auto"/>
                      <w:lang w:val="en-US" w:eastAsia="zh-CN"/>
                    </w:rPr>
                  </w:pPr>
                  <w:r>
                    <w:rPr>
                      <w:rFonts w:hint="eastAsia"/>
                      <w:color w:val="auto"/>
                      <w:lang w:val="en-US" w:eastAsia="zh-CN"/>
                    </w:rPr>
                    <w:t>/</w:t>
                  </w:r>
                </w:p>
              </w:tc>
            </w:tr>
            <w:tr w14:paraId="050F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53" w:type="dxa"/>
                  <w:gridSpan w:val="5"/>
                  <w:vAlign w:val="center"/>
                </w:tcPr>
                <w:p w14:paraId="47594958">
                  <w:pPr>
                    <w:jc w:val="center"/>
                    <w:rPr>
                      <w:rFonts w:hint="eastAsia" w:eastAsia="宋体"/>
                      <w:color w:val="auto"/>
                      <w:lang w:val="en-US" w:eastAsia="zh-CN"/>
                    </w:rPr>
                  </w:pPr>
                  <w:r>
                    <w:rPr>
                      <w:rFonts w:hint="eastAsia"/>
                    </w:rPr>
                    <w:t>注：本项目生产的成型生物质颗粒符合《生物质固体成型燃料技术条件》（NY/T1878-2010）标准要求，满足《关于加强生物质成型燃料锅炉供热示范项目建设管理工作有关要求的通知》（国能新能〔2014〕520号）要求，生物质成型燃料水分不超过18%，灰分不超过8%，硫含量不超过0.1%，氮含量不超过0.5%</w:t>
                  </w:r>
                  <w:r>
                    <w:rPr>
                      <w:rFonts w:hint="eastAsia"/>
                      <w:lang w:eastAsia="zh-CN"/>
                    </w:rPr>
                    <w:t>。</w:t>
                  </w:r>
                </w:p>
              </w:tc>
            </w:tr>
          </w:tbl>
          <w:p w14:paraId="03E7EE42">
            <w:pPr>
              <w:spacing w:line="360" w:lineRule="auto"/>
              <w:ind w:firstLine="482" w:firstLineChars="200"/>
              <w:rPr>
                <w:b/>
                <w:color w:val="auto"/>
                <w:sz w:val="24"/>
                <w:szCs w:val="32"/>
              </w:rPr>
            </w:pPr>
            <w:r>
              <w:rPr>
                <w:rFonts w:hint="eastAsia"/>
                <w:b/>
                <w:color w:val="auto"/>
                <w:sz w:val="24"/>
                <w:szCs w:val="32"/>
              </w:rPr>
              <w:t>4</w:t>
            </w:r>
            <w:r>
              <w:rPr>
                <w:b/>
                <w:color w:val="auto"/>
                <w:sz w:val="24"/>
                <w:szCs w:val="32"/>
              </w:rPr>
              <w:t>、主要生产设备</w:t>
            </w:r>
          </w:p>
          <w:p w14:paraId="6861023D">
            <w:pPr>
              <w:spacing w:line="360" w:lineRule="auto"/>
              <w:ind w:firstLine="480" w:firstLineChars="200"/>
              <w:rPr>
                <w:bCs/>
                <w:color w:val="auto"/>
                <w:sz w:val="24"/>
                <w:szCs w:val="32"/>
              </w:rPr>
            </w:pPr>
            <w:r>
              <w:rPr>
                <w:rFonts w:hint="eastAsia"/>
                <w:bCs/>
                <w:color w:val="auto"/>
                <w:sz w:val="24"/>
                <w:szCs w:val="32"/>
              </w:rPr>
              <w:t>本</w:t>
            </w:r>
            <w:r>
              <w:rPr>
                <w:bCs/>
                <w:color w:val="auto"/>
                <w:sz w:val="24"/>
                <w:szCs w:val="32"/>
              </w:rPr>
              <w:t>项目设备见下表。</w:t>
            </w:r>
          </w:p>
          <w:p w14:paraId="0717A647">
            <w:pPr>
              <w:tabs>
                <w:tab w:val="left" w:pos="3255"/>
              </w:tabs>
              <w:spacing w:line="360" w:lineRule="auto"/>
              <w:jc w:val="center"/>
              <w:rPr>
                <w:b/>
                <w:color w:val="auto"/>
                <w:sz w:val="24"/>
                <w:szCs w:val="21"/>
              </w:rPr>
            </w:pPr>
            <w:r>
              <w:rPr>
                <w:b/>
                <w:color w:val="auto"/>
                <w:sz w:val="24"/>
                <w:szCs w:val="21"/>
              </w:rPr>
              <w:t>表2-</w:t>
            </w:r>
            <w:r>
              <w:rPr>
                <w:rFonts w:hint="eastAsia"/>
                <w:b/>
                <w:color w:val="auto"/>
                <w:sz w:val="24"/>
                <w:szCs w:val="21"/>
              </w:rPr>
              <w:t>6</w:t>
            </w:r>
            <w:r>
              <w:rPr>
                <w:b/>
                <w:color w:val="auto"/>
                <w:sz w:val="24"/>
                <w:szCs w:val="21"/>
              </w:rPr>
              <w:t xml:space="preserve">  项目设备一览表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098"/>
              <w:gridCol w:w="2037"/>
              <w:gridCol w:w="1861"/>
              <w:gridCol w:w="1566"/>
            </w:tblGrid>
            <w:tr w14:paraId="3CB7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27" w:type="pct"/>
                  <w:vAlign w:val="center"/>
                </w:tcPr>
                <w:p w14:paraId="1BC7D87B">
                  <w:pPr>
                    <w:jc w:val="center"/>
                    <w:rPr>
                      <w:color w:val="auto"/>
                      <w:szCs w:val="21"/>
                    </w:rPr>
                  </w:pPr>
                  <w:r>
                    <w:rPr>
                      <w:color w:val="auto"/>
                      <w:szCs w:val="21"/>
                    </w:rPr>
                    <w:t>序号</w:t>
                  </w:r>
                </w:p>
              </w:tc>
              <w:tc>
                <w:tcPr>
                  <w:tcW w:w="1240" w:type="pct"/>
                  <w:vAlign w:val="center"/>
                </w:tcPr>
                <w:p w14:paraId="3EECA770">
                  <w:pPr>
                    <w:jc w:val="center"/>
                    <w:rPr>
                      <w:color w:val="auto"/>
                      <w:szCs w:val="21"/>
                    </w:rPr>
                  </w:pPr>
                  <w:r>
                    <w:rPr>
                      <w:color w:val="auto"/>
                      <w:szCs w:val="21"/>
                    </w:rPr>
                    <w:t>设备名称</w:t>
                  </w:r>
                </w:p>
              </w:tc>
              <w:tc>
                <w:tcPr>
                  <w:tcW w:w="1204" w:type="pct"/>
                  <w:vAlign w:val="center"/>
                </w:tcPr>
                <w:p w14:paraId="0095F9EC">
                  <w:pPr>
                    <w:jc w:val="center"/>
                    <w:rPr>
                      <w:color w:val="auto"/>
                      <w:szCs w:val="21"/>
                    </w:rPr>
                  </w:pPr>
                  <w:r>
                    <w:rPr>
                      <w:color w:val="auto"/>
                      <w:szCs w:val="21"/>
                    </w:rPr>
                    <w:t>规型格号</w:t>
                  </w:r>
                </w:p>
              </w:tc>
              <w:tc>
                <w:tcPr>
                  <w:tcW w:w="1100" w:type="pct"/>
                  <w:vAlign w:val="center"/>
                </w:tcPr>
                <w:p w14:paraId="2DD8D426">
                  <w:pPr>
                    <w:jc w:val="center"/>
                    <w:rPr>
                      <w:color w:val="auto"/>
                      <w:szCs w:val="21"/>
                    </w:rPr>
                  </w:pPr>
                  <w:r>
                    <w:rPr>
                      <w:color w:val="auto"/>
                      <w:szCs w:val="21"/>
                    </w:rPr>
                    <w:t>数量（台/套）</w:t>
                  </w:r>
                </w:p>
              </w:tc>
              <w:tc>
                <w:tcPr>
                  <w:tcW w:w="926" w:type="pct"/>
                  <w:vAlign w:val="center"/>
                </w:tcPr>
                <w:p w14:paraId="7416EAE2">
                  <w:pPr>
                    <w:jc w:val="center"/>
                    <w:rPr>
                      <w:color w:val="auto"/>
                      <w:szCs w:val="21"/>
                    </w:rPr>
                  </w:pPr>
                  <w:r>
                    <w:rPr>
                      <w:rFonts w:hint="eastAsia"/>
                      <w:color w:val="auto"/>
                      <w:szCs w:val="21"/>
                    </w:rPr>
                    <w:t>工序</w:t>
                  </w:r>
                </w:p>
              </w:tc>
            </w:tr>
            <w:tr w14:paraId="4CB6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7" w:type="pct"/>
                  <w:vAlign w:val="center"/>
                </w:tcPr>
                <w:p w14:paraId="05708DEA">
                  <w:pPr>
                    <w:jc w:val="center"/>
                    <w:rPr>
                      <w:color w:val="auto"/>
                      <w:szCs w:val="21"/>
                    </w:rPr>
                  </w:pPr>
                  <w:r>
                    <w:rPr>
                      <w:rFonts w:hint="eastAsia"/>
                      <w:color w:val="auto"/>
                      <w:szCs w:val="21"/>
                    </w:rPr>
                    <w:t>1</w:t>
                  </w:r>
                </w:p>
              </w:tc>
              <w:tc>
                <w:tcPr>
                  <w:tcW w:w="1240" w:type="pct"/>
                  <w:vAlign w:val="center"/>
                </w:tcPr>
                <w:p w14:paraId="4E06379C">
                  <w:pPr>
                    <w:jc w:val="center"/>
                    <w:rPr>
                      <w:rFonts w:hint="eastAsia" w:eastAsia="宋体"/>
                      <w:color w:val="auto"/>
                      <w:szCs w:val="21"/>
                      <w:lang w:eastAsia="zh-CN"/>
                    </w:rPr>
                  </w:pPr>
                  <w:r>
                    <w:rPr>
                      <w:rFonts w:hint="eastAsia"/>
                      <w:color w:val="auto"/>
                      <w:szCs w:val="21"/>
                      <w:lang w:val="en-US" w:eastAsia="zh-CN"/>
                    </w:rPr>
                    <w:t>生物质造粒机</w:t>
                  </w:r>
                </w:p>
              </w:tc>
              <w:tc>
                <w:tcPr>
                  <w:tcW w:w="1204" w:type="pct"/>
                  <w:vAlign w:val="center"/>
                </w:tcPr>
                <w:p w14:paraId="6A45160F">
                  <w:pPr>
                    <w:jc w:val="center"/>
                    <w:rPr>
                      <w:rFonts w:hint="default" w:eastAsia="宋体"/>
                      <w:color w:val="auto"/>
                      <w:szCs w:val="21"/>
                      <w:lang w:val="en-US" w:eastAsia="zh-CN"/>
                    </w:rPr>
                  </w:pPr>
                  <w:r>
                    <w:rPr>
                      <w:rFonts w:hint="eastAsia"/>
                      <w:color w:val="auto"/>
                      <w:szCs w:val="21"/>
                      <w:lang w:val="en-US" w:eastAsia="zh-CN"/>
                    </w:rPr>
                    <w:t>560型</w:t>
                  </w:r>
                </w:p>
              </w:tc>
              <w:tc>
                <w:tcPr>
                  <w:tcW w:w="1100" w:type="pct"/>
                  <w:vAlign w:val="center"/>
                </w:tcPr>
                <w:p w14:paraId="16745394">
                  <w:pPr>
                    <w:jc w:val="center"/>
                    <w:rPr>
                      <w:rFonts w:hint="default" w:eastAsia="宋体"/>
                      <w:color w:val="auto"/>
                      <w:szCs w:val="21"/>
                      <w:lang w:val="en-US" w:eastAsia="zh-CN"/>
                    </w:rPr>
                  </w:pPr>
                  <w:r>
                    <w:rPr>
                      <w:rFonts w:hint="eastAsia"/>
                      <w:color w:val="auto"/>
                      <w:szCs w:val="21"/>
                      <w:lang w:val="en-US" w:eastAsia="zh-CN"/>
                    </w:rPr>
                    <w:t>4</w:t>
                  </w:r>
                </w:p>
              </w:tc>
              <w:tc>
                <w:tcPr>
                  <w:tcW w:w="926" w:type="pct"/>
                  <w:vAlign w:val="center"/>
                </w:tcPr>
                <w:p w14:paraId="5DEBFD7D">
                  <w:pPr>
                    <w:jc w:val="center"/>
                    <w:rPr>
                      <w:rFonts w:hint="default" w:eastAsia="宋体"/>
                      <w:color w:val="auto"/>
                      <w:szCs w:val="21"/>
                      <w:lang w:val="en-US" w:eastAsia="zh-CN"/>
                    </w:rPr>
                  </w:pPr>
                  <w:r>
                    <w:rPr>
                      <w:rFonts w:hint="eastAsia"/>
                      <w:color w:val="auto"/>
                      <w:szCs w:val="21"/>
                      <w:lang w:val="en-US" w:eastAsia="zh-CN"/>
                    </w:rPr>
                    <w:t>造粒</w:t>
                  </w:r>
                </w:p>
              </w:tc>
            </w:tr>
            <w:tr w14:paraId="4D6E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27" w:type="pct"/>
                  <w:vAlign w:val="center"/>
                </w:tcPr>
                <w:p w14:paraId="7DA26163">
                  <w:pPr>
                    <w:jc w:val="center"/>
                    <w:rPr>
                      <w:color w:val="auto"/>
                      <w:szCs w:val="21"/>
                    </w:rPr>
                  </w:pPr>
                  <w:r>
                    <w:rPr>
                      <w:rFonts w:hint="eastAsia"/>
                      <w:color w:val="auto"/>
                      <w:szCs w:val="21"/>
                    </w:rPr>
                    <w:t>2</w:t>
                  </w:r>
                </w:p>
              </w:tc>
              <w:tc>
                <w:tcPr>
                  <w:tcW w:w="1240" w:type="pct"/>
                  <w:vAlign w:val="center"/>
                </w:tcPr>
                <w:p w14:paraId="1458222F">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烘干房</w:t>
                  </w:r>
                </w:p>
              </w:tc>
              <w:tc>
                <w:tcPr>
                  <w:tcW w:w="1204" w:type="pct"/>
                  <w:vAlign w:val="center"/>
                </w:tcPr>
                <w:p w14:paraId="312906F7">
                  <w:pPr>
                    <w:jc w:val="center"/>
                    <w:rPr>
                      <w:rFonts w:hint="default" w:eastAsia="宋体"/>
                      <w:color w:val="auto"/>
                      <w:szCs w:val="21"/>
                      <w:lang w:val="en-US" w:eastAsia="zh-CN"/>
                    </w:rPr>
                  </w:pPr>
                  <w:r>
                    <w:rPr>
                      <w:rFonts w:hint="eastAsia"/>
                      <w:color w:val="auto"/>
                      <w:szCs w:val="21"/>
                      <w:lang w:val="en-US" w:eastAsia="zh-CN"/>
                    </w:rPr>
                    <w:t>5m×10m×3m</w:t>
                  </w:r>
                </w:p>
              </w:tc>
              <w:tc>
                <w:tcPr>
                  <w:tcW w:w="1100" w:type="pct"/>
                  <w:vAlign w:val="center"/>
                </w:tcPr>
                <w:p w14:paraId="22019D4A">
                  <w:pPr>
                    <w:jc w:val="center"/>
                    <w:rPr>
                      <w:rFonts w:hint="eastAsia" w:eastAsia="宋体"/>
                      <w:color w:val="auto"/>
                      <w:szCs w:val="21"/>
                      <w:lang w:eastAsia="zh-CN"/>
                    </w:rPr>
                  </w:pPr>
                  <w:r>
                    <w:rPr>
                      <w:rFonts w:hint="eastAsia"/>
                      <w:color w:val="auto"/>
                      <w:szCs w:val="21"/>
                      <w:lang w:val="en-US" w:eastAsia="zh-CN"/>
                    </w:rPr>
                    <w:t>1</w:t>
                  </w:r>
                </w:p>
              </w:tc>
              <w:tc>
                <w:tcPr>
                  <w:tcW w:w="926" w:type="pct"/>
                  <w:vMerge w:val="restart"/>
                  <w:vAlign w:val="center"/>
                </w:tcPr>
                <w:p w14:paraId="6578FCC9">
                  <w:pPr>
                    <w:jc w:val="center"/>
                    <w:rPr>
                      <w:rFonts w:hint="eastAsia" w:eastAsia="宋体"/>
                      <w:color w:val="auto"/>
                      <w:szCs w:val="21"/>
                      <w:lang w:eastAsia="zh-CN"/>
                    </w:rPr>
                  </w:pPr>
                  <w:r>
                    <w:rPr>
                      <w:rFonts w:hint="eastAsia"/>
                      <w:color w:val="auto"/>
                      <w:szCs w:val="21"/>
                      <w:lang w:val="en-US" w:eastAsia="zh-CN"/>
                    </w:rPr>
                    <w:t>烘干</w:t>
                  </w:r>
                </w:p>
              </w:tc>
            </w:tr>
            <w:tr w14:paraId="6115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27" w:type="pct"/>
                  <w:vAlign w:val="center"/>
                </w:tcPr>
                <w:p w14:paraId="19BDDB1F">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1240" w:type="pct"/>
                  <w:vAlign w:val="center"/>
                </w:tcPr>
                <w:p w14:paraId="51451FCA">
                  <w:pPr>
                    <w:jc w:val="center"/>
                  </w:pPr>
                  <w:r>
                    <w:rPr>
                      <w:rFonts w:hint="eastAsia"/>
                      <w:color w:val="auto"/>
                      <w:szCs w:val="21"/>
                      <w:lang w:val="en-US" w:eastAsia="zh-CN"/>
                    </w:rPr>
                    <w:t>蒸汽锅炉</w:t>
                  </w:r>
                </w:p>
              </w:tc>
              <w:tc>
                <w:tcPr>
                  <w:tcW w:w="1204" w:type="pct"/>
                  <w:vAlign w:val="center"/>
                </w:tcPr>
                <w:p w14:paraId="1ED413A4">
                  <w:pPr>
                    <w:jc w:val="center"/>
                    <w:rPr>
                      <w:rFonts w:hint="default" w:eastAsia="宋体"/>
                      <w:color w:val="auto"/>
                      <w:szCs w:val="21"/>
                      <w:lang w:val="en-US" w:eastAsia="zh-CN"/>
                    </w:rPr>
                  </w:pPr>
                  <w:r>
                    <w:rPr>
                      <w:rFonts w:hint="eastAsia"/>
                      <w:color w:val="auto"/>
                      <w:szCs w:val="21"/>
                      <w:lang w:val="en-US" w:eastAsia="zh-CN"/>
                    </w:rPr>
                    <w:t>6t/h</w:t>
                  </w:r>
                </w:p>
              </w:tc>
              <w:tc>
                <w:tcPr>
                  <w:tcW w:w="1100" w:type="pct"/>
                  <w:vAlign w:val="center"/>
                </w:tcPr>
                <w:p w14:paraId="55CA7616">
                  <w:pPr>
                    <w:jc w:val="center"/>
                    <w:rPr>
                      <w:rFonts w:hint="eastAsia" w:eastAsia="宋体"/>
                      <w:color w:val="auto"/>
                      <w:szCs w:val="21"/>
                      <w:lang w:val="en-US" w:eastAsia="zh-CN"/>
                    </w:rPr>
                  </w:pPr>
                  <w:r>
                    <w:rPr>
                      <w:rFonts w:hint="eastAsia"/>
                      <w:color w:val="auto"/>
                      <w:szCs w:val="21"/>
                      <w:lang w:val="en-US" w:eastAsia="zh-CN"/>
                    </w:rPr>
                    <w:t>1</w:t>
                  </w:r>
                </w:p>
              </w:tc>
              <w:tc>
                <w:tcPr>
                  <w:tcW w:w="926" w:type="pct"/>
                  <w:vMerge w:val="continue"/>
                  <w:vAlign w:val="center"/>
                </w:tcPr>
                <w:p w14:paraId="76D3FFCB">
                  <w:pPr>
                    <w:jc w:val="center"/>
                    <w:rPr>
                      <w:rFonts w:hint="eastAsia"/>
                      <w:color w:val="auto"/>
                      <w:szCs w:val="21"/>
                    </w:rPr>
                  </w:pPr>
                </w:p>
              </w:tc>
            </w:tr>
            <w:tr w14:paraId="4BF3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27" w:type="pct"/>
                  <w:vAlign w:val="center"/>
                </w:tcPr>
                <w:p w14:paraId="64701CFB">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w:t>
                  </w:r>
                </w:p>
              </w:tc>
              <w:tc>
                <w:tcPr>
                  <w:tcW w:w="1240" w:type="pct"/>
                  <w:vAlign w:val="center"/>
                </w:tcPr>
                <w:p w14:paraId="5684AAA5">
                  <w:pPr>
                    <w:jc w:val="center"/>
                    <w:rPr>
                      <w:rFonts w:hint="eastAsia" w:eastAsia="宋体"/>
                      <w:color w:val="auto"/>
                      <w:szCs w:val="21"/>
                      <w:lang w:eastAsia="zh-CN"/>
                    </w:rPr>
                  </w:pPr>
                  <w:r>
                    <w:rPr>
                      <w:rFonts w:hint="eastAsia"/>
                      <w:color w:val="auto"/>
                      <w:szCs w:val="21"/>
                      <w:lang w:val="en-US" w:eastAsia="zh-CN"/>
                    </w:rPr>
                    <w:t>粉碎机</w:t>
                  </w:r>
                </w:p>
              </w:tc>
              <w:tc>
                <w:tcPr>
                  <w:tcW w:w="1204" w:type="pct"/>
                  <w:vAlign w:val="center"/>
                </w:tcPr>
                <w:p w14:paraId="6D75CFDA">
                  <w:pPr>
                    <w:jc w:val="center"/>
                    <w:rPr>
                      <w:rFonts w:hint="eastAsia" w:eastAsia="宋体"/>
                      <w:color w:val="auto"/>
                      <w:szCs w:val="21"/>
                      <w:lang w:val="en-US" w:eastAsia="zh-CN"/>
                    </w:rPr>
                  </w:pPr>
                  <w:r>
                    <w:rPr>
                      <w:rFonts w:hint="eastAsia"/>
                      <w:color w:val="auto"/>
                      <w:szCs w:val="21"/>
                      <w:lang w:val="en-US" w:eastAsia="zh-CN"/>
                    </w:rPr>
                    <w:t>66-70-75</w:t>
                  </w:r>
                </w:p>
              </w:tc>
              <w:tc>
                <w:tcPr>
                  <w:tcW w:w="1100" w:type="pct"/>
                  <w:vAlign w:val="center"/>
                </w:tcPr>
                <w:p w14:paraId="26E457B8">
                  <w:pPr>
                    <w:jc w:val="center"/>
                    <w:rPr>
                      <w:rFonts w:hint="eastAsia" w:eastAsia="宋体"/>
                      <w:color w:val="auto"/>
                      <w:szCs w:val="21"/>
                      <w:lang w:val="en-US" w:eastAsia="zh-CN"/>
                    </w:rPr>
                  </w:pPr>
                  <w:r>
                    <w:rPr>
                      <w:rFonts w:hint="eastAsia"/>
                      <w:color w:val="auto"/>
                      <w:szCs w:val="21"/>
                      <w:lang w:val="en-US" w:eastAsia="zh-CN"/>
                    </w:rPr>
                    <w:t>2</w:t>
                  </w:r>
                </w:p>
              </w:tc>
              <w:tc>
                <w:tcPr>
                  <w:tcW w:w="926" w:type="pct"/>
                  <w:vAlign w:val="center"/>
                </w:tcPr>
                <w:p w14:paraId="6B51B431">
                  <w:pPr>
                    <w:jc w:val="center"/>
                    <w:rPr>
                      <w:rFonts w:hint="eastAsia" w:eastAsia="宋体"/>
                      <w:color w:val="auto"/>
                      <w:szCs w:val="21"/>
                      <w:lang w:val="en-US" w:eastAsia="zh-CN"/>
                    </w:rPr>
                  </w:pPr>
                  <w:r>
                    <w:rPr>
                      <w:rFonts w:hint="eastAsia"/>
                      <w:color w:val="auto"/>
                      <w:szCs w:val="21"/>
                      <w:lang w:val="en-US" w:eastAsia="zh-CN"/>
                    </w:rPr>
                    <w:t>粉碎</w:t>
                  </w:r>
                </w:p>
              </w:tc>
            </w:tr>
            <w:tr w14:paraId="75F4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7" w:type="pct"/>
                  <w:vAlign w:val="center"/>
                </w:tcPr>
                <w:p w14:paraId="215F2179">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p>
              </w:tc>
              <w:tc>
                <w:tcPr>
                  <w:tcW w:w="1240" w:type="pct"/>
                  <w:vAlign w:val="center"/>
                </w:tcPr>
                <w:p w14:paraId="53EBC7ED">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锯竹机</w:t>
                  </w:r>
                </w:p>
              </w:tc>
              <w:tc>
                <w:tcPr>
                  <w:tcW w:w="1204" w:type="pct"/>
                  <w:vAlign w:val="center"/>
                </w:tcPr>
                <w:p w14:paraId="17E470FE">
                  <w:pPr>
                    <w:jc w:val="center"/>
                    <w:rPr>
                      <w:rFonts w:hint="eastAsia" w:eastAsia="宋体"/>
                      <w:color w:val="auto"/>
                      <w:szCs w:val="21"/>
                      <w:lang w:eastAsia="zh-CN"/>
                    </w:rPr>
                  </w:pPr>
                  <w:r>
                    <w:rPr>
                      <w:rFonts w:hint="eastAsia"/>
                      <w:color w:val="auto"/>
                      <w:szCs w:val="21"/>
                      <w:lang w:val="en-US" w:eastAsia="zh-CN"/>
                    </w:rPr>
                    <w:t>/</w:t>
                  </w:r>
                </w:p>
              </w:tc>
              <w:tc>
                <w:tcPr>
                  <w:tcW w:w="1100" w:type="pct"/>
                  <w:vAlign w:val="center"/>
                </w:tcPr>
                <w:p w14:paraId="3F8AE07D">
                  <w:pPr>
                    <w:jc w:val="center"/>
                    <w:rPr>
                      <w:rFonts w:hint="default" w:eastAsia="宋体"/>
                      <w:color w:val="auto"/>
                      <w:szCs w:val="21"/>
                      <w:lang w:val="en-US" w:eastAsia="zh-CN"/>
                    </w:rPr>
                  </w:pPr>
                  <w:r>
                    <w:rPr>
                      <w:rFonts w:hint="eastAsia"/>
                      <w:color w:val="auto"/>
                      <w:szCs w:val="21"/>
                      <w:lang w:val="en-US" w:eastAsia="zh-CN"/>
                    </w:rPr>
                    <w:t>5</w:t>
                  </w:r>
                </w:p>
              </w:tc>
              <w:tc>
                <w:tcPr>
                  <w:tcW w:w="926" w:type="pct"/>
                  <w:vAlign w:val="center"/>
                </w:tcPr>
                <w:p w14:paraId="2A6F828B">
                  <w:pPr>
                    <w:jc w:val="center"/>
                    <w:rPr>
                      <w:rFonts w:hint="default" w:eastAsia="宋体"/>
                      <w:color w:val="auto"/>
                      <w:szCs w:val="21"/>
                      <w:lang w:val="en-US" w:eastAsia="zh-CN"/>
                    </w:rPr>
                  </w:pPr>
                  <w:r>
                    <w:rPr>
                      <w:rFonts w:hint="eastAsia"/>
                      <w:color w:val="auto"/>
                      <w:szCs w:val="21"/>
                      <w:lang w:val="en-US" w:eastAsia="zh-CN"/>
                    </w:rPr>
                    <w:t>机加工</w:t>
                  </w:r>
                </w:p>
              </w:tc>
            </w:tr>
            <w:tr w14:paraId="748D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27" w:type="pct"/>
                  <w:vAlign w:val="center"/>
                </w:tcPr>
                <w:p w14:paraId="415649C4">
                  <w:pPr>
                    <w:jc w:val="center"/>
                    <w:rPr>
                      <w:rFonts w:hint="eastAsia" w:eastAsia="宋体"/>
                      <w:color w:val="auto"/>
                      <w:szCs w:val="21"/>
                      <w:lang w:val="en-US" w:eastAsia="zh-CN"/>
                    </w:rPr>
                  </w:pPr>
                  <w:r>
                    <w:rPr>
                      <w:rFonts w:hint="eastAsia"/>
                      <w:color w:val="auto"/>
                      <w:szCs w:val="21"/>
                      <w:lang w:val="en-US" w:eastAsia="zh-CN"/>
                    </w:rPr>
                    <w:t>6</w:t>
                  </w:r>
                </w:p>
              </w:tc>
              <w:tc>
                <w:tcPr>
                  <w:tcW w:w="1240" w:type="pct"/>
                  <w:vAlign w:val="center"/>
                </w:tcPr>
                <w:p w14:paraId="076AAA6E">
                  <w:pPr>
                    <w:jc w:val="center"/>
                    <w:rPr>
                      <w:rFonts w:hint="default" w:eastAsia="宋体"/>
                      <w:color w:val="auto"/>
                      <w:szCs w:val="21"/>
                      <w:lang w:val="en-US" w:eastAsia="zh-CN"/>
                    </w:rPr>
                  </w:pPr>
                  <w:r>
                    <w:rPr>
                      <w:rFonts w:hint="eastAsia"/>
                      <w:color w:val="auto"/>
                      <w:szCs w:val="21"/>
                      <w:lang w:val="en-US" w:eastAsia="zh-CN"/>
                    </w:rPr>
                    <w:t>开片机</w:t>
                  </w:r>
                </w:p>
              </w:tc>
              <w:tc>
                <w:tcPr>
                  <w:tcW w:w="1204" w:type="pct"/>
                  <w:vAlign w:val="center"/>
                </w:tcPr>
                <w:p w14:paraId="03FC635A">
                  <w:pPr>
                    <w:jc w:val="center"/>
                    <w:rPr>
                      <w:rFonts w:hint="eastAsia" w:eastAsia="宋体"/>
                      <w:color w:val="auto"/>
                      <w:szCs w:val="21"/>
                      <w:lang w:val="en-US" w:eastAsia="zh-CN"/>
                    </w:rPr>
                  </w:pPr>
                  <w:r>
                    <w:rPr>
                      <w:rFonts w:hint="eastAsia"/>
                      <w:color w:val="auto"/>
                      <w:szCs w:val="21"/>
                      <w:lang w:val="en-US" w:eastAsia="zh-CN"/>
                    </w:rPr>
                    <w:t>/</w:t>
                  </w:r>
                </w:p>
              </w:tc>
              <w:tc>
                <w:tcPr>
                  <w:tcW w:w="1100" w:type="pct"/>
                  <w:vAlign w:val="center"/>
                </w:tcPr>
                <w:p w14:paraId="5D3309C9">
                  <w:pPr>
                    <w:jc w:val="center"/>
                    <w:rPr>
                      <w:rFonts w:hint="default" w:eastAsia="宋体"/>
                      <w:color w:val="auto"/>
                      <w:szCs w:val="21"/>
                      <w:lang w:val="en-US" w:eastAsia="zh-CN"/>
                    </w:rPr>
                  </w:pPr>
                  <w:r>
                    <w:rPr>
                      <w:rFonts w:hint="eastAsia"/>
                      <w:color w:val="auto"/>
                      <w:szCs w:val="21"/>
                      <w:lang w:val="en-US" w:eastAsia="zh-CN"/>
                    </w:rPr>
                    <w:t>5</w:t>
                  </w:r>
                </w:p>
              </w:tc>
              <w:tc>
                <w:tcPr>
                  <w:tcW w:w="926" w:type="pct"/>
                  <w:vAlign w:val="center"/>
                </w:tcPr>
                <w:p w14:paraId="661AEF27">
                  <w:pPr>
                    <w:jc w:val="center"/>
                    <w:rPr>
                      <w:rFonts w:hint="default" w:eastAsia="宋体"/>
                      <w:color w:val="auto"/>
                      <w:szCs w:val="21"/>
                      <w:lang w:val="en-US" w:eastAsia="zh-CN"/>
                    </w:rPr>
                  </w:pPr>
                  <w:r>
                    <w:rPr>
                      <w:rFonts w:hint="eastAsia"/>
                      <w:color w:val="auto"/>
                      <w:szCs w:val="21"/>
                      <w:lang w:val="en-US" w:eastAsia="zh-CN"/>
                    </w:rPr>
                    <w:t>机加工</w:t>
                  </w:r>
                </w:p>
              </w:tc>
            </w:tr>
            <w:tr w14:paraId="5042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27" w:type="pct"/>
                  <w:vAlign w:val="center"/>
                </w:tcPr>
                <w:p w14:paraId="1B184CB6">
                  <w:pPr>
                    <w:jc w:val="center"/>
                    <w:rPr>
                      <w:rFonts w:hint="default"/>
                      <w:color w:val="auto"/>
                      <w:szCs w:val="21"/>
                      <w:lang w:val="en-US" w:eastAsia="zh-CN"/>
                    </w:rPr>
                  </w:pPr>
                  <w:r>
                    <w:rPr>
                      <w:rFonts w:hint="eastAsia"/>
                      <w:color w:val="auto"/>
                      <w:szCs w:val="21"/>
                      <w:lang w:val="en-US" w:eastAsia="zh-CN"/>
                    </w:rPr>
                    <w:t>7</w:t>
                  </w:r>
                </w:p>
              </w:tc>
              <w:tc>
                <w:tcPr>
                  <w:tcW w:w="1240" w:type="pct"/>
                  <w:vAlign w:val="center"/>
                </w:tcPr>
                <w:p w14:paraId="37388F39">
                  <w:pPr>
                    <w:jc w:val="center"/>
                    <w:rPr>
                      <w:rFonts w:hint="default"/>
                      <w:color w:val="auto"/>
                      <w:szCs w:val="21"/>
                      <w:lang w:val="en-US" w:eastAsia="zh-CN"/>
                    </w:rPr>
                  </w:pPr>
                  <w:r>
                    <w:rPr>
                      <w:rFonts w:hint="eastAsia"/>
                      <w:color w:val="auto"/>
                      <w:szCs w:val="21"/>
                      <w:lang w:val="en-US" w:eastAsia="zh-CN"/>
                    </w:rPr>
                    <w:t>拉丝机</w:t>
                  </w:r>
                </w:p>
              </w:tc>
              <w:tc>
                <w:tcPr>
                  <w:tcW w:w="1204" w:type="pct"/>
                  <w:vAlign w:val="center"/>
                </w:tcPr>
                <w:p w14:paraId="73B65C34">
                  <w:pPr>
                    <w:jc w:val="center"/>
                    <w:rPr>
                      <w:rFonts w:hint="default"/>
                      <w:color w:val="auto"/>
                      <w:szCs w:val="21"/>
                      <w:lang w:val="en-US" w:eastAsia="zh-CN"/>
                    </w:rPr>
                  </w:pPr>
                  <w:r>
                    <w:rPr>
                      <w:rFonts w:hint="eastAsia"/>
                      <w:color w:val="auto"/>
                      <w:szCs w:val="21"/>
                      <w:lang w:val="en-US" w:eastAsia="zh-CN"/>
                    </w:rPr>
                    <w:t>/</w:t>
                  </w:r>
                </w:p>
              </w:tc>
              <w:tc>
                <w:tcPr>
                  <w:tcW w:w="1100" w:type="pct"/>
                  <w:vAlign w:val="center"/>
                </w:tcPr>
                <w:p w14:paraId="72C7CDEB">
                  <w:pPr>
                    <w:jc w:val="center"/>
                    <w:rPr>
                      <w:rFonts w:hint="default"/>
                      <w:color w:val="auto"/>
                      <w:szCs w:val="21"/>
                      <w:lang w:val="en-US" w:eastAsia="zh-CN"/>
                    </w:rPr>
                  </w:pPr>
                  <w:r>
                    <w:rPr>
                      <w:rFonts w:hint="eastAsia"/>
                      <w:color w:val="auto"/>
                      <w:szCs w:val="21"/>
                      <w:lang w:val="en-US" w:eastAsia="zh-CN"/>
                    </w:rPr>
                    <w:t>5</w:t>
                  </w:r>
                </w:p>
              </w:tc>
              <w:tc>
                <w:tcPr>
                  <w:tcW w:w="926" w:type="pct"/>
                  <w:vAlign w:val="center"/>
                </w:tcPr>
                <w:p w14:paraId="6F0CC562">
                  <w:pPr>
                    <w:jc w:val="center"/>
                    <w:rPr>
                      <w:rFonts w:hint="eastAsia"/>
                      <w:color w:val="auto"/>
                      <w:szCs w:val="21"/>
                      <w:lang w:val="en-US" w:eastAsia="zh-CN"/>
                    </w:rPr>
                  </w:pPr>
                  <w:r>
                    <w:rPr>
                      <w:rFonts w:hint="eastAsia"/>
                      <w:color w:val="auto"/>
                      <w:szCs w:val="21"/>
                      <w:lang w:val="en-US" w:eastAsia="zh-CN"/>
                    </w:rPr>
                    <w:t>机加工</w:t>
                  </w:r>
                </w:p>
              </w:tc>
            </w:tr>
            <w:tr w14:paraId="180E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27" w:type="pct"/>
                  <w:vAlign w:val="center"/>
                </w:tcPr>
                <w:p w14:paraId="0C478BFD">
                  <w:pPr>
                    <w:jc w:val="center"/>
                    <w:rPr>
                      <w:rFonts w:hint="default"/>
                      <w:color w:val="auto"/>
                      <w:szCs w:val="21"/>
                      <w:lang w:val="en-US" w:eastAsia="zh-CN"/>
                    </w:rPr>
                  </w:pPr>
                  <w:r>
                    <w:rPr>
                      <w:rFonts w:hint="eastAsia"/>
                      <w:color w:val="auto"/>
                      <w:szCs w:val="21"/>
                      <w:lang w:val="en-US" w:eastAsia="zh-CN"/>
                    </w:rPr>
                    <w:t>8</w:t>
                  </w:r>
                </w:p>
              </w:tc>
              <w:tc>
                <w:tcPr>
                  <w:tcW w:w="1240" w:type="pct"/>
                  <w:vAlign w:val="center"/>
                </w:tcPr>
                <w:p w14:paraId="16EDF6CF">
                  <w:pPr>
                    <w:jc w:val="center"/>
                    <w:rPr>
                      <w:rFonts w:hint="default"/>
                      <w:color w:val="auto"/>
                      <w:szCs w:val="21"/>
                      <w:lang w:val="en-US" w:eastAsia="zh-CN"/>
                    </w:rPr>
                  </w:pPr>
                  <w:r>
                    <w:rPr>
                      <w:rFonts w:hint="eastAsia"/>
                      <w:color w:val="auto"/>
                      <w:szCs w:val="21"/>
                      <w:lang w:val="en-US" w:eastAsia="zh-CN"/>
                    </w:rPr>
                    <w:t>皮带输送机</w:t>
                  </w:r>
                </w:p>
              </w:tc>
              <w:tc>
                <w:tcPr>
                  <w:tcW w:w="1204" w:type="pct"/>
                  <w:vAlign w:val="center"/>
                </w:tcPr>
                <w:p w14:paraId="199ABBFA">
                  <w:pPr>
                    <w:jc w:val="center"/>
                    <w:rPr>
                      <w:rFonts w:hint="default"/>
                      <w:color w:val="auto"/>
                      <w:szCs w:val="21"/>
                      <w:lang w:val="en-US" w:eastAsia="zh-CN"/>
                    </w:rPr>
                  </w:pPr>
                  <w:r>
                    <w:rPr>
                      <w:rFonts w:hint="eastAsia"/>
                      <w:color w:val="auto"/>
                      <w:szCs w:val="21"/>
                      <w:lang w:val="en-US" w:eastAsia="zh-CN"/>
                    </w:rPr>
                    <w:t>/</w:t>
                  </w:r>
                </w:p>
              </w:tc>
              <w:tc>
                <w:tcPr>
                  <w:tcW w:w="1100" w:type="pct"/>
                  <w:vAlign w:val="center"/>
                </w:tcPr>
                <w:p w14:paraId="5DC1C2BD">
                  <w:pPr>
                    <w:jc w:val="center"/>
                    <w:rPr>
                      <w:rFonts w:hint="default"/>
                      <w:color w:val="auto"/>
                      <w:szCs w:val="21"/>
                      <w:lang w:val="en-US" w:eastAsia="zh-CN"/>
                    </w:rPr>
                  </w:pPr>
                  <w:r>
                    <w:rPr>
                      <w:rFonts w:hint="eastAsia"/>
                      <w:color w:val="auto"/>
                      <w:szCs w:val="21"/>
                      <w:lang w:val="en-US" w:eastAsia="zh-CN"/>
                    </w:rPr>
                    <w:t>4</w:t>
                  </w:r>
                </w:p>
              </w:tc>
              <w:tc>
                <w:tcPr>
                  <w:tcW w:w="926" w:type="pct"/>
                  <w:vAlign w:val="center"/>
                </w:tcPr>
                <w:p w14:paraId="326252FE">
                  <w:pPr>
                    <w:jc w:val="center"/>
                    <w:rPr>
                      <w:rFonts w:hint="eastAsia"/>
                      <w:color w:val="auto"/>
                      <w:szCs w:val="21"/>
                      <w:lang w:val="en-US" w:eastAsia="zh-CN"/>
                    </w:rPr>
                  </w:pPr>
                  <w:r>
                    <w:rPr>
                      <w:rFonts w:hint="eastAsia"/>
                      <w:color w:val="auto"/>
                      <w:szCs w:val="21"/>
                      <w:lang w:val="en-US" w:eastAsia="zh-CN"/>
                    </w:rPr>
                    <w:t>/</w:t>
                  </w:r>
                </w:p>
              </w:tc>
            </w:tr>
            <w:tr w14:paraId="6594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527" w:type="pct"/>
                  <w:vAlign w:val="center"/>
                </w:tcPr>
                <w:p w14:paraId="35139CFC">
                  <w:pPr>
                    <w:jc w:val="center"/>
                    <w:rPr>
                      <w:rFonts w:hint="default"/>
                      <w:color w:val="auto"/>
                      <w:szCs w:val="21"/>
                      <w:lang w:val="en-US" w:eastAsia="zh-CN"/>
                    </w:rPr>
                  </w:pPr>
                  <w:r>
                    <w:rPr>
                      <w:rFonts w:hint="eastAsia"/>
                      <w:color w:val="auto"/>
                      <w:szCs w:val="21"/>
                      <w:lang w:val="en-US" w:eastAsia="zh-CN"/>
                    </w:rPr>
                    <w:t>9</w:t>
                  </w:r>
                </w:p>
              </w:tc>
              <w:tc>
                <w:tcPr>
                  <w:tcW w:w="1240" w:type="pct"/>
                  <w:vAlign w:val="center"/>
                </w:tcPr>
                <w:p w14:paraId="70712576">
                  <w:pPr>
                    <w:jc w:val="center"/>
                    <w:rPr>
                      <w:rFonts w:hint="default"/>
                      <w:color w:val="auto"/>
                      <w:szCs w:val="21"/>
                      <w:lang w:val="en-US" w:eastAsia="zh-CN"/>
                    </w:rPr>
                  </w:pPr>
                  <w:r>
                    <w:rPr>
                      <w:rFonts w:hint="eastAsia"/>
                      <w:color w:val="auto"/>
                      <w:szCs w:val="21"/>
                      <w:lang w:val="en-US" w:eastAsia="zh-CN"/>
                    </w:rPr>
                    <w:t>制签机</w:t>
                  </w:r>
                </w:p>
              </w:tc>
              <w:tc>
                <w:tcPr>
                  <w:tcW w:w="1204" w:type="pct"/>
                  <w:vAlign w:val="center"/>
                </w:tcPr>
                <w:p w14:paraId="13E82667">
                  <w:pPr>
                    <w:jc w:val="center"/>
                    <w:rPr>
                      <w:rFonts w:hint="default"/>
                      <w:color w:val="auto"/>
                      <w:szCs w:val="21"/>
                      <w:lang w:val="en-US" w:eastAsia="zh-CN"/>
                    </w:rPr>
                  </w:pPr>
                  <w:r>
                    <w:rPr>
                      <w:rFonts w:hint="eastAsia"/>
                      <w:color w:val="auto"/>
                      <w:szCs w:val="21"/>
                      <w:lang w:val="en-US" w:eastAsia="zh-CN"/>
                    </w:rPr>
                    <w:t>/</w:t>
                  </w:r>
                </w:p>
              </w:tc>
              <w:tc>
                <w:tcPr>
                  <w:tcW w:w="1100" w:type="pct"/>
                  <w:vAlign w:val="center"/>
                </w:tcPr>
                <w:p w14:paraId="41D6A727">
                  <w:pPr>
                    <w:jc w:val="center"/>
                    <w:rPr>
                      <w:rFonts w:hint="default"/>
                      <w:color w:val="auto"/>
                      <w:szCs w:val="21"/>
                      <w:lang w:val="en-US" w:eastAsia="zh-CN"/>
                    </w:rPr>
                  </w:pPr>
                  <w:r>
                    <w:rPr>
                      <w:rFonts w:hint="eastAsia"/>
                      <w:color w:val="auto"/>
                      <w:szCs w:val="21"/>
                      <w:lang w:val="en-US" w:eastAsia="zh-CN"/>
                    </w:rPr>
                    <w:t>5</w:t>
                  </w:r>
                </w:p>
              </w:tc>
              <w:tc>
                <w:tcPr>
                  <w:tcW w:w="926" w:type="pct"/>
                  <w:vAlign w:val="center"/>
                </w:tcPr>
                <w:p w14:paraId="003FC760">
                  <w:pPr>
                    <w:jc w:val="center"/>
                    <w:rPr>
                      <w:rFonts w:hint="eastAsia"/>
                      <w:color w:val="auto"/>
                      <w:szCs w:val="21"/>
                      <w:lang w:val="en-US" w:eastAsia="zh-CN"/>
                    </w:rPr>
                  </w:pPr>
                  <w:r>
                    <w:rPr>
                      <w:rFonts w:hint="eastAsia"/>
                      <w:color w:val="auto"/>
                      <w:szCs w:val="21"/>
                      <w:lang w:val="en-US" w:eastAsia="zh-CN"/>
                    </w:rPr>
                    <w:t>机加工</w:t>
                  </w:r>
                </w:p>
              </w:tc>
            </w:tr>
            <w:tr w14:paraId="3C6D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7" w:type="pct"/>
                  <w:vAlign w:val="center"/>
                </w:tcPr>
                <w:p w14:paraId="0F53B3B9">
                  <w:pPr>
                    <w:jc w:val="center"/>
                    <w:rPr>
                      <w:rFonts w:hint="eastAsia" w:eastAsia="宋体"/>
                      <w:color w:val="auto"/>
                      <w:szCs w:val="21"/>
                      <w:lang w:val="en-US" w:eastAsia="zh-CN"/>
                    </w:rPr>
                  </w:pPr>
                  <w:r>
                    <w:rPr>
                      <w:rFonts w:hint="eastAsia"/>
                      <w:color w:val="auto"/>
                      <w:szCs w:val="21"/>
                      <w:lang w:val="en-US" w:eastAsia="zh-CN"/>
                    </w:rPr>
                    <w:t>7</w:t>
                  </w:r>
                </w:p>
              </w:tc>
              <w:tc>
                <w:tcPr>
                  <w:tcW w:w="1240" w:type="pct"/>
                  <w:vAlign w:val="center"/>
                </w:tcPr>
                <w:p w14:paraId="05AF4601">
                  <w:pPr>
                    <w:jc w:val="center"/>
                    <w:rPr>
                      <w:rFonts w:hint="default" w:eastAsia="宋体"/>
                      <w:color w:val="auto"/>
                      <w:szCs w:val="21"/>
                      <w:lang w:val="en-US" w:eastAsia="zh-CN"/>
                    </w:rPr>
                  </w:pPr>
                  <w:r>
                    <w:rPr>
                      <w:rFonts w:hint="eastAsia"/>
                      <w:color w:val="auto"/>
                      <w:szCs w:val="21"/>
                      <w:lang w:val="en-US" w:eastAsia="zh-CN"/>
                    </w:rPr>
                    <w:t>布袋除尘器</w:t>
                  </w:r>
                </w:p>
              </w:tc>
              <w:tc>
                <w:tcPr>
                  <w:tcW w:w="1204" w:type="pct"/>
                  <w:vAlign w:val="center"/>
                </w:tcPr>
                <w:p w14:paraId="5170EBB1">
                  <w:pPr>
                    <w:jc w:val="center"/>
                    <w:rPr>
                      <w:rFonts w:hint="eastAsia" w:eastAsia="宋体"/>
                      <w:color w:val="auto"/>
                      <w:szCs w:val="21"/>
                      <w:lang w:val="en-US" w:eastAsia="zh-CN"/>
                    </w:rPr>
                  </w:pPr>
                  <w:r>
                    <w:rPr>
                      <w:rFonts w:hint="eastAsia"/>
                      <w:color w:val="auto"/>
                      <w:szCs w:val="21"/>
                      <w:lang w:val="en-US" w:eastAsia="zh-CN"/>
                    </w:rPr>
                    <w:t>/</w:t>
                  </w:r>
                </w:p>
              </w:tc>
              <w:tc>
                <w:tcPr>
                  <w:tcW w:w="1100" w:type="pct"/>
                  <w:vAlign w:val="center"/>
                </w:tcPr>
                <w:p w14:paraId="597A4910">
                  <w:pPr>
                    <w:jc w:val="center"/>
                    <w:rPr>
                      <w:rFonts w:hint="eastAsia" w:eastAsia="宋体"/>
                      <w:color w:val="auto"/>
                      <w:szCs w:val="21"/>
                      <w:lang w:val="en-US" w:eastAsia="zh-CN"/>
                    </w:rPr>
                  </w:pPr>
                  <w:r>
                    <w:rPr>
                      <w:rFonts w:hint="eastAsia"/>
                      <w:color w:val="auto"/>
                      <w:szCs w:val="21"/>
                      <w:lang w:val="en-US" w:eastAsia="zh-CN"/>
                    </w:rPr>
                    <w:t>2</w:t>
                  </w:r>
                </w:p>
              </w:tc>
              <w:tc>
                <w:tcPr>
                  <w:tcW w:w="926" w:type="pct"/>
                  <w:vAlign w:val="center"/>
                </w:tcPr>
                <w:p w14:paraId="16DF9099">
                  <w:pPr>
                    <w:jc w:val="center"/>
                    <w:rPr>
                      <w:rFonts w:hint="eastAsia"/>
                      <w:color w:val="auto"/>
                      <w:szCs w:val="21"/>
                    </w:rPr>
                  </w:pPr>
                  <w:r>
                    <w:rPr>
                      <w:rFonts w:hint="eastAsia"/>
                      <w:color w:val="auto"/>
                      <w:lang w:val="en-US" w:eastAsia="zh-CN"/>
                    </w:rPr>
                    <w:t>废气处理</w:t>
                  </w:r>
                </w:p>
              </w:tc>
            </w:tr>
          </w:tbl>
          <w:p w14:paraId="1AA1243B">
            <w:pPr>
              <w:spacing w:line="360" w:lineRule="auto"/>
              <w:ind w:firstLine="482" w:firstLineChars="200"/>
              <w:rPr>
                <w:b/>
                <w:color w:val="auto"/>
                <w:sz w:val="24"/>
                <w:szCs w:val="32"/>
              </w:rPr>
            </w:pPr>
            <w:r>
              <w:rPr>
                <w:rFonts w:hint="eastAsia"/>
                <w:b/>
                <w:color w:val="auto"/>
                <w:sz w:val="24"/>
                <w:szCs w:val="32"/>
              </w:rPr>
              <w:t>产能匹配性分析：</w:t>
            </w:r>
          </w:p>
          <w:p w14:paraId="217AD24A">
            <w:pPr>
              <w:spacing w:line="360" w:lineRule="auto"/>
              <w:ind w:firstLine="480" w:firstLineChars="200"/>
              <w:rPr>
                <w:color w:val="auto"/>
                <w:sz w:val="24"/>
                <w:szCs w:val="32"/>
              </w:rPr>
            </w:pPr>
            <w:r>
              <w:rPr>
                <w:rFonts w:hint="eastAsia"/>
                <w:color w:val="auto"/>
                <w:sz w:val="24"/>
                <w:szCs w:val="32"/>
              </w:rPr>
              <w:t>根据建设单位提供资料，本项目每台生物质造粒机生产能力为</w:t>
            </w:r>
            <w:r>
              <w:rPr>
                <w:rFonts w:hint="eastAsia"/>
                <w:color w:val="auto"/>
                <w:sz w:val="24"/>
                <w:szCs w:val="32"/>
                <w:lang w:val="en-US" w:eastAsia="zh-CN"/>
              </w:rPr>
              <w:t>1.6</w:t>
            </w:r>
            <w:r>
              <w:rPr>
                <w:rFonts w:hint="eastAsia"/>
                <w:color w:val="auto"/>
                <w:sz w:val="24"/>
                <w:szCs w:val="32"/>
              </w:rPr>
              <w:t>t/h，年运行2400h，最大产能可达</w:t>
            </w:r>
            <w:r>
              <w:rPr>
                <w:rFonts w:hint="eastAsia"/>
                <w:color w:val="auto"/>
                <w:sz w:val="24"/>
                <w:szCs w:val="32"/>
                <w:lang w:val="en-US" w:eastAsia="zh-CN"/>
              </w:rPr>
              <w:t>15360</w:t>
            </w:r>
            <w:r>
              <w:rPr>
                <w:rFonts w:hint="eastAsia"/>
                <w:color w:val="auto"/>
                <w:sz w:val="24"/>
                <w:szCs w:val="32"/>
              </w:rPr>
              <w:t>t，可满足项目</w:t>
            </w:r>
            <w:r>
              <w:rPr>
                <w:rFonts w:hint="eastAsia"/>
                <w:color w:val="auto"/>
                <w:sz w:val="24"/>
                <w:szCs w:val="32"/>
                <w:lang w:val="en-US" w:eastAsia="zh-CN"/>
              </w:rPr>
              <w:t>15000</w:t>
            </w:r>
            <w:r>
              <w:rPr>
                <w:rFonts w:hint="eastAsia"/>
                <w:color w:val="auto"/>
                <w:sz w:val="24"/>
                <w:szCs w:val="32"/>
              </w:rPr>
              <w:t>t生物质颗粒制粒需求。</w:t>
            </w:r>
          </w:p>
          <w:p w14:paraId="1C43A7FD">
            <w:pPr>
              <w:spacing w:line="360" w:lineRule="auto"/>
              <w:ind w:firstLine="482" w:firstLineChars="200"/>
              <w:rPr>
                <w:b/>
                <w:color w:val="auto"/>
                <w:sz w:val="24"/>
                <w:szCs w:val="32"/>
              </w:rPr>
            </w:pPr>
            <w:r>
              <w:rPr>
                <w:rFonts w:hint="eastAsia"/>
                <w:b/>
                <w:color w:val="auto"/>
                <w:sz w:val="24"/>
                <w:szCs w:val="32"/>
              </w:rPr>
              <w:t>5</w:t>
            </w:r>
            <w:r>
              <w:rPr>
                <w:b/>
                <w:color w:val="auto"/>
                <w:sz w:val="24"/>
                <w:szCs w:val="32"/>
              </w:rPr>
              <w:t>、主要原辅材料</w:t>
            </w:r>
          </w:p>
          <w:p w14:paraId="1A350FAB">
            <w:pPr>
              <w:spacing w:line="360" w:lineRule="auto"/>
              <w:ind w:firstLine="480" w:firstLineChars="200"/>
              <w:rPr>
                <w:b/>
                <w:color w:val="auto"/>
                <w:sz w:val="24"/>
              </w:rPr>
            </w:pPr>
            <w:r>
              <w:rPr>
                <w:color w:val="auto"/>
                <w:sz w:val="24"/>
                <w:szCs w:val="32"/>
              </w:rPr>
              <w:t>本项目主要原辅材料消耗情况见下表。</w:t>
            </w:r>
            <w:r>
              <w:rPr>
                <w:b/>
                <w:color w:val="auto"/>
                <w:sz w:val="24"/>
              </w:rPr>
              <w:t xml:space="preserve"> </w:t>
            </w:r>
          </w:p>
          <w:p w14:paraId="22F93437">
            <w:pPr>
              <w:tabs>
                <w:tab w:val="left" w:pos="3255"/>
              </w:tabs>
              <w:spacing w:line="360" w:lineRule="auto"/>
              <w:jc w:val="center"/>
              <w:rPr>
                <w:b/>
                <w:color w:val="auto"/>
                <w:sz w:val="24"/>
              </w:rPr>
            </w:pPr>
            <w:r>
              <w:rPr>
                <w:b/>
                <w:color w:val="auto"/>
                <w:sz w:val="24"/>
              </w:rPr>
              <w:t>表2-</w:t>
            </w:r>
            <w:r>
              <w:rPr>
                <w:rFonts w:hint="eastAsia"/>
                <w:b/>
                <w:color w:val="auto"/>
                <w:sz w:val="24"/>
              </w:rPr>
              <w:t>7</w:t>
            </w:r>
            <w:r>
              <w:rPr>
                <w:b/>
                <w:color w:val="auto"/>
                <w:sz w:val="24"/>
              </w:rPr>
              <w:t xml:space="preserve">  项目原辅材料一览表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406"/>
              <w:gridCol w:w="1154"/>
              <w:gridCol w:w="1026"/>
              <w:gridCol w:w="835"/>
              <w:gridCol w:w="959"/>
              <w:gridCol w:w="1423"/>
              <w:gridCol w:w="1093"/>
            </w:tblGrid>
            <w:tr w14:paraId="3957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29" w:type="pct"/>
                  <w:vAlign w:val="center"/>
                </w:tcPr>
                <w:p w14:paraId="1F56C4DF">
                  <w:pPr>
                    <w:widowControl/>
                    <w:jc w:val="center"/>
                    <w:rPr>
                      <w:color w:val="auto"/>
                      <w:kern w:val="0"/>
                      <w:szCs w:val="21"/>
                    </w:rPr>
                  </w:pPr>
                  <w:r>
                    <w:rPr>
                      <w:color w:val="auto"/>
                      <w:kern w:val="0"/>
                      <w:szCs w:val="21"/>
                    </w:rPr>
                    <w:t>序号</w:t>
                  </w:r>
                </w:p>
              </w:tc>
              <w:tc>
                <w:tcPr>
                  <w:tcW w:w="831" w:type="pct"/>
                  <w:vAlign w:val="center"/>
                </w:tcPr>
                <w:p w14:paraId="22CC1EAF">
                  <w:pPr>
                    <w:widowControl/>
                    <w:jc w:val="center"/>
                    <w:rPr>
                      <w:color w:val="auto"/>
                      <w:kern w:val="0"/>
                      <w:szCs w:val="21"/>
                    </w:rPr>
                  </w:pPr>
                  <w:r>
                    <w:rPr>
                      <w:color w:val="auto"/>
                      <w:kern w:val="0"/>
                      <w:szCs w:val="21"/>
                    </w:rPr>
                    <w:t>名称</w:t>
                  </w:r>
                </w:p>
              </w:tc>
              <w:tc>
                <w:tcPr>
                  <w:tcW w:w="682" w:type="pct"/>
                  <w:vAlign w:val="center"/>
                </w:tcPr>
                <w:p w14:paraId="1B10909D">
                  <w:pPr>
                    <w:widowControl/>
                    <w:jc w:val="center"/>
                    <w:rPr>
                      <w:color w:val="auto"/>
                      <w:kern w:val="0"/>
                      <w:szCs w:val="21"/>
                    </w:rPr>
                  </w:pPr>
                  <w:r>
                    <w:rPr>
                      <w:color w:val="auto"/>
                      <w:kern w:val="0"/>
                      <w:szCs w:val="21"/>
                    </w:rPr>
                    <w:t>年耗量</w:t>
                  </w:r>
                </w:p>
              </w:tc>
              <w:tc>
                <w:tcPr>
                  <w:tcW w:w="606" w:type="pct"/>
                  <w:vAlign w:val="center"/>
                </w:tcPr>
                <w:p w14:paraId="33C1DECB">
                  <w:pPr>
                    <w:widowControl/>
                    <w:jc w:val="center"/>
                    <w:rPr>
                      <w:color w:val="auto"/>
                      <w:kern w:val="0"/>
                      <w:szCs w:val="21"/>
                    </w:rPr>
                  </w:pPr>
                  <w:r>
                    <w:rPr>
                      <w:color w:val="auto"/>
                      <w:kern w:val="0"/>
                      <w:szCs w:val="21"/>
                    </w:rPr>
                    <w:t>最大储存量</w:t>
                  </w:r>
                </w:p>
              </w:tc>
              <w:tc>
                <w:tcPr>
                  <w:tcW w:w="493" w:type="pct"/>
                  <w:vAlign w:val="center"/>
                </w:tcPr>
                <w:p w14:paraId="404F1D06">
                  <w:pPr>
                    <w:widowControl/>
                    <w:jc w:val="center"/>
                    <w:rPr>
                      <w:color w:val="auto"/>
                      <w:kern w:val="0"/>
                      <w:szCs w:val="21"/>
                    </w:rPr>
                  </w:pPr>
                  <w:r>
                    <w:rPr>
                      <w:color w:val="auto"/>
                      <w:kern w:val="0"/>
                      <w:szCs w:val="21"/>
                    </w:rPr>
                    <w:t>储存周期</w:t>
                  </w:r>
                </w:p>
              </w:tc>
              <w:tc>
                <w:tcPr>
                  <w:tcW w:w="567" w:type="pct"/>
                  <w:vAlign w:val="center"/>
                </w:tcPr>
                <w:p w14:paraId="06895838">
                  <w:pPr>
                    <w:widowControl/>
                    <w:jc w:val="center"/>
                    <w:rPr>
                      <w:color w:val="auto"/>
                      <w:kern w:val="0"/>
                      <w:szCs w:val="21"/>
                    </w:rPr>
                  </w:pPr>
                  <w:r>
                    <w:rPr>
                      <w:rFonts w:hint="eastAsia"/>
                      <w:color w:val="auto"/>
                      <w:kern w:val="0"/>
                      <w:szCs w:val="21"/>
                    </w:rPr>
                    <w:t>规格</w:t>
                  </w:r>
                </w:p>
              </w:tc>
              <w:tc>
                <w:tcPr>
                  <w:tcW w:w="841" w:type="pct"/>
                  <w:vAlign w:val="center"/>
                </w:tcPr>
                <w:p w14:paraId="11480CFB">
                  <w:pPr>
                    <w:widowControl/>
                    <w:jc w:val="center"/>
                    <w:rPr>
                      <w:color w:val="auto"/>
                      <w:kern w:val="0"/>
                      <w:szCs w:val="21"/>
                    </w:rPr>
                  </w:pPr>
                  <w:r>
                    <w:rPr>
                      <w:rFonts w:hint="eastAsia"/>
                      <w:color w:val="auto"/>
                      <w:kern w:val="0"/>
                      <w:szCs w:val="21"/>
                    </w:rPr>
                    <w:t>性状</w:t>
                  </w:r>
                </w:p>
              </w:tc>
              <w:tc>
                <w:tcPr>
                  <w:tcW w:w="646" w:type="pct"/>
                  <w:vAlign w:val="center"/>
                </w:tcPr>
                <w:p w14:paraId="30A40691">
                  <w:pPr>
                    <w:widowControl/>
                    <w:jc w:val="center"/>
                    <w:rPr>
                      <w:color w:val="auto"/>
                      <w:kern w:val="0"/>
                      <w:szCs w:val="21"/>
                    </w:rPr>
                  </w:pPr>
                  <w:r>
                    <w:rPr>
                      <w:color w:val="auto"/>
                      <w:kern w:val="0"/>
                      <w:szCs w:val="21"/>
                    </w:rPr>
                    <w:t>存储位置</w:t>
                  </w:r>
                </w:p>
              </w:tc>
            </w:tr>
            <w:tr w14:paraId="5B0A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29" w:type="pct"/>
                  <w:vAlign w:val="center"/>
                </w:tcPr>
                <w:p w14:paraId="372142C6">
                  <w:pPr>
                    <w:widowControl/>
                    <w:jc w:val="center"/>
                    <w:rPr>
                      <w:color w:val="auto"/>
                      <w:kern w:val="0"/>
                      <w:szCs w:val="21"/>
                    </w:rPr>
                  </w:pPr>
                  <w:r>
                    <w:rPr>
                      <w:color w:val="auto"/>
                      <w:kern w:val="0"/>
                      <w:szCs w:val="21"/>
                    </w:rPr>
                    <w:t>1</w:t>
                  </w:r>
                </w:p>
              </w:tc>
              <w:tc>
                <w:tcPr>
                  <w:tcW w:w="831" w:type="pct"/>
                  <w:vAlign w:val="center"/>
                </w:tcPr>
                <w:p w14:paraId="717AAF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b w:val="0"/>
                      <w:bCs w:val="0"/>
                      <w:color w:val="auto"/>
                      <w:kern w:val="0"/>
                      <w:sz w:val="21"/>
                      <w:szCs w:val="21"/>
                      <w:lang w:val="en-US" w:eastAsia="zh-CN"/>
                    </w:rPr>
                    <w:t>竹木材</w:t>
                  </w:r>
                </w:p>
              </w:tc>
              <w:tc>
                <w:tcPr>
                  <w:tcW w:w="682" w:type="pct"/>
                  <w:vAlign w:val="center"/>
                </w:tcPr>
                <w:p w14:paraId="604CB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4"/>
                      <w:lang w:val="en-US" w:eastAsia="zh-CN"/>
                    </w:rPr>
                    <w:t>8180</w:t>
                  </w:r>
                </w:p>
              </w:tc>
              <w:tc>
                <w:tcPr>
                  <w:tcW w:w="606" w:type="pct"/>
                  <w:vAlign w:val="center"/>
                </w:tcPr>
                <w:p w14:paraId="3490C9E7">
                  <w:pPr>
                    <w:snapToGrid w:val="0"/>
                    <w:ind w:left="-105" w:leftChars="-50" w:right="-105" w:rightChars="-50"/>
                    <w:jc w:val="center"/>
                    <w:rPr>
                      <w:snapToGrid w:val="0"/>
                      <w:color w:val="auto"/>
                      <w:kern w:val="0"/>
                      <w:szCs w:val="21"/>
                    </w:rPr>
                  </w:pPr>
                  <w:r>
                    <w:rPr>
                      <w:rFonts w:hint="eastAsia"/>
                      <w:snapToGrid w:val="0"/>
                      <w:color w:val="auto"/>
                      <w:kern w:val="0"/>
                      <w:szCs w:val="21"/>
                      <w:lang w:val="en-US" w:eastAsia="zh-CN"/>
                    </w:rPr>
                    <w:t>100</w:t>
                  </w:r>
                  <w:r>
                    <w:rPr>
                      <w:rFonts w:hint="eastAsia"/>
                      <w:snapToGrid w:val="0"/>
                      <w:color w:val="auto"/>
                      <w:kern w:val="0"/>
                      <w:szCs w:val="21"/>
                    </w:rPr>
                    <w:t>t</w:t>
                  </w:r>
                </w:p>
              </w:tc>
              <w:tc>
                <w:tcPr>
                  <w:tcW w:w="493" w:type="pct"/>
                  <w:vAlign w:val="center"/>
                </w:tcPr>
                <w:p w14:paraId="23B9A3D3">
                  <w:pPr>
                    <w:snapToGrid w:val="0"/>
                    <w:ind w:left="-105" w:leftChars="-50" w:right="-105" w:rightChars="-50"/>
                    <w:jc w:val="center"/>
                    <w:rPr>
                      <w:snapToGrid w:val="0"/>
                      <w:color w:val="auto"/>
                      <w:kern w:val="0"/>
                      <w:szCs w:val="21"/>
                    </w:rPr>
                  </w:pPr>
                  <w:r>
                    <w:rPr>
                      <w:rFonts w:hint="eastAsia"/>
                      <w:snapToGrid w:val="0"/>
                      <w:color w:val="auto"/>
                      <w:kern w:val="0"/>
                      <w:szCs w:val="21"/>
                      <w:lang w:val="en-US" w:eastAsia="zh-CN"/>
                    </w:rPr>
                    <w:t>3</w:t>
                  </w:r>
                  <w:r>
                    <w:rPr>
                      <w:rFonts w:hint="eastAsia"/>
                      <w:snapToGrid w:val="0"/>
                      <w:color w:val="auto"/>
                      <w:kern w:val="0"/>
                      <w:szCs w:val="21"/>
                    </w:rPr>
                    <w:t>天</w:t>
                  </w:r>
                </w:p>
              </w:tc>
              <w:tc>
                <w:tcPr>
                  <w:tcW w:w="567" w:type="pct"/>
                  <w:vAlign w:val="center"/>
                </w:tcPr>
                <w:p w14:paraId="552F4E71">
                  <w:pPr>
                    <w:widowControl/>
                    <w:jc w:val="center"/>
                    <w:rPr>
                      <w:color w:val="auto"/>
                      <w:kern w:val="0"/>
                      <w:szCs w:val="21"/>
                    </w:rPr>
                  </w:pPr>
                  <w:r>
                    <w:rPr>
                      <w:rFonts w:hint="eastAsia"/>
                      <w:color w:val="auto"/>
                      <w:kern w:val="0"/>
                      <w:szCs w:val="21"/>
                      <w:lang w:val="en-US" w:eastAsia="zh-CN"/>
                    </w:rPr>
                    <w:t>/</w:t>
                  </w:r>
                </w:p>
              </w:tc>
              <w:tc>
                <w:tcPr>
                  <w:tcW w:w="841" w:type="pct"/>
                  <w:vAlign w:val="center"/>
                </w:tcPr>
                <w:p w14:paraId="69CBBAC7">
                  <w:pPr>
                    <w:widowControl/>
                    <w:jc w:val="center"/>
                    <w:rPr>
                      <w:color w:val="auto"/>
                      <w:kern w:val="0"/>
                      <w:szCs w:val="21"/>
                    </w:rPr>
                  </w:pPr>
                  <w:r>
                    <w:rPr>
                      <w:rFonts w:hint="eastAsia"/>
                      <w:color w:val="auto"/>
                      <w:kern w:val="0"/>
                      <w:szCs w:val="21"/>
                    </w:rPr>
                    <w:t>固态，堆放于原材料仓库</w:t>
                  </w:r>
                </w:p>
              </w:tc>
              <w:tc>
                <w:tcPr>
                  <w:tcW w:w="646" w:type="pct"/>
                  <w:vAlign w:val="center"/>
                </w:tcPr>
                <w:p w14:paraId="73817029">
                  <w:pPr>
                    <w:widowControl/>
                    <w:jc w:val="center"/>
                    <w:rPr>
                      <w:color w:val="auto"/>
                      <w:kern w:val="0"/>
                      <w:szCs w:val="21"/>
                    </w:rPr>
                  </w:pPr>
                  <w:r>
                    <w:rPr>
                      <w:rFonts w:hint="eastAsia"/>
                      <w:color w:val="auto"/>
                      <w:kern w:val="0"/>
                      <w:szCs w:val="21"/>
                    </w:rPr>
                    <w:t>原料区</w:t>
                  </w:r>
                </w:p>
              </w:tc>
            </w:tr>
            <w:tr w14:paraId="3121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29" w:type="pct"/>
                  <w:vAlign w:val="center"/>
                </w:tcPr>
                <w:p w14:paraId="0CEC28C3">
                  <w:pPr>
                    <w:widowControl/>
                    <w:jc w:val="center"/>
                    <w:rPr>
                      <w:rFonts w:hint="eastAsia" w:eastAsia="宋体"/>
                      <w:color w:val="auto"/>
                      <w:kern w:val="0"/>
                      <w:szCs w:val="21"/>
                      <w:lang w:val="en-US" w:eastAsia="zh-CN"/>
                    </w:rPr>
                  </w:pPr>
                  <w:r>
                    <w:rPr>
                      <w:rFonts w:hint="eastAsia"/>
                      <w:color w:val="auto"/>
                      <w:kern w:val="0"/>
                      <w:szCs w:val="21"/>
                      <w:lang w:val="en-US" w:eastAsia="zh-CN"/>
                    </w:rPr>
                    <w:t>2</w:t>
                  </w:r>
                </w:p>
              </w:tc>
              <w:tc>
                <w:tcPr>
                  <w:tcW w:w="831" w:type="pct"/>
                  <w:vAlign w:val="center"/>
                </w:tcPr>
                <w:p w14:paraId="25C06E61">
                  <w:pPr>
                    <w:widowControl/>
                    <w:jc w:val="center"/>
                    <w:rPr>
                      <w:rFonts w:hint="default" w:eastAsia="宋体"/>
                      <w:color w:val="auto"/>
                      <w:kern w:val="0"/>
                      <w:szCs w:val="21"/>
                      <w:lang w:val="en-US" w:eastAsia="zh-CN"/>
                    </w:rPr>
                  </w:pPr>
                  <w:r>
                    <w:rPr>
                      <w:rFonts w:hint="eastAsia"/>
                      <w:color w:val="auto"/>
                      <w:kern w:val="0"/>
                      <w:szCs w:val="21"/>
                      <w:lang w:val="en-US" w:eastAsia="zh-CN"/>
                    </w:rPr>
                    <w:t>秸秆、竹木边角料</w:t>
                  </w:r>
                </w:p>
              </w:tc>
              <w:tc>
                <w:tcPr>
                  <w:tcW w:w="682" w:type="pct"/>
                  <w:vAlign w:val="center"/>
                </w:tcPr>
                <w:p w14:paraId="2FB3747B">
                  <w:pPr>
                    <w:widowControl/>
                    <w:jc w:val="center"/>
                    <w:rPr>
                      <w:rFonts w:hint="default" w:eastAsia="宋体"/>
                      <w:color w:val="auto"/>
                      <w:kern w:val="0"/>
                      <w:szCs w:val="21"/>
                      <w:lang w:val="en-US" w:eastAsia="zh-CN"/>
                    </w:rPr>
                  </w:pPr>
                  <w:r>
                    <w:rPr>
                      <w:rFonts w:hint="eastAsia"/>
                      <w:color w:val="auto"/>
                      <w:kern w:val="0"/>
                      <w:szCs w:val="21"/>
                      <w:lang w:val="en-US" w:eastAsia="zh-CN"/>
                    </w:rPr>
                    <w:t>24550</w:t>
                  </w:r>
                </w:p>
              </w:tc>
              <w:tc>
                <w:tcPr>
                  <w:tcW w:w="606" w:type="pct"/>
                  <w:vAlign w:val="center"/>
                </w:tcPr>
                <w:p w14:paraId="79FAF58E">
                  <w:pPr>
                    <w:widowControl/>
                    <w:jc w:val="center"/>
                    <w:rPr>
                      <w:rFonts w:hint="default" w:eastAsia="宋体"/>
                      <w:color w:val="auto"/>
                      <w:kern w:val="0"/>
                      <w:szCs w:val="21"/>
                      <w:lang w:val="en-US" w:eastAsia="zh-CN"/>
                    </w:rPr>
                  </w:pPr>
                  <w:r>
                    <w:rPr>
                      <w:rFonts w:hint="eastAsia"/>
                      <w:color w:val="auto"/>
                      <w:kern w:val="0"/>
                      <w:szCs w:val="21"/>
                      <w:lang w:val="en-US" w:eastAsia="zh-CN"/>
                    </w:rPr>
                    <w:t>300t</w:t>
                  </w:r>
                </w:p>
              </w:tc>
              <w:tc>
                <w:tcPr>
                  <w:tcW w:w="493" w:type="pct"/>
                  <w:vAlign w:val="center"/>
                </w:tcPr>
                <w:p w14:paraId="39442D51">
                  <w:pPr>
                    <w:widowControl/>
                    <w:jc w:val="center"/>
                    <w:rPr>
                      <w:rFonts w:hint="eastAsia" w:eastAsia="宋体"/>
                      <w:color w:val="auto"/>
                      <w:kern w:val="0"/>
                      <w:szCs w:val="21"/>
                      <w:lang w:val="en-US" w:eastAsia="zh-CN"/>
                    </w:rPr>
                  </w:pPr>
                  <w:r>
                    <w:rPr>
                      <w:rFonts w:hint="eastAsia"/>
                      <w:color w:val="auto"/>
                      <w:kern w:val="0"/>
                      <w:szCs w:val="21"/>
                      <w:lang w:val="en-US" w:eastAsia="zh-CN"/>
                    </w:rPr>
                    <w:t>3</w:t>
                  </w:r>
                  <w:r>
                    <w:rPr>
                      <w:rFonts w:hint="eastAsia"/>
                      <w:snapToGrid w:val="0"/>
                      <w:color w:val="auto"/>
                      <w:kern w:val="0"/>
                      <w:szCs w:val="21"/>
                    </w:rPr>
                    <w:t>天</w:t>
                  </w:r>
                </w:p>
              </w:tc>
              <w:tc>
                <w:tcPr>
                  <w:tcW w:w="567" w:type="pct"/>
                  <w:vAlign w:val="center"/>
                </w:tcPr>
                <w:p w14:paraId="796A5854">
                  <w:pPr>
                    <w:widowControl/>
                    <w:jc w:val="center"/>
                    <w:rPr>
                      <w:rFonts w:hint="eastAsia" w:eastAsia="宋体"/>
                      <w:color w:val="auto"/>
                      <w:kern w:val="0"/>
                      <w:szCs w:val="21"/>
                      <w:lang w:val="en-US" w:eastAsia="zh-CN"/>
                    </w:rPr>
                  </w:pPr>
                  <w:r>
                    <w:rPr>
                      <w:rFonts w:hint="eastAsia"/>
                      <w:color w:val="auto"/>
                      <w:kern w:val="0"/>
                      <w:szCs w:val="21"/>
                      <w:lang w:val="en-US" w:eastAsia="zh-CN"/>
                    </w:rPr>
                    <w:t>50kg/装</w:t>
                  </w:r>
                </w:p>
              </w:tc>
              <w:tc>
                <w:tcPr>
                  <w:tcW w:w="841" w:type="pct"/>
                  <w:vAlign w:val="center"/>
                </w:tcPr>
                <w:p w14:paraId="2965DFE1">
                  <w:pPr>
                    <w:widowControl/>
                    <w:jc w:val="center"/>
                    <w:rPr>
                      <w:color w:val="auto"/>
                      <w:kern w:val="0"/>
                      <w:szCs w:val="21"/>
                    </w:rPr>
                  </w:pPr>
                  <w:r>
                    <w:rPr>
                      <w:rFonts w:hint="eastAsia"/>
                      <w:color w:val="auto"/>
                      <w:kern w:val="0"/>
                      <w:szCs w:val="21"/>
                    </w:rPr>
                    <w:t>固态，堆放于原材料仓库</w:t>
                  </w:r>
                </w:p>
              </w:tc>
              <w:tc>
                <w:tcPr>
                  <w:tcW w:w="646" w:type="pct"/>
                  <w:vAlign w:val="center"/>
                </w:tcPr>
                <w:p w14:paraId="6B98D038">
                  <w:pPr>
                    <w:widowControl/>
                    <w:jc w:val="center"/>
                    <w:rPr>
                      <w:color w:val="auto"/>
                      <w:kern w:val="0"/>
                      <w:szCs w:val="21"/>
                    </w:rPr>
                  </w:pPr>
                  <w:r>
                    <w:rPr>
                      <w:rFonts w:hint="eastAsia"/>
                      <w:color w:val="auto"/>
                      <w:kern w:val="0"/>
                      <w:szCs w:val="21"/>
                    </w:rPr>
                    <w:t>原料区</w:t>
                  </w:r>
                </w:p>
              </w:tc>
            </w:tr>
            <w:tr w14:paraId="30C0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9" w:type="pct"/>
                  <w:vAlign w:val="center"/>
                </w:tcPr>
                <w:p w14:paraId="13AC4308">
                  <w:pPr>
                    <w:widowControl/>
                    <w:jc w:val="center"/>
                    <w:rPr>
                      <w:rFonts w:hint="eastAsia" w:eastAsia="宋体"/>
                      <w:color w:val="auto"/>
                      <w:kern w:val="0"/>
                      <w:szCs w:val="21"/>
                      <w:lang w:val="en-US" w:eastAsia="zh-CN"/>
                    </w:rPr>
                  </w:pPr>
                  <w:r>
                    <w:rPr>
                      <w:rFonts w:hint="eastAsia"/>
                      <w:color w:val="auto"/>
                      <w:kern w:val="0"/>
                      <w:szCs w:val="21"/>
                      <w:lang w:val="en-US" w:eastAsia="zh-CN"/>
                    </w:rPr>
                    <w:t>2</w:t>
                  </w:r>
                </w:p>
              </w:tc>
              <w:tc>
                <w:tcPr>
                  <w:tcW w:w="831" w:type="pct"/>
                  <w:vAlign w:val="center"/>
                </w:tcPr>
                <w:p w14:paraId="5D525F8D">
                  <w:pPr>
                    <w:snapToGrid w:val="0"/>
                    <w:ind w:left="-105" w:leftChars="-50" w:right="-105" w:rightChars="-5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生物质颗粒</w:t>
                  </w:r>
                </w:p>
              </w:tc>
              <w:tc>
                <w:tcPr>
                  <w:tcW w:w="682" w:type="pct"/>
                  <w:vAlign w:val="center"/>
                </w:tcPr>
                <w:p w14:paraId="1CE9DD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1236</w:t>
                  </w:r>
                </w:p>
              </w:tc>
              <w:tc>
                <w:tcPr>
                  <w:tcW w:w="606" w:type="pct"/>
                  <w:vAlign w:val="center"/>
                </w:tcPr>
                <w:p w14:paraId="2B98A6F3">
                  <w:pPr>
                    <w:widowControl/>
                    <w:jc w:val="center"/>
                    <w:rPr>
                      <w:rFonts w:hint="default" w:eastAsia="宋体"/>
                      <w:color w:val="auto"/>
                      <w:kern w:val="0"/>
                      <w:szCs w:val="21"/>
                      <w:lang w:val="en-US" w:eastAsia="zh-CN"/>
                    </w:rPr>
                  </w:pPr>
                  <w:r>
                    <w:rPr>
                      <w:rFonts w:hint="eastAsia"/>
                      <w:color w:val="auto"/>
                      <w:kern w:val="0"/>
                      <w:szCs w:val="21"/>
                      <w:lang w:val="en-US" w:eastAsia="zh-CN"/>
                    </w:rPr>
                    <w:t>5t</w:t>
                  </w:r>
                </w:p>
              </w:tc>
              <w:tc>
                <w:tcPr>
                  <w:tcW w:w="493" w:type="pct"/>
                  <w:vAlign w:val="center"/>
                </w:tcPr>
                <w:p w14:paraId="111E54D9">
                  <w:pPr>
                    <w:widowControl/>
                    <w:jc w:val="center"/>
                    <w:rPr>
                      <w:color w:val="auto"/>
                      <w:kern w:val="0"/>
                      <w:szCs w:val="21"/>
                    </w:rPr>
                  </w:pPr>
                  <w:r>
                    <w:rPr>
                      <w:rFonts w:hint="eastAsia"/>
                      <w:snapToGrid w:val="0"/>
                      <w:color w:val="auto"/>
                      <w:kern w:val="0"/>
                      <w:szCs w:val="21"/>
                      <w:lang w:val="en-US" w:eastAsia="zh-CN"/>
                    </w:rPr>
                    <w:t>7</w:t>
                  </w:r>
                  <w:r>
                    <w:rPr>
                      <w:rFonts w:hint="eastAsia"/>
                      <w:snapToGrid w:val="0"/>
                      <w:color w:val="auto"/>
                      <w:kern w:val="0"/>
                      <w:szCs w:val="21"/>
                    </w:rPr>
                    <w:t>天</w:t>
                  </w:r>
                </w:p>
              </w:tc>
              <w:tc>
                <w:tcPr>
                  <w:tcW w:w="567" w:type="pct"/>
                  <w:vAlign w:val="center"/>
                </w:tcPr>
                <w:p w14:paraId="422FD890">
                  <w:pPr>
                    <w:widowControl/>
                    <w:jc w:val="center"/>
                    <w:rPr>
                      <w:rFonts w:hint="eastAsia" w:eastAsia="宋体"/>
                      <w:color w:val="auto"/>
                      <w:kern w:val="0"/>
                      <w:szCs w:val="21"/>
                      <w:lang w:eastAsia="zh-CN"/>
                    </w:rPr>
                  </w:pPr>
                  <w:r>
                    <w:rPr>
                      <w:rFonts w:hint="eastAsia"/>
                      <w:color w:val="auto"/>
                      <w:kern w:val="0"/>
                      <w:szCs w:val="21"/>
                    </w:rPr>
                    <w:t>25kg/袋</w:t>
                  </w:r>
                </w:p>
              </w:tc>
              <w:tc>
                <w:tcPr>
                  <w:tcW w:w="841" w:type="pct"/>
                  <w:vAlign w:val="center"/>
                </w:tcPr>
                <w:p w14:paraId="0BEC8C90">
                  <w:pPr>
                    <w:widowControl/>
                    <w:jc w:val="center"/>
                    <w:rPr>
                      <w:rFonts w:ascii="Times New Roman" w:hAnsi="Times New Roman" w:eastAsia="宋体" w:cs="Times New Roman"/>
                      <w:color w:val="auto"/>
                      <w:kern w:val="0"/>
                      <w:sz w:val="21"/>
                      <w:szCs w:val="21"/>
                      <w:lang w:val="en-US" w:eastAsia="zh-CN" w:bidi="ar-SA"/>
                    </w:rPr>
                  </w:pPr>
                  <w:r>
                    <w:rPr>
                      <w:rFonts w:hint="eastAsia"/>
                      <w:color w:val="auto"/>
                      <w:kern w:val="0"/>
                      <w:szCs w:val="21"/>
                    </w:rPr>
                    <w:t>固态，堆放于原材料仓库</w:t>
                  </w:r>
                </w:p>
              </w:tc>
              <w:tc>
                <w:tcPr>
                  <w:tcW w:w="646" w:type="pct"/>
                  <w:vAlign w:val="center"/>
                </w:tcPr>
                <w:p w14:paraId="5F1EC095">
                  <w:pPr>
                    <w:widowControl/>
                    <w:jc w:val="center"/>
                    <w:rPr>
                      <w:rFonts w:ascii="Times New Roman" w:hAnsi="Times New Roman" w:eastAsia="宋体" w:cs="Times New Roman"/>
                      <w:color w:val="auto"/>
                      <w:kern w:val="0"/>
                      <w:sz w:val="21"/>
                      <w:szCs w:val="21"/>
                      <w:lang w:val="en-US" w:eastAsia="zh-CN" w:bidi="ar-SA"/>
                    </w:rPr>
                  </w:pPr>
                  <w:r>
                    <w:rPr>
                      <w:rFonts w:hint="eastAsia"/>
                      <w:color w:val="auto"/>
                      <w:kern w:val="0"/>
                      <w:szCs w:val="21"/>
                    </w:rPr>
                    <w:t>原料区</w:t>
                  </w:r>
                </w:p>
              </w:tc>
            </w:tr>
            <w:tr w14:paraId="60B1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Align w:val="center"/>
                </w:tcPr>
                <w:p w14:paraId="1A74F7FE">
                  <w:pPr>
                    <w:widowControl/>
                    <w:jc w:val="center"/>
                    <w:rPr>
                      <w:rFonts w:hint="eastAsia" w:eastAsia="宋体"/>
                      <w:color w:val="auto"/>
                      <w:kern w:val="0"/>
                      <w:szCs w:val="21"/>
                      <w:lang w:eastAsia="zh-CN"/>
                    </w:rPr>
                  </w:pPr>
                  <w:r>
                    <w:rPr>
                      <w:rFonts w:hint="eastAsia"/>
                      <w:color w:val="auto"/>
                      <w:kern w:val="0"/>
                      <w:szCs w:val="21"/>
                      <w:lang w:val="en-US" w:eastAsia="zh-CN"/>
                    </w:rPr>
                    <w:t>3</w:t>
                  </w:r>
                </w:p>
              </w:tc>
              <w:tc>
                <w:tcPr>
                  <w:tcW w:w="831" w:type="pct"/>
                  <w:vAlign w:val="center"/>
                </w:tcPr>
                <w:p w14:paraId="59D8D574">
                  <w:pPr>
                    <w:widowControl/>
                    <w:jc w:val="center"/>
                    <w:rPr>
                      <w:color w:val="auto"/>
                      <w:szCs w:val="21"/>
                    </w:rPr>
                  </w:pPr>
                  <w:r>
                    <w:rPr>
                      <w:rFonts w:hint="eastAsia"/>
                      <w:color w:val="auto"/>
                      <w:szCs w:val="21"/>
                    </w:rPr>
                    <w:t>润滑油</w:t>
                  </w:r>
                </w:p>
              </w:tc>
              <w:tc>
                <w:tcPr>
                  <w:tcW w:w="682" w:type="pct"/>
                  <w:vAlign w:val="center"/>
                </w:tcPr>
                <w:p w14:paraId="59A4C829">
                  <w:pPr>
                    <w:widowControl/>
                    <w:jc w:val="center"/>
                    <w:rPr>
                      <w:snapToGrid w:val="0"/>
                      <w:color w:val="auto"/>
                      <w:kern w:val="0"/>
                      <w:szCs w:val="21"/>
                    </w:rPr>
                  </w:pPr>
                  <w:r>
                    <w:rPr>
                      <w:rFonts w:hint="eastAsia"/>
                      <w:snapToGrid w:val="0"/>
                      <w:color w:val="auto"/>
                      <w:kern w:val="0"/>
                      <w:szCs w:val="21"/>
                    </w:rPr>
                    <w:t>0.8t</w:t>
                  </w:r>
                </w:p>
              </w:tc>
              <w:tc>
                <w:tcPr>
                  <w:tcW w:w="606" w:type="pct"/>
                  <w:vAlign w:val="center"/>
                </w:tcPr>
                <w:p w14:paraId="4462CB19">
                  <w:pPr>
                    <w:widowControl/>
                    <w:jc w:val="center"/>
                    <w:rPr>
                      <w:snapToGrid w:val="0"/>
                      <w:color w:val="auto"/>
                      <w:kern w:val="0"/>
                      <w:szCs w:val="21"/>
                    </w:rPr>
                  </w:pPr>
                  <w:r>
                    <w:rPr>
                      <w:rFonts w:hint="eastAsia"/>
                      <w:snapToGrid w:val="0"/>
                      <w:color w:val="auto"/>
                      <w:kern w:val="0"/>
                      <w:szCs w:val="21"/>
                    </w:rPr>
                    <w:t>0.08t</w:t>
                  </w:r>
                </w:p>
              </w:tc>
              <w:tc>
                <w:tcPr>
                  <w:tcW w:w="493" w:type="pct"/>
                  <w:vAlign w:val="center"/>
                </w:tcPr>
                <w:p w14:paraId="691BD7C8">
                  <w:pPr>
                    <w:widowControl/>
                    <w:jc w:val="center"/>
                    <w:rPr>
                      <w:color w:val="auto"/>
                      <w:kern w:val="0"/>
                      <w:szCs w:val="21"/>
                      <w:lang w:bidi="ar"/>
                    </w:rPr>
                  </w:pPr>
                  <w:r>
                    <w:rPr>
                      <w:rFonts w:hint="eastAsia"/>
                      <w:snapToGrid w:val="0"/>
                      <w:color w:val="auto"/>
                      <w:kern w:val="0"/>
                      <w:szCs w:val="21"/>
                    </w:rPr>
                    <w:t>30天</w:t>
                  </w:r>
                </w:p>
              </w:tc>
              <w:tc>
                <w:tcPr>
                  <w:tcW w:w="567" w:type="pct"/>
                  <w:vAlign w:val="center"/>
                </w:tcPr>
                <w:p w14:paraId="6478CB23">
                  <w:pPr>
                    <w:widowControl/>
                    <w:jc w:val="center"/>
                    <w:rPr>
                      <w:color w:val="auto"/>
                      <w:kern w:val="0"/>
                      <w:szCs w:val="21"/>
                    </w:rPr>
                  </w:pPr>
                  <w:r>
                    <w:rPr>
                      <w:rFonts w:hint="eastAsia"/>
                      <w:color w:val="auto"/>
                      <w:kern w:val="0"/>
                      <w:szCs w:val="21"/>
                    </w:rPr>
                    <w:t>20kg/桶</w:t>
                  </w:r>
                </w:p>
              </w:tc>
              <w:tc>
                <w:tcPr>
                  <w:tcW w:w="841" w:type="pct"/>
                  <w:vAlign w:val="center"/>
                </w:tcPr>
                <w:p w14:paraId="051DBE31">
                  <w:pPr>
                    <w:widowControl/>
                    <w:jc w:val="center"/>
                    <w:rPr>
                      <w:color w:val="auto"/>
                      <w:kern w:val="0"/>
                      <w:szCs w:val="21"/>
                    </w:rPr>
                  </w:pPr>
                  <w:r>
                    <w:rPr>
                      <w:rFonts w:hint="eastAsia"/>
                      <w:color w:val="auto"/>
                      <w:kern w:val="0"/>
                      <w:szCs w:val="21"/>
                    </w:rPr>
                    <w:t>液态</w:t>
                  </w:r>
                </w:p>
              </w:tc>
              <w:tc>
                <w:tcPr>
                  <w:tcW w:w="646" w:type="pct"/>
                  <w:vAlign w:val="center"/>
                </w:tcPr>
                <w:p w14:paraId="470543E8">
                  <w:pPr>
                    <w:widowControl/>
                    <w:jc w:val="center"/>
                    <w:rPr>
                      <w:color w:val="auto"/>
                      <w:kern w:val="0"/>
                      <w:szCs w:val="21"/>
                    </w:rPr>
                  </w:pPr>
                  <w:r>
                    <w:rPr>
                      <w:rFonts w:hint="eastAsia"/>
                      <w:color w:val="auto"/>
                      <w:kern w:val="0"/>
                      <w:szCs w:val="21"/>
                    </w:rPr>
                    <w:t>原料区</w:t>
                  </w:r>
                </w:p>
              </w:tc>
            </w:tr>
            <w:tr w14:paraId="2D8A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000" w:type="pct"/>
                  <w:gridSpan w:val="8"/>
                  <w:vAlign w:val="center"/>
                </w:tcPr>
                <w:p w14:paraId="342B2B4A">
                  <w:pPr>
                    <w:widowControl/>
                    <w:jc w:val="left"/>
                    <w:rPr>
                      <w:rFonts w:hint="eastAsia"/>
                      <w:color w:val="auto"/>
                      <w:kern w:val="0"/>
                      <w:szCs w:val="21"/>
                      <w:lang w:val="en-US" w:eastAsia="zh-CN"/>
                    </w:rPr>
                  </w:pPr>
                  <w:r>
                    <w:rPr>
                      <w:rFonts w:hint="eastAsia"/>
                      <w:color w:val="auto"/>
                      <w:kern w:val="0"/>
                      <w:szCs w:val="21"/>
                      <w:lang w:val="en-US" w:eastAsia="zh-CN"/>
                    </w:rPr>
                    <w:t>注：锅炉</w:t>
                  </w:r>
                  <w:r>
                    <w:rPr>
                      <w:rFonts w:hint="eastAsia" w:cs="Times New Roman"/>
                      <w:color w:val="auto"/>
                      <w:kern w:val="2"/>
                      <w:sz w:val="21"/>
                      <w:szCs w:val="24"/>
                      <w:lang w:val="en-US" w:eastAsia="zh-CN" w:bidi="ar-SA"/>
                    </w:rPr>
                    <w:t>生物质颗粒年用量1236t</w:t>
                  </w:r>
                  <w:r>
                    <w:rPr>
                      <w:rFonts w:hint="eastAsia"/>
                      <w:color w:val="auto"/>
                      <w:kern w:val="0"/>
                      <w:szCs w:val="21"/>
                      <w:lang w:val="en-US" w:eastAsia="zh-CN"/>
                    </w:rPr>
                    <w:t>，约外购15t作为最开始供热使用，其余1221t均为自己生产；</w:t>
                  </w:r>
                </w:p>
                <w:p w14:paraId="269A25B4">
                  <w:pPr>
                    <w:widowControl/>
                    <w:jc w:val="left"/>
                    <w:rPr>
                      <w:rFonts w:hint="default"/>
                      <w:color w:val="auto"/>
                      <w:kern w:val="0"/>
                      <w:szCs w:val="21"/>
                      <w:lang w:val="en-US" w:eastAsia="zh-CN"/>
                    </w:rPr>
                  </w:pPr>
                  <w:r>
                    <w:rPr>
                      <w:rFonts w:hint="eastAsia"/>
                      <w:color w:val="auto"/>
                      <w:kern w:val="0"/>
                      <w:szCs w:val="21"/>
                      <w:lang w:val="en-US" w:eastAsia="zh-CN"/>
                    </w:rPr>
                    <w:t>秸秆、竹木边角料</w:t>
                  </w:r>
                  <w:r>
                    <w:rPr>
                      <w:rFonts w:hint="eastAsia" w:cs="Times New Roman"/>
                      <w:color w:val="auto"/>
                      <w:kern w:val="2"/>
                      <w:sz w:val="21"/>
                      <w:szCs w:val="24"/>
                      <w:lang w:val="en-US" w:eastAsia="zh-CN" w:bidi="ar-SA"/>
                    </w:rPr>
                    <w:t>年用量</w:t>
                  </w:r>
                  <w:r>
                    <w:rPr>
                      <w:rFonts w:hint="eastAsia"/>
                      <w:color w:val="auto"/>
                      <w:kern w:val="0"/>
                      <w:szCs w:val="21"/>
                      <w:lang w:val="en-US" w:eastAsia="zh-CN"/>
                    </w:rPr>
                    <w:t>24550</w:t>
                  </w:r>
                  <w:r>
                    <w:rPr>
                      <w:rFonts w:hint="eastAsia" w:cs="Times New Roman"/>
                      <w:color w:val="auto"/>
                      <w:kern w:val="2"/>
                      <w:sz w:val="21"/>
                      <w:szCs w:val="24"/>
                      <w:lang w:val="en-US" w:eastAsia="zh-CN" w:bidi="ar-SA"/>
                    </w:rPr>
                    <w:t>t</w:t>
                  </w:r>
                  <w:r>
                    <w:rPr>
                      <w:rFonts w:hint="eastAsia"/>
                      <w:color w:val="auto"/>
                      <w:kern w:val="0"/>
                      <w:szCs w:val="21"/>
                      <w:lang w:val="en-US" w:eastAsia="zh-CN"/>
                    </w:rPr>
                    <w:t>，约50t来自竹制品生产线，其余24500t均为外购。</w:t>
                  </w:r>
                </w:p>
              </w:tc>
            </w:tr>
          </w:tbl>
          <w:p w14:paraId="794D8554">
            <w:pPr>
              <w:adjustRightInd w:val="0"/>
              <w:snapToGrid w:val="0"/>
              <w:spacing w:line="360" w:lineRule="auto"/>
              <w:ind w:firstLine="482" w:firstLineChars="200"/>
              <w:rPr>
                <w:b/>
                <w:color w:val="auto"/>
                <w:sz w:val="24"/>
                <w:szCs w:val="32"/>
              </w:rPr>
            </w:pPr>
            <w:r>
              <w:rPr>
                <w:rFonts w:hint="eastAsia"/>
                <w:b/>
                <w:color w:val="auto"/>
                <w:sz w:val="24"/>
                <w:szCs w:val="32"/>
              </w:rPr>
              <w:t>6</w:t>
            </w:r>
            <w:r>
              <w:rPr>
                <w:b/>
                <w:color w:val="auto"/>
                <w:sz w:val="24"/>
                <w:szCs w:val="32"/>
              </w:rPr>
              <w:t>、公用工程</w:t>
            </w:r>
          </w:p>
          <w:p w14:paraId="5CC27B56">
            <w:pPr>
              <w:adjustRightInd w:val="0"/>
              <w:snapToGrid w:val="0"/>
              <w:spacing w:line="360" w:lineRule="auto"/>
              <w:ind w:firstLine="480" w:firstLineChars="200"/>
              <w:rPr>
                <w:bCs/>
                <w:color w:val="auto"/>
                <w:sz w:val="24"/>
                <w:szCs w:val="32"/>
              </w:rPr>
            </w:pPr>
            <w:r>
              <w:rPr>
                <w:bCs/>
                <w:color w:val="auto"/>
                <w:sz w:val="24"/>
                <w:szCs w:val="32"/>
              </w:rPr>
              <w:t>（1）</w:t>
            </w:r>
            <w:r>
              <w:rPr>
                <w:rFonts w:hint="eastAsia"/>
                <w:bCs/>
                <w:color w:val="auto"/>
                <w:sz w:val="24"/>
                <w:szCs w:val="32"/>
              </w:rPr>
              <w:t>本</w:t>
            </w:r>
            <w:r>
              <w:rPr>
                <w:rFonts w:hint="eastAsia"/>
                <w:bCs/>
                <w:color w:val="auto"/>
                <w:sz w:val="24"/>
                <w:szCs w:val="32"/>
                <w:lang w:val="en-US" w:eastAsia="zh-CN"/>
              </w:rPr>
              <w:t>项目</w:t>
            </w:r>
            <w:r>
              <w:rPr>
                <w:bCs/>
                <w:color w:val="auto"/>
                <w:sz w:val="24"/>
                <w:szCs w:val="32"/>
              </w:rPr>
              <w:t>用水</w:t>
            </w:r>
          </w:p>
          <w:p w14:paraId="53B3E4E8">
            <w:pPr>
              <w:adjustRightInd w:val="0"/>
              <w:snapToGrid w:val="0"/>
              <w:spacing w:line="360" w:lineRule="auto"/>
              <w:ind w:firstLine="480" w:firstLineChars="200"/>
              <w:rPr>
                <w:color w:val="auto"/>
                <w:kern w:val="0"/>
                <w:sz w:val="24"/>
              </w:rPr>
            </w:pPr>
            <w:r>
              <w:rPr>
                <w:rFonts w:hint="eastAsia"/>
                <w:color w:val="auto"/>
                <w:kern w:val="0"/>
                <w:sz w:val="24"/>
              </w:rPr>
              <w:t>①生活用水</w:t>
            </w:r>
          </w:p>
          <w:p w14:paraId="24CF8996">
            <w:pPr>
              <w:adjustRightInd w:val="0"/>
              <w:snapToGrid w:val="0"/>
              <w:spacing w:line="360" w:lineRule="auto"/>
              <w:ind w:firstLine="480" w:firstLineChars="200"/>
              <w:rPr>
                <w:color w:val="auto"/>
                <w:kern w:val="0"/>
                <w:sz w:val="24"/>
              </w:rPr>
            </w:pPr>
            <w:r>
              <w:rPr>
                <w:color w:val="auto"/>
                <w:kern w:val="0"/>
                <w:sz w:val="24"/>
              </w:rPr>
              <w:t>本项目职工</w:t>
            </w:r>
            <w:r>
              <w:rPr>
                <w:rFonts w:hint="eastAsia"/>
                <w:color w:val="auto"/>
                <w:kern w:val="0"/>
                <w:sz w:val="24"/>
                <w:lang w:val="en-US" w:eastAsia="zh-CN"/>
              </w:rPr>
              <w:t>1</w:t>
            </w:r>
            <w:r>
              <w:rPr>
                <w:rFonts w:hint="eastAsia"/>
                <w:color w:val="auto"/>
                <w:kern w:val="0"/>
                <w:sz w:val="24"/>
              </w:rPr>
              <w:t>0</w:t>
            </w:r>
            <w:r>
              <w:rPr>
                <w:color w:val="auto"/>
                <w:kern w:val="0"/>
                <w:sz w:val="24"/>
              </w:rPr>
              <w:t>人，员工人均生活用水量按</w:t>
            </w:r>
            <w:r>
              <w:rPr>
                <w:rFonts w:hint="eastAsia"/>
                <w:color w:val="auto"/>
                <w:kern w:val="0"/>
                <w:sz w:val="24"/>
              </w:rPr>
              <w:t>6</w:t>
            </w:r>
            <w:r>
              <w:rPr>
                <w:color w:val="auto"/>
                <w:kern w:val="0"/>
                <w:sz w:val="24"/>
              </w:rPr>
              <w:t>0L/d定额计，</w:t>
            </w:r>
            <w:r>
              <w:rPr>
                <w:rFonts w:hint="eastAsia"/>
                <w:color w:val="auto"/>
                <w:kern w:val="0"/>
                <w:sz w:val="24"/>
              </w:rPr>
              <w:t>年工作300天，</w:t>
            </w:r>
            <w:r>
              <w:rPr>
                <w:color w:val="auto"/>
                <w:kern w:val="0"/>
                <w:sz w:val="24"/>
              </w:rPr>
              <w:t>则用水量为</w:t>
            </w:r>
            <w:r>
              <w:rPr>
                <w:rFonts w:hint="eastAsia"/>
                <w:color w:val="auto"/>
                <w:kern w:val="0"/>
                <w:sz w:val="24"/>
                <w:lang w:val="en-US" w:eastAsia="zh-CN"/>
              </w:rPr>
              <w:t>180</w:t>
            </w:r>
            <w:r>
              <w:rPr>
                <w:rFonts w:hint="eastAsia"/>
                <w:color w:val="auto"/>
                <w:kern w:val="0"/>
                <w:sz w:val="24"/>
              </w:rPr>
              <w:t>t/a</w:t>
            </w:r>
            <w:r>
              <w:rPr>
                <w:color w:val="auto"/>
                <w:kern w:val="0"/>
                <w:sz w:val="24"/>
              </w:rPr>
              <w:t>（</w:t>
            </w:r>
            <w:r>
              <w:rPr>
                <w:rFonts w:hint="eastAsia"/>
                <w:color w:val="auto"/>
                <w:kern w:val="0"/>
                <w:sz w:val="24"/>
                <w:lang w:val="en-US" w:eastAsia="zh-CN"/>
              </w:rPr>
              <w:t>0.6</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w:t>
            </w:r>
            <w:r>
              <w:rPr>
                <w:rFonts w:hint="eastAsia"/>
                <w:color w:val="auto"/>
                <w:kern w:val="0"/>
                <w:sz w:val="24"/>
              </w:rPr>
              <w:t>，则</w:t>
            </w:r>
            <w:r>
              <w:rPr>
                <w:color w:val="auto"/>
                <w:kern w:val="0"/>
                <w:sz w:val="24"/>
              </w:rPr>
              <w:t>生活</w:t>
            </w:r>
            <w:r>
              <w:rPr>
                <w:rFonts w:hint="eastAsia"/>
                <w:color w:val="auto"/>
                <w:kern w:val="0"/>
                <w:sz w:val="24"/>
              </w:rPr>
              <w:t>用水量为</w:t>
            </w:r>
            <w:r>
              <w:rPr>
                <w:rFonts w:hint="eastAsia"/>
                <w:color w:val="auto"/>
                <w:kern w:val="0"/>
                <w:sz w:val="24"/>
                <w:lang w:val="en-US" w:eastAsia="zh-CN"/>
              </w:rPr>
              <w:t>180</w:t>
            </w:r>
            <w:r>
              <w:rPr>
                <w:rFonts w:hint="eastAsia"/>
                <w:color w:val="auto"/>
                <w:kern w:val="0"/>
                <w:sz w:val="24"/>
              </w:rPr>
              <w:t>t/a</w:t>
            </w:r>
            <w:r>
              <w:rPr>
                <w:color w:val="auto"/>
                <w:kern w:val="0"/>
                <w:sz w:val="24"/>
              </w:rPr>
              <w:t>（</w:t>
            </w:r>
            <w:r>
              <w:rPr>
                <w:rFonts w:hint="eastAsia"/>
                <w:color w:val="auto"/>
                <w:kern w:val="0"/>
                <w:sz w:val="24"/>
                <w:lang w:val="en-US" w:eastAsia="zh-CN"/>
              </w:rPr>
              <w:t>0.6</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），污水排放量按用水量的80%计，则本项目</w:t>
            </w:r>
            <w:r>
              <w:rPr>
                <w:rFonts w:hint="eastAsia"/>
                <w:color w:val="auto"/>
                <w:kern w:val="0"/>
                <w:sz w:val="24"/>
              </w:rPr>
              <w:t>新增</w:t>
            </w:r>
            <w:r>
              <w:rPr>
                <w:color w:val="auto"/>
                <w:kern w:val="0"/>
                <w:sz w:val="24"/>
              </w:rPr>
              <w:t>生活污水排放总量为</w:t>
            </w:r>
            <w:r>
              <w:rPr>
                <w:rFonts w:hint="eastAsia"/>
                <w:color w:val="auto"/>
                <w:kern w:val="0"/>
                <w:sz w:val="24"/>
                <w:lang w:val="en-US" w:eastAsia="zh-CN"/>
              </w:rPr>
              <w:t>144</w:t>
            </w:r>
            <w:r>
              <w:rPr>
                <w:rFonts w:hint="eastAsia"/>
                <w:color w:val="auto"/>
                <w:kern w:val="0"/>
                <w:sz w:val="24"/>
              </w:rPr>
              <w:t>t/a</w:t>
            </w:r>
            <w:r>
              <w:rPr>
                <w:color w:val="auto"/>
                <w:kern w:val="0"/>
                <w:sz w:val="24"/>
              </w:rPr>
              <w:t>（</w:t>
            </w:r>
            <w:r>
              <w:rPr>
                <w:rFonts w:hint="eastAsia"/>
                <w:color w:val="auto"/>
                <w:kern w:val="0"/>
                <w:sz w:val="24"/>
                <w:lang w:val="en-US" w:eastAsia="zh-CN"/>
              </w:rPr>
              <w:t>0.48</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w:t>
            </w:r>
            <w:r>
              <w:rPr>
                <w:rFonts w:hint="eastAsia"/>
                <w:color w:val="auto"/>
                <w:kern w:val="0"/>
                <w:sz w:val="24"/>
              </w:rPr>
              <w:t>生活污水经化粪池处理后，通过地埋式污水处理</w:t>
            </w:r>
            <w:r>
              <w:rPr>
                <w:rFonts w:hint="eastAsia"/>
                <w:color w:val="auto"/>
                <w:kern w:val="0"/>
                <w:sz w:val="24"/>
                <w:lang w:val="en-US" w:eastAsia="zh-CN"/>
              </w:rPr>
              <w:t>设施</w:t>
            </w:r>
            <w:r>
              <w:rPr>
                <w:rFonts w:hint="eastAsia"/>
                <w:color w:val="auto"/>
                <w:kern w:val="0"/>
                <w:sz w:val="24"/>
              </w:rPr>
              <w:t>处理，处理后的废水用于厂区绿化灌溉。</w:t>
            </w:r>
          </w:p>
          <w:p w14:paraId="79F6617E">
            <w:pPr>
              <w:adjustRightInd w:val="0"/>
              <w:snapToGrid w:val="0"/>
              <w:spacing w:line="360" w:lineRule="auto"/>
              <w:ind w:firstLine="480" w:firstLineChars="200"/>
              <w:rPr>
                <w:rFonts w:hint="eastAsia"/>
                <w:color w:val="auto"/>
                <w:kern w:val="0"/>
                <w:sz w:val="24"/>
              </w:rPr>
            </w:pPr>
            <w:r>
              <w:rPr>
                <w:rFonts w:hint="eastAsia"/>
                <w:color w:val="auto"/>
                <w:kern w:val="0"/>
                <w:sz w:val="24"/>
                <w:lang w:val="en-US" w:eastAsia="zh-CN"/>
              </w:rPr>
              <w:t>②锅炉</w:t>
            </w:r>
            <w:r>
              <w:rPr>
                <w:rFonts w:hint="eastAsia"/>
                <w:color w:val="auto"/>
                <w:kern w:val="0"/>
                <w:sz w:val="24"/>
              </w:rPr>
              <w:t>用水</w:t>
            </w:r>
          </w:p>
          <w:p w14:paraId="6A6C0CEA">
            <w:pPr>
              <w:adjustRightInd w:val="0"/>
              <w:snapToGrid w:val="0"/>
              <w:spacing w:line="360" w:lineRule="auto"/>
              <w:ind w:firstLine="480" w:firstLineChars="200"/>
              <w:rPr>
                <w:rFonts w:hint="eastAsia"/>
                <w:color w:val="auto"/>
                <w:kern w:val="0"/>
                <w:sz w:val="24"/>
              </w:rPr>
            </w:pPr>
            <w:r>
              <w:rPr>
                <w:rFonts w:hint="eastAsia"/>
                <w:color w:val="auto"/>
                <w:kern w:val="0"/>
                <w:sz w:val="24"/>
              </w:rPr>
              <w:t>本项目锅炉全年满负荷运营时间为</w:t>
            </w:r>
            <w:r>
              <w:rPr>
                <w:rFonts w:hint="eastAsia"/>
                <w:color w:val="auto"/>
                <w:kern w:val="0"/>
                <w:sz w:val="24"/>
                <w:lang w:val="en-US" w:eastAsia="zh-CN"/>
              </w:rPr>
              <w:t>1200h</w:t>
            </w:r>
            <w:r>
              <w:rPr>
                <w:rFonts w:hint="eastAsia"/>
                <w:color w:val="auto"/>
                <w:kern w:val="0"/>
                <w:sz w:val="24"/>
              </w:rPr>
              <w:t>，则本项目总蒸汽产生量为</w:t>
            </w:r>
            <w:r>
              <w:rPr>
                <w:rFonts w:hint="eastAsia"/>
                <w:color w:val="auto"/>
                <w:kern w:val="0"/>
                <w:sz w:val="24"/>
                <w:lang w:val="en-US" w:eastAsia="zh-CN"/>
              </w:rPr>
              <w:t>24</w:t>
            </w:r>
            <w:r>
              <w:rPr>
                <w:rFonts w:hint="eastAsia"/>
                <w:color w:val="auto"/>
                <w:kern w:val="0"/>
                <w:sz w:val="24"/>
              </w:rPr>
              <w:t>t/d、</w:t>
            </w:r>
            <w:r>
              <w:rPr>
                <w:rFonts w:hint="eastAsia"/>
                <w:color w:val="auto"/>
                <w:kern w:val="0"/>
                <w:sz w:val="24"/>
                <w:lang w:val="en-US" w:eastAsia="zh-CN"/>
              </w:rPr>
              <w:t>7200</w:t>
            </w:r>
            <w:r>
              <w:rPr>
                <w:rFonts w:hint="eastAsia"/>
                <w:color w:val="auto"/>
                <w:kern w:val="0"/>
                <w:sz w:val="24"/>
              </w:rPr>
              <w:t>t/a。锅炉新鲜用水量主要包括锅炉蒸汽损失、锅炉排污损耗、管道汽水损耗。管道汽水损耗系数按蒸汽产生量的3%计，则管道汽水损耗量为0.</w:t>
            </w:r>
            <w:r>
              <w:rPr>
                <w:rFonts w:hint="eastAsia"/>
                <w:color w:val="auto"/>
                <w:kern w:val="0"/>
                <w:sz w:val="24"/>
                <w:lang w:val="en-US" w:eastAsia="zh-CN"/>
              </w:rPr>
              <w:t>72</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216</w:t>
            </w:r>
            <w:r>
              <w:rPr>
                <w:rFonts w:hint="eastAsia"/>
                <w:color w:val="auto"/>
                <w:kern w:val="0"/>
                <w:sz w:val="24"/>
              </w:rPr>
              <w:t>m</w:t>
            </w:r>
            <w:r>
              <w:rPr>
                <w:rFonts w:hint="eastAsia"/>
                <w:color w:val="auto"/>
                <w:kern w:val="0"/>
                <w:sz w:val="24"/>
                <w:vertAlign w:val="superscript"/>
              </w:rPr>
              <w:t>3</w:t>
            </w:r>
            <w:r>
              <w:rPr>
                <w:rFonts w:hint="eastAsia"/>
                <w:color w:val="auto"/>
                <w:kern w:val="0"/>
                <w:sz w:val="24"/>
              </w:rPr>
              <w:t>/a；锅炉排污损耗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）根据《排放源统计调查产排污核算方法和系数手册》中的4430锅炉产排污量核算系数手册</w:t>
            </w:r>
            <w:r>
              <w:rPr>
                <w:rFonts w:hint="eastAsia"/>
                <w:color w:val="auto"/>
                <w:kern w:val="0"/>
                <w:sz w:val="24"/>
                <w:lang w:val="en-US" w:eastAsia="zh-CN"/>
              </w:rPr>
              <w:t>生物质</w:t>
            </w:r>
            <w:r>
              <w:rPr>
                <w:rFonts w:hint="eastAsia"/>
                <w:color w:val="auto"/>
                <w:kern w:val="0"/>
                <w:sz w:val="24"/>
              </w:rPr>
              <w:t>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w:t>
            </w:r>
            <w:r>
              <w:rPr>
                <w:rFonts w:hint="eastAsia"/>
                <w:color w:val="auto"/>
                <w:kern w:val="0"/>
                <w:sz w:val="24"/>
                <w:lang w:val="en-US" w:eastAsia="zh-CN"/>
              </w:rPr>
              <w:t>系数为0.356t/t原料，项目生物质用量约1236t/a，</w:t>
            </w:r>
            <w:r>
              <w:rPr>
                <w:rFonts w:hint="eastAsia"/>
                <w:color w:val="auto"/>
                <w:kern w:val="0"/>
                <w:sz w:val="24"/>
              </w:rPr>
              <w:t>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w:t>
            </w:r>
            <w:r>
              <w:rPr>
                <w:rFonts w:hint="eastAsia"/>
                <w:color w:val="auto"/>
                <w:kern w:val="0"/>
                <w:sz w:val="24"/>
                <w:lang w:val="en-US" w:eastAsia="zh-CN"/>
              </w:rPr>
              <w:t>量</w:t>
            </w:r>
            <w:r>
              <w:rPr>
                <w:rFonts w:hint="eastAsia"/>
                <w:color w:val="auto"/>
                <w:kern w:val="0"/>
                <w:sz w:val="24"/>
              </w:rPr>
              <w:t>为</w:t>
            </w:r>
            <w:r>
              <w:rPr>
                <w:rFonts w:hint="eastAsia"/>
                <w:color w:val="auto"/>
                <w:kern w:val="0"/>
                <w:sz w:val="24"/>
                <w:lang w:val="en-US" w:eastAsia="zh-CN"/>
              </w:rPr>
              <w:t>1.4667</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440.01</w:t>
            </w:r>
            <w:r>
              <w:rPr>
                <w:rFonts w:hint="eastAsia"/>
                <w:color w:val="auto"/>
                <w:kern w:val="0"/>
                <w:sz w:val="24"/>
              </w:rPr>
              <w:t>m</w:t>
            </w:r>
            <w:r>
              <w:rPr>
                <w:rFonts w:hint="eastAsia"/>
                <w:color w:val="auto"/>
                <w:kern w:val="0"/>
                <w:sz w:val="24"/>
                <w:vertAlign w:val="superscript"/>
              </w:rPr>
              <w:t>3</w:t>
            </w:r>
            <w:r>
              <w:rPr>
                <w:rFonts w:hint="eastAsia"/>
                <w:color w:val="auto"/>
                <w:kern w:val="0"/>
                <w:sz w:val="24"/>
              </w:rPr>
              <w:t>/a。本项目生物质锅炉配备了封闭式蒸汽回收系统，通过加压装置将废蒸汽和高温冷凝水进行压缩，</w:t>
            </w:r>
            <w:r>
              <w:rPr>
                <w:rFonts w:hint="eastAsia"/>
                <w:color w:val="auto"/>
                <w:kern w:val="0"/>
                <w:sz w:val="24"/>
                <w:lang w:val="en-US" w:eastAsia="zh-CN"/>
              </w:rPr>
              <w:t>回到锅炉，</w:t>
            </w:r>
            <w:r>
              <w:rPr>
                <w:rFonts w:hint="eastAsia"/>
                <w:color w:val="auto"/>
                <w:kern w:val="0"/>
                <w:sz w:val="24"/>
              </w:rPr>
              <w:t>最终形成二次蒸汽再进行利用，如此循环。蒸汽损失约10%，即</w:t>
            </w:r>
            <w:r>
              <w:rPr>
                <w:rFonts w:hint="eastAsia"/>
                <w:color w:val="auto"/>
                <w:kern w:val="0"/>
                <w:sz w:val="24"/>
                <w:lang w:val="en-US" w:eastAsia="zh-CN"/>
              </w:rPr>
              <w:t>2.4</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720</w:t>
            </w:r>
            <w:r>
              <w:rPr>
                <w:rFonts w:hint="eastAsia"/>
                <w:color w:val="auto"/>
                <w:kern w:val="0"/>
                <w:sz w:val="24"/>
              </w:rPr>
              <w:t>m</w:t>
            </w:r>
            <w:r>
              <w:rPr>
                <w:rFonts w:hint="eastAsia"/>
                <w:color w:val="auto"/>
                <w:kern w:val="0"/>
                <w:sz w:val="24"/>
                <w:vertAlign w:val="superscript"/>
              </w:rPr>
              <w:t>3</w:t>
            </w:r>
            <w:r>
              <w:rPr>
                <w:rFonts w:hint="eastAsia"/>
                <w:color w:val="auto"/>
                <w:kern w:val="0"/>
                <w:sz w:val="24"/>
              </w:rPr>
              <w:t>/a。综上，项目锅炉新鲜用水量为</w:t>
            </w:r>
            <w:r>
              <w:rPr>
                <w:rFonts w:hint="eastAsia"/>
                <w:color w:val="auto"/>
                <w:kern w:val="0"/>
                <w:sz w:val="24"/>
                <w:lang w:val="en-US" w:eastAsia="zh-CN"/>
              </w:rPr>
              <w:t>4.5867</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1376.01</w:t>
            </w:r>
            <w:r>
              <w:rPr>
                <w:rFonts w:hint="eastAsia"/>
                <w:color w:val="auto"/>
                <w:kern w:val="0"/>
                <w:sz w:val="24"/>
              </w:rPr>
              <w:t>m</w:t>
            </w:r>
            <w:r>
              <w:rPr>
                <w:rFonts w:hint="eastAsia"/>
                <w:color w:val="auto"/>
                <w:kern w:val="0"/>
                <w:sz w:val="24"/>
                <w:vertAlign w:val="superscript"/>
              </w:rPr>
              <w:t>3</w:t>
            </w:r>
            <w:r>
              <w:rPr>
                <w:rFonts w:hint="eastAsia"/>
                <w:color w:val="auto"/>
                <w:kern w:val="0"/>
                <w:sz w:val="24"/>
              </w:rPr>
              <w:t>/a。</w:t>
            </w:r>
          </w:p>
          <w:p w14:paraId="75B73ED2">
            <w:pPr>
              <w:pStyle w:val="16"/>
              <w:spacing w:after="0" w:line="312" w:lineRule="auto"/>
              <w:ind w:left="0" w:leftChars="0" w:firstLine="0" w:firstLineChars="0"/>
              <w:jc w:val="center"/>
              <w:rPr>
                <w:b/>
                <w:bCs/>
                <w:color w:val="auto"/>
                <w:szCs w:val="24"/>
              </w:rPr>
            </w:pPr>
            <w:r>
              <w:rPr>
                <w:b/>
                <w:bCs/>
                <w:color w:val="auto"/>
                <w:szCs w:val="24"/>
              </w:rPr>
              <w:t>表</w:t>
            </w:r>
            <w:r>
              <w:rPr>
                <w:rFonts w:hint="eastAsia"/>
                <w:b/>
                <w:bCs/>
                <w:color w:val="auto"/>
                <w:szCs w:val="24"/>
              </w:rPr>
              <w:t>2-9</w:t>
            </w:r>
            <w:r>
              <w:rPr>
                <w:b/>
                <w:bCs/>
                <w:color w:val="auto"/>
                <w:szCs w:val="24"/>
              </w:rPr>
              <w:t xml:space="preserve"> 项目用水</w:t>
            </w:r>
            <w:r>
              <w:rPr>
                <w:rFonts w:hint="eastAsia"/>
                <w:b/>
                <w:bCs/>
                <w:color w:val="auto"/>
                <w:szCs w:val="24"/>
              </w:rPr>
              <w:t>及排水</w:t>
            </w:r>
            <w:r>
              <w:rPr>
                <w:b/>
                <w:bCs/>
                <w:color w:val="auto"/>
                <w:szCs w:val="24"/>
              </w:rPr>
              <w:t>情况</w:t>
            </w:r>
            <w:r>
              <w:rPr>
                <w:rFonts w:hint="eastAsia"/>
                <w:b/>
                <w:bCs/>
                <w:color w:val="auto"/>
                <w:szCs w:val="24"/>
              </w:rPr>
              <w:t>一览表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106"/>
              <w:gridCol w:w="1086"/>
              <w:gridCol w:w="649"/>
              <w:gridCol w:w="899"/>
              <w:gridCol w:w="4003"/>
              <w:gridCol w:w="705"/>
            </w:tblGrid>
            <w:tr w14:paraId="0A01ED6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654" w:type="pct"/>
                  <w:tcBorders>
                    <w:tl2br w:val="nil"/>
                    <w:tr2bl w:val="nil"/>
                  </w:tcBorders>
                  <w:shd w:val="clear" w:color="auto" w:fill="FFFFFF"/>
                  <w:vAlign w:val="center"/>
                </w:tcPr>
                <w:p w14:paraId="7A524937">
                  <w:pPr>
                    <w:jc w:val="center"/>
                    <w:rPr>
                      <w:b/>
                      <w:color w:val="auto"/>
                      <w:szCs w:val="21"/>
                    </w:rPr>
                  </w:pPr>
                  <w:r>
                    <w:rPr>
                      <w:b/>
                      <w:color w:val="auto"/>
                      <w:szCs w:val="21"/>
                    </w:rPr>
                    <w:t>污染源</w:t>
                  </w:r>
                </w:p>
              </w:tc>
              <w:tc>
                <w:tcPr>
                  <w:tcW w:w="642" w:type="pct"/>
                  <w:tcBorders>
                    <w:tl2br w:val="nil"/>
                    <w:tr2bl w:val="nil"/>
                  </w:tcBorders>
                  <w:shd w:val="clear" w:color="auto" w:fill="FFFFFF"/>
                  <w:vAlign w:val="center"/>
                </w:tcPr>
                <w:p w14:paraId="29CAC22B">
                  <w:pPr>
                    <w:jc w:val="center"/>
                    <w:rPr>
                      <w:b/>
                      <w:color w:val="auto"/>
                      <w:szCs w:val="21"/>
                    </w:rPr>
                  </w:pPr>
                  <w:r>
                    <w:rPr>
                      <w:b/>
                      <w:color w:val="auto"/>
                      <w:szCs w:val="21"/>
                    </w:rPr>
                    <w:t>污染物</w:t>
                  </w:r>
                </w:p>
              </w:tc>
              <w:tc>
                <w:tcPr>
                  <w:tcW w:w="384" w:type="pct"/>
                  <w:tcBorders>
                    <w:tl2br w:val="nil"/>
                    <w:tr2bl w:val="nil"/>
                  </w:tcBorders>
                  <w:shd w:val="clear" w:color="auto" w:fill="FFFFFF"/>
                  <w:vAlign w:val="center"/>
                </w:tcPr>
                <w:p w14:paraId="021C5FD4">
                  <w:pPr>
                    <w:jc w:val="center"/>
                    <w:rPr>
                      <w:b/>
                      <w:color w:val="auto"/>
                      <w:szCs w:val="21"/>
                    </w:rPr>
                  </w:pPr>
                  <w:r>
                    <w:rPr>
                      <w:b/>
                      <w:color w:val="auto"/>
                      <w:szCs w:val="21"/>
                    </w:rPr>
                    <w:t>用水量</w:t>
                  </w:r>
                  <w:r>
                    <w:rPr>
                      <w:b/>
                      <w:bCs/>
                      <w:color w:val="auto"/>
                      <w:szCs w:val="21"/>
                    </w:rPr>
                    <w:t>t/a</w:t>
                  </w:r>
                </w:p>
              </w:tc>
              <w:tc>
                <w:tcPr>
                  <w:tcW w:w="532" w:type="pct"/>
                  <w:tcBorders>
                    <w:tl2br w:val="nil"/>
                    <w:tr2bl w:val="nil"/>
                  </w:tcBorders>
                  <w:shd w:val="clear" w:color="auto" w:fill="FFFFFF"/>
                  <w:vAlign w:val="center"/>
                </w:tcPr>
                <w:p w14:paraId="62526EE1">
                  <w:pPr>
                    <w:jc w:val="center"/>
                    <w:rPr>
                      <w:b/>
                      <w:color w:val="auto"/>
                      <w:szCs w:val="21"/>
                    </w:rPr>
                  </w:pPr>
                  <w:r>
                    <w:rPr>
                      <w:rFonts w:hint="eastAsia"/>
                      <w:b/>
                      <w:color w:val="auto"/>
                      <w:szCs w:val="21"/>
                    </w:rPr>
                    <w:t>废水</w:t>
                  </w:r>
                  <w:r>
                    <w:rPr>
                      <w:b/>
                      <w:color w:val="auto"/>
                      <w:szCs w:val="21"/>
                    </w:rPr>
                    <w:t>产生量</w:t>
                  </w:r>
                  <w:r>
                    <w:rPr>
                      <w:b/>
                      <w:bCs/>
                      <w:color w:val="auto"/>
                      <w:szCs w:val="21"/>
                    </w:rPr>
                    <w:t>t/a</w:t>
                  </w:r>
                </w:p>
              </w:tc>
              <w:tc>
                <w:tcPr>
                  <w:tcW w:w="2369" w:type="pct"/>
                  <w:tcBorders>
                    <w:tl2br w:val="nil"/>
                    <w:tr2bl w:val="nil"/>
                  </w:tcBorders>
                  <w:shd w:val="clear" w:color="auto" w:fill="FFFFFF"/>
                  <w:vAlign w:val="center"/>
                </w:tcPr>
                <w:p w14:paraId="5D7EBAED">
                  <w:pPr>
                    <w:jc w:val="center"/>
                    <w:rPr>
                      <w:b/>
                      <w:color w:val="auto"/>
                      <w:szCs w:val="21"/>
                    </w:rPr>
                  </w:pPr>
                  <w:r>
                    <w:rPr>
                      <w:b/>
                      <w:color w:val="auto"/>
                      <w:szCs w:val="21"/>
                    </w:rPr>
                    <w:t>处理措施</w:t>
                  </w:r>
                </w:p>
              </w:tc>
              <w:tc>
                <w:tcPr>
                  <w:tcW w:w="417" w:type="pct"/>
                  <w:tcBorders>
                    <w:tl2br w:val="nil"/>
                    <w:tr2bl w:val="nil"/>
                  </w:tcBorders>
                  <w:shd w:val="clear" w:color="auto" w:fill="FFFFFF"/>
                  <w:vAlign w:val="center"/>
                </w:tcPr>
                <w:p w14:paraId="7AF156D4">
                  <w:pPr>
                    <w:jc w:val="center"/>
                    <w:rPr>
                      <w:b/>
                      <w:color w:val="auto"/>
                      <w:szCs w:val="21"/>
                    </w:rPr>
                  </w:pPr>
                  <w:r>
                    <w:rPr>
                      <w:b/>
                      <w:color w:val="auto"/>
                      <w:szCs w:val="21"/>
                    </w:rPr>
                    <w:t>排放量</w:t>
                  </w:r>
                  <w:r>
                    <w:rPr>
                      <w:rFonts w:hint="eastAsia"/>
                      <w:bCs/>
                      <w:color w:val="auto"/>
                      <w:szCs w:val="21"/>
                    </w:rPr>
                    <w:t>t/a</w:t>
                  </w:r>
                </w:p>
              </w:tc>
            </w:tr>
            <w:tr w14:paraId="30F564A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654" w:type="pct"/>
                  <w:tcBorders>
                    <w:tl2br w:val="nil"/>
                    <w:tr2bl w:val="nil"/>
                  </w:tcBorders>
                  <w:shd w:val="clear" w:color="auto" w:fill="FFFFFF"/>
                  <w:vAlign w:val="center"/>
                </w:tcPr>
                <w:p w14:paraId="7FD853C4">
                  <w:pPr>
                    <w:jc w:val="center"/>
                    <w:rPr>
                      <w:bCs/>
                      <w:color w:val="auto"/>
                      <w:szCs w:val="21"/>
                    </w:rPr>
                  </w:pPr>
                  <w:r>
                    <w:rPr>
                      <w:rFonts w:hint="eastAsia"/>
                      <w:bCs/>
                      <w:color w:val="auto"/>
                      <w:szCs w:val="21"/>
                    </w:rPr>
                    <w:t>生活用水</w:t>
                  </w:r>
                </w:p>
              </w:tc>
              <w:tc>
                <w:tcPr>
                  <w:tcW w:w="642" w:type="pct"/>
                  <w:tcBorders>
                    <w:tl2br w:val="nil"/>
                    <w:tr2bl w:val="nil"/>
                  </w:tcBorders>
                  <w:shd w:val="clear" w:color="auto" w:fill="FFFFFF"/>
                  <w:vAlign w:val="center"/>
                </w:tcPr>
                <w:p w14:paraId="08075843">
                  <w:pPr>
                    <w:jc w:val="center"/>
                    <w:rPr>
                      <w:bCs/>
                      <w:color w:val="auto"/>
                      <w:szCs w:val="21"/>
                    </w:rPr>
                  </w:pPr>
                  <w:r>
                    <w:rPr>
                      <w:rFonts w:hint="eastAsia"/>
                      <w:bCs/>
                      <w:color w:val="auto"/>
                      <w:szCs w:val="21"/>
                    </w:rPr>
                    <w:t>生活污水</w:t>
                  </w:r>
                </w:p>
              </w:tc>
              <w:tc>
                <w:tcPr>
                  <w:tcW w:w="384" w:type="pct"/>
                  <w:tcBorders>
                    <w:tl2br w:val="nil"/>
                    <w:tr2bl w:val="nil"/>
                  </w:tcBorders>
                  <w:shd w:val="clear" w:color="auto" w:fill="FFFFFF"/>
                  <w:vAlign w:val="center"/>
                </w:tcPr>
                <w:p w14:paraId="2A9F9A54">
                  <w:pPr>
                    <w:jc w:val="center"/>
                    <w:rPr>
                      <w:rFonts w:hint="default" w:eastAsia="宋体"/>
                      <w:bCs/>
                      <w:color w:val="auto"/>
                      <w:szCs w:val="21"/>
                      <w:lang w:val="en-US" w:eastAsia="zh-CN"/>
                    </w:rPr>
                  </w:pPr>
                  <w:r>
                    <w:rPr>
                      <w:rFonts w:hint="eastAsia"/>
                      <w:bCs/>
                      <w:color w:val="auto"/>
                      <w:szCs w:val="21"/>
                      <w:lang w:val="en-US" w:eastAsia="zh-CN"/>
                    </w:rPr>
                    <w:t>180</w:t>
                  </w:r>
                </w:p>
              </w:tc>
              <w:tc>
                <w:tcPr>
                  <w:tcW w:w="532" w:type="pct"/>
                  <w:tcBorders>
                    <w:tl2br w:val="nil"/>
                    <w:tr2bl w:val="nil"/>
                  </w:tcBorders>
                  <w:shd w:val="clear" w:color="auto" w:fill="FFFFFF"/>
                  <w:vAlign w:val="center"/>
                </w:tcPr>
                <w:p w14:paraId="41445FAD">
                  <w:pPr>
                    <w:jc w:val="center"/>
                    <w:rPr>
                      <w:rFonts w:hint="default" w:eastAsia="宋体"/>
                      <w:bCs/>
                      <w:color w:val="auto"/>
                      <w:szCs w:val="21"/>
                      <w:lang w:val="en-US" w:eastAsia="zh-CN"/>
                    </w:rPr>
                  </w:pPr>
                  <w:r>
                    <w:rPr>
                      <w:rFonts w:hint="eastAsia"/>
                      <w:bCs/>
                      <w:color w:val="auto"/>
                      <w:szCs w:val="21"/>
                      <w:lang w:val="en-US" w:eastAsia="zh-CN"/>
                    </w:rPr>
                    <w:t>144</w:t>
                  </w:r>
                </w:p>
              </w:tc>
              <w:tc>
                <w:tcPr>
                  <w:tcW w:w="2369" w:type="pct"/>
                  <w:tcBorders>
                    <w:tl2br w:val="nil"/>
                    <w:tr2bl w:val="nil"/>
                  </w:tcBorders>
                  <w:shd w:val="clear" w:color="auto" w:fill="FFFFFF"/>
                  <w:vAlign w:val="center"/>
                </w:tcPr>
                <w:p w14:paraId="368945DC">
                  <w:pPr>
                    <w:jc w:val="center"/>
                    <w:rPr>
                      <w:bCs/>
                      <w:color w:val="auto"/>
                      <w:szCs w:val="21"/>
                    </w:rPr>
                  </w:pPr>
                  <w:r>
                    <w:rPr>
                      <w:rFonts w:hint="eastAsia"/>
                      <w:bCs/>
                      <w:color w:val="auto"/>
                      <w:szCs w:val="21"/>
                    </w:rPr>
                    <w:t>生活污水经化粪池处理后，通过地埋式污水处理设施处理，处理后的废水用于厂区绿化灌溉</w:t>
                  </w:r>
                </w:p>
              </w:tc>
              <w:tc>
                <w:tcPr>
                  <w:tcW w:w="417" w:type="pct"/>
                  <w:tcBorders>
                    <w:tl2br w:val="nil"/>
                    <w:tr2bl w:val="nil"/>
                  </w:tcBorders>
                  <w:shd w:val="clear" w:color="auto" w:fill="FFFFFF"/>
                  <w:vAlign w:val="center"/>
                </w:tcPr>
                <w:p w14:paraId="7D97CFF4">
                  <w:pPr>
                    <w:jc w:val="center"/>
                    <w:rPr>
                      <w:rFonts w:hint="default" w:eastAsia="宋体"/>
                      <w:bCs/>
                      <w:color w:val="auto"/>
                      <w:szCs w:val="21"/>
                      <w:lang w:val="en-US" w:eastAsia="zh-CN"/>
                    </w:rPr>
                  </w:pPr>
                  <w:r>
                    <w:rPr>
                      <w:rFonts w:hint="eastAsia"/>
                      <w:bCs/>
                      <w:color w:val="auto"/>
                      <w:szCs w:val="21"/>
                      <w:lang w:val="en-US" w:eastAsia="zh-CN"/>
                    </w:rPr>
                    <w:t>0</w:t>
                  </w:r>
                </w:p>
              </w:tc>
            </w:tr>
            <w:tr w14:paraId="25A1953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654" w:type="pct"/>
                  <w:tcBorders>
                    <w:tl2br w:val="nil"/>
                    <w:tr2bl w:val="nil"/>
                  </w:tcBorders>
                  <w:shd w:val="clear" w:color="auto" w:fill="FFFFFF"/>
                  <w:vAlign w:val="center"/>
                </w:tcPr>
                <w:p w14:paraId="3BE67F4F">
                  <w:pPr>
                    <w:jc w:val="center"/>
                    <w:rPr>
                      <w:rFonts w:hint="eastAsia"/>
                      <w:bCs/>
                      <w:color w:val="auto"/>
                      <w:szCs w:val="21"/>
                    </w:rPr>
                  </w:pPr>
                  <w:r>
                    <w:rPr>
                      <w:rFonts w:hint="eastAsia"/>
                      <w:bCs/>
                      <w:color w:val="auto"/>
                      <w:szCs w:val="21"/>
                    </w:rPr>
                    <w:t>锅炉用水</w:t>
                  </w:r>
                </w:p>
              </w:tc>
              <w:tc>
                <w:tcPr>
                  <w:tcW w:w="642" w:type="pct"/>
                  <w:tcBorders>
                    <w:tl2br w:val="nil"/>
                    <w:tr2bl w:val="nil"/>
                  </w:tcBorders>
                  <w:shd w:val="clear" w:color="auto" w:fill="FFFFFF"/>
                  <w:vAlign w:val="center"/>
                </w:tcPr>
                <w:p w14:paraId="607C01C5">
                  <w:pPr>
                    <w:jc w:val="center"/>
                    <w:rPr>
                      <w:rFonts w:hint="eastAsia"/>
                      <w:bCs/>
                      <w:color w:val="auto"/>
                      <w:szCs w:val="21"/>
                    </w:rPr>
                  </w:pPr>
                  <w:r>
                    <w:rPr>
                      <w:rFonts w:hint="eastAsia"/>
                      <w:bCs/>
                      <w:color w:val="auto"/>
                      <w:szCs w:val="21"/>
                    </w:rPr>
                    <w:t>锅炉</w:t>
                  </w:r>
                  <w:r>
                    <w:rPr>
                      <w:rFonts w:hint="eastAsia"/>
                      <w:bCs/>
                      <w:color w:val="auto"/>
                      <w:szCs w:val="21"/>
                      <w:lang w:val="en-US" w:eastAsia="zh-CN"/>
                    </w:rPr>
                    <w:t>废</w:t>
                  </w:r>
                  <w:r>
                    <w:rPr>
                      <w:rFonts w:hint="eastAsia"/>
                      <w:bCs/>
                      <w:color w:val="auto"/>
                      <w:szCs w:val="21"/>
                    </w:rPr>
                    <w:t>水</w:t>
                  </w:r>
                </w:p>
              </w:tc>
              <w:tc>
                <w:tcPr>
                  <w:tcW w:w="384" w:type="pct"/>
                  <w:tcBorders>
                    <w:tl2br w:val="nil"/>
                    <w:tr2bl w:val="nil"/>
                  </w:tcBorders>
                  <w:shd w:val="clear" w:color="auto" w:fill="FFFFFF"/>
                  <w:vAlign w:val="center"/>
                </w:tcPr>
                <w:p w14:paraId="68B2D773">
                  <w:pPr>
                    <w:jc w:val="center"/>
                    <w:rPr>
                      <w:rFonts w:hint="default"/>
                      <w:bCs/>
                      <w:color w:val="auto"/>
                      <w:szCs w:val="21"/>
                      <w:lang w:val="en-US" w:eastAsia="zh-CN"/>
                    </w:rPr>
                  </w:pPr>
                  <w:r>
                    <w:rPr>
                      <w:rFonts w:hint="eastAsia"/>
                      <w:bCs/>
                      <w:color w:val="auto"/>
                      <w:szCs w:val="21"/>
                      <w:lang w:val="en-US" w:eastAsia="zh-CN"/>
                    </w:rPr>
                    <w:t>1376.01</w:t>
                  </w:r>
                </w:p>
              </w:tc>
              <w:tc>
                <w:tcPr>
                  <w:tcW w:w="532" w:type="pct"/>
                  <w:tcBorders>
                    <w:tl2br w:val="nil"/>
                    <w:tr2bl w:val="nil"/>
                  </w:tcBorders>
                  <w:shd w:val="clear" w:color="auto" w:fill="FFFFFF"/>
                  <w:vAlign w:val="center"/>
                </w:tcPr>
                <w:p w14:paraId="73583569">
                  <w:pPr>
                    <w:jc w:val="center"/>
                    <w:rPr>
                      <w:rFonts w:hint="default"/>
                      <w:bCs/>
                      <w:color w:val="auto"/>
                      <w:szCs w:val="21"/>
                      <w:lang w:val="en-US" w:eastAsia="zh-CN"/>
                    </w:rPr>
                  </w:pPr>
                  <w:r>
                    <w:rPr>
                      <w:rFonts w:hint="eastAsia"/>
                      <w:bCs/>
                      <w:color w:val="auto"/>
                      <w:szCs w:val="21"/>
                      <w:lang w:val="en-US" w:eastAsia="zh-CN"/>
                    </w:rPr>
                    <w:t>440.01</w:t>
                  </w:r>
                </w:p>
              </w:tc>
              <w:tc>
                <w:tcPr>
                  <w:tcW w:w="2369" w:type="pct"/>
                  <w:tcBorders>
                    <w:tl2br w:val="nil"/>
                    <w:tr2bl w:val="nil"/>
                  </w:tcBorders>
                  <w:shd w:val="clear" w:color="auto" w:fill="FFFFFF"/>
                  <w:vAlign w:val="center"/>
                </w:tcPr>
                <w:p w14:paraId="798209E5">
                  <w:pPr>
                    <w:jc w:val="center"/>
                    <w:rPr>
                      <w:rFonts w:hint="eastAsia"/>
                      <w:bCs/>
                      <w:color w:val="auto"/>
                      <w:szCs w:val="21"/>
                    </w:rPr>
                  </w:pPr>
                  <w:r>
                    <w:rPr>
                      <w:rFonts w:hint="eastAsia"/>
                      <w:bCs/>
                      <w:color w:val="auto"/>
                      <w:szCs w:val="21"/>
                    </w:rPr>
                    <w:t>锅炉</w:t>
                  </w:r>
                  <w:r>
                    <w:rPr>
                      <w:rFonts w:hint="eastAsia"/>
                      <w:bCs/>
                      <w:color w:val="auto"/>
                      <w:szCs w:val="21"/>
                      <w:lang w:val="en-US" w:eastAsia="zh-CN"/>
                    </w:rPr>
                    <w:t>废</w:t>
                  </w:r>
                  <w:r>
                    <w:rPr>
                      <w:rFonts w:hint="eastAsia"/>
                      <w:bCs/>
                      <w:color w:val="auto"/>
                      <w:szCs w:val="21"/>
                    </w:rPr>
                    <w:t>水通过地埋式污水处理设施处理，处理后的废水用于厂区绿化灌溉</w:t>
                  </w:r>
                </w:p>
              </w:tc>
              <w:tc>
                <w:tcPr>
                  <w:tcW w:w="417" w:type="pct"/>
                  <w:tcBorders>
                    <w:tl2br w:val="nil"/>
                    <w:tr2bl w:val="nil"/>
                  </w:tcBorders>
                  <w:shd w:val="clear" w:color="auto" w:fill="FFFFFF"/>
                  <w:vAlign w:val="center"/>
                </w:tcPr>
                <w:p w14:paraId="63869FC0">
                  <w:pPr>
                    <w:jc w:val="center"/>
                    <w:rPr>
                      <w:rFonts w:hint="default"/>
                      <w:bCs/>
                      <w:color w:val="auto"/>
                      <w:szCs w:val="21"/>
                      <w:lang w:val="en-US" w:eastAsia="zh-CN"/>
                    </w:rPr>
                  </w:pPr>
                  <w:r>
                    <w:rPr>
                      <w:rFonts w:hint="eastAsia"/>
                      <w:bCs/>
                      <w:color w:val="auto"/>
                      <w:szCs w:val="21"/>
                      <w:lang w:val="en-US" w:eastAsia="zh-CN"/>
                    </w:rPr>
                    <w:t>0</w:t>
                  </w:r>
                </w:p>
              </w:tc>
            </w:tr>
          </w:tbl>
          <w:p w14:paraId="27A89E11">
            <w:pPr>
              <w:widowControl/>
              <w:adjustRightInd w:val="0"/>
              <w:snapToGrid w:val="0"/>
              <w:spacing w:line="360" w:lineRule="auto"/>
              <w:jc w:val="center"/>
              <w:rPr>
                <w:color w:val="FF0000"/>
              </w:rPr>
            </w:pPr>
          </w:p>
          <w:p w14:paraId="5BED60F0">
            <w:pPr>
              <w:widowControl/>
              <w:adjustRightInd w:val="0"/>
              <w:snapToGrid w:val="0"/>
              <w:spacing w:line="360" w:lineRule="auto"/>
              <w:jc w:val="center"/>
              <w:rPr>
                <w:rFonts w:hint="eastAsia" w:eastAsia="宋体"/>
                <w:b/>
                <w:color w:val="FF0000"/>
                <w:kern w:val="0"/>
                <w:sz w:val="24"/>
                <w:lang w:eastAsia="zh-CN"/>
              </w:rPr>
            </w:pPr>
            <w:r>
              <w:rPr>
                <w:rFonts w:hint="eastAsia" w:eastAsia="宋体"/>
                <w:b/>
                <w:color w:val="FF0000"/>
                <w:kern w:val="0"/>
                <w:sz w:val="24"/>
                <w:lang w:eastAsia="zh-CN"/>
              </w:rPr>
              <w:drawing>
                <wp:inline distT="0" distB="0" distL="114300" distR="114300">
                  <wp:extent cx="5382260" cy="2352675"/>
                  <wp:effectExtent l="0" t="0" r="0" b="0"/>
                  <wp:docPr id="6" name="ECB019B1-382A-4266-B25C-5B523AA43C14-1" descr="C:/Users/Administrator/AppData/Local/Temp/wps.NfKMG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Administrator/AppData/Local/Temp/wps.NfKMGgwps"/>
                          <pic:cNvPicPr>
                            <a:picLocks noChangeAspect="1"/>
                          </pic:cNvPicPr>
                        </pic:nvPicPr>
                        <pic:blipFill>
                          <a:blip r:embed="rId9"/>
                          <a:stretch>
                            <a:fillRect/>
                          </a:stretch>
                        </pic:blipFill>
                        <pic:spPr>
                          <a:xfrm>
                            <a:off x="0" y="0"/>
                            <a:ext cx="5382260" cy="2352675"/>
                          </a:xfrm>
                          <a:prstGeom prst="rect">
                            <a:avLst/>
                          </a:prstGeom>
                        </pic:spPr>
                      </pic:pic>
                    </a:graphicData>
                  </a:graphic>
                </wp:inline>
              </w:drawing>
            </w:r>
          </w:p>
          <w:p w14:paraId="38BCA6CE">
            <w:pPr>
              <w:widowControl/>
              <w:adjustRightInd w:val="0"/>
              <w:snapToGrid w:val="0"/>
              <w:spacing w:line="360" w:lineRule="auto"/>
              <w:ind w:firstLine="482" w:firstLineChars="200"/>
              <w:jc w:val="center"/>
              <w:rPr>
                <w:b/>
                <w:color w:val="auto"/>
                <w:kern w:val="0"/>
                <w:sz w:val="24"/>
              </w:rPr>
            </w:pPr>
            <w:r>
              <w:rPr>
                <w:b/>
                <w:color w:val="auto"/>
                <w:kern w:val="0"/>
                <w:sz w:val="24"/>
              </w:rPr>
              <w:t>图2-</w:t>
            </w:r>
            <w:r>
              <w:rPr>
                <w:rFonts w:hint="eastAsia"/>
                <w:b/>
                <w:color w:val="auto"/>
                <w:kern w:val="0"/>
                <w:sz w:val="24"/>
              </w:rPr>
              <w:t>5</w:t>
            </w:r>
            <w:r>
              <w:rPr>
                <w:b/>
                <w:color w:val="auto"/>
                <w:kern w:val="0"/>
                <w:sz w:val="24"/>
              </w:rPr>
              <w:t xml:space="preserve"> 项目给排水平衡图</w:t>
            </w:r>
            <w:r>
              <w:rPr>
                <w:rFonts w:hint="eastAsia"/>
                <w:b/>
                <w:color w:val="auto"/>
                <w:kern w:val="0"/>
                <w:sz w:val="24"/>
              </w:rPr>
              <w:t>（t/d）</w:t>
            </w:r>
          </w:p>
          <w:p w14:paraId="5261D013">
            <w:pPr>
              <w:widowControl/>
              <w:adjustRightInd w:val="0"/>
              <w:snapToGrid w:val="0"/>
              <w:spacing w:line="360" w:lineRule="auto"/>
              <w:ind w:firstLine="480" w:firstLineChars="200"/>
              <w:jc w:val="left"/>
              <w:rPr>
                <w:color w:val="auto"/>
                <w:kern w:val="0"/>
                <w:sz w:val="24"/>
              </w:rPr>
            </w:pPr>
            <w:r>
              <w:rPr>
                <w:color w:val="auto"/>
                <w:kern w:val="0"/>
                <w:sz w:val="24"/>
              </w:rPr>
              <w:t>（</w:t>
            </w:r>
            <w:r>
              <w:rPr>
                <w:rFonts w:hint="eastAsia"/>
                <w:color w:val="auto"/>
                <w:kern w:val="0"/>
                <w:sz w:val="24"/>
              </w:rPr>
              <w:t>2</w:t>
            </w:r>
            <w:r>
              <w:rPr>
                <w:color w:val="auto"/>
                <w:kern w:val="0"/>
                <w:sz w:val="24"/>
              </w:rPr>
              <w:t>）供电</w:t>
            </w:r>
          </w:p>
          <w:p w14:paraId="2C89EC02">
            <w:pPr>
              <w:widowControl/>
              <w:adjustRightInd w:val="0"/>
              <w:snapToGrid w:val="0"/>
              <w:spacing w:line="360" w:lineRule="auto"/>
              <w:ind w:firstLine="480" w:firstLineChars="200"/>
              <w:jc w:val="left"/>
              <w:rPr>
                <w:color w:val="auto"/>
                <w:kern w:val="0"/>
                <w:sz w:val="24"/>
              </w:rPr>
            </w:pPr>
            <w:r>
              <w:rPr>
                <w:rFonts w:hint="eastAsia"/>
                <w:color w:val="auto"/>
                <w:kern w:val="0"/>
                <w:sz w:val="24"/>
              </w:rPr>
              <w:t>市供电电网供</w:t>
            </w:r>
            <w:r>
              <w:rPr>
                <w:color w:val="auto"/>
                <w:kern w:val="0"/>
                <w:sz w:val="24"/>
              </w:rPr>
              <w:t>电</w:t>
            </w:r>
            <w:r>
              <w:rPr>
                <w:rFonts w:hint="eastAsia"/>
                <w:color w:val="auto"/>
                <w:kern w:val="0"/>
                <w:sz w:val="24"/>
              </w:rPr>
              <w:t>，年用新增电量2</w:t>
            </w:r>
            <w:r>
              <w:rPr>
                <w:rFonts w:hint="eastAsia"/>
                <w:color w:val="auto"/>
                <w:kern w:val="0"/>
                <w:sz w:val="24"/>
                <w:lang w:val="en-US" w:eastAsia="zh-CN"/>
              </w:rPr>
              <w:t>0</w:t>
            </w:r>
            <w:r>
              <w:rPr>
                <w:rFonts w:hint="eastAsia"/>
                <w:color w:val="auto"/>
                <w:kern w:val="0"/>
                <w:sz w:val="24"/>
              </w:rPr>
              <w:t>0万</w:t>
            </w:r>
            <w:r>
              <w:rPr>
                <w:color w:val="auto"/>
                <w:kern w:val="0"/>
                <w:sz w:val="24"/>
              </w:rPr>
              <w:t>Kwh/a，可以满足项目生产及生活需要。</w:t>
            </w:r>
          </w:p>
          <w:p w14:paraId="7EC99A3C">
            <w:pPr>
              <w:adjustRightInd w:val="0"/>
              <w:snapToGrid w:val="0"/>
              <w:spacing w:line="360" w:lineRule="auto"/>
              <w:ind w:firstLine="482" w:firstLineChars="200"/>
              <w:rPr>
                <w:b/>
                <w:color w:val="auto"/>
                <w:sz w:val="24"/>
                <w:szCs w:val="32"/>
              </w:rPr>
            </w:pPr>
            <w:r>
              <w:rPr>
                <w:rFonts w:hint="eastAsia"/>
                <w:b/>
                <w:color w:val="auto"/>
                <w:sz w:val="24"/>
                <w:szCs w:val="32"/>
              </w:rPr>
              <w:t>7</w:t>
            </w:r>
            <w:r>
              <w:rPr>
                <w:b/>
                <w:color w:val="auto"/>
                <w:sz w:val="24"/>
                <w:szCs w:val="32"/>
              </w:rPr>
              <w:t>、项目定员及工作制度</w:t>
            </w:r>
          </w:p>
          <w:p w14:paraId="7519CC56">
            <w:pPr>
              <w:adjustRightInd w:val="0"/>
              <w:snapToGrid w:val="0"/>
              <w:spacing w:line="360" w:lineRule="auto"/>
              <w:ind w:firstLine="480" w:firstLineChars="200"/>
              <w:rPr>
                <w:color w:val="000000" w:themeColor="text1"/>
                <w:sz w:val="24"/>
                <w:szCs w:val="32"/>
                <w14:textFill>
                  <w14:solidFill>
                    <w14:schemeClr w14:val="tx1"/>
                  </w14:solidFill>
                </w14:textFill>
              </w:rPr>
            </w:pPr>
            <w:r>
              <w:rPr>
                <w:color w:val="auto"/>
                <w:sz w:val="24"/>
                <w:szCs w:val="32"/>
              </w:rPr>
              <w:t>职工</w:t>
            </w:r>
            <w:r>
              <w:rPr>
                <w:color w:val="000000" w:themeColor="text1"/>
                <w:sz w:val="24"/>
                <w:szCs w:val="32"/>
                <w14:textFill>
                  <w14:solidFill>
                    <w14:schemeClr w14:val="tx1"/>
                  </w14:solidFill>
                </w14:textFill>
              </w:rPr>
              <w:t>人数：本项目拟</w:t>
            </w:r>
            <w:r>
              <w:rPr>
                <w:rFonts w:hint="eastAsia"/>
                <w:color w:val="000000" w:themeColor="text1"/>
                <w:sz w:val="24"/>
                <w:szCs w:val="32"/>
                <w14:textFill>
                  <w14:solidFill>
                    <w14:schemeClr w14:val="tx1"/>
                  </w14:solidFill>
                </w14:textFill>
              </w:rPr>
              <w:t>新增</w:t>
            </w:r>
            <w:r>
              <w:rPr>
                <w:color w:val="000000" w:themeColor="text1"/>
                <w:sz w:val="24"/>
                <w:szCs w:val="32"/>
                <w14:textFill>
                  <w14:solidFill>
                    <w14:schemeClr w14:val="tx1"/>
                  </w14:solidFill>
                </w14:textFill>
              </w:rPr>
              <w:t>员工共计</w:t>
            </w:r>
            <w:r>
              <w:rPr>
                <w:rFonts w:hint="eastAsia"/>
                <w:color w:val="000000" w:themeColor="text1"/>
                <w:sz w:val="24"/>
                <w:szCs w:val="32"/>
                <w:lang w:val="en-US" w:eastAsia="zh-CN"/>
                <w14:textFill>
                  <w14:solidFill>
                    <w14:schemeClr w14:val="tx1"/>
                  </w14:solidFill>
                </w14:textFill>
              </w:rPr>
              <w:t>1</w:t>
            </w:r>
            <w:r>
              <w:rPr>
                <w:rFonts w:hint="eastAsia"/>
                <w:color w:val="000000" w:themeColor="text1"/>
                <w:sz w:val="24"/>
                <w:szCs w:val="32"/>
                <w14:textFill>
                  <w14:solidFill>
                    <w14:schemeClr w14:val="tx1"/>
                  </w14:solidFill>
                </w14:textFill>
              </w:rPr>
              <w:t>0</w:t>
            </w:r>
            <w:r>
              <w:rPr>
                <w:color w:val="000000" w:themeColor="text1"/>
                <w:sz w:val="24"/>
                <w:szCs w:val="32"/>
                <w14:textFill>
                  <w14:solidFill>
                    <w14:schemeClr w14:val="tx1"/>
                  </w14:solidFill>
                </w14:textFill>
              </w:rPr>
              <w:t>人。</w:t>
            </w:r>
          </w:p>
          <w:p w14:paraId="41A9E31D">
            <w:pPr>
              <w:adjustRightInd w:val="0"/>
              <w:snapToGrid w:val="0"/>
              <w:spacing w:line="360" w:lineRule="auto"/>
              <w:ind w:firstLine="480" w:firstLineChars="200"/>
              <w:rPr>
                <w:color w:val="000000" w:themeColor="text1"/>
                <w14:textFill>
                  <w14:solidFill>
                    <w14:schemeClr w14:val="tx1"/>
                  </w14:solidFill>
                </w14:textFill>
              </w:rPr>
            </w:pPr>
            <w:r>
              <w:rPr>
                <w:color w:val="000000" w:themeColor="text1"/>
                <w:sz w:val="24"/>
                <w:szCs w:val="32"/>
                <w14:textFill>
                  <w14:solidFill>
                    <w14:schemeClr w14:val="tx1"/>
                  </w14:solidFill>
                </w14:textFill>
              </w:rPr>
              <w:t>工作制度：年工作300天，实行</w:t>
            </w:r>
            <w:r>
              <w:rPr>
                <w:rFonts w:hint="eastAsia"/>
                <w:color w:val="000000" w:themeColor="text1"/>
                <w:sz w:val="24"/>
                <w:szCs w:val="32"/>
                <w:lang w:val="en-US" w:eastAsia="zh-CN"/>
                <w14:textFill>
                  <w14:solidFill>
                    <w14:schemeClr w14:val="tx1"/>
                  </w14:solidFill>
                </w14:textFill>
              </w:rPr>
              <w:t>1</w:t>
            </w:r>
            <w:r>
              <w:rPr>
                <w:color w:val="000000" w:themeColor="text1"/>
                <w:sz w:val="24"/>
                <w:szCs w:val="32"/>
                <w14:textFill>
                  <w14:solidFill>
                    <w14:schemeClr w14:val="tx1"/>
                  </w14:solidFill>
                </w14:textFill>
              </w:rPr>
              <w:t>班制，每班工作8h。</w:t>
            </w:r>
          </w:p>
          <w:p w14:paraId="03CEB34C">
            <w:pPr>
              <w:adjustRightInd w:val="0"/>
              <w:snapToGrid w:val="0"/>
              <w:spacing w:line="360" w:lineRule="auto"/>
              <w:ind w:firstLine="482" w:firstLineChars="200"/>
              <w:rPr>
                <w:b/>
                <w:color w:val="000000" w:themeColor="text1"/>
                <w:sz w:val="24"/>
                <w:szCs w:val="32"/>
                <w14:textFill>
                  <w14:solidFill>
                    <w14:schemeClr w14:val="tx1"/>
                  </w14:solidFill>
                </w14:textFill>
              </w:rPr>
            </w:pPr>
            <w:r>
              <w:rPr>
                <w:rFonts w:hint="eastAsia"/>
                <w:b/>
                <w:color w:val="000000" w:themeColor="text1"/>
                <w:sz w:val="24"/>
                <w:szCs w:val="32"/>
                <w14:textFill>
                  <w14:solidFill>
                    <w14:schemeClr w14:val="tx1"/>
                  </w14:solidFill>
                </w14:textFill>
              </w:rPr>
              <w:t>8</w:t>
            </w:r>
            <w:r>
              <w:rPr>
                <w:b/>
                <w:color w:val="000000" w:themeColor="text1"/>
                <w:sz w:val="24"/>
                <w:szCs w:val="32"/>
                <w14:textFill>
                  <w14:solidFill>
                    <w14:schemeClr w14:val="tx1"/>
                  </w14:solidFill>
                </w14:textFill>
              </w:rPr>
              <w:t>、平面布局</w:t>
            </w:r>
          </w:p>
          <w:p w14:paraId="0C119570">
            <w:pPr>
              <w:adjustRightInd w:val="0"/>
              <w:snapToGrid w:val="0"/>
              <w:spacing w:line="360" w:lineRule="auto"/>
              <w:ind w:firstLine="480" w:firstLineChars="200"/>
              <w:rPr>
                <w:b/>
                <w:color w:val="FF0000"/>
                <w:szCs w:val="21"/>
              </w:rPr>
            </w:pPr>
            <w:r>
              <w:rPr>
                <w:rFonts w:hint="eastAsia"/>
                <w:color w:val="000000" w:themeColor="text1"/>
                <w:sz w:val="24"/>
                <w:szCs w:val="32"/>
                <w14:textFill>
                  <w14:solidFill>
                    <w14:schemeClr w14:val="tx1"/>
                  </w14:solidFill>
                </w14:textFill>
              </w:rPr>
              <w:t>本次</w:t>
            </w:r>
            <w:r>
              <w:rPr>
                <w:color w:val="000000" w:themeColor="text1"/>
                <w:sz w:val="24"/>
                <w:szCs w:val="32"/>
                <w14:textFill>
                  <w14:solidFill>
                    <w14:schemeClr w14:val="tx1"/>
                  </w14:solidFill>
                </w14:textFill>
              </w:rPr>
              <w:t>项目</w:t>
            </w:r>
            <w:r>
              <w:rPr>
                <w:rFonts w:hint="eastAsia"/>
                <w:color w:val="000000" w:themeColor="text1"/>
                <w:sz w:val="24"/>
                <w:szCs w:val="32"/>
                <w:lang w:val="en-US" w:eastAsia="zh-CN"/>
                <w14:textFill>
                  <w14:solidFill>
                    <w14:schemeClr w14:val="tx1"/>
                  </w14:solidFill>
                </w14:textFill>
              </w:rPr>
              <w:t>位于</w:t>
            </w:r>
            <w:r>
              <w:rPr>
                <w:rFonts w:hint="eastAsia"/>
                <w:color w:val="000000" w:themeColor="text1"/>
                <w:sz w:val="24"/>
                <w:szCs w:val="32"/>
                <w:lang w:eastAsia="zh-CN"/>
                <w14:textFill>
                  <w14:solidFill>
                    <w14:schemeClr w14:val="tx1"/>
                  </w14:solidFill>
                </w14:textFill>
              </w:rPr>
              <w:t>金寨县梅山镇汪冲村</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造粒生产车间位于厂区南侧，竹制品生产车间位于厂区北侧，项目东侧为将军大道，西侧为山，南侧为农田</w:t>
            </w:r>
            <w:r>
              <w:rPr>
                <w:rFonts w:hint="eastAsia"/>
                <w:color w:val="000000" w:themeColor="text1"/>
                <w:sz w:val="24"/>
                <w:szCs w:val="32"/>
                <w14:textFill>
                  <w14:solidFill>
                    <w14:schemeClr w14:val="tx1"/>
                  </w14:solidFill>
                </w14:textFill>
              </w:rPr>
              <w:t>。</w:t>
            </w:r>
            <w:r>
              <w:rPr>
                <w:color w:val="000000" w:themeColor="text1"/>
                <w:sz w:val="24"/>
                <w:szCs w:val="32"/>
                <w14:textFill>
                  <w14:solidFill>
                    <w14:schemeClr w14:val="tx1"/>
                  </w14:solidFill>
                </w14:textFill>
              </w:rPr>
              <w:t>项目总体布局功能分区明确、布局合理，具体布局见附图。</w:t>
            </w:r>
          </w:p>
        </w:tc>
      </w:tr>
      <w:tr w14:paraId="59210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pct"/>
            <w:vAlign w:val="center"/>
          </w:tcPr>
          <w:p w14:paraId="7CA42149">
            <w:pPr>
              <w:pStyle w:val="27"/>
              <w:adjustRightInd w:val="0"/>
              <w:snapToGrid w:val="0"/>
              <w:spacing w:before="0" w:beforeAutospacing="0" w:after="0" w:afterAutospacing="0" w:line="360" w:lineRule="auto"/>
              <w:jc w:val="center"/>
              <w:rPr>
                <w:rFonts w:ascii="Times New Roman" w:hAnsi="Times New Roman"/>
                <w:color w:val="FF0000"/>
                <w:sz w:val="21"/>
                <w:szCs w:val="21"/>
              </w:rPr>
            </w:pPr>
            <w:r>
              <w:rPr>
                <w:rFonts w:ascii="Times New Roman" w:hAnsi="Times New Roman"/>
                <w:b/>
                <w:bCs/>
                <w:color w:val="auto"/>
                <w:szCs w:val="24"/>
              </w:rPr>
              <w:t>工艺流程和产排污环节</w:t>
            </w:r>
          </w:p>
        </w:tc>
        <w:tc>
          <w:tcPr>
            <w:tcW w:w="4672" w:type="pct"/>
          </w:tcPr>
          <w:p w14:paraId="4762B504">
            <w:pPr>
              <w:adjustRightInd w:val="0"/>
              <w:snapToGrid w:val="0"/>
              <w:spacing w:line="360" w:lineRule="auto"/>
              <w:ind w:firstLine="482" w:firstLineChars="200"/>
              <w:rPr>
                <w:b/>
                <w:bCs/>
                <w:color w:val="auto"/>
                <w:sz w:val="24"/>
                <w:szCs w:val="32"/>
              </w:rPr>
            </w:pPr>
            <w:r>
              <w:rPr>
                <w:b/>
                <w:bCs/>
                <w:color w:val="auto"/>
                <w:sz w:val="24"/>
                <w:szCs w:val="32"/>
              </w:rPr>
              <w:t>运营期</w:t>
            </w:r>
          </w:p>
          <w:p w14:paraId="01F795CE">
            <w:pPr>
              <w:adjustRightInd w:val="0"/>
              <w:snapToGrid w:val="0"/>
              <w:spacing w:line="360" w:lineRule="auto"/>
              <w:ind w:firstLine="480" w:firstLineChars="200"/>
              <w:rPr>
                <w:color w:val="auto"/>
              </w:rPr>
            </w:pPr>
            <w:r>
              <w:rPr>
                <w:rFonts w:hint="eastAsia"/>
                <w:color w:val="auto"/>
                <w:sz w:val="24"/>
              </w:rPr>
              <w:t>（1）</w:t>
            </w:r>
            <w:r>
              <w:rPr>
                <w:rFonts w:hint="eastAsia"/>
                <w:color w:val="auto"/>
                <w:sz w:val="24"/>
                <w:lang w:val="en-US" w:eastAsia="zh-CN"/>
              </w:rPr>
              <w:t>竹制品</w:t>
            </w:r>
            <w:r>
              <w:rPr>
                <w:rFonts w:hint="eastAsia"/>
                <w:color w:val="auto"/>
                <w:sz w:val="24"/>
              </w:rPr>
              <w:t>生产</w:t>
            </w:r>
            <w:r>
              <w:rPr>
                <w:rFonts w:hint="eastAsia"/>
                <w:color w:val="auto"/>
                <w:sz w:val="24"/>
                <w:lang w:val="en-US" w:eastAsia="zh-CN"/>
              </w:rPr>
              <w:t>工艺</w:t>
            </w:r>
          </w:p>
          <w:p w14:paraId="31038E6A">
            <w:pPr>
              <w:pStyle w:val="7"/>
              <w:spacing w:before="0" w:beforeLines="0" w:line="240" w:lineRule="auto"/>
              <w:jc w:val="center"/>
              <w:rPr>
                <w:rFonts w:hint="eastAsia" w:eastAsia="宋体"/>
                <w:color w:val="FF0000"/>
                <w:sz w:val="24"/>
                <w:szCs w:val="24"/>
                <w:lang w:val="en-US" w:eastAsia="zh-CN"/>
              </w:rPr>
            </w:pPr>
            <w:r>
              <w:rPr>
                <w:rFonts w:hint="eastAsia" w:eastAsia="宋体"/>
                <w:color w:val="FF0000"/>
                <w:sz w:val="24"/>
                <w:szCs w:val="24"/>
                <w:lang w:val="en-US" w:eastAsia="zh-CN"/>
              </w:rPr>
              <w:drawing>
                <wp:inline distT="0" distB="0" distL="114300" distR="114300">
                  <wp:extent cx="2396490" cy="3159760"/>
                  <wp:effectExtent l="0" t="0" r="0" b="0"/>
                  <wp:docPr id="2" name="ECB019B1-382A-4266-B25C-5B523AA43C14-2" descr="C:/Users/Administrator/AppData/Local/Temp/wps.eyrRZ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Administrator/AppData/Local/Temp/wps.eyrRZzwps"/>
                          <pic:cNvPicPr>
                            <a:picLocks noChangeAspect="1"/>
                          </pic:cNvPicPr>
                        </pic:nvPicPr>
                        <pic:blipFill>
                          <a:blip r:embed="rId10"/>
                          <a:stretch>
                            <a:fillRect/>
                          </a:stretch>
                        </pic:blipFill>
                        <pic:spPr>
                          <a:xfrm>
                            <a:off x="0" y="0"/>
                            <a:ext cx="2396490" cy="3159760"/>
                          </a:xfrm>
                          <a:prstGeom prst="rect">
                            <a:avLst/>
                          </a:prstGeom>
                        </pic:spPr>
                      </pic:pic>
                    </a:graphicData>
                  </a:graphic>
                </wp:inline>
              </w:drawing>
            </w:r>
          </w:p>
          <w:p w14:paraId="5E645F33">
            <w:pPr>
              <w:pStyle w:val="7"/>
              <w:spacing w:before="0" w:beforeLines="0"/>
              <w:jc w:val="center"/>
              <w:rPr>
                <w:rFonts w:eastAsia="宋体"/>
                <w:color w:val="auto"/>
                <w:sz w:val="24"/>
                <w:szCs w:val="24"/>
                <w:lang w:val="en-US"/>
              </w:rPr>
            </w:pPr>
            <w:r>
              <w:rPr>
                <w:rFonts w:eastAsia="宋体"/>
                <w:color w:val="auto"/>
                <w:sz w:val="24"/>
                <w:szCs w:val="24"/>
                <w:lang w:val="en-US"/>
              </w:rPr>
              <w:t>图2-</w:t>
            </w:r>
            <w:r>
              <w:rPr>
                <w:rFonts w:hint="eastAsia" w:eastAsia="宋体"/>
                <w:color w:val="auto"/>
                <w:sz w:val="24"/>
                <w:szCs w:val="24"/>
                <w:lang w:val="en-US" w:eastAsia="zh-CN"/>
              </w:rPr>
              <w:t>6</w:t>
            </w:r>
            <w:r>
              <w:rPr>
                <w:rFonts w:eastAsia="宋体"/>
                <w:color w:val="auto"/>
                <w:sz w:val="24"/>
                <w:szCs w:val="24"/>
                <w:lang w:val="en-US"/>
              </w:rPr>
              <w:t xml:space="preserve">  </w:t>
            </w:r>
            <w:r>
              <w:rPr>
                <w:rFonts w:hint="eastAsia" w:eastAsia="宋体"/>
                <w:color w:val="auto"/>
                <w:sz w:val="24"/>
                <w:szCs w:val="24"/>
                <w:lang w:val="en-US" w:eastAsia="zh-CN"/>
              </w:rPr>
              <w:t>竹制品</w:t>
            </w:r>
            <w:r>
              <w:rPr>
                <w:rFonts w:hint="eastAsia" w:eastAsia="宋体"/>
                <w:color w:val="auto"/>
                <w:sz w:val="24"/>
                <w:szCs w:val="24"/>
                <w:lang w:val="en-US"/>
              </w:rPr>
              <w:t>生产</w:t>
            </w:r>
            <w:r>
              <w:rPr>
                <w:rFonts w:eastAsia="宋体"/>
                <w:color w:val="auto"/>
                <w:sz w:val="24"/>
                <w:szCs w:val="24"/>
                <w:lang w:val="en-US"/>
              </w:rPr>
              <w:t>工艺流程图</w:t>
            </w:r>
          </w:p>
          <w:p w14:paraId="1231E137">
            <w:pPr>
              <w:spacing w:line="360" w:lineRule="auto"/>
              <w:ind w:firstLine="480" w:firstLineChars="200"/>
              <w:rPr>
                <w:b w:val="0"/>
                <w:bCs w:val="0"/>
                <w:color w:val="auto"/>
              </w:rPr>
            </w:pPr>
            <w:r>
              <w:rPr>
                <w:b w:val="0"/>
                <w:bCs w:val="0"/>
                <w:color w:val="auto"/>
                <w:sz w:val="24"/>
              </w:rPr>
              <w:t>工艺说明：</w:t>
            </w:r>
          </w:p>
          <w:p w14:paraId="316628CE">
            <w:pPr>
              <w:spacing w:line="360" w:lineRule="auto"/>
              <w:ind w:firstLine="482" w:firstLineChars="200"/>
              <w:rPr>
                <w:rFonts w:hint="eastAsia"/>
                <w:b w:val="0"/>
                <w:bCs w:val="0"/>
                <w:color w:val="auto"/>
                <w:sz w:val="24"/>
                <w:lang w:val="en-US" w:eastAsia="zh-CN"/>
              </w:rPr>
            </w:pPr>
            <w:r>
              <w:rPr>
                <w:rFonts w:hint="eastAsia"/>
                <w:b/>
                <w:bCs/>
                <w:color w:val="auto"/>
                <w:sz w:val="24"/>
                <w:lang w:val="en-US" w:eastAsia="zh-CN"/>
              </w:rPr>
              <w:t>机加工</w:t>
            </w:r>
            <w:r>
              <w:rPr>
                <w:rFonts w:hint="eastAsia"/>
                <w:b w:val="0"/>
                <w:bCs w:val="0"/>
                <w:color w:val="auto"/>
                <w:sz w:val="24"/>
                <w:lang w:val="en-US" w:eastAsia="zh-CN"/>
              </w:rPr>
              <w:t>：首先利用锯竹机对原料进行切断，再利用开片机将切断的毛竹打破并分片，再利用拉丝机把片状的毛竹进行拉丝，把毛竹加工成长条状或利用制签机把竹片加工成竹签；该工序主要污染源为G1-1竹屑粉尘和S1-1边角料。</w:t>
            </w:r>
          </w:p>
          <w:p w14:paraId="22CAE5FD">
            <w:pPr>
              <w:spacing w:line="360" w:lineRule="auto"/>
              <w:ind w:firstLine="482" w:firstLineChars="200"/>
              <w:rPr>
                <w:rFonts w:hint="eastAsia"/>
                <w:b w:val="0"/>
                <w:bCs w:val="0"/>
                <w:color w:val="auto"/>
                <w:sz w:val="24"/>
                <w:lang w:val="en-US" w:eastAsia="zh-CN"/>
              </w:rPr>
            </w:pPr>
            <w:r>
              <w:rPr>
                <w:rFonts w:hint="eastAsia"/>
                <w:b/>
                <w:bCs/>
                <w:color w:val="auto"/>
                <w:sz w:val="24"/>
                <w:lang w:val="en-US" w:eastAsia="zh-CN"/>
              </w:rPr>
              <w:t>烘干</w:t>
            </w:r>
            <w:r>
              <w:rPr>
                <w:rFonts w:hint="eastAsia"/>
                <w:b w:val="0"/>
                <w:bCs w:val="0"/>
                <w:color w:val="auto"/>
                <w:sz w:val="24"/>
                <w:lang w:val="en-US" w:eastAsia="zh-CN"/>
              </w:rPr>
              <w:t>：加工后的产品通过木质篮筐盛装后利用放在烘干房内进行烘干，无粉尘产生。</w:t>
            </w:r>
          </w:p>
          <w:p w14:paraId="293755BC">
            <w:pPr>
              <w:spacing w:line="360" w:lineRule="auto"/>
              <w:ind w:firstLine="482" w:firstLineChars="200"/>
              <w:rPr>
                <w:b w:val="0"/>
                <w:bCs w:val="0"/>
                <w:color w:val="auto"/>
                <w:sz w:val="24"/>
                <w:szCs w:val="22"/>
              </w:rPr>
            </w:pPr>
            <w:r>
              <w:rPr>
                <w:rFonts w:hint="eastAsia"/>
                <w:b/>
                <w:bCs/>
                <w:color w:val="auto"/>
                <w:sz w:val="24"/>
                <w:lang w:val="en-US" w:eastAsia="zh-CN"/>
              </w:rPr>
              <w:t>入库：</w:t>
            </w:r>
            <w:r>
              <w:rPr>
                <w:rFonts w:hint="eastAsia"/>
                <w:b w:val="0"/>
                <w:bCs w:val="0"/>
                <w:color w:val="auto"/>
                <w:sz w:val="24"/>
                <w:lang w:val="en-US" w:eastAsia="zh-CN"/>
              </w:rPr>
              <w:t>根据产品规格，经烘干后成品经分检包捆后入库</w:t>
            </w:r>
            <w:r>
              <w:rPr>
                <w:rFonts w:hint="eastAsia"/>
                <w:b w:val="0"/>
                <w:bCs w:val="0"/>
                <w:color w:val="auto"/>
                <w:sz w:val="24"/>
              </w:rPr>
              <w:t>。</w:t>
            </w:r>
          </w:p>
          <w:p w14:paraId="77B7C4FC">
            <w:pPr>
              <w:spacing w:line="360" w:lineRule="auto"/>
              <w:ind w:firstLine="480" w:firstLineChars="200"/>
              <w:rPr>
                <w:rFonts w:hint="eastAsia"/>
                <w:color w:val="auto"/>
                <w:sz w:val="24"/>
                <w:lang w:val="en-US" w:eastAsia="zh-CN"/>
              </w:rPr>
            </w:pPr>
            <w:r>
              <w:rPr>
                <w:rFonts w:hint="eastAsia"/>
                <w:color w:val="auto"/>
                <w:sz w:val="24"/>
              </w:rPr>
              <w:t>（1）</w:t>
            </w:r>
            <w:r>
              <w:rPr>
                <w:rFonts w:hint="eastAsia"/>
                <w:color w:val="auto"/>
                <w:sz w:val="24"/>
                <w:lang w:val="en-US" w:eastAsia="zh-CN"/>
              </w:rPr>
              <w:t>生物质颗粒</w:t>
            </w:r>
            <w:r>
              <w:rPr>
                <w:rFonts w:hint="eastAsia"/>
                <w:color w:val="auto"/>
                <w:sz w:val="24"/>
              </w:rPr>
              <w:t>生产</w:t>
            </w:r>
            <w:r>
              <w:rPr>
                <w:rFonts w:hint="eastAsia"/>
                <w:color w:val="auto"/>
                <w:sz w:val="24"/>
                <w:lang w:val="en-US" w:eastAsia="zh-CN"/>
              </w:rPr>
              <w:t>工艺</w:t>
            </w:r>
          </w:p>
          <w:p w14:paraId="2C5C96A9">
            <w:pPr>
              <w:spacing w:line="360" w:lineRule="auto"/>
              <w:jc w:val="center"/>
              <w:rPr>
                <w:rFonts w:hint="eastAsia"/>
                <w:color w:val="auto"/>
                <w:sz w:val="24"/>
                <w:lang w:val="en-US" w:eastAsia="zh-CN"/>
              </w:rPr>
            </w:pPr>
            <w:r>
              <w:rPr>
                <w:rFonts w:hint="eastAsia"/>
                <w:color w:val="auto"/>
                <w:sz w:val="24"/>
                <w:lang w:val="en-US" w:eastAsia="zh-CN"/>
              </w:rPr>
              <w:drawing>
                <wp:inline distT="0" distB="0" distL="114300" distR="114300">
                  <wp:extent cx="2102485" cy="3759200"/>
                  <wp:effectExtent l="0" t="0" r="0" b="0"/>
                  <wp:docPr id="10" name="ECB019B1-382A-4266-B25C-5B523AA43C14-3" descr="C:/Users/Administrator/AppData/Local/Temp/wps.SvGTU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3" descr="C:/Users/Administrator/AppData/Local/Temp/wps.SvGTUPwps"/>
                          <pic:cNvPicPr>
                            <a:picLocks noChangeAspect="1"/>
                          </pic:cNvPicPr>
                        </pic:nvPicPr>
                        <pic:blipFill>
                          <a:blip r:embed="rId11"/>
                          <a:stretch>
                            <a:fillRect/>
                          </a:stretch>
                        </pic:blipFill>
                        <pic:spPr>
                          <a:xfrm>
                            <a:off x="0" y="0"/>
                            <a:ext cx="2102485" cy="3759200"/>
                          </a:xfrm>
                          <a:prstGeom prst="rect">
                            <a:avLst/>
                          </a:prstGeom>
                        </pic:spPr>
                      </pic:pic>
                    </a:graphicData>
                  </a:graphic>
                </wp:inline>
              </w:drawing>
            </w:r>
          </w:p>
          <w:p w14:paraId="4514D3D1">
            <w:pPr>
              <w:spacing w:line="360" w:lineRule="auto"/>
              <w:ind w:firstLine="480" w:firstLineChars="200"/>
              <w:rPr>
                <w:b w:val="0"/>
                <w:bCs w:val="0"/>
                <w:color w:val="auto"/>
              </w:rPr>
            </w:pPr>
            <w:r>
              <w:rPr>
                <w:b w:val="0"/>
                <w:bCs w:val="0"/>
                <w:color w:val="auto"/>
                <w:sz w:val="24"/>
              </w:rPr>
              <w:t>工艺说明：</w:t>
            </w:r>
          </w:p>
          <w:p w14:paraId="7D774783">
            <w:pPr>
              <w:spacing w:line="360" w:lineRule="auto"/>
              <w:ind w:firstLine="482" w:firstLineChars="200"/>
              <w:rPr>
                <w:rFonts w:hint="eastAsia"/>
                <w:b w:val="0"/>
                <w:bCs w:val="0"/>
                <w:color w:val="auto"/>
                <w:sz w:val="24"/>
                <w:lang w:val="en-US" w:eastAsia="zh-CN"/>
              </w:rPr>
            </w:pPr>
            <w:r>
              <w:rPr>
                <w:rFonts w:hint="eastAsia"/>
                <w:b/>
                <w:bCs/>
                <w:color w:val="auto"/>
                <w:sz w:val="24"/>
                <w:lang w:val="en-US" w:eastAsia="zh-CN"/>
              </w:rPr>
              <w:t>破碎</w:t>
            </w:r>
            <w:r>
              <w:rPr>
                <w:rFonts w:hint="eastAsia"/>
                <w:b w:val="0"/>
                <w:bCs w:val="0"/>
                <w:color w:val="auto"/>
                <w:sz w:val="24"/>
                <w:lang w:val="en-US" w:eastAsia="zh-CN"/>
              </w:rPr>
              <w:t>：竹制品加工边角料通过皮带输送机投入粉碎机中，通过粉碎机进行粉碎，粉碎成碎末，通过调节筛网使粉碎料达到制粒的颗粒要求（不超过5mm）。该工序主要污染源为G2-1破碎粉尘。</w:t>
            </w:r>
          </w:p>
          <w:p w14:paraId="5B2D5DF9">
            <w:pPr>
              <w:spacing w:line="360" w:lineRule="auto"/>
              <w:ind w:firstLine="482" w:firstLineChars="200"/>
              <w:rPr>
                <w:rFonts w:hint="eastAsia"/>
                <w:b w:val="0"/>
                <w:bCs w:val="0"/>
                <w:color w:val="auto"/>
                <w:sz w:val="24"/>
                <w:lang w:val="en-US" w:eastAsia="zh-CN"/>
              </w:rPr>
            </w:pPr>
            <w:r>
              <w:rPr>
                <w:rFonts w:hint="eastAsia"/>
                <w:b/>
                <w:bCs/>
                <w:color w:val="auto"/>
                <w:sz w:val="24"/>
                <w:lang w:val="en-US" w:eastAsia="zh-CN"/>
              </w:rPr>
              <w:t>烘干</w:t>
            </w:r>
            <w:r>
              <w:rPr>
                <w:rFonts w:hint="eastAsia"/>
                <w:b w:val="0"/>
                <w:bCs w:val="0"/>
                <w:color w:val="auto"/>
                <w:sz w:val="24"/>
                <w:lang w:val="en-US" w:eastAsia="zh-CN"/>
              </w:rPr>
              <w:t>：粉碎后的物料堆放在烘干房内进行烘干。该工序主要污染源为G2-2燃烧废气和S2-1炉渣。</w:t>
            </w:r>
          </w:p>
          <w:p w14:paraId="2EE490B5">
            <w:pPr>
              <w:spacing w:line="360" w:lineRule="auto"/>
              <w:ind w:firstLine="482" w:firstLineChars="200"/>
              <w:rPr>
                <w:rFonts w:hint="default"/>
                <w:b w:val="0"/>
                <w:bCs w:val="0"/>
                <w:color w:val="auto"/>
                <w:sz w:val="24"/>
                <w:lang w:val="en-US" w:eastAsia="zh-CN"/>
              </w:rPr>
            </w:pPr>
            <w:r>
              <w:rPr>
                <w:rFonts w:hint="eastAsia"/>
                <w:b/>
                <w:bCs/>
                <w:color w:val="auto"/>
                <w:sz w:val="24"/>
                <w:lang w:val="en-US" w:eastAsia="zh-CN"/>
              </w:rPr>
              <w:t>制粒</w:t>
            </w:r>
            <w:r>
              <w:rPr>
                <w:rFonts w:hint="eastAsia"/>
                <w:b w:val="0"/>
                <w:bCs w:val="0"/>
                <w:color w:val="auto"/>
                <w:sz w:val="24"/>
                <w:lang w:val="en-US" w:eastAsia="zh-CN"/>
              </w:rPr>
              <w:t>：利用绞龙的传输将粉碎后的粉料送至造粒机，传输绞龙与造粒机接料口通过管道无缝对接。造粒过程中，粉料通过互相摩擦，并在螺杆的挤压下，将粉料挤压成型，从制粒机的模孔排出，得到一定形状和规模的固体成型燃料。该工序主要污染源为G2-3制粒粉尘。</w:t>
            </w:r>
          </w:p>
          <w:p w14:paraId="71F49E3C">
            <w:pPr>
              <w:spacing w:line="360" w:lineRule="auto"/>
              <w:ind w:firstLine="482" w:firstLineChars="200"/>
              <w:rPr>
                <w:b w:val="0"/>
                <w:bCs w:val="0"/>
                <w:color w:val="auto"/>
              </w:rPr>
            </w:pPr>
            <w:r>
              <w:rPr>
                <w:rFonts w:hint="eastAsia"/>
                <w:b/>
                <w:bCs/>
                <w:color w:val="auto"/>
                <w:sz w:val="24"/>
                <w:lang w:val="en-US" w:eastAsia="zh-CN"/>
              </w:rPr>
              <w:t>入库：</w:t>
            </w:r>
            <w:r>
              <w:rPr>
                <w:rFonts w:hint="eastAsia"/>
                <w:b w:val="0"/>
                <w:bCs w:val="0"/>
                <w:color w:val="auto"/>
                <w:sz w:val="24"/>
                <w:lang w:val="en-US" w:eastAsia="zh-CN"/>
              </w:rPr>
              <w:t>造粒后生物质颗粒经包装后入库</w:t>
            </w:r>
            <w:r>
              <w:rPr>
                <w:rFonts w:hint="eastAsia"/>
                <w:b w:val="0"/>
                <w:bCs w:val="0"/>
                <w:color w:val="auto"/>
                <w:sz w:val="24"/>
              </w:rPr>
              <w:t>。</w:t>
            </w:r>
          </w:p>
          <w:p w14:paraId="5132AE77">
            <w:pPr>
              <w:pStyle w:val="9"/>
              <w:adjustRightInd w:val="0"/>
              <w:snapToGrid w:val="0"/>
              <w:spacing w:before="0" w:after="0" w:line="360" w:lineRule="auto"/>
              <w:jc w:val="center"/>
              <w:rPr>
                <w:color w:val="auto"/>
              </w:rPr>
            </w:pPr>
            <w:r>
              <w:rPr>
                <w:color w:val="auto"/>
              </w:rPr>
              <w:t>表2-</w:t>
            </w:r>
            <w:r>
              <w:rPr>
                <w:rFonts w:hint="eastAsia"/>
                <w:color w:val="auto"/>
              </w:rPr>
              <w:t>1</w:t>
            </w:r>
            <w:r>
              <w:rPr>
                <w:rFonts w:hint="eastAsia"/>
                <w:color w:val="auto"/>
                <w:lang w:val="en-US" w:eastAsia="zh-CN"/>
              </w:rPr>
              <w:t>1</w:t>
            </w:r>
            <w:r>
              <w:rPr>
                <w:color w:val="auto"/>
              </w:rPr>
              <w:t xml:space="preserve">  项目产污环节汇总表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00"/>
              <w:gridCol w:w="1603"/>
              <w:gridCol w:w="1520"/>
              <w:gridCol w:w="3288"/>
            </w:tblGrid>
            <w:tr w14:paraId="3DDE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79" w:type="pct"/>
                  <w:vAlign w:val="center"/>
                </w:tcPr>
                <w:p w14:paraId="010D853E">
                  <w:pPr>
                    <w:jc w:val="center"/>
                    <w:rPr>
                      <w:b/>
                      <w:bCs/>
                      <w:color w:val="auto"/>
                      <w:szCs w:val="21"/>
                    </w:rPr>
                  </w:pPr>
                  <w:r>
                    <w:rPr>
                      <w:b/>
                      <w:bCs/>
                      <w:color w:val="auto"/>
                      <w:szCs w:val="21"/>
                    </w:rPr>
                    <w:t>编号</w:t>
                  </w:r>
                </w:p>
              </w:tc>
              <w:tc>
                <w:tcPr>
                  <w:tcW w:w="828" w:type="pct"/>
                  <w:vAlign w:val="center"/>
                </w:tcPr>
                <w:p w14:paraId="1D52AA80">
                  <w:pPr>
                    <w:jc w:val="center"/>
                    <w:rPr>
                      <w:b/>
                      <w:bCs/>
                      <w:color w:val="auto"/>
                      <w:szCs w:val="21"/>
                    </w:rPr>
                  </w:pPr>
                  <w:r>
                    <w:rPr>
                      <w:b/>
                      <w:bCs/>
                      <w:color w:val="auto"/>
                      <w:szCs w:val="21"/>
                    </w:rPr>
                    <w:t>污染物类型</w:t>
                  </w:r>
                </w:p>
              </w:tc>
              <w:tc>
                <w:tcPr>
                  <w:tcW w:w="948" w:type="pct"/>
                  <w:vAlign w:val="center"/>
                </w:tcPr>
                <w:p w14:paraId="3F22B2E3">
                  <w:pPr>
                    <w:jc w:val="center"/>
                    <w:rPr>
                      <w:b/>
                      <w:bCs/>
                      <w:color w:val="auto"/>
                      <w:szCs w:val="21"/>
                    </w:rPr>
                  </w:pPr>
                  <w:r>
                    <w:rPr>
                      <w:b/>
                      <w:bCs/>
                      <w:color w:val="auto"/>
                      <w:szCs w:val="21"/>
                    </w:rPr>
                    <w:t>产污环节</w:t>
                  </w:r>
                </w:p>
              </w:tc>
              <w:tc>
                <w:tcPr>
                  <w:tcW w:w="899" w:type="pct"/>
                  <w:vAlign w:val="center"/>
                </w:tcPr>
                <w:p w14:paraId="20632B4F">
                  <w:pPr>
                    <w:jc w:val="center"/>
                    <w:rPr>
                      <w:b/>
                      <w:bCs/>
                      <w:color w:val="auto"/>
                      <w:szCs w:val="21"/>
                    </w:rPr>
                  </w:pPr>
                  <w:r>
                    <w:rPr>
                      <w:b/>
                      <w:bCs/>
                      <w:color w:val="auto"/>
                      <w:szCs w:val="21"/>
                    </w:rPr>
                    <w:t>污染因子</w:t>
                  </w:r>
                </w:p>
              </w:tc>
              <w:tc>
                <w:tcPr>
                  <w:tcW w:w="1944" w:type="pct"/>
                  <w:vAlign w:val="center"/>
                </w:tcPr>
                <w:p w14:paraId="42BBDA6E">
                  <w:pPr>
                    <w:jc w:val="center"/>
                    <w:rPr>
                      <w:b/>
                      <w:bCs/>
                      <w:color w:val="auto"/>
                      <w:szCs w:val="21"/>
                    </w:rPr>
                  </w:pPr>
                  <w:r>
                    <w:rPr>
                      <w:rFonts w:hint="eastAsia"/>
                      <w:b/>
                      <w:bCs/>
                      <w:color w:val="auto"/>
                      <w:szCs w:val="21"/>
                    </w:rPr>
                    <w:t>去向</w:t>
                  </w:r>
                </w:p>
              </w:tc>
            </w:tr>
            <w:tr w14:paraId="796B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79" w:type="pct"/>
                  <w:vMerge w:val="restart"/>
                  <w:vAlign w:val="center"/>
                </w:tcPr>
                <w:p w14:paraId="4DE02DBF">
                  <w:pPr>
                    <w:pStyle w:val="82"/>
                    <w:spacing w:line="240" w:lineRule="auto"/>
                    <w:ind w:left="0"/>
                    <w:jc w:val="center"/>
                    <w:rPr>
                      <w:rFonts w:cs="Times New Roman"/>
                      <w:color w:val="auto"/>
                      <w:sz w:val="21"/>
                      <w:szCs w:val="21"/>
                    </w:rPr>
                  </w:pPr>
                  <w:r>
                    <w:rPr>
                      <w:rFonts w:hint="eastAsia" w:cs="Times New Roman"/>
                      <w:color w:val="auto"/>
                      <w:sz w:val="21"/>
                      <w:szCs w:val="21"/>
                    </w:rPr>
                    <w:t>1</w:t>
                  </w:r>
                </w:p>
              </w:tc>
              <w:tc>
                <w:tcPr>
                  <w:tcW w:w="828" w:type="pct"/>
                  <w:vMerge w:val="restart"/>
                  <w:vAlign w:val="center"/>
                </w:tcPr>
                <w:p w14:paraId="543A7DF0">
                  <w:pPr>
                    <w:jc w:val="center"/>
                    <w:rPr>
                      <w:color w:val="auto"/>
                      <w:szCs w:val="21"/>
                    </w:rPr>
                  </w:pPr>
                  <w:r>
                    <w:rPr>
                      <w:color w:val="auto"/>
                      <w:szCs w:val="21"/>
                    </w:rPr>
                    <w:t>废气</w:t>
                  </w:r>
                </w:p>
              </w:tc>
              <w:tc>
                <w:tcPr>
                  <w:tcW w:w="948" w:type="pct"/>
                  <w:vAlign w:val="center"/>
                </w:tcPr>
                <w:p w14:paraId="3BE24AF2">
                  <w:pPr>
                    <w:jc w:val="center"/>
                    <w:rPr>
                      <w:rFonts w:hint="default" w:eastAsia="宋体"/>
                      <w:color w:val="auto"/>
                      <w:szCs w:val="21"/>
                      <w:lang w:val="en-US" w:eastAsia="zh-CN"/>
                    </w:rPr>
                  </w:pPr>
                  <w:r>
                    <w:rPr>
                      <w:rFonts w:hint="eastAsia"/>
                      <w:color w:val="auto"/>
                      <w:szCs w:val="21"/>
                      <w:lang w:val="en-US" w:eastAsia="zh-CN"/>
                    </w:rPr>
                    <w:t>破碎、造粒</w:t>
                  </w:r>
                </w:p>
              </w:tc>
              <w:tc>
                <w:tcPr>
                  <w:tcW w:w="899" w:type="pct"/>
                  <w:vAlign w:val="center"/>
                </w:tcPr>
                <w:p w14:paraId="63140929">
                  <w:pPr>
                    <w:jc w:val="center"/>
                    <w:rPr>
                      <w:color w:val="auto"/>
                      <w:szCs w:val="21"/>
                    </w:rPr>
                  </w:pPr>
                  <w:r>
                    <w:rPr>
                      <w:rFonts w:hint="eastAsia"/>
                      <w:color w:val="auto"/>
                      <w:szCs w:val="21"/>
                    </w:rPr>
                    <w:t>粉尘</w:t>
                  </w:r>
                </w:p>
              </w:tc>
              <w:tc>
                <w:tcPr>
                  <w:tcW w:w="1944" w:type="pct"/>
                  <w:vAlign w:val="center"/>
                </w:tcPr>
                <w:p w14:paraId="6E87DF8E">
                  <w:pPr>
                    <w:jc w:val="center"/>
                    <w:rPr>
                      <w:color w:val="auto"/>
                      <w:szCs w:val="21"/>
                    </w:rPr>
                  </w:pPr>
                  <w:r>
                    <w:rPr>
                      <w:rFonts w:hint="eastAsia"/>
                      <w:color w:val="auto"/>
                      <w:szCs w:val="21"/>
                      <w:lang w:val="en-US" w:eastAsia="zh-CN"/>
                    </w:rPr>
                    <w:t>破碎、造粒粉尘</w:t>
                  </w:r>
                  <w:r>
                    <w:rPr>
                      <w:color w:val="auto"/>
                      <w:szCs w:val="21"/>
                    </w:rPr>
                    <w:t>经收集后通过布袋除尘+15m排气筒（DA00</w:t>
                  </w:r>
                  <w:r>
                    <w:rPr>
                      <w:rFonts w:hint="eastAsia"/>
                      <w:color w:val="auto"/>
                      <w:szCs w:val="21"/>
                      <w:lang w:val="en-US" w:eastAsia="zh-CN"/>
                    </w:rPr>
                    <w:t>1</w:t>
                  </w:r>
                  <w:r>
                    <w:rPr>
                      <w:color w:val="auto"/>
                      <w:szCs w:val="21"/>
                    </w:rPr>
                    <w:t>）排放</w:t>
                  </w:r>
                </w:p>
              </w:tc>
            </w:tr>
            <w:tr w14:paraId="69D6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9" w:type="pct"/>
                  <w:vMerge w:val="continue"/>
                  <w:vAlign w:val="center"/>
                </w:tcPr>
                <w:p w14:paraId="1ED0FFEA">
                  <w:pPr>
                    <w:jc w:val="center"/>
                    <w:rPr>
                      <w:color w:val="auto"/>
                    </w:rPr>
                  </w:pPr>
                </w:p>
              </w:tc>
              <w:tc>
                <w:tcPr>
                  <w:tcW w:w="828" w:type="pct"/>
                  <w:vMerge w:val="continue"/>
                  <w:vAlign w:val="center"/>
                </w:tcPr>
                <w:p w14:paraId="04F5104F">
                  <w:pPr>
                    <w:jc w:val="center"/>
                    <w:rPr>
                      <w:color w:val="auto"/>
                    </w:rPr>
                  </w:pPr>
                </w:p>
              </w:tc>
              <w:tc>
                <w:tcPr>
                  <w:tcW w:w="948" w:type="pct"/>
                  <w:vAlign w:val="center"/>
                </w:tcPr>
                <w:p w14:paraId="7FFD2707">
                  <w:pPr>
                    <w:jc w:val="center"/>
                    <w:rPr>
                      <w:rFonts w:hint="default" w:eastAsia="宋体"/>
                      <w:color w:val="auto"/>
                      <w:szCs w:val="21"/>
                      <w:lang w:val="en-US" w:eastAsia="zh-CN"/>
                    </w:rPr>
                  </w:pPr>
                  <w:r>
                    <w:rPr>
                      <w:rFonts w:hint="eastAsia"/>
                      <w:color w:val="auto"/>
                      <w:szCs w:val="21"/>
                      <w:lang w:val="en-US" w:eastAsia="zh-CN"/>
                    </w:rPr>
                    <w:t>锅炉燃烧</w:t>
                  </w:r>
                </w:p>
              </w:tc>
              <w:tc>
                <w:tcPr>
                  <w:tcW w:w="899" w:type="pct"/>
                  <w:vAlign w:val="center"/>
                </w:tcPr>
                <w:p w14:paraId="344E5640">
                  <w:pPr>
                    <w:jc w:val="center"/>
                    <w:rPr>
                      <w:color w:val="auto"/>
                      <w:szCs w:val="21"/>
                    </w:rPr>
                  </w:pPr>
                  <w:r>
                    <w:rPr>
                      <w:rFonts w:hint="eastAsia"/>
                      <w:color w:val="auto"/>
                      <w:szCs w:val="21"/>
                      <w:lang w:val="en-US" w:eastAsia="zh-CN"/>
                    </w:rPr>
                    <w:t>粉尘、SO</w:t>
                  </w:r>
                  <w:r>
                    <w:rPr>
                      <w:rFonts w:hint="eastAsia"/>
                      <w:color w:val="auto"/>
                      <w:szCs w:val="21"/>
                      <w:vertAlign w:val="subscript"/>
                      <w:lang w:val="en-US" w:eastAsia="zh-CN"/>
                    </w:rPr>
                    <w:t>2</w:t>
                  </w:r>
                  <w:r>
                    <w:rPr>
                      <w:rFonts w:hint="eastAsia"/>
                      <w:color w:val="auto"/>
                      <w:szCs w:val="21"/>
                      <w:lang w:val="en-US" w:eastAsia="zh-CN"/>
                    </w:rPr>
                    <w:t>、NOx</w:t>
                  </w:r>
                </w:p>
              </w:tc>
              <w:tc>
                <w:tcPr>
                  <w:tcW w:w="1944" w:type="pct"/>
                  <w:vAlign w:val="center"/>
                </w:tcPr>
                <w:p w14:paraId="53204C2A">
                  <w:pPr>
                    <w:jc w:val="center"/>
                    <w:rPr>
                      <w:color w:val="auto"/>
                      <w:szCs w:val="21"/>
                    </w:rPr>
                  </w:pPr>
                  <w:r>
                    <w:rPr>
                      <w:rFonts w:hint="eastAsia"/>
                      <w:color w:val="auto"/>
                      <w:szCs w:val="21"/>
                      <w:lang w:val="en-US" w:eastAsia="zh-CN"/>
                    </w:rPr>
                    <w:t>燃烧废</w:t>
                  </w:r>
                  <w:r>
                    <w:rPr>
                      <w:color w:val="auto"/>
                      <w:szCs w:val="21"/>
                    </w:rPr>
                    <w:t>经收集后通过布袋除尘+15m排气筒（DA00</w:t>
                  </w:r>
                  <w:r>
                    <w:rPr>
                      <w:rFonts w:hint="eastAsia"/>
                      <w:color w:val="auto"/>
                      <w:szCs w:val="21"/>
                      <w:lang w:val="en-US" w:eastAsia="zh-CN"/>
                    </w:rPr>
                    <w:t>2</w:t>
                  </w:r>
                  <w:r>
                    <w:rPr>
                      <w:color w:val="auto"/>
                      <w:szCs w:val="21"/>
                    </w:rPr>
                    <w:t>）排放</w:t>
                  </w:r>
                </w:p>
              </w:tc>
            </w:tr>
            <w:tr w14:paraId="0917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9" w:type="pct"/>
                  <w:vMerge w:val="restart"/>
                  <w:vAlign w:val="center"/>
                </w:tcPr>
                <w:p w14:paraId="0946DD28">
                  <w:pPr>
                    <w:pStyle w:val="82"/>
                    <w:spacing w:line="240" w:lineRule="auto"/>
                    <w:ind w:left="0"/>
                    <w:jc w:val="center"/>
                    <w:rPr>
                      <w:rFonts w:cs="Times New Roman"/>
                      <w:color w:val="auto"/>
                      <w:sz w:val="21"/>
                      <w:szCs w:val="21"/>
                    </w:rPr>
                  </w:pPr>
                  <w:r>
                    <w:rPr>
                      <w:rFonts w:hint="eastAsia" w:cs="Times New Roman"/>
                      <w:color w:val="auto"/>
                      <w:sz w:val="21"/>
                      <w:szCs w:val="21"/>
                    </w:rPr>
                    <w:t>2</w:t>
                  </w:r>
                </w:p>
              </w:tc>
              <w:tc>
                <w:tcPr>
                  <w:tcW w:w="828" w:type="pct"/>
                  <w:vMerge w:val="restart"/>
                  <w:vAlign w:val="center"/>
                </w:tcPr>
                <w:p w14:paraId="7F720903">
                  <w:pPr>
                    <w:jc w:val="center"/>
                    <w:rPr>
                      <w:color w:val="auto"/>
                      <w:szCs w:val="21"/>
                    </w:rPr>
                  </w:pPr>
                  <w:r>
                    <w:rPr>
                      <w:color w:val="auto"/>
                      <w:szCs w:val="21"/>
                    </w:rPr>
                    <w:t>废水</w:t>
                  </w:r>
                </w:p>
              </w:tc>
              <w:tc>
                <w:tcPr>
                  <w:tcW w:w="948" w:type="pct"/>
                  <w:vAlign w:val="center"/>
                </w:tcPr>
                <w:p w14:paraId="222B6967">
                  <w:pPr>
                    <w:jc w:val="center"/>
                    <w:rPr>
                      <w:bCs/>
                      <w:color w:val="auto"/>
                      <w:szCs w:val="21"/>
                    </w:rPr>
                  </w:pPr>
                  <w:r>
                    <w:rPr>
                      <w:rFonts w:hint="eastAsia"/>
                      <w:bCs/>
                      <w:color w:val="auto"/>
                      <w:szCs w:val="21"/>
                    </w:rPr>
                    <w:t>生活用水</w:t>
                  </w:r>
                </w:p>
              </w:tc>
              <w:tc>
                <w:tcPr>
                  <w:tcW w:w="899" w:type="pct"/>
                  <w:vAlign w:val="center"/>
                </w:tcPr>
                <w:p w14:paraId="075C6112">
                  <w:pPr>
                    <w:jc w:val="center"/>
                    <w:rPr>
                      <w:color w:val="auto"/>
                      <w:szCs w:val="21"/>
                    </w:rPr>
                  </w:pPr>
                  <w:r>
                    <w:rPr>
                      <w:color w:val="auto"/>
                      <w:szCs w:val="21"/>
                    </w:rPr>
                    <w:t>COD、BOD</w:t>
                  </w:r>
                  <w:r>
                    <w:rPr>
                      <w:color w:val="auto"/>
                      <w:szCs w:val="21"/>
                      <w:vertAlign w:val="subscript"/>
                    </w:rPr>
                    <w:t>5</w:t>
                  </w:r>
                  <w:r>
                    <w:rPr>
                      <w:color w:val="auto"/>
                      <w:szCs w:val="21"/>
                    </w:rPr>
                    <w:t>、SS、氨氮等</w:t>
                  </w:r>
                </w:p>
              </w:tc>
              <w:tc>
                <w:tcPr>
                  <w:tcW w:w="1944" w:type="pct"/>
                  <w:vMerge w:val="restart"/>
                  <w:vAlign w:val="center"/>
                </w:tcPr>
                <w:p w14:paraId="01157945">
                  <w:pPr>
                    <w:jc w:val="center"/>
                    <w:rPr>
                      <w:rFonts w:hint="eastAsia" w:eastAsia="宋体"/>
                      <w:bCs/>
                      <w:color w:val="auto"/>
                      <w:szCs w:val="21"/>
                      <w:lang w:eastAsia="zh-CN"/>
                    </w:rPr>
                  </w:pPr>
                  <w:r>
                    <w:rPr>
                      <w:rFonts w:hint="eastAsia"/>
                      <w:color w:val="auto"/>
                      <w:szCs w:val="21"/>
                    </w:rPr>
                    <w:t>生活污水经化粪池处理后，通过地埋式污水处理设施处理，处理后的废水用于厂区绿化灌溉，不外排</w:t>
                  </w:r>
                  <w:r>
                    <w:rPr>
                      <w:rFonts w:hint="eastAsia"/>
                      <w:color w:val="auto"/>
                      <w:szCs w:val="21"/>
                      <w:lang w:eastAsia="zh-CN"/>
                    </w:rPr>
                    <w:t>；</w:t>
                  </w:r>
                  <w:r>
                    <w:rPr>
                      <w:rFonts w:hint="eastAsia"/>
                      <w:bCs/>
                      <w:color w:val="auto"/>
                      <w:szCs w:val="21"/>
                    </w:rPr>
                    <w:t>锅炉</w:t>
                  </w:r>
                  <w:r>
                    <w:rPr>
                      <w:rFonts w:hint="eastAsia"/>
                      <w:bCs/>
                      <w:color w:val="auto"/>
                      <w:szCs w:val="21"/>
                      <w:lang w:val="en-US" w:eastAsia="zh-CN"/>
                    </w:rPr>
                    <w:t>废</w:t>
                  </w:r>
                  <w:r>
                    <w:rPr>
                      <w:rFonts w:hint="eastAsia"/>
                      <w:bCs/>
                      <w:color w:val="auto"/>
                      <w:szCs w:val="21"/>
                    </w:rPr>
                    <w:t>水通过地埋式污水处理设施处理，处理后的废水用于厂区绿化灌溉</w:t>
                  </w:r>
                  <w:r>
                    <w:rPr>
                      <w:rFonts w:hint="eastAsia"/>
                      <w:color w:val="auto"/>
                      <w:szCs w:val="21"/>
                    </w:rPr>
                    <w:t>不外排</w:t>
                  </w:r>
                </w:p>
              </w:tc>
            </w:tr>
            <w:tr w14:paraId="0A3A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9" w:type="pct"/>
                  <w:vMerge w:val="continue"/>
                  <w:vAlign w:val="center"/>
                </w:tcPr>
                <w:p w14:paraId="56E88110">
                  <w:pPr>
                    <w:jc w:val="center"/>
                  </w:pPr>
                </w:p>
              </w:tc>
              <w:tc>
                <w:tcPr>
                  <w:tcW w:w="828" w:type="pct"/>
                  <w:vMerge w:val="continue"/>
                  <w:vAlign w:val="center"/>
                </w:tcPr>
                <w:p w14:paraId="629763C9">
                  <w:pPr>
                    <w:jc w:val="center"/>
                  </w:pPr>
                </w:p>
              </w:tc>
              <w:tc>
                <w:tcPr>
                  <w:tcW w:w="948" w:type="pct"/>
                  <w:vAlign w:val="center"/>
                </w:tcPr>
                <w:p w14:paraId="4CB2D45B">
                  <w:pPr>
                    <w:jc w:val="center"/>
                    <w:rPr>
                      <w:rFonts w:hint="default" w:eastAsia="宋体"/>
                      <w:bCs/>
                      <w:color w:val="auto"/>
                      <w:szCs w:val="21"/>
                      <w:lang w:val="en-US" w:eastAsia="zh-CN"/>
                    </w:rPr>
                  </w:pPr>
                  <w:r>
                    <w:rPr>
                      <w:rFonts w:hint="eastAsia"/>
                      <w:bCs/>
                      <w:color w:val="auto"/>
                      <w:szCs w:val="21"/>
                      <w:lang w:val="en-US" w:eastAsia="zh-CN"/>
                    </w:rPr>
                    <w:t>锅炉废水</w:t>
                  </w:r>
                </w:p>
              </w:tc>
              <w:tc>
                <w:tcPr>
                  <w:tcW w:w="899" w:type="pct"/>
                  <w:vAlign w:val="center"/>
                </w:tcPr>
                <w:p w14:paraId="2E02E313">
                  <w:pPr>
                    <w:jc w:val="center"/>
                    <w:rPr>
                      <w:rFonts w:hint="eastAsia"/>
                      <w:bCs/>
                      <w:color w:val="auto"/>
                      <w:szCs w:val="21"/>
                    </w:rPr>
                  </w:pPr>
                  <w:r>
                    <w:rPr>
                      <w:color w:val="auto"/>
                      <w:szCs w:val="21"/>
                    </w:rPr>
                    <w:t>COD、SS</w:t>
                  </w:r>
                </w:p>
              </w:tc>
              <w:tc>
                <w:tcPr>
                  <w:tcW w:w="1944" w:type="pct"/>
                  <w:vMerge w:val="continue"/>
                  <w:vAlign w:val="center"/>
                </w:tcPr>
                <w:p w14:paraId="28928881">
                  <w:pPr>
                    <w:jc w:val="center"/>
                    <w:rPr>
                      <w:rFonts w:hint="eastAsia"/>
                      <w:bCs/>
                      <w:color w:val="auto"/>
                      <w:szCs w:val="21"/>
                    </w:rPr>
                  </w:pPr>
                </w:p>
              </w:tc>
            </w:tr>
            <w:tr w14:paraId="6DE8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79" w:type="pct"/>
                  <w:vAlign w:val="center"/>
                </w:tcPr>
                <w:p w14:paraId="0B9EBE8D">
                  <w:pPr>
                    <w:pStyle w:val="82"/>
                    <w:spacing w:line="240" w:lineRule="auto"/>
                    <w:ind w:left="0"/>
                    <w:jc w:val="center"/>
                    <w:rPr>
                      <w:rFonts w:cs="Times New Roman"/>
                      <w:color w:val="auto"/>
                      <w:sz w:val="21"/>
                      <w:szCs w:val="21"/>
                    </w:rPr>
                  </w:pPr>
                  <w:r>
                    <w:rPr>
                      <w:rFonts w:hint="eastAsia" w:cs="Times New Roman"/>
                      <w:color w:val="auto"/>
                      <w:sz w:val="21"/>
                      <w:szCs w:val="21"/>
                    </w:rPr>
                    <w:t>3</w:t>
                  </w:r>
                </w:p>
              </w:tc>
              <w:tc>
                <w:tcPr>
                  <w:tcW w:w="828" w:type="pct"/>
                  <w:vAlign w:val="center"/>
                </w:tcPr>
                <w:p w14:paraId="5B3F77D0">
                  <w:pPr>
                    <w:jc w:val="center"/>
                    <w:rPr>
                      <w:color w:val="auto"/>
                      <w:szCs w:val="21"/>
                    </w:rPr>
                  </w:pPr>
                  <w:r>
                    <w:rPr>
                      <w:color w:val="auto"/>
                      <w:szCs w:val="21"/>
                    </w:rPr>
                    <w:t>噪声</w:t>
                  </w:r>
                </w:p>
              </w:tc>
              <w:tc>
                <w:tcPr>
                  <w:tcW w:w="948" w:type="pct"/>
                  <w:vAlign w:val="center"/>
                </w:tcPr>
                <w:p w14:paraId="3C1A026D">
                  <w:pPr>
                    <w:jc w:val="center"/>
                    <w:rPr>
                      <w:color w:val="auto"/>
                      <w:szCs w:val="21"/>
                    </w:rPr>
                  </w:pPr>
                  <w:r>
                    <w:rPr>
                      <w:color w:val="auto"/>
                      <w:szCs w:val="21"/>
                    </w:rPr>
                    <w:t>生产过程</w:t>
                  </w:r>
                </w:p>
              </w:tc>
              <w:tc>
                <w:tcPr>
                  <w:tcW w:w="899" w:type="pct"/>
                  <w:vAlign w:val="center"/>
                </w:tcPr>
                <w:p w14:paraId="497DB4AD">
                  <w:pPr>
                    <w:jc w:val="center"/>
                    <w:rPr>
                      <w:color w:val="auto"/>
                      <w:szCs w:val="21"/>
                    </w:rPr>
                  </w:pPr>
                  <w:r>
                    <w:rPr>
                      <w:color w:val="auto"/>
                      <w:szCs w:val="21"/>
                    </w:rPr>
                    <w:t>机械噪声</w:t>
                  </w:r>
                </w:p>
              </w:tc>
              <w:tc>
                <w:tcPr>
                  <w:tcW w:w="1944" w:type="pct"/>
                  <w:vAlign w:val="center"/>
                </w:tcPr>
                <w:p w14:paraId="1E2A30A4">
                  <w:pPr>
                    <w:jc w:val="center"/>
                    <w:rPr>
                      <w:bCs/>
                      <w:color w:val="auto"/>
                      <w:szCs w:val="21"/>
                    </w:rPr>
                  </w:pPr>
                  <w:r>
                    <w:rPr>
                      <w:rFonts w:hint="eastAsia"/>
                      <w:bCs/>
                      <w:color w:val="auto"/>
                      <w:szCs w:val="21"/>
                    </w:rPr>
                    <w:t>隔声、减振等措施</w:t>
                  </w:r>
                </w:p>
              </w:tc>
            </w:tr>
            <w:tr w14:paraId="5515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79" w:type="pct"/>
                  <w:vMerge w:val="restart"/>
                  <w:vAlign w:val="center"/>
                </w:tcPr>
                <w:p w14:paraId="2C19AA00">
                  <w:pPr>
                    <w:pStyle w:val="82"/>
                    <w:spacing w:line="240" w:lineRule="auto"/>
                    <w:ind w:left="0"/>
                    <w:jc w:val="center"/>
                    <w:rPr>
                      <w:rFonts w:cs="Times New Roman"/>
                      <w:color w:val="auto"/>
                      <w:sz w:val="21"/>
                      <w:szCs w:val="21"/>
                    </w:rPr>
                  </w:pPr>
                  <w:r>
                    <w:rPr>
                      <w:rFonts w:hint="eastAsia" w:cs="Times New Roman"/>
                      <w:color w:val="auto"/>
                      <w:sz w:val="21"/>
                      <w:szCs w:val="21"/>
                    </w:rPr>
                    <w:t>4</w:t>
                  </w:r>
                </w:p>
              </w:tc>
              <w:tc>
                <w:tcPr>
                  <w:tcW w:w="828" w:type="pct"/>
                  <w:vMerge w:val="restart"/>
                  <w:vAlign w:val="center"/>
                </w:tcPr>
                <w:p w14:paraId="5D88EF0B">
                  <w:pPr>
                    <w:jc w:val="center"/>
                    <w:rPr>
                      <w:color w:val="auto"/>
                      <w:szCs w:val="21"/>
                    </w:rPr>
                  </w:pPr>
                  <w:r>
                    <w:rPr>
                      <w:color w:val="auto"/>
                      <w:szCs w:val="21"/>
                    </w:rPr>
                    <w:t>一般固废</w:t>
                  </w:r>
                </w:p>
              </w:tc>
              <w:tc>
                <w:tcPr>
                  <w:tcW w:w="948" w:type="pct"/>
                  <w:vAlign w:val="center"/>
                </w:tcPr>
                <w:p w14:paraId="6FE9577C">
                  <w:pPr>
                    <w:jc w:val="center"/>
                    <w:rPr>
                      <w:rFonts w:hint="eastAsia" w:eastAsia="宋体"/>
                      <w:color w:val="auto"/>
                      <w:szCs w:val="21"/>
                      <w:lang w:eastAsia="zh-CN"/>
                    </w:rPr>
                  </w:pPr>
                  <w:r>
                    <w:rPr>
                      <w:rFonts w:hint="eastAsia"/>
                      <w:color w:val="auto"/>
                      <w:szCs w:val="21"/>
                      <w:lang w:val="en-US" w:eastAsia="zh-CN"/>
                    </w:rPr>
                    <w:t>机加工</w:t>
                  </w:r>
                </w:p>
              </w:tc>
              <w:tc>
                <w:tcPr>
                  <w:tcW w:w="899" w:type="pct"/>
                  <w:vAlign w:val="center"/>
                </w:tcPr>
                <w:p w14:paraId="2BB7CA72">
                  <w:pPr>
                    <w:jc w:val="center"/>
                    <w:rPr>
                      <w:rFonts w:hint="eastAsia" w:eastAsia="宋体"/>
                      <w:color w:val="auto"/>
                      <w:szCs w:val="21"/>
                      <w:lang w:eastAsia="zh-CN"/>
                    </w:rPr>
                  </w:pPr>
                  <w:r>
                    <w:rPr>
                      <w:rFonts w:hint="eastAsia"/>
                      <w:color w:val="auto"/>
                      <w:szCs w:val="21"/>
                      <w:lang w:val="en-US" w:eastAsia="zh-CN"/>
                    </w:rPr>
                    <w:t>边角料</w:t>
                  </w:r>
                </w:p>
              </w:tc>
              <w:tc>
                <w:tcPr>
                  <w:tcW w:w="1944" w:type="pct"/>
                  <w:vAlign w:val="center"/>
                </w:tcPr>
                <w:p w14:paraId="3C6F2DB3">
                  <w:pPr>
                    <w:jc w:val="center"/>
                    <w:rPr>
                      <w:bCs/>
                      <w:color w:val="auto"/>
                      <w:szCs w:val="21"/>
                    </w:rPr>
                  </w:pPr>
                  <w:r>
                    <w:rPr>
                      <w:rFonts w:hint="eastAsia"/>
                      <w:color w:val="auto"/>
                      <w:szCs w:val="21"/>
                      <w:lang w:val="en-US" w:eastAsia="zh-CN"/>
                    </w:rPr>
                    <w:t>回用于生产</w:t>
                  </w:r>
                </w:p>
              </w:tc>
            </w:tr>
            <w:tr w14:paraId="1D8B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79" w:type="pct"/>
                  <w:vMerge w:val="continue"/>
                  <w:vAlign w:val="center"/>
                </w:tcPr>
                <w:p w14:paraId="7EE93C6B">
                  <w:pPr>
                    <w:jc w:val="center"/>
                    <w:rPr>
                      <w:color w:val="auto"/>
                    </w:rPr>
                  </w:pPr>
                </w:p>
              </w:tc>
              <w:tc>
                <w:tcPr>
                  <w:tcW w:w="828" w:type="pct"/>
                  <w:vMerge w:val="continue"/>
                  <w:vAlign w:val="center"/>
                </w:tcPr>
                <w:p w14:paraId="71AF3F33">
                  <w:pPr>
                    <w:jc w:val="center"/>
                    <w:rPr>
                      <w:color w:val="auto"/>
                    </w:rPr>
                  </w:pPr>
                </w:p>
              </w:tc>
              <w:tc>
                <w:tcPr>
                  <w:tcW w:w="948" w:type="pct"/>
                  <w:vAlign w:val="center"/>
                </w:tcPr>
                <w:p w14:paraId="69E50BDD">
                  <w:pPr>
                    <w:jc w:val="center"/>
                    <w:rPr>
                      <w:color w:val="auto"/>
                      <w:szCs w:val="21"/>
                    </w:rPr>
                  </w:pPr>
                  <w:r>
                    <w:rPr>
                      <w:rFonts w:hint="eastAsia"/>
                      <w:color w:val="auto"/>
                      <w:szCs w:val="21"/>
                    </w:rPr>
                    <w:t>废气处理</w:t>
                  </w:r>
                </w:p>
              </w:tc>
              <w:tc>
                <w:tcPr>
                  <w:tcW w:w="899" w:type="pct"/>
                  <w:vAlign w:val="center"/>
                </w:tcPr>
                <w:p w14:paraId="13E316DE">
                  <w:pPr>
                    <w:jc w:val="center"/>
                    <w:rPr>
                      <w:color w:val="auto"/>
                      <w:szCs w:val="21"/>
                    </w:rPr>
                  </w:pPr>
                  <w:r>
                    <w:rPr>
                      <w:rFonts w:hint="eastAsia"/>
                      <w:color w:val="auto"/>
                      <w:szCs w:val="21"/>
                    </w:rPr>
                    <w:t>布袋除尘器收尘</w:t>
                  </w:r>
                </w:p>
              </w:tc>
              <w:tc>
                <w:tcPr>
                  <w:tcW w:w="1944" w:type="pct"/>
                  <w:vAlign w:val="center"/>
                </w:tcPr>
                <w:p w14:paraId="3960F491">
                  <w:pPr>
                    <w:jc w:val="center"/>
                    <w:rPr>
                      <w:rFonts w:hint="default" w:eastAsia="宋体"/>
                      <w:color w:val="auto"/>
                      <w:szCs w:val="21"/>
                      <w:lang w:val="en-US" w:eastAsia="zh-CN"/>
                    </w:rPr>
                  </w:pPr>
                  <w:r>
                    <w:rPr>
                      <w:rFonts w:hint="eastAsia"/>
                      <w:color w:val="auto"/>
                      <w:szCs w:val="21"/>
                      <w:lang w:val="en-US" w:eastAsia="zh-CN"/>
                    </w:rPr>
                    <w:t>回用于生产</w:t>
                  </w:r>
                </w:p>
              </w:tc>
            </w:tr>
            <w:tr w14:paraId="2348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79" w:type="pct"/>
                  <w:vMerge w:val="continue"/>
                  <w:vAlign w:val="center"/>
                </w:tcPr>
                <w:p w14:paraId="563F9B31">
                  <w:pPr>
                    <w:jc w:val="center"/>
                    <w:rPr>
                      <w:rFonts w:hint="eastAsia"/>
                      <w:color w:val="auto"/>
                      <w:szCs w:val="21"/>
                    </w:rPr>
                  </w:pPr>
                </w:p>
              </w:tc>
              <w:tc>
                <w:tcPr>
                  <w:tcW w:w="828" w:type="pct"/>
                  <w:vMerge w:val="continue"/>
                  <w:vAlign w:val="center"/>
                </w:tcPr>
                <w:p w14:paraId="25818EA7">
                  <w:pPr>
                    <w:jc w:val="center"/>
                    <w:rPr>
                      <w:rFonts w:hint="eastAsia"/>
                      <w:color w:val="auto"/>
                      <w:szCs w:val="21"/>
                    </w:rPr>
                  </w:pPr>
                </w:p>
              </w:tc>
              <w:tc>
                <w:tcPr>
                  <w:tcW w:w="948" w:type="pct"/>
                  <w:vMerge w:val="restart"/>
                  <w:vAlign w:val="center"/>
                </w:tcPr>
                <w:p w14:paraId="7096085F">
                  <w:pPr>
                    <w:jc w:val="center"/>
                    <w:rPr>
                      <w:rFonts w:hint="eastAsia" w:eastAsia="宋体"/>
                      <w:color w:val="auto"/>
                      <w:szCs w:val="21"/>
                      <w:lang w:val="en-US" w:eastAsia="zh-CN"/>
                    </w:rPr>
                  </w:pPr>
                  <w:r>
                    <w:rPr>
                      <w:rFonts w:hint="eastAsia"/>
                      <w:color w:val="auto"/>
                      <w:szCs w:val="21"/>
                      <w:lang w:val="en-US" w:eastAsia="zh-CN"/>
                    </w:rPr>
                    <w:t>烘干</w:t>
                  </w:r>
                </w:p>
              </w:tc>
              <w:tc>
                <w:tcPr>
                  <w:tcW w:w="899" w:type="pct"/>
                  <w:vAlign w:val="center"/>
                </w:tcPr>
                <w:p w14:paraId="2EB5372A">
                  <w:pPr>
                    <w:jc w:val="center"/>
                    <w:rPr>
                      <w:rFonts w:hint="eastAsia" w:eastAsia="宋体"/>
                      <w:color w:val="auto"/>
                      <w:szCs w:val="21"/>
                      <w:lang w:val="en-US" w:eastAsia="zh-CN"/>
                    </w:rPr>
                  </w:pPr>
                  <w:r>
                    <w:rPr>
                      <w:rFonts w:hint="eastAsia"/>
                      <w:color w:val="auto"/>
                      <w:szCs w:val="21"/>
                      <w:lang w:val="en-US" w:eastAsia="zh-CN"/>
                    </w:rPr>
                    <w:t>炉渣</w:t>
                  </w:r>
                </w:p>
              </w:tc>
              <w:tc>
                <w:tcPr>
                  <w:tcW w:w="1944" w:type="pct"/>
                  <w:vAlign w:val="center"/>
                </w:tcPr>
                <w:p w14:paraId="3DEBB3A6">
                  <w:pPr>
                    <w:jc w:val="center"/>
                    <w:rPr>
                      <w:rFonts w:hint="default" w:eastAsia="宋体"/>
                      <w:color w:val="auto"/>
                      <w:szCs w:val="21"/>
                      <w:lang w:val="en-US" w:eastAsia="zh-CN"/>
                    </w:rPr>
                  </w:pPr>
                  <w:r>
                    <w:rPr>
                      <w:rFonts w:hint="eastAsia"/>
                      <w:color w:val="auto"/>
                      <w:szCs w:val="21"/>
                      <w:lang w:val="en-US" w:eastAsia="zh-CN"/>
                    </w:rPr>
                    <w:t>作为农肥处理</w:t>
                  </w:r>
                </w:p>
              </w:tc>
            </w:tr>
            <w:tr w14:paraId="1403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79" w:type="pct"/>
                  <w:vMerge w:val="continue"/>
                  <w:vAlign w:val="center"/>
                </w:tcPr>
                <w:p w14:paraId="4B8BD28A">
                  <w:pPr>
                    <w:jc w:val="center"/>
                  </w:pPr>
                </w:p>
              </w:tc>
              <w:tc>
                <w:tcPr>
                  <w:tcW w:w="828" w:type="pct"/>
                  <w:vMerge w:val="continue"/>
                  <w:vAlign w:val="center"/>
                </w:tcPr>
                <w:p w14:paraId="055005E4">
                  <w:pPr>
                    <w:jc w:val="center"/>
                  </w:pPr>
                </w:p>
              </w:tc>
              <w:tc>
                <w:tcPr>
                  <w:tcW w:w="948" w:type="pct"/>
                  <w:vMerge w:val="continue"/>
                  <w:vAlign w:val="center"/>
                </w:tcPr>
                <w:p w14:paraId="519FADAE">
                  <w:pPr>
                    <w:jc w:val="center"/>
                  </w:pPr>
                </w:p>
              </w:tc>
              <w:tc>
                <w:tcPr>
                  <w:tcW w:w="899" w:type="pct"/>
                  <w:vAlign w:val="center"/>
                </w:tcPr>
                <w:p w14:paraId="6775B287">
                  <w:pPr>
                    <w:jc w:val="center"/>
                    <w:rPr>
                      <w:rFonts w:hint="default"/>
                      <w:color w:val="auto"/>
                      <w:szCs w:val="21"/>
                      <w:lang w:val="en-US" w:eastAsia="zh-CN"/>
                    </w:rPr>
                  </w:pPr>
                  <w:r>
                    <w:rPr>
                      <w:rFonts w:hint="eastAsia"/>
                      <w:color w:val="auto"/>
                      <w:szCs w:val="21"/>
                      <w:lang w:val="en-US" w:eastAsia="zh-CN"/>
                    </w:rPr>
                    <w:t>废树脂</w:t>
                  </w:r>
                </w:p>
              </w:tc>
              <w:tc>
                <w:tcPr>
                  <w:tcW w:w="1944" w:type="pct"/>
                  <w:vAlign w:val="center"/>
                </w:tcPr>
                <w:p w14:paraId="4E15305E">
                  <w:pPr>
                    <w:jc w:val="center"/>
                    <w:rPr>
                      <w:rFonts w:hint="default"/>
                      <w:color w:val="auto"/>
                      <w:szCs w:val="21"/>
                      <w:lang w:val="en-US" w:eastAsia="zh-CN"/>
                    </w:rPr>
                  </w:pPr>
                  <w:r>
                    <w:rPr>
                      <w:rFonts w:hint="eastAsia"/>
                      <w:color w:val="auto"/>
                      <w:szCs w:val="21"/>
                      <w:lang w:val="en-US" w:eastAsia="zh-CN"/>
                    </w:rPr>
                    <w:t>外售综合利用</w:t>
                  </w:r>
                </w:p>
              </w:tc>
            </w:tr>
            <w:tr w14:paraId="497B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79" w:type="pct"/>
                  <w:vMerge w:val="continue"/>
                  <w:vAlign w:val="center"/>
                </w:tcPr>
                <w:p w14:paraId="7BDB7FA5">
                  <w:pPr>
                    <w:jc w:val="center"/>
                    <w:rPr>
                      <w:color w:val="auto"/>
                    </w:rPr>
                  </w:pPr>
                </w:p>
              </w:tc>
              <w:tc>
                <w:tcPr>
                  <w:tcW w:w="828" w:type="pct"/>
                  <w:vMerge w:val="continue"/>
                  <w:vAlign w:val="center"/>
                </w:tcPr>
                <w:p w14:paraId="6CD47A1A">
                  <w:pPr>
                    <w:jc w:val="center"/>
                    <w:rPr>
                      <w:color w:val="auto"/>
                    </w:rPr>
                  </w:pPr>
                </w:p>
              </w:tc>
              <w:tc>
                <w:tcPr>
                  <w:tcW w:w="948" w:type="pct"/>
                  <w:vAlign w:val="center"/>
                </w:tcPr>
                <w:p w14:paraId="1D9A671A">
                  <w:pPr>
                    <w:jc w:val="center"/>
                    <w:rPr>
                      <w:color w:val="auto"/>
                      <w:szCs w:val="21"/>
                    </w:rPr>
                  </w:pPr>
                  <w:r>
                    <w:rPr>
                      <w:rFonts w:hint="eastAsia"/>
                      <w:color w:val="auto"/>
                      <w:szCs w:val="21"/>
                    </w:rPr>
                    <w:t>员工生活</w:t>
                  </w:r>
                </w:p>
              </w:tc>
              <w:tc>
                <w:tcPr>
                  <w:tcW w:w="899" w:type="pct"/>
                  <w:vAlign w:val="center"/>
                </w:tcPr>
                <w:p w14:paraId="76B08176">
                  <w:pPr>
                    <w:jc w:val="center"/>
                    <w:rPr>
                      <w:color w:val="auto"/>
                      <w:szCs w:val="21"/>
                    </w:rPr>
                  </w:pPr>
                  <w:r>
                    <w:rPr>
                      <w:rFonts w:hint="eastAsia"/>
                      <w:color w:val="auto"/>
                      <w:szCs w:val="21"/>
                    </w:rPr>
                    <w:t>生活垃圾</w:t>
                  </w:r>
                </w:p>
              </w:tc>
              <w:tc>
                <w:tcPr>
                  <w:tcW w:w="1944" w:type="pct"/>
                  <w:vAlign w:val="center"/>
                </w:tcPr>
                <w:p w14:paraId="46883D60">
                  <w:pPr>
                    <w:jc w:val="center"/>
                    <w:rPr>
                      <w:color w:val="auto"/>
                      <w:szCs w:val="21"/>
                    </w:rPr>
                  </w:pPr>
                  <w:r>
                    <w:rPr>
                      <w:rFonts w:hint="eastAsia"/>
                      <w:color w:val="auto"/>
                      <w:szCs w:val="21"/>
                    </w:rPr>
                    <w:t>交由环卫部门无害化处理</w:t>
                  </w:r>
                </w:p>
              </w:tc>
            </w:tr>
            <w:tr w14:paraId="68A5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79" w:type="pct"/>
                  <w:vAlign w:val="center"/>
                </w:tcPr>
                <w:p w14:paraId="1135BEB1">
                  <w:pPr>
                    <w:pStyle w:val="82"/>
                    <w:spacing w:line="240" w:lineRule="auto"/>
                    <w:ind w:left="0"/>
                    <w:jc w:val="center"/>
                    <w:rPr>
                      <w:rFonts w:cs="Times New Roman"/>
                      <w:color w:val="auto"/>
                      <w:sz w:val="21"/>
                      <w:szCs w:val="21"/>
                    </w:rPr>
                  </w:pPr>
                  <w:r>
                    <w:rPr>
                      <w:rFonts w:hint="eastAsia" w:cs="Times New Roman"/>
                      <w:color w:val="auto"/>
                      <w:sz w:val="21"/>
                      <w:szCs w:val="21"/>
                    </w:rPr>
                    <w:t>5</w:t>
                  </w:r>
                </w:p>
              </w:tc>
              <w:tc>
                <w:tcPr>
                  <w:tcW w:w="828" w:type="pct"/>
                  <w:vAlign w:val="center"/>
                </w:tcPr>
                <w:p w14:paraId="0E259DB7">
                  <w:pPr>
                    <w:jc w:val="center"/>
                    <w:rPr>
                      <w:color w:val="auto"/>
                      <w:szCs w:val="21"/>
                    </w:rPr>
                  </w:pPr>
                  <w:r>
                    <w:rPr>
                      <w:color w:val="auto"/>
                      <w:szCs w:val="21"/>
                    </w:rPr>
                    <w:t>危险固废</w:t>
                  </w:r>
                </w:p>
              </w:tc>
              <w:tc>
                <w:tcPr>
                  <w:tcW w:w="948" w:type="pct"/>
                  <w:vAlign w:val="center"/>
                </w:tcPr>
                <w:p w14:paraId="1B33C1AA">
                  <w:pPr>
                    <w:jc w:val="center"/>
                    <w:rPr>
                      <w:color w:val="auto"/>
                      <w:szCs w:val="21"/>
                    </w:rPr>
                  </w:pPr>
                  <w:r>
                    <w:rPr>
                      <w:rFonts w:hint="eastAsia"/>
                      <w:color w:val="auto"/>
                      <w:szCs w:val="21"/>
                    </w:rPr>
                    <w:t>设备维护</w:t>
                  </w:r>
                </w:p>
              </w:tc>
              <w:tc>
                <w:tcPr>
                  <w:tcW w:w="899" w:type="pct"/>
                  <w:vAlign w:val="center"/>
                </w:tcPr>
                <w:p w14:paraId="2A0D50BF">
                  <w:pPr>
                    <w:jc w:val="center"/>
                    <w:rPr>
                      <w:color w:val="auto"/>
                      <w:szCs w:val="21"/>
                    </w:rPr>
                  </w:pPr>
                  <w:r>
                    <w:rPr>
                      <w:rFonts w:hint="eastAsia"/>
                      <w:color w:val="auto"/>
                      <w:szCs w:val="21"/>
                    </w:rPr>
                    <w:t>废润滑油、废润滑油桶</w:t>
                  </w:r>
                </w:p>
              </w:tc>
              <w:tc>
                <w:tcPr>
                  <w:tcW w:w="1944" w:type="pct"/>
                  <w:vAlign w:val="center"/>
                </w:tcPr>
                <w:p w14:paraId="1F39DE0C">
                  <w:pPr>
                    <w:jc w:val="center"/>
                    <w:rPr>
                      <w:color w:val="auto"/>
                      <w:szCs w:val="21"/>
                    </w:rPr>
                  </w:pPr>
                  <w:r>
                    <w:rPr>
                      <w:rFonts w:hint="eastAsia"/>
                      <w:color w:val="auto"/>
                      <w:szCs w:val="21"/>
                    </w:rPr>
                    <w:t>暂存于危废间，定期交由有资质的单位处理</w:t>
                  </w:r>
                </w:p>
              </w:tc>
            </w:tr>
          </w:tbl>
          <w:p w14:paraId="01D82B11">
            <w:pPr>
              <w:adjustRightInd w:val="0"/>
              <w:spacing w:line="360" w:lineRule="auto"/>
              <w:rPr>
                <w:color w:val="FF0000"/>
              </w:rPr>
            </w:pPr>
          </w:p>
        </w:tc>
      </w:tr>
      <w:tr w14:paraId="165A1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327" w:type="pct"/>
            <w:vAlign w:val="center"/>
          </w:tcPr>
          <w:p w14:paraId="3EC370BD">
            <w:pPr>
              <w:spacing w:line="360" w:lineRule="auto"/>
              <w:jc w:val="center"/>
              <w:rPr>
                <w:b/>
                <w:bCs/>
                <w:color w:val="auto"/>
                <w:sz w:val="24"/>
                <w:szCs w:val="32"/>
              </w:rPr>
            </w:pPr>
            <w:r>
              <w:rPr>
                <w:b/>
                <w:bCs/>
                <w:color w:val="auto"/>
                <w:sz w:val="24"/>
                <w:szCs w:val="32"/>
              </w:rPr>
              <w:t>与项目有关的原有环境污染问题</w:t>
            </w:r>
          </w:p>
        </w:tc>
        <w:tc>
          <w:tcPr>
            <w:tcW w:w="4672" w:type="pct"/>
            <w:vAlign w:val="center"/>
          </w:tcPr>
          <w:p w14:paraId="308B5B94">
            <w:pPr>
              <w:spacing w:line="360" w:lineRule="auto"/>
              <w:jc w:val="center"/>
              <w:rPr>
                <w:color w:val="auto"/>
                <w:sz w:val="24"/>
              </w:rPr>
            </w:pPr>
            <w:r>
              <w:rPr>
                <w:rFonts w:hint="eastAsia" w:cs="Times New Roman"/>
                <w:bCs/>
                <w:color w:val="auto"/>
                <w:sz w:val="24"/>
                <w:lang w:val="en-US" w:eastAsia="zh-CN"/>
              </w:rPr>
              <w:t>本项目为新建项目，项目厂址原为空地，无原有环境问题。</w:t>
            </w:r>
          </w:p>
          <w:p w14:paraId="58B393B1">
            <w:pPr>
              <w:pStyle w:val="76"/>
              <w:ind w:firstLine="0" w:firstLineChars="0"/>
              <w:jc w:val="left"/>
              <w:rPr>
                <w:b/>
                <w:bCs/>
                <w:color w:val="auto"/>
                <w:szCs w:val="24"/>
              </w:rPr>
            </w:pPr>
          </w:p>
        </w:tc>
      </w:tr>
    </w:tbl>
    <w:p w14:paraId="2278CFF5">
      <w:pPr>
        <w:pStyle w:val="27"/>
        <w:jc w:val="center"/>
        <w:rPr>
          <w:rFonts w:ascii="Times New Roman" w:hAnsi="Times New Roman" w:eastAsia="黑体"/>
          <w:snapToGrid w:val="0"/>
          <w:color w:val="FF0000"/>
          <w:sz w:val="36"/>
          <w:szCs w:val="36"/>
        </w:rPr>
        <w:sectPr>
          <w:pgSz w:w="11906" w:h="16838"/>
          <w:pgMar w:top="1417" w:right="1417" w:bottom="1417" w:left="1417" w:header="851" w:footer="851" w:gutter="0"/>
          <w:cols w:space="720" w:num="1"/>
          <w:docGrid w:linePitch="312" w:charSpace="0"/>
        </w:sectPr>
      </w:pPr>
    </w:p>
    <w:p w14:paraId="475BDF3B">
      <w:pPr>
        <w:pStyle w:val="27"/>
        <w:adjustRightInd w:val="0"/>
        <w:snapToGrid w:val="0"/>
        <w:spacing w:before="0" w:beforeAutospacing="0" w:after="0" w:afterAutospacing="0" w:line="14" w:lineRule="auto"/>
        <w:jc w:val="center"/>
        <w:outlineLvl w:val="0"/>
        <w:rPr>
          <w:rFonts w:ascii="Times New Roman" w:hAnsi="Times New Roman" w:eastAsia="黑体"/>
          <w:snapToGrid w:val="0"/>
          <w:color w:val="FF0000"/>
          <w:sz w:val="30"/>
          <w:szCs w:val="30"/>
        </w:rPr>
      </w:pPr>
    </w:p>
    <w:p w14:paraId="5EFAA5B2">
      <w:pPr>
        <w:pStyle w:val="27"/>
        <w:spacing w:before="0" w:beforeAutospacing="0" w:after="0" w:afterAutospacing="0" w:line="360" w:lineRule="auto"/>
        <w:jc w:val="center"/>
        <w:outlineLvl w:val="0"/>
        <w:rPr>
          <w:rFonts w:ascii="Times New Roman" w:hAnsi="Times New Roman"/>
          <w:b/>
          <w:bCs/>
          <w:snapToGrid w:val="0"/>
          <w:color w:val="FF0000"/>
          <w:sz w:val="32"/>
          <w:szCs w:val="32"/>
        </w:rPr>
      </w:pPr>
      <w:r>
        <w:rPr>
          <w:rFonts w:ascii="Times New Roman" w:hAnsi="Times New Roman"/>
          <w:b/>
          <w:bCs/>
          <w:snapToGrid w:val="0"/>
          <w:color w:val="auto"/>
          <w:sz w:val="32"/>
          <w:szCs w:val="32"/>
        </w:rPr>
        <w:t>三、区域环境质量现状、环境保护目标及评价标准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761"/>
      </w:tblGrid>
      <w:tr w14:paraId="34EAB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84" w:type="pct"/>
            <w:vAlign w:val="center"/>
          </w:tcPr>
          <w:p w14:paraId="08FFA1EF">
            <w:pPr>
              <w:adjustRightInd w:val="0"/>
              <w:snapToGrid w:val="0"/>
              <w:spacing w:line="360" w:lineRule="auto"/>
              <w:jc w:val="center"/>
              <w:rPr>
                <w:b/>
                <w:bCs/>
                <w:color w:val="auto"/>
                <w:kern w:val="0"/>
                <w:sz w:val="24"/>
              </w:rPr>
            </w:pPr>
            <w:r>
              <w:rPr>
                <w:b/>
                <w:bCs/>
                <w:color w:val="auto"/>
                <w:kern w:val="0"/>
                <w:sz w:val="24"/>
              </w:rPr>
              <w:t>区域</w:t>
            </w:r>
          </w:p>
          <w:p w14:paraId="0C0F9A58">
            <w:pPr>
              <w:adjustRightInd w:val="0"/>
              <w:snapToGrid w:val="0"/>
              <w:spacing w:line="360" w:lineRule="auto"/>
              <w:jc w:val="center"/>
              <w:rPr>
                <w:b/>
                <w:bCs/>
                <w:color w:val="auto"/>
                <w:kern w:val="0"/>
                <w:sz w:val="24"/>
              </w:rPr>
            </w:pPr>
            <w:r>
              <w:rPr>
                <w:b/>
                <w:bCs/>
                <w:color w:val="auto"/>
                <w:kern w:val="0"/>
                <w:sz w:val="24"/>
              </w:rPr>
              <w:t>环境</w:t>
            </w:r>
          </w:p>
          <w:p w14:paraId="0F65AD7C">
            <w:pPr>
              <w:adjustRightInd w:val="0"/>
              <w:snapToGrid w:val="0"/>
              <w:spacing w:line="360" w:lineRule="auto"/>
              <w:jc w:val="center"/>
              <w:rPr>
                <w:b/>
                <w:bCs/>
                <w:color w:val="auto"/>
                <w:kern w:val="0"/>
                <w:sz w:val="24"/>
              </w:rPr>
            </w:pPr>
            <w:r>
              <w:rPr>
                <w:b/>
                <w:bCs/>
                <w:color w:val="auto"/>
                <w:kern w:val="0"/>
                <w:sz w:val="24"/>
              </w:rPr>
              <w:t>质量</w:t>
            </w:r>
          </w:p>
          <w:p w14:paraId="0300E61E">
            <w:pPr>
              <w:adjustRightInd w:val="0"/>
              <w:snapToGrid w:val="0"/>
              <w:spacing w:line="360" w:lineRule="auto"/>
              <w:jc w:val="center"/>
              <w:rPr>
                <w:color w:val="FF0000"/>
                <w:kern w:val="0"/>
                <w:szCs w:val="21"/>
              </w:rPr>
            </w:pPr>
            <w:r>
              <w:rPr>
                <w:b/>
                <w:bCs/>
                <w:color w:val="auto"/>
                <w:kern w:val="0"/>
                <w:sz w:val="24"/>
              </w:rPr>
              <w:t>现状</w:t>
            </w:r>
          </w:p>
        </w:tc>
        <w:tc>
          <w:tcPr>
            <w:tcW w:w="4715" w:type="pct"/>
            <w:vAlign w:val="center"/>
          </w:tcPr>
          <w:p w14:paraId="0ED1B60B">
            <w:pPr>
              <w:spacing w:line="360" w:lineRule="auto"/>
              <w:ind w:firstLine="482" w:firstLineChars="200"/>
              <w:outlineLvl w:val="2"/>
              <w:rPr>
                <w:b/>
                <w:color w:val="auto"/>
                <w:sz w:val="24"/>
              </w:rPr>
            </w:pPr>
            <w:r>
              <w:rPr>
                <w:b/>
                <w:color w:val="auto"/>
                <w:sz w:val="24"/>
              </w:rPr>
              <w:t>一、</w:t>
            </w:r>
            <w:r>
              <w:rPr>
                <w:rFonts w:hint="eastAsia"/>
                <w:b/>
                <w:color w:val="auto"/>
                <w:sz w:val="24"/>
              </w:rPr>
              <w:t>大气环境</w:t>
            </w:r>
          </w:p>
          <w:p w14:paraId="768B269C">
            <w:pPr>
              <w:adjustRightInd w:val="0"/>
              <w:snapToGrid w:val="0"/>
              <w:spacing w:line="360" w:lineRule="auto"/>
              <w:ind w:firstLine="480" w:firstLineChars="200"/>
              <w:rPr>
                <w:color w:val="auto"/>
                <w:kern w:val="24"/>
                <w:sz w:val="24"/>
              </w:rPr>
            </w:pPr>
            <w:r>
              <w:rPr>
                <w:color w:val="auto"/>
                <w:kern w:val="24"/>
                <w:sz w:val="24"/>
              </w:rPr>
              <w:t>根据《建设项目环境影响报告表编制技术指南（污染影响类）（试行）》，常规污染物引用与建设项目距离近的有效数据，</w:t>
            </w:r>
            <w:r>
              <w:rPr>
                <w:rFonts w:hint="eastAsia"/>
                <w:color w:val="auto"/>
                <w:kern w:val="24"/>
                <w:sz w:val="24"/>
              </w:rPr>
              <w:t>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无相关数据的选择当季主导风向下风向1个点位补充不少于3天的监测数据。</w:t>
            </w:r>
          </w:p>
          <w:p w14:paraId="7CBE8E0D">
            <w:pPr>
              <w:spacing w:line="360" w:lineRule="auto"/>
              <w:ind w:firstLine="480" w:firstLineChars="200"/>
              <w:rPr>
                <w:color w:val="auto"/>
                <w:sz w:val="24"/>
              </w:rPr>
            </w:pPr>
            <w:r>
              <w:rPr>
                <w:color w:val="auto"/>
                <w:kern w:val="24"/>
                <w:sz w:val="24"/>
              </w:rPr>
              <w:t>根据建设项目所在环境功能区及适用的国家、地方环境质量标</w:t>
            </w:r>
            <w:r>
              <w:rPr>
                <w:rFonts w:hint="eastAsia"/>
                <w:color w:val="auto"/>
                <w:kern w:val="24"/>
                <w:sz w:val="24"/>
              </w:rPr>
              <w:t>准，以及地方环境质量管理要求评价大气环境质量现状达标情况。</w:t>
            </w:r>
          </w:p>
          <w:p w14:paraId="2D35D942">
            <w:pPr>
              <w:spacing w:line="360" w:lineRule="auto"/>
              <w:ind w:firstLine="480" w:firstLineChars="200"/>
              <w:rPr>
                <w:color w:val="auto"/>
                <w:sz w:val="24"/>
              </w:rPr>
            </w:pPr>
            <w:r>
              <w:rPr>
                <w:color w:val="auto"/>
                <w:sz w:val="24"/>
              </w:rPr>
              <w:t>1、</w:t>
            </w:r>
            <w:r>
              <w:rPr>
                <w:rFonts w:hint="eastAsia"/>
                <w:color w:val="auto"/>
                <w:kern w:val="24"/>
                <w:sz w:val="24"/>
              </w:rPr>
              <w:t>常规污染物</w:t>
            </w:r>
            <w:r>
              <w:rPr>
                <w:color w:val="auto"/>
                <w:kern w:val="24"/>
                <w:sz w:val="24"/>
              </w:rPr>
              <w:t>质量现状</w:t>
            </w:r>
          </w:p>
          <w:p w14:paraId="0677C282">
            <w:pPr>
              <w:adjustRightInd w:val="0"/>
              <w:snapToGrid w:val="0"/>
              <w:spacing w:line="360" w:lineRule="auto"/>
              <w:ind w:firstLine="480" w:firstLineChars="200"/>
              <w:rPr>
                <w:color w:val="auto"/>
                <w:kern w:val="24"/>
                <w:sz w:val="24"/>
              </w:rPr>
            </w:pPr>
            <w:r>
              <w:rPr>
                <w:color w:val="auto"/>
                <w:kern w:val="24"/>
                <w:sz w:val="24"/>
              </w:rPr>
              <w:t>（1）区域环境质量现状达标情况</w:t>
            </w:r>
          </w:p>
          <w:p w14:paraId="55B8C021">
            <w:pPr>
              <w:adjustRightInd w:val="0"/>
              <w:snapToGrid w:val="0"/>
              <w:spacing w:line="360" w:lineRule="auto"/>
              <w:ind w:firstLine="480" w:firstLineChars="200"/>
              <w:rPr>
                <w:color w:val="auto"/>
                <w:kern w:val="24"/>
                <w:sz w:val="24"/>
              </w:rPr>
            </w:pPr>
            <w:r>
              <w:rPr>
                <w:rFonts w:hint="eastAsia"/>
                <w:color w:val="auto"/>
                <w:sz w:val="24"/>
                <w:lang w:eastAsia="zh-CN"/>
              </w:rPr>
              <w:t>根据</w:t>
            </w:r>
            <w:r>
              <w:rPr>
                <w:rFonts w:hint="eastAsia"/>
                <w:color w:val="auto"/>
                <w:sz w:val="24"/>
                <w:lang w:val="en-US" w:eastAsia="zh-CN"/>
              </w:rPr>
              <w:t>金寨县人民政府发布的</w:t>
            </w:r>
            <w:r>
              <w:rPr>
                <w:rFonts w:hint="eastAsia"/>
                <w:color w:val="auto"/>
                <w:sz w:val="24"/>
                <w:lang w:eastAsia="zh-CN"/>
              </w:rPr>
              <w:t>《2023年金寨县环境质量年报》， 2023年，金寨县环境空气质量：SO</w:t>
            </w:r>
            <w:r>
              <w:rPr>
                <w:rFonts w:hint="eastAsia"/>
                <w:color w:val="auto"/>
                <w:sz w:val="24"/>
                <w:vertAlign w:val="subscript"/>
                <w:lang w:eastAsia="zh-CN"/>
              </w:rPr>
              <w:t>2</w:t>
            </w:r>
            <w:r>
              <w:rPr>
                <w:rFonts w:hint="eastAsia"/>
                <w:color w:val="auto"/>
                <w:sz w:val="24"/>
                <w:lang w:eastAsia="zh-CN"/>
              </w:rPr>
              <w:t>：6μg/m</w:t>
            </w:r>
            <w:r>
              <w:rPr>
                <w:rFonts w:hint="eastAsia"/>
                <w:color w:val="auto"/>
                <w:sz w:val="24"/>
                <w:vertAlign w:val="superscript"/>
                <w:lang w:eastAsia="zh-CN"/>
              </w:rPr>
              <w:t>3</w:t>
            </w:r>
            <w:r>
              <w:rPr>
                <w:rFonts w:hint="eastAsia"/>
                <w:color w:val="auto"/>
                <w:sz w:val="24"/>
                <w:lang w:eastAsia="zh-CN"/>
              </w:rPr>
              <w:t>；NO</w:t>
            </w:r>
            <w:r>
              <w:rPr>
                <w:rFonts w:hint="eastAsia"/>
                <w:color w:val="auto"/>
                <w:sz w:val="24"/>
                <w:vertAlign w:val="subscript"/>
                <w:lang w:eastAsia="zh-CN"/>
              </w:rPr>
              <w:t>2</w:t>
            </w:r>
            <w:r>
              <w:rPr>
                <w:rFonts w:hint="eastAsia"/>
                <w:color w:val="auto"/>
                <w:sz w:val="24"/>
                <w:lang w:eastAsia="zh-CN"/>
              </w:rPr>
              <w:t>：15μg/m</w:t>
            </w:r>
            <w:r>
              <w:rPr>
                <w:rFonts w:hint="eastAsia"/>
                <w:color w:val="auto"/>
                <w:sz w:val="24"/>
                <w:vertAlign w:val="superscript"/>
                <w:lang w:eastAsia="zh-CN"/>
              </w:rPr>
              <w:t>3</w:t>
            </w:r>
            <w:r>
              <w:rPr>
                <w:rFonts w:hint="eastAsia"/>
                <w:color w:val="auto"/>
                <w:sz w:val="24"/>
                <w:lang w:eastAsia="zh-CN"/>
              </w:rPr>
              <w:t>；CO(95%)：0.9mg/m</w:t>
            </w:r>
            <w:r>
              <w:rPr>
                <w:rFonts w:hint="eastAsia"/>
                <w:color w:val="auto"/>
                <w:sz w:val="24"/>
                <w:vertAlign w:val="superscript"/>
                <w:lang w:eastAsia="zh-CN"/>
              </w:rPr>
              <w:t>3</w:t>
            </w:r>
            <w:r>
              <w:rPr>
                <w:rFonts w:hint="eastAsia"/>
                <w:color w:val="auto"/>
                <w:sz w:val="24"/>
                <w:lang w:eastAsia="zh-CN"/>
              </w:rPr>
              <w:t>；O</w:t>
            </w:r>
            <w:r>
              <w:rPr>
                <w:rFonts w:hint="eastAsia"/>
                <w:color w:val="auto"/>
                <w:sz w:val="24"/>
                <w:vertAlign w:val="subscript"/>
                <w:lang w:eastAsia="zh-CN"/>
              </w:rPr>
              <w:t>3</w:t>
            </w:r>
            <w:r>
              <w:rPr>
                <w:rFonts w:hint="eastAsia"/>
                <w:color w:val="auto"/>
                <w:sz w:val="24"/>
                <w:lang w:eastAsia="zh-CN"/>
              </w:rPr>
              <w:t>8小时：136μg/m</w:t>
            </w:r>
            <w:r>
              <w:rPr>
                <w:rFonts w:hint="eastAsia"/>
                <w:color w:val="auto"/>
                <w:sz w:val="24"/>
                <w:vertAlign w:val="superscript"/>
                <w:lang w:eastAsia="zh-CN"/>
              </w:rPr>
              <w:t>3</w:t>
            </w:r>
            <w:r>
              <w:rPr>
                <w:rFonts w:hint="eastAsia"/>
                <w:color w:val="auto"/>
                <w:sz w:val="24"/>
                <w:lang w:eastAsia="zh-CN"/>
              </w:rPr>
              <w:t>；PM</w:t>
            </w:r>
            <w:r>
              <w:rPr>
                <w:rFonts w:hint="eastAsia"/>
                <w:color w:val="auto"/>
                <w:sz w:val="24"/>
                <w:vertAlign w:val="subscript"/>
                <w:lang w:eastAsia="zh-CN"/>
              </w:rPr>
              <w:t>10</w:t>
            </w:r>
            <w:r>
              <w:rPr>
                <w:rFonts w:hint="eastAsia"/>
                <w:color w:val="auto"/>
                <w:sz w:val="24"/>
                <w:lang w:eastAsia="zh-CN"/>
              </w:rPr>
              <w:t>：56μg/m</w:t>
            </w:r>
            <w:r>
              <w:rPr>
                <w:rFonts w:hint="eastAsia"/>
                <w:color w:val="auto"/>
                <w:sz w:val="24"/>
                <w:vertAlign w:val="superscript"/>
                <w:lang w:eastAsia="zh-CN"/>
              </w:rPr>
              <w:t>3</w:t>
            </w:r>
            <w:r>
              <w:rPr>
                <w:rFonts w:hint="eastAsia"/>
                <w:color w:val="auto"/>
                <w:sz w:val="24"/>
                <w:lang w:eastAsia="zh-CN"/>
              </w:rPr>
              <w:t>；PM</w:t>
            </w:r>
            <w:r>
              <w:rPr>
                <w:rFonts w:hint="eastAsia"/>
                <w:color w:val="auto"/>
                <w:sz w:val="24"/>
                <w:vertAlign w:val="subscript"/>
                <w:lang w:eastAsia="zh-CN"/>
              </w:rPr>
              <w:t>2.5</w:t>
            </w:r>
            <w:r>
              <w:rPr>
                <w:rFonts w:hint="eastAsia"/>
                <w:color w:val="auto"/>
                <w:sz w:val="24"/>
                <w:lang w:eastAsia="zh-CN"/>
              </w:rPr>
              <w:t>：30μg/m</w:t>
            </w:r>
            <w:r>
              <w:rPr>
                <w:rFonts w:hint="eastAsia"/>
                <w:color w:val="auto"/>
                <w:sz w:val="24"/>
                <w:vertAlign w:val="superscript"/>
                <w:lang w:eastAsia="zh-CN"/>
              </w:rPr>
              <w:t>3</w:t>
            </w:r>
            <w:r>
              <w:rPr>
                <w:rFonts w:hint="eastAsia"/>
                <w:color w:val="auto"/>
                <w:sz w:val="24"/>
                <w:lang w:eastAsia="zh-CN"/>
              </w:rPr>
              <w:t>。空气优良率91.5%（有效天数365天，优良天数为334天），重污染天数4天。</w:t>
            </w:r>
            <w:r>
              <w:rPr>
                <w:color w:val="auto"/>
                <w:kern w:val="24"/>
                <w:sz w:val="24"/>
              </w:rPr>
              <w:t>具体数据见下表</w:t>
            </w:r>
            <w:r>
              <w:rPr>
                <w:rFonts w:hint="eastAsia"/>
                <w:color w:val="auto"/>
                <w:kern w:val="24"/>
                <w:sz w:val="24"/>
              </w:rPr>
              <w:t>：</w:t>
            </w:r>
          </w:p>
          <w:p w14:paraId="65666B5F">
            <w:pPr>
              <w:pStyle w:val="73"/>
              <w:ind w:firstLine="482"/>
              <w:rPr>
                <w:rFonts w:eastAsia="宋体"/>
                <w:b/>
                <w:bCs/>
                <w:snapToGrid w:val="0"/>
                <w:color w:val="auto"/>
                <w:sz w:val="24"/>
              </w:rPr>
            </w:pPr>
            <w:r>
              <w:rPr>
                <w:rFonts w:eastAsia="宋体"/>
                <w:b/>
                <w:bCs/>
                <w:snapToGrid w:val="0"/>
                <w:color w:val="auto"/>
                <w:sz w:val="24"/>
              </w:rPr>
              <w:t>表3-</w:t>
            </w:r>
            <w:r>
              <w:rPr>
                <w:rFonts w:hint="eastAsia" w:eastAsia="宋体"/>
                <w:b/>
                <w:bCs/>
                <w:snapToGrid w:val="0"/>
                <w:color w:val="auto"/>
                <w:sz w:val="24"/>
              </w:rPr>
              <w:t>1</w:t>
            </w:r>
            <w:r>
              <w:rPr>
                <w:rFonts w:eastAsia="宋体"/>
                <w:b/>
                <w:bCs/>
                <w:snapToGrid w:val="0"/>
                <w:color w:val="auto"/>
                <w:sz w:val="24"/>
              </w:rPr>
              <w:t xml:space="preserve"> 区域空气质量现状评价表</w:t>
            </w:r>
            <w:r>
              <w:rPr>
                <w:rFonts w:hint="eastAsia" w:eastAsia="宋体"/>
                <w:b/>
                <w:bCs/>
                <w:snapToGrid w:val="0"/>
                <w:color w:val="auto"/>
                <w:sz w:val="24"/>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564"/>
              <w:gridCol w:w="2065"/>
              <w:gridCol w:w="1532"/>
              <w:gridCol w:w="917"/>
              <w:gridCol w:w="691"/>
            </w:tblGrid>
            <w:tr w14:paraId="58E7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16839742">
                  <w:pPr>
                    <w:jc w:val="center"/>
                    <w:rPr>
                      <w:b/>
                      <w:bCs/>
                      <w:color w:val="auto"/>
                      <w:szCs w:val="21"/>
                    </w:rPr>
                  </w:pPr>
                  <w:r>
                    <w:rPr>
                      <w:rFonts w:hint="eastAsia"/>
                      <w:b/>
                      <w:bCs/>
                      <w:color w:val="auto"/>
                      <w:szCs w:val="21"/>
                    </w:rPr>
                    <w:t>污染物</w:t>
                  </w:r>
                </w:p>
              </w:tc>
              <w:tc>
                <w:tcPr>
                  <w:tcW w:w="2564" w:type="dxa"/>
                  <w:vAlign w:val="center"/>
                </w:tcPr>
                <w:p w14:paraId="43A56B12">
                  <w:pPr>
                    <w:jc w:val="center"/>
                    <w:rPr>
                      <w:b/>
                      <w:bCs/>
                      <w:color w:val="auto"/>
                      <w:szCs w:val="21"/>
                    </w:rPr>
                  </w:pPr>
                  <w:r>
                    <w:rPr>
                      <w:rFonts w:hint="eastAsia"/>
                      <w:b/>
                      <w:bCs/>
                      <w:color w:val="auto"/>
                      <w:szCs w:val="21"/>
                    </w:rPr>
                    <w:t>年评价指标</w:t>
                  </w:r>
                </w:p>
              </w:tc>
              <w:tc>
                <w:tcPr>
                  <w:tcW w:w="2065" w:type="dxa"/>
                  <w:vAlign w:val="center"/>
                </w:tcPr>
                <w:p w14:paraId="5605E755">
                  <w:pPr>
                    <w:jc w:val="center"/>
                    <w:rPr>
                      <w:b/>
                      <w:bCs/>
                      <w:color w:val="auto"/>
                      <w:szCs w:val="21"/>
                    </w:rPr>
                  </w:pPr>
                  <w:r>
                    <w:rPr>
                      <w:rFonts w:hint="eastAsia"/>
                      <w:b/>
                      <w:bCs/>
                      <w:color w:val="auto"/>
                      <w:szCs w:val="21"/>
                    </w:rPr>
                    <w:t>现状浓度（μg/m</w:t>
                  </w:r>
                  <w:r>
                    <w:rPr>
                      <w:rFonts w:hint="eastAsia"/>
                      <w:b/>
                      <w:bCs/>
                      <w:color w:val="auto"/>
                      <w:szCs w:val="21"/>
                      <w:vertAlign w:val="superscript"/>
                    </w:rPr>
                    <w:t>3</w:t>
                  </w:r>
                  <w:r>
                    <w:rPr>
                      <w:rFonts w:hint="eastAsia"/>
                      <w:b/>
                      <w:bCs/>
                      <w:color w:val="auto"/>
                      <w:szCs w:val="21"/>
                    </w:rPr>
                    <w:t>）</w:t>
                  </w:r>
                </w:p>
              </w:tc>
              <w:tc>
                <w:tcPr>
                  <w:tcW w:w="1532" w:type="dxa"/>
                  <w:vAlign w:val="center"/>
                </w:tcPr>
                <w:p w14:paraId="5AB60B63">
                  <w:pPr>
                    <w:jc w:val="center"/>
                    <w:rPr>
                      <w:b/>
                      <w:bCs/>
                      <w:color w:val="auto"/>
                      <w:szCs w:val="21"/>
                    </w:rPr>
                  </w:pPr>
                  <w:r>
                    <w:rPr>
                      <w:rFonts w:hint="eastAsia"/>
                      <w:b/>
                      <w:bCs/>
                      <w:color w:val="auto"/>
                      <w:szCs w:val="21"/>
                    </w:rPr>
                    <w:t>标准值（μg/m</w:t>
                  </w:r>
                  <w:r>
                    <w:rPr>
                      <w:rFonts w:hint="eastAsia"/>
                      <w:b/>
                      <w:bCs/>
                      <w:color w:val="auto"/>
                      <w:szCs w:val="21"/>
                      <w:vertAlign w:val="superscript"/>
                    </w:rPr>
                    <w:t>3</w:t>
                  </w:r>
                  <w:r>
                    <w:rPr>
                      <w:rFonts w:hint="eastAsia"/>
                      <w:b/>
                      <w:bCs/>
                      <w:color w:val="auto"/>
                      <w:szCs w:val="21"/>
                    </w:rPr>
                    <w:t>）</w:t>
                  </w:r>
                </w:p>
              </w:tc>
              <w:tc>
                <w:tcPr>
                  <w:tcW w:w="917" w:type="dxa"/>
                  <w:vAlign w:val="center"/>
                </w:tcPr>
                <w:p w14:paraId="7623EA79">
                  <w:pPr>
                    <w:jc w:val="center"/>
                    <w:rPr>
                      <w:b/>
                      <w:bCs/>
                      <w:color w:val="auto"/>
                      <w:szCs w:val="21"/>
                    </w:rPr>
                  </w:pPr>
                  <w:r>
                    <w:rPr>
                      <w:rFonts w:hint="eastAsia"/>
                      <w:b/>
                      <w:bCs/>
                      <w:color w:val="auto"/>
                      <w:szCs w:val="21"/>
                    </w:rPr>
                    <w:t>占标率（%）</w:t>
                  </w:r>
                </w:p>
              </w:tc>
              <w:tc>
                <w:tcPr>
                  <w:tcW w:w="691" w:type="dxa"/>
                  <w:vAlign w:val="center"/>
                </w:tcPr>
                <w:p w14:paraId="1F49E580">
                  <w:pPr>
                    <w:jc w:val="center"/>
                    <w:rPr>
                      <w:b/>
                      <w:bCs/>
                      <w:color w:val="auto"/>
                      <w:szCs w:val="21"/>
                    </w:rPr>
                  </w:pPr>
                  <w:r>
                    <w:rPr>
                      <w:rFonts w:hint="eastAsia"/>
                      <w:b/>
                      <w:bCs/>
                      <w:color w:val="auto"/>
                      <w:szCs w:val="21"/>
                    </w:rPr>
                    <w:t>达标情况</w:t>
                  </w:r>
                </w:p>
              </w:tc>
            </w:tr>
            <w:tr w14:paraId="664E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0BA593FE">
                  <w:pPr>
                    <w:jc w:val="center"/>
                    <w:rPr>
                      <w:color w:val="auto"/>
                      <w:szCs w:val="21"/>
                    </w:rPr>
                  </w:pPr>
                  <w:r>
                    <w:rPr>
                      <w:color w:val="auto"/>
                      <w:szCs w:val="21"/>
                    </w:rPr>
                    <w:t>SO</w:t>
                  </w:r>
                  <w:r>
                    <w:rPr>
                      <w:rFonts w:hint="eastAsia"/>
                      <w:color w:val="auto"/>
                      <w:szCs w:val="21"/>
                      <w:vertAlign w:val="subscript"/>
                    </w:rPr>
                    <w:t>2</w:t>
                  </w:r>
                </w:p>
              </w:tc>
              <w:tc>
                <w:tcPr>
                  <w:tcW w:w="2564" w:type="dxa"/>
                  <w:vAlign w:val="center"/>
                </w:tcPr>
                <w:p w14:paraId="052B15DA">
                  <w:pPr>
                    <w:jc w:val="center"/>
                    <w:rPr>
                      <w:color w:val="auto"/>
                      <w:szCs w:val="21"/>
                    </w:rPr>
                  </w:pPr>
                  <w:r>
                    <w:rPr>
                      <w:rFonts w:hint="eastAsia"/>
                      <w:color w:val="auto"/>
                      <w:szCs w:val="21"/>
                    </w:rPr>
                    <w:t>年平均质量浓度</w:t>
                  </w:r>
                </w:p>
              </w:tc>
              <w:tc>
                <w:tcPr>
                  <w:tcW w:w="2065" w:type="dxa"/>
                  <w:vAlign w:val="center"/>
                </w:tcPr>
                <w:p w14:paraId="30CE5099">
                  <w:pPr>
                    <w:jc w:val="center"/>
                    <w:rPr>
                      <w:rFonts w:hint="eastAsia" w:eastAsia="宋体"/>
                      <w:color w:val="auto"/>
                      <w:szCs w:val="21"/>
                      <w:lang w:eastAsia="zh-CN"/>
                    </w:rPr>
                  </w:pPr>
                  <w:r>
                    <w:rPr>
                      <w:rFonts w:hint="eastAsia"/>
                      <w:color w:val="auto"/>
                      <w:szCs w:val="21"/>
                      <w:lang w:val="en-US" w:eastAsia="zh-CN"/>
                    </w:rPr>
                    <w:t>6</w:t>
                  </w:r>
                </w:p>
              </w:tc>
              <w:tc>
                <w:tcPr>
                  <w:tcW w:w="1532" w:type="dxa"/>
                  <w:vAlign w:val="center"/>
                </w:tcPr>
                <w:p w14:paraId="18B603A4">
                  <w:pPr>
                    <w:jc w:val="center"/>
                    <w:rPr>
                      <w:color w:val="auto"/>
                      <w:szCs w:val="21"/>
                    </w:rPr>
                  </w:pPr>
                  <w:r>
                    <w:rPr>
                      <w:rFonts w:hint="eastAsia"/>
                      <w:color w:val="auto"/>
                      <w:szCs w:val="21"/>
                    </w:rPr>
                    <w:t>60</w:t>
                  </w:r>
                </w:p>
              </w:tc>
              <w:tc>
                <w:tcPr>
                  <w:tcW w:w="917" w:type="dxa"/>
                  <w:vAlign w:val="center"/>
                </w:tcPr>
                <w:p w14:paraId="528A08BC">
                  <w:pPr>
                    <w:jc w:val="center"/>
                    <w:rPr>
                      <w:rFonts w:hint="default" w:eastAsia="宋体"/>
                      <w:color w:val="auto"/>
                      <w:szCs w:val="21"/>
                      <w:lang w:val="en-US" w:eastAsia="zh-CN"/>
                    </w:rPr>
                  </w:pPr>
                  <w:r>
                    <w:rPr>
                      <w:rFonts w:hint="eastAsia"/>
                      <w:color w:val="auto"/>
                      <w:szCs w:val="21"/>
                      <w:lang w:val="en-US" w:eastAsia="zh-CN"/>
                    </w:rPr>
                    <w:t>10</w:t>
                  </w:r>
                </w:p>
              </w:tc>
              <w:tc>
                <w:tcPr>
                  <w:tcW w:w="691" w:type="dxa"/>
                  <w:vAlign w:val="center"/>
                </w:tcPr>
                <w:p w14:paraId="291D33E2">
                  <w:pPr>
                    <w:jc w:val="center"/>
                    <w:rPr>
                      <w:color w:val="auto"/>
                      <w:szCs w:val="21"/>
                    </w:rPr>
                  </w:pPr>
                  <w:r>
                    <w:rPr>
                      <w:rFonts w:hint="eastAsia"/>
                      <w:color w:val="auto"/>
                      <w:szCs w:val="21"/>
                    </w:rPr>
                    <w:t>达标</w:t>
                  </w:r>
                </w:p>
              </w:tc>
            </w:tr>
            <w:tr w14:paraId="3B23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654458E7">
                  <w:pPr>
                    <w:jc w:val="center"/>
                    <w:rPr>
                      <w:color w:val="auto"/>
                      <w:szCs w:val="21"/>
                    </w:rPr>
                  </w:pPr>
                  <w:r>
                    <w:rPr>
                      <w:color w:val="auto"/>
                      <w:szCs w:val="21"/>
                    </w:rPr>
                    <w:t>NO</w:t>
                  </w:r>
                  <w:r>
                    <w:rPr>
                      <w:color w:val="auto"/>
                      <w:szCs w:val="21"/>
                      <w:vertAlign w:val="subscript"/>
                    </w:rPr>
                    <w:t>2</w:t>
                  </w:r>
                </w:p>
              </w:tc>
              <w:tc>
                <w:tcPr>
                  <w:tcW w:w="2564" w:type="dxa"/>
                  <w:vAlign w:val="center"/>
                </w:tcPr>
                <w:p w14:paraId="7375AB5A">
                  <w:pPr>
                    <w:jc w:val="center"/>
                    <w:rPr>
                      <w:color w:val="auto"/>
                      <w:szCs w:val="21"/>
                    </w:rPr>
                  </w:pPr>
                  <w:r>
                    <w:rPr>
                      <w:rFonts w:hint="eastAsia"/>
                      <w:color w:val="auto"/>
                      <w:szCs w:val="21"/>
                    </w:rPr>
                    <w:t>年平均质量浓度</w:t>
                  </w:r>
                </w:p>
              </w:tc>
              <w:tc>
                <w:tcPr>
                  <w:tcW w:w="2065" w:type="dxa"/>
                  <w:vAlign w:val="center"/>
                </w:tcPr>
                <w:p w14:paraId="16AD9E3E">
                  <w:pPr>
                    <w:jc w:val="center"/>
                    <w:rPr>
                      <w:rFonts w:hint="default" w:eastAsia="宋体"/>
                      <w:color w:val="auto"/>
                      <w:szCs w:val="21"/>
                      <w:lang w:val="en-US" w:eastAsia="zh-CN"/>
                    </w:rPr>
                  </w:pPr>
                  <w:r>
                    <w:rPr>
                      <w:rFonts w:hint="eastAsia"/>
                      <w:color w:val="auto"/>
                      <w:szCs w:val="21"/>
                      <w:lang w:val="en-US" w:eastAsia="zh-CN"/>
                    </w:rPr>
                    <w:t>15</w:t>
                  </w:r>
                </w:p>
              </w:tc>
              <w:tc>
                <w:tcPr>
                  <w:tcW w:w="1532" w:type="dxa"/>
                  <w:vAlign w:val="center"/>
                </w:tcPr>
                <w:p w14:paraId="3588A4AB">
                  <w:pPr>
                    <w:jc w:val="center"/>
                    <w:rPr>
                      <w:color w:val="auto"/>
                      <w:szCs w:val="21"/>
                    </w:rPr>
                  </w:pPr>
                  <w:r>
                    <w:rPr>
                      <w:rFonts w:hint="eastAsia"/>
                      <w:color w:val="auto"/>
                      <w:szCs w:val="21"/>
                    </w:rPr>
                    <w:t>40</w:t>
                  </w:r>
                </w:p>
              </w:tc>
              <w:tc>
                <w:tcPr>
                  <w:tcW w:w="917" w:type="dxa"/>
                  <w:vAlign w:val="center"/>
                </w:tcPr>
                <w:p w14:paraId="2FD32AC2">
                  <w:pPr>
                    <w:jc w:val="center"/>
                    <w:rPr>
                      <w:rFonts w:hint="default" w:eastAsia="宋体"/>
                      <w:color w:val="auto"/>
                      <w:szCs w:val="21"/>
                      <w:lang w:val="en-US" w:eastAsia="zh-CN"/>
                    </w:rPr>
                  </w:pPr>
                  <w:r>
                    <w:rPr>
                      <w:rFonts w:hint="eastAsia"/>
                      <w:color w:val="auto"/>
                      <w:szCs w:val="21"/>
                      <w:lang w:val="en-US" w:eastAsia="zh-CN"/>
                    </w:rPr>
                    <w:t>37.5</w:t>
                  </w:r>
                </w:p>
              </w:tc>
              <w:tc>
                <w:tcPr>
                  <w:tcW w:w="691" w:type="dxa"/>
                  <w:vAlign w:val="center"/>
                </w:tcPr>
                <w:p w14:paraId="1D6F8BB1">
                  <w:pPr>
                    <w:jc w:val="center"/>
                    <w:rPr>
                      <w:color w:val="auto"/>
                      <w:szCs w:val="21"/>
                    </w:rPr>
                  </w:pPr>
                  <w:r>
                    <w:rPr>
                      <w:rFonts w:hint="eastAsia"/>
                      <w:color w:val="auto"/>
                      <w:szCs w:val="21"/>
                    </w:rPr>
                    <w:t>达标</w:t>
                  </w:r>
                </w:p>
              </w:tc>
            </w:tr>
            <w:tr w14:paraId="3E54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0E773AB7">
                  <w:pPr>
                    <w:jc w:val="center"/>
                    <w:rPr>
                      <w:color w:val="auto"/>
                      <w:szCs w:val="21"/>
                    </w:rPr>
                  </w:pPr>
                  <w:r>
                    <w:rPr>
                      <w:color w:val="auto"/>
                      <w:szCs w:val="21"/>
                    </w:rPr>
                    <w:t>PM</w:t>
                  </w:r>
                  <w:r>
                    <w:rPr>
                      <w:rFonts w:hint="eastAsia"/>
                      <w:color w:val="auto"/>
                      <w:szCs w:val="21"/>
                      <w:vertAlign w:val="subscript"/>
                    </w:rPr>
                    <w:t>10</w:t>
                  </w:r>
                </w:p>
              </w:tc>
              <w:tc>
                <w:tcPr>
                  <w:tcW w:w="2564" w:type="dxa"/>
                  <w:vAlign w:val="center"/>
                </w:tcPr>
                <w:p w14:paraId="7F7F2B77">
                  <w:pPr>
                    <w:jc w:val="center"/>
                    <w:rPr>
                      <w:color w:val="auto"/>
                      <w:szCs w:val="21"/>
                    </w:rPr>
                  </w:pPr>
                  <w:r>
                    <w:rPr>
                      <w:rFonts w:hint="eastAsia"/>
                      <w:color w:val="auto"/>
                      <w:szCs w:val="21"/>
                    </w:rPr>
                    <w:t>年平均质量浓度</w:t>
                  </w:r>
                </w:p>
              </w:tc>
              <w:tc>
                <w:tcPr>
                  <w:tcW w:w="2065" w:type="dxa"/>
                  <w:vAlign w:val="center"/>
                </w:tcPr>
                <w:p w14:paraId="4E890C5E">
                  <w:pPr>
                    <w:jc w:val="center"/>
                    <w:rPr>
                      <w:rFonts w:hint="default" w:eastAsia="宋体"/>
                      <w:color w:val="auto"/>
                      <w:szCs w:val="21"/>
                      <w:lang w:val="en-US" w:eastAsia="zh-CN"/>
                    </w:rPr>
                  </w:pPr>
                  <w:r>
                    <w:rPr>
                      <w:rFonts w:hint="eastAsia"/>
                      <w:color w:val="auto"/>
                      <w:szCs w:val="21"/>
                      <w:lang w:val="en-US" w:eastAsia="zh-CN"/>
                    </w:rPr>
                    <w:t>56</w:t>
                  </w:r>
                </w:p>
              </w:tc>
              <w:tc>
                <w:tcPr>
                  <w:tcW w:w="1532" w:type="dxa"/>
                  <w:vAlign w:val="center"/>
                </w:tcPr>
                <w:p w14:paraId="0FE3671F">
                  <w:pPr>
                    <w:jc w:val="center"/>
                    <w:rPr>
                      <w:color w:val="auto"/>
                      <w:szCs w:val="21"/>
                    </w:rPr>
                  </w:pPr>
                  <w:r>
                    <w:rPr>
                      <w:rFonts w:hint="eastAsia"/>
                      <w:color w:val="auto"/>
                      <w:szCs w:val="21"/>
                    </w:rPr>
                    <w:t>70</w:t>
                  </w:r>
                </w:p>
              </w:tc>
              <w:tc>
                <w:tcPr>
                  <w:tcW w:w="917" w:type="dxa"/>
                  <w:vAlign w:val="center"/>
                </w:tcPr>
                <w:p w14:paraId="372618BF">
                  <w:pPr>
                    <w:jc w:val="center"/>
                    <w:rPr>
                      <w:rFonts w:hint="default" w:eastAsia="宋体"/>
                      <w:color w:val="auto"/>
                      <w:szCs w:val="21"/>
                      <w:lang w:val="en-US" w:eastAsia="zh-CN"/>
                    </w:rPr>
                  </w:pPr>
                  <w:r>
                    <w:rPr>
                      <w:rFonts w:hint="eastAsia"/>
                      <w:color w:val="auto"/>
                      <w:szCs w:val="21"/>
                      <w:lang w:val="en-US" w:eastAsia="zh-CN"/>
                    </w:rPr>
                    <w:t>80</w:t>
                  </w:r>
                </w:p>
              </w:tc>
              <w:tc>
                <w:tcPr>
                  <w:tcW w:w="691" w:type="dxa"/>
                  <w:vAlign w:val="center"/>
                </w:tcPr>
                <w:p w14:paraId="61A11398">
                  <w:pPr>
                    <w:jc w:val="center"/>
                    <w:rPr>
                      <w:color w:val="auto"/>
                      <w:szCs w:val="21"/>
                    </w:rPr>
                  </w:pPr>
                  <w:r>
                    <w:rPr>
                      <w:rFonts w:hint="eastAsia"/>
                      <w:color w:val="auto"/>
                      <w:szCs w:val="21"/>
                    </w:rPr>
                    <w:t>达标</w:t>
                  </w:r>
                </w:p>
              </w:tc>
            </w:tr>
            <w:tr w14:paraId="2401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1E4D1BC4">
                  <w:pPr>
                    <w:jc w:val="center"/>
                    <w:rPr>
                      <w:color w:val="auto"/>
                      <w:szCs w:val="21"/>
                    </w:rPr>
                  </w:pPr>
                  <w:r>
                    <w:rPr>
                      <w:color w:val="auto"/>
                      <w:szCs w:val="21"/>
                    </w:rPr>
                    <w:t>PM</w:t>
                  </w:r>
                  <w:r>
                    <w:rPr>
                      <w:rFonts w:hint="eastAsia"/>
                      <w:color w:val="auto"/>
                      <w:szCs w:val="21"/>
                      <w:vertAlign w:val="subscript"/>
                    </w:rPr>
                    <w:t>2.5</w:t>
                  </w:r>
                </w:p>
              </w:tc>
              <w:tc>
                <w:tcPr>
                  <w:tcW w:w="2564" w:type="dxa"/>
                  <w:vAlign w:val="center"/>
                </w:tcPr>
                <w:p w14:paraId="50F36188">
                  <w:pPr>
                    <w:jc w:val="center"/>
                    <w:rPr>
                      <w:color w:val="auto"/>
                      <w:szCs w:val="21"/>
                    </w:rPr>
                  </w:pPr>
                  <w:r>
                    <w:rPr>
                      <w:rFonts w:hint="eastAsia"/>
                      <w:color w:val="auto"/>
                      <w:szCs w:val="21"/>
                    </w:rPr>
                    <w:t>年平均质量浓度</w:t>
                  </w:r>
                </w:p>
              </w:tc>
              <w:tc>
                <w:tcPr>
                  <w:tcW w:w="2065" w:type="dxa"/>
                  <w:vAlign w:val="center"/>
                </w:tcPr>
                <w:p w14:paraId="66AF606A">
                  <w:pPr>
                    <w:jc w:val="center"/>
                    <w:rPr>
                      <w:rFonts w:hint="default" w:eastAsia="宋体"/>
                      <w:color w:val="auto"/>
                      <w:szCs w:val="21"/>
                      <w:lang w:val="en-US" w:eastAsia="zh-CN"/>
                    </w:rPr>
                  </w:pPr>
                  <w:r>
                    <w:rPr>
                      <w:rFonts w:hint="eastAsia"/>
                      <w:color w:val="auto"/>
                      <w:szCs w:val="21"/>
                      <w:lang w:val="en-US" w:eastAsia="zh-CN"/>
                    </w:rPr>
                    <w:t>30</w:t>
                  </w:r>
                </w:p>
              </w:tc>
              <w:tc>
                <w:tcPr>
                  <w:tcW w:w="1532" w:type="dxa"/>
                  <w:vAlign w:val="center"/>
                </w:tcPr>
                <w:p w14:paraId="3666AA39">
                  <w:pPr>
                    <w:jc w:val="center"/>
                    <w:rPr>
                      <w:color w:val="auto"/>
                      <w:szCs w:val="21"/>
                    </w:rPr>
                  </w:pPr>
                  <w:r>
                    <w:rPr>
                      <w:rFonts w:hint="eastAsia"/>
                      <w:color w:val="auto"/>
                      <w:szCs w:val="21"/>
                    </w:rPr>
                    <w:t>35</w:t>
                  </w:r>
                </w:p>
              </w:tc>
              <w:tc>
                <w:tcPr>
                  <w:tcW w:w="917" w:type="dxa"/>
                  <w:vAlign w:val="center"/>
                </w:tcPr>
                <w:p w14:paraId="2113D09D">
                  <w:pPr>
                    <w:jc w:val="center"/>
                    <w:rPr>
                      <w:rFonts w:hint="default" w:eastAsia="宋体"/>
                      <w:color w:val="auto"/>
                      <w:szCs w:val="21"/>
                      <w:lang w:val="en-US" w:eastAsia="zh-CN"/>
                    </w:rPr>
                  </w:pPr>
                  <w:r>
                    <w:rPr>
                      <w:rFonts w:hint="eastAsia"/>
                      <w:color w:val="auto"/>
                      <w:szCs w:val="21"/>
                      <w:lang w:val="en-US" w:eastAsia="zh-CN"/>
                    </w:rPr>
                    <w:t>85.7</w:t>
                  </w:r>
                </w:p>
              </w:tc>
              <w:tc>
                <w:tcPr>
                  <w:tcW w:w="691" w:type="dxa"/>
                  <w:vAlign w:val="center"/>
                </w:tcPr>
                <w:p w14:paraId="14AC37FA">
                  <w:pPr>
                    <w:jc w:val="center"/>
                    <w:rPr>
                      <w:color w:val="auto"/>
                      <w:szCs w:val="21"/>
                    </w:rPr>
                  </w:pPr>
                  <w:r>
                    <w:rPr>
                      <w:rFonts w:hint="eastAsia"/>
                      <w:color w:val="auto"/>
                      <w:szCs w:val="21"/>
                    </w:rPr>
                    <w:t>达标</w:t>
                  </w:r>
                </w:p>
              </w:tc>
            </w:tr>
            <w:tr w14:paraId="26DA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0001F78E">
                  <w:pPr>
                    <w:jc w:val="center"/>
                    <w:rPr>
                      <w:color w:val="auto"/>
                      <w:szCs w:val="21"/>
                    </w:rPr>
                  </w:pPr>
                  <w:r>
                    <w:rPr>
                      <w:rFonts w:hint="eastAsia"/>
                      <w:color w:val="auto"/>
                      <w:szCs w:val="21"/>
                    </w:rPr>
                    <w:t>CO</w:t>
                  </w:r>
                </w:p>
              </w:tc>
              <w:tc>
                <w:tcPr>
                  <w:tcW w:w="2564" w:type="dxa"/>
                  <w:vAlign w:val="center"/>
                </w:tcPr>
                <w:p w14:paraId="1DECC58D">
                  <w:pPr>
                    <w:jc w:val="center"/>
                    <w:rPr>
                      <w:color w:val="auto"/>
                      <w:szCs w:val="21"/>
                    </w:rPr>
                  </w:pPr>
                  <w:r>
                    <w:rPr>
                      <w:rFonts w:hint="eastAsia"/>
                      <w:color w:val="auto"/>
                      <w:szCs w:val="21"/>
                    </w:rPr>
                    <w:t>日平均第95百分位数年平均质量浓度</w:t>
                  </w:r>
                </w:p>
              </w:tc>
              <w:tc>
                <w:tcPr>
                  <w:tcW w:w="2065" w:type="dxa"/>
                  <w:vAlign w:val="center"/>
                </w:tcPr>
                <w:p w14:paraId="20167ACF">
                  <w:pPr>
                    <w:jc w:val="center"/>
                    <w:rPr>
                      <w:rFonts w:hint="default" w:eastAsia="宋体"/>
                      <w:color w:val="auto"/>
                      <w:szCs w:val="21"/>
                      <w:lang w:val="en-US" w:eastAsia="zh-CN"/>
                    </w:rPr>
                  </w:pPr>
                  <w:r>
                    <w:rPr>
                      <w:rFonts w:hint="eastAsia"/>
                      <w:color w:val="auto"/>
                      <w:szCs w:val="21"/>
                      <w:lang w:val="en-US" w:eastAsia="zh-CN"/>
                    </w:rPr>
                    <w:t>900</w:t>
                  </w:r>
                </w:p>
              </w:tc>
              <w:tc>
                <w:tcPr>
                  <w:tcW w:w="1532" w:type="dxa"/>
                  <w:vAlign w:val="center"/>
                </w:tcPr>
                <w:p w14:paraId="5FA5402B">
                  <w:pPr>
                    <w:jc w:val="center"/>
                    <w:rPr>
                      <w:color w:val="auto"/>
                      <w:szCs w:val="21"/>
                    </w:rPr>
                  </w:pPr>
                  <w:r>
                    <w:rPr>
                      <w:rFonts w:hint="eastAsia"/>
                      <w:color w:val="auto"/>
                      <w:szCs w:val="21"/>
                    </w:rPr>
                    <w:t>4000</w:t>
                  </w:r>
                </w:p>
              </w:tc>
              <w:tc>
                <w:tcPr>
                  <w:tcW w:w="917" w:type="dxa"/>
                  <w:vAlign w:val="center"/>
                </w:tcPr>
                <w:p w14:paraId="12EDBE63">
                  <w:pPr>
                    <w:jc w:val="center"/>
                    <w:rPr>
                      <w:rFonts w:hint="default" w:eastAsia="宋体"/>
                      <w:color w:val="auto"/>
                      <w:szCs w:val="21"/>
                      <w:lang w:val="en-US" w:eastAsia="zh-CN"/>
                    </w:rPr>
                  </w:pPr>
                  <w:r>
                    <w:rPr>
                      <w:rFonts w:hint="eastAsia"/>
                      <w:color w:val="auto"/>
                      <w:szCs w:val="21"/>
                      <w:lang w:val="en-US" w:eastAsia="zh-CN"/>
                    </w:rPr>
                    <w:t>22.5</w:t>
                  </w:r>
                </w:p>
              </w:tc>
              <w:tc>
                <w:tcPr>
                  <w:tcW w:w="691" w:type="dxa"/>
                  <w:vAlign w:val="center"/>
                </w:tcPr>
                <w:p w14:paraId="0FDFA5F5">
                  <w:pPr>
                    <w:jc w:val="center"/>
                    <w:rPr>
                      <w:color w:val="auto"/>
                      <w:szCs w:val="21"/>
                    </w:rPr>
                  </w:pPr>
                  <w:r>
                    <w:rPr>
                      <w:rFonts w:hint="eastAsia"/>
                      <w:color w:val="auto"/>
                      <w:szCs w:val="21"/>
                    </w:rPr>
                    <w:t>达标</w:t>
                  </w:r>
                </w:p>
              </w:tc>
            </w:tr>
            <w:tr w14:paraId="6A83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50B9DC4C">
                  <w:pPr>
                    <w:jc w:val="center"/>
                    <w:rPr>
                      <w:color w:val="auto"/>
                      <w:szCs w:val="21"/>
                    </w:rPr>
                  </w:pPr>
                  <w:r>
                    <w:rPr>
                      <w:rFonts w:hint="eastAsia"/>
                      <w:color w:val="auto"/>
                      <w:szCs w:val="21"/>
                    </w:rPr>
                    <w:t>O</w:t>
                  </w:r>
                  <w:r>
                    <w:rPr>
                      <w:rFonts w:hint="eastAsia"/>
                      <w:color w:val="auto"/>
                      <w:szCs w:val="21"/>
                      <w:vertAlign w:val="subscript"/>
                    </w:rPr>
                    <w:t>3</w:t>
                  </w:r>
                </w:p>
              </w:tc>
              <w:tc>
                <w:tcPr>
                  <w:tcW w:w="2564" w:type="dxa"/>
                  <w:vAlign w:val="center"/>
                </w:tcPr>
                <w:p w14:paraId="353E7F60">
                  <w:pPr>
                    <w:jc w:val="center"/>
                    <w:rPr>
                      <w:color w:val="auto"/>
                      <w:szCs w:val="21"/>
                    </w:rPr>
                  </w:pPr>
                  <w:r>
                    <w:rPr>
                      <w:rFonts w:hint="eastAsia"/>
                      <w:color w:val="auto"/>
                      <w:szCs w:val="21"/>
                    </w:rPr>
                    <w:t>八小时平均浓度第90百分位浓度年平均质量浓度</w:t>
                  </w:r>
                </w:p>
              </w:tc>
              <w:tc>
                <w:tcPr>
                  <w:tcW w:w="2065" w:type="dxa"/>
                  <w:vAlign w:val="center"/>
                </w:tcPr>
                <w:p w14:paraId="2A7D6DD1">
                  <w:pPr>
                    <w:jc w:val="center"/>
                    <w:rPr>
                      <w:rFonts w:hint="default" w:eastAsia="宋体"/>
                      <w:color w:val="auto"/>
                      <w:szCs w:val="21"/>
                      <w:lang w:val="en-US" w:eastAsia="zh-CN"/>
                    </w:rPr>
                  </w:pPr>
                  <w:r>
                    <w:rPr>
                      <w:rFonts w:hint="eastAsia"/>
                      <w:color w:val="auto"/>
                      <w:szCs w:val="21"/>
                      <w:lang w:val="en-US" w:eastAsia="zh-CN"/>
                    </w:rPr>
                    <w:t>136</w:t>
                  </w:r>
                </w:p>
              </w:tc>
              <w:tc>
                <w:tcPr>
                  <w:tcW w:w="1532" w:type="dxa"/>
                  <w:vAlign w:val="center"/>
                </w:tcPr>
                <w:p w14:paraId="4BD3D887">
                  <w:pPr>
                    <w:jc w:val="center"/>
                    <w:rPr>
                      <w:color w:val="auto"/>
                      <w:szCs w:val="21"/>
                    </w:rPr>
                  </w:pPr>
                  <w:r>
                    <w:rPr>
                      <w:rFonts w:hint="eastAsia"/>
                      <w:color w:val="auto"/>
                      <w:szCs w:val="21"/>
                    </w:rPr>
                    <w:t>160</w:t>
                  </w:r>
                </w:p>
              </w:tc>
              <w:tc>
                <w:tcPr>
                  <w:tcW w:w="917" w:type="dxa"/>
                  <w:vAlign w:val="center"/>
                </w:tcPr>
                <w:p w14:paraId="3E7F023D">
                  <w:pPr>
                    <w:jc w:val="center"/>
                    <w:rPr>
                      <w:rFonts w:hint="default" w:eastAsia="宋体"/>
                      <w:color w:val="auto"/>
                      <w:szCs w:val="21"/>
                      <w:lang w:val="en-US" w:eastAsia="zh-CN"/>
                    </w:rPr>
                  </w:pPr>
                  <w:r>
                    <w:rPr>
                      <w:rFonts w:hint="eastAsia"/>
                      <w:color w:val="auto"/>
                      <w:szCs w:val="21"/>
                      <w:lang w:val="en-US" w:eastAsia="zh-CN"/>
                    </w:rPr>
                    <w:t>85</w:t>
                  </w:r>
                </w:p>
              </w:tc>
              <w:tc>
                <w:tcPr>
                  <w:tcW w:w="691" w:type="dxa"/>
                  <w:vAlign w:val="center"/>
                </w:tcPr>
                <w:p w14:paraId="76C12198">
                  <w:pPr>
                    <w:jc w:val="center"/>
                    <w:rPr>
                      <w:color w:val="auto"/>
                      <w:szCs w:val="21"/>
                    </w:rPr>
                  </w:pPr>
                  <w:r>
                    <w:rPr>
                      <w:rFonts w:hint="eastAsia"/>
                      <w:color w:val="auto"/>
                      <w:szCs w:val="21"/>
                    </w:rPr>
                    <w:t>达标</w:t>
                  </w:r>
                </w:p>
              </w:tc>
            </w:tr>
          </w:tbl>
          <w:p w14:paraId="458235D0">
            <w:pPr>
              <w:adjustRightInd w:val="0"/>
              <w:snapToGrid w:val="0"/>
              <w:spacing w:line="360" w:lineRule="auto"/>
              <w:ind w:firstLine="480" w:firstLineChars="200"/>
              <w:rPr>
                <w:color w:val="auto"/>
                <w:kern w:val="24"/>
                <w:sz w:val="24"/>
              </w:rPr>
            </w:pPr>
            <w:r>
              <w:rPr>
                <w:color w:val="auto"/>
                <w:kern w:val="24"/>
                <w:sz w:val="24"/>
              </w:rPr>
              <w:t>根据质量公报检测结果统计，并结合《环境空气质量标准》（GB3095-2012）及2018年修改单中二级标准可知，</w:t>
            </w:r>
            <w:r>
              <w:rPr>
                <w:rFonts w:hint="eastAsia"/>
                <w:color w:val="auto"/>
                <w:sz w:val="24"/>
                <w:lang w:eastAsia="zh-CN"/>
              </w:rPr>
              <w:t>项目区域内PM</w:t>
            </w:r>
            <w:r>
              <w:rPr>
                <w:rFonts w:hint="eastAsia"/>
                <w:color w:val="auto"/>
                <w:sz w:val="24"/>
                <w:vertAlign w:val="subscript"/>
                <w:lang w:eastAsia="zh-CN"/>
              </w:rPr>
              <w:t>10</w:t>
            </w:r>
            <w:r>
              <w:rPr>
                <w:rFonts w:hint="eastAsia"/>
                <w:color w:val="auto"/>
                <w:sz w:val="24"/>
                <w:lang w:eastAsia="zh-CN"/>
              </w:rPr>
              <w:t>、PM</w:t>
            </w:r>
            <w:r>
              <w:rPr>
                <w:rFonts w:hint="eastAsia"/>
                <w:color w:val="auto"/>
                <w:sz w:val="24"/>
                <w:vertAlign w:val="subscript"/>
                <w:lang w:eastAsia="zh-CN"/>
              </w:rPr>
              <w:t>2.5</w:t>
            </w:r>
            <w:r>
              <w:rPr>
                <w:rFonts w:hint="eastAsia"/>
                <w:color w:val="auto"/>
                <w:sz w:val="24"/>
                <w:lang w:eastAsia="zh-CN"/>
              </w:rPr>
              <w:t>、SO</w:t>
            </w:r>
            <w:r>
              <w:rPr>
                <w:rFonts w:hint="eastAsia"/>
                <w:color w:val="auto"/>
                <w:sz w:val="24"/>
                <w:vertAlign w:val="subscript"/>
                <w:lang w:eastAsia="zh-CN"/>
              </w:rPr>
              <w:t>2</w:t>
            </w:r>
            <w:r>
              <w:rPr>
                <w:rFonts w:hint="eastAsia"/>
                <w:color w:val="auto"/>
                <w:sz w:val="24"/>
                <w:lang w:eastAsia="zh-CN"/>
              </w:rPr>
              <w:t>、NO</w:t>
            </w:r>
            <w:r>
              <w:rPr>
                <w:rFonts w:hint="eastAsia"/>
                <w:color w:val="auto"/>
                <w:sz w:val="24"/>
                <w:vertAlign w:val="subscript"/>
                <w:lang w:eastAsia="zh-CN"/>
              </w:rPr>
              <w:t>2</w:t>
            </w:r>
            <w:r>
              <w:rPr>
                <w:rFonts w:hint="eastAsia"/>
                <w:color w:val="auto"/>
                <w:sz w:val="24"/>
                <w:lang w:eastAsia="zh-CN"/>
              </w:rPr>
              <w:t>、O</w:t>
            </w:r>
            <w:r>
              <w:rPr>
                <w:rFonts w:hint="eastAsia"/>
                <w:color w:val="auto"/>
                <w:sz w:val="24"/>
                <w:vertAlign w:val="subscript"/>
                <w:lang w:eastAsia="zh-CN"/>
              </w:rPr>
              <w:t>3</w:t>
            </w:r>
            <w:r>
              <w:rPr>
                <w:rFonts w:hint="eastAsia"/>
                <w:color w:val="auto"/>
                <w:sz w:val="24"/>
                <w:lang w:eastAsia="zh-CN"/>
              </w:rPr>
              <w:t>、CO</w:t>
            </w:r>
            <w:r>
              <w:rPr>
                <w:rFonts w:hint="eastAsia"/>
                <w:color w:val="auto"/>
                <w:sz w:val="24"/>
                <w:lang w:val="en-US" w:eastAsia="zh-CN"/>
              </w:rPr>
              <w:t>污染物浓度均满足</w:t>
            </w:r>
            <w:r>
              <w:rPr>
                <w:rFonts w:hint="eastAsia"/>
                <w:color w:val="auto"/>
                <w:sz w:val="24"/>
                <w:lang w:eastAsia="zh-CN"/>
              </w:rPr>
              <w:t>《环境空气质量标准》（GB3095-2012）二级标准要求，项目所在区域环境空气质量为达标区</w:t>
            </w:r>
            <w:r>
              <w:rPr>
                <w:rFonts w:hint="eastAsia"/>
                <w:color w:val="auto"/>
                <w:kern w:val="24"/>
                <w:sz w:val="24"/>
              </w:rPr>
              <w:t>。</w:t>
            </w:r>
          </w:p>
          <w:p w14:paraId="5A57A5E1">
            <w:pPr>
              <w:adjustRightInd w:val="0"/>
              <w:snapToGrid w:val="0"/>
              <w:spacing w:line="360" w:lineRule="auto"/>
              <w:ind w:firstLine="480" w:firstLineChars="200"/>
              <w:rPr>
                <w:color w:val="auto"/>
                <w:kern w:val="24"/>
                <w:sz w:val="24"/>
              </w:rPr>
            </w:pPr>
            <w:r>
              <w:rPr>
                <w:color w:val="auto"/>
                <w:kern w:val="24"/>
                <w:sz w:val="24"/>
              </w:rPr>
              <w:t>2、特征因子质量现状</w:t>
            </w:r>
          </w:p>
          <w:p w14:paraId="56EA34BA">
            <w:pPr>
              <w:adjustRightInd w:val="0"/>
              <w:snapToGrid w:val="0"/>
              <w:spacing w:line="360" w:lineRule="auto"/>
              <w:ind w:firstLine="480" w:firstLineChars="200"/>
              <w:rPr>
                <w:color w:val="auto"/>
                <w:kern w:val="24"/>
                <w:sz w:val="24"/>
              </w:rPr>
            </w:pPr>
            <w:r>
              <w:rPr>
                <w:rFonts w:hint="eastAsia"/>
                <w:color w:val="auto"/>
                <w:kern w:val="24"/>
                <w:sz w:val="24"/>
                <w:lang w:val="en-US" w:eastAsia="zh-CN"/>
              </w:rPr>
              <w:t>本项目特征因子为</w:t>
            </w:r>
            <w:r>
              <w:rPr>
                <w:rFonts w:hint="eastAsia"/>
                <w:color w:val="auto"/>
                <w:kern w:val="24"/>
                <w:sz w:val="24"/>
              </w:rPr>
              <w:t>TSP</w:t>
            </w:r>
            <w:r>
              <w:rPr>
                <w:rFonts w:hint="eastAsia"/>
                <w:color w:val="auto"/>
                <w:kern w:val="24"/>
                <w:sz w:val="24"/>
                <w:lang w:eastAsia="zh-CN"/>
              </w:rPr>
              <w:t>，</w:t>
            </w:r>
            <w:r>
              <w:rPr>
                <w:color w:val="auto"/>
                <w:kern w:val="24"/>
                <w:sz w:val="24"/>
              </w:rPr>
              <w:t>为进一步了解项目排放的特征污染物，</w:t>
            </w:r>
            <w:r>
              <w:rPr>
                <w:rFonts w:hint="eastAsia"/>
                <w:color w:val="auto"/>
                <w:kern w:val="24"/>
                <w:sz w:val="24"/>
              </w:rPr>
              <w:t>特征因子TSP</w:t>
            </w:r>
            <w:r>
              <w:rPr>
                <w:rFonts w:hint="eastAsia" w:ascii="Times New Roman" w:hAnsi="Times New Roman" w:eastAsia="宋体" w:cs="Times New Roman"/>
                <w:color w:val="auto"/>
                <w:kern w:val="24"/>
                <w:sz w:val="24"/>
                <w:lang w:val="en-US" w:eastAsia="zh-CN"/>
              </w:rPr>
              <w:t>委托</w:t>
            </w:r>
            <w:r>
              <w:rPr>
                <w:rFonts w:hint="eastAsia" w:ascii="Times New Roman" w:hAnsi="Times New Roman" w:eastAsia="宋体" w:cs="Times New Roman"/>
                <w:color w:val="auto"/>
                <w:kern w:val="24"/>
                <w:sz w:val="24"/>
                <w:lang w:eastAsia="zh-CN"/>
              </w:rPr>
              <w:t>安徽文竹环境科技有限责任公司</w:t>
            </w:r>
            <w:r>
              <w:rPr>
                <w:rFonts w:hint="eastAsia" w:ascii="Times New Roman" w:hAnsi="Times New Roman" w:eastAsia="宋体" w:cs="Times New Roman"/>
                <w:color w:val="auto"/>
                <w:kern w:val="24"/>
                <w:sz w:val="24"/>
                <w:lang w:val="en-US" w:eastAsia="zh-CN"/>
              </w:rPr>
              <w:t>在船板冲进行监测</w:t>
            </w:r>
            <w:r>
              <w:rPr>
                <w:rFonts w:hint="eastAsia"/>
                <w:color w:val="auto"/>
                <w:kern w:val="24"/>
                <w:sz w:val="24"/>
              </w:rPr>
              <w:t>。</w:t>
            </w:r>
          </w:p>
          <w:p w14:paraId="60500CD2">
            <w:pPr>
              <w:adjustRightInd w:val="0"/>
              <w:snapToGrid w:val="0"/>
              <w:spacing w:line="360" w:lineRule="auto"/>
              <w:ind w:firstLine="480" w:firstLineChars="200"/>
              <w:rPr>
                <w:color w:val="auto"/>
                <w:kern w:val="24"/>
                <w:sz w:val="24"/>
              </w:rPr>
            </w:pPr>
            <w:r>
              <w:rPr>
                <w:rFonts w:hint="eastAsia"/>
                <w:color w:val="auto"/>
                <w:kern w:val="24"/>
                <w:sz w:val="24"/>
              </w:rPr>
              <w:t>①监测布点</w:t>
            </w:r>
          </w:p>
          <w:p w14:paraId="589DCBF8">
            <w:pPr>
              <w:adjustRightInd w:val="0"/>
              <w:snapToGrid w:val="0"/>
              <w:spacing w:line="360" w:lineRule="auto"/>
              <w:ind w:firstLine="480" w:firstLineChars="200"/>
              <w:rPr>
                <w:color w:val="auto"/>
                <w:kern w:val="24"/>
                <w:sz w:val="24"/>
              </w:rPr>
            </w:pPr>
            <w:r>
              <w:rPr>
                <w:rFonts w:hint="eastAsia"/>
                <w:color w:val="auto"/>
                <w:kern w:val="24"/>
                <w:sz w:val="24"/>
              </w:rPr>
              <w:t>监测点布设情况见表3-2。</w:t>
            </w:r>
          </w:p>
          <w:p w14:paraId="2ACC3DD3">
            <w:pPr>
              <w:pStyle w:val="73"/>
              <w:ind w:firstLine="482"/>
              <w:rPr>
                <w:rFonts w:eastAsia="宋体"/>
                <w:b/>
                <w:bCs/>
                <w:snapToGrid w:val="0"/>
                <w:color w:val="auto"/>
                <w:sz w:val="24"/>
              </w:rPr>
            </w:pPr>
            <w:r>
              <w:rPr>
                <w:rFonts w:eastAsia="宋体"/>
                <w:b/>
                <w:bCs/>
                <w:snapToGrid w:val="0"/>
                <w:color w:val="auto"/>
                <w:sz w:val="24"/>
              </w:rPr>
              <w:t>表3-</w:t>
            </w:r>
            <w:r>
              <w:rPr>
                <w:rFonts w:hint="eastAsia" w:eastAsia="宋体"/>
                <w:b/>
                <w:bCs/>
                <w:snapToGrid w:val="0"/>
                <w:color w:val="auto"/>
                <w:sz w:val="24"/>
              </w:rPr>
              <w:t>2</w:t>
            </w:r>
            <w:r>
              <w:rPr>
                <w:rFonts w:eastAsia="宋体"/>
                <w:b/>
                <w:bCs/>
                <w:snapToGrid w:val="0"/>
                <w:color w:val="auto"/>
                <w:sz w:val="24"/>
              </w:rPr>
              <w:t xml:space="preserve"> 大气环境现状监测点位一览表</w:t>
            </w:r>
            <w:r>
              <w:rPr>
                <w:rFonts w:hint="eastAsia" w:eastAsia="宋体"/>
                <w:b/>
                <w:bCs/>
                <w:snapToGrid w:val="0"/>
                <w:color w:val="auto"/>
                <w:sz w:val="24"/>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159"/>
              <w:gridCol w:w="2544"/>
              <w:gridCol w:w="1888"/>
            </w:tblGrid>
            <w:tr w14:paraId="5B82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4" w:type="dxa"/>
                  <w:vAlign w:val="center"/>
                </w:tcPr>
                <w:p w14:paraId="22B10B12">
                  <w:pPr>
                    <w:jc w:val="center"/>
                    <w:rPr>
                      <w:b/>
                      <w:bCs/>
                      <w:color w:val="auto"/>
                      <w:szCs w:val="21"/>
                    </w:rPr>
                  </w:pPr>
                  <w:r>
                    <w:rPr>
                      <w:rFonts w:hint="eastAsia"/>
                      <w:b/>
                      <w:bCs/>
                      <w:color w:val="auto"/>
                      <w:szCs w:val="21"/>
                    </w:rPr>
                    <w:t>编号</w:t>
                  </w:r>
                </w:p>
              </w:tc>
              <w:tc>
                <w:tcPr>
                  <w:tcW w:w="3159" w:type="dxa"/>
                  <w:vAlign w:val="center"/>
                </w:tcPr>
                <w:p w14:paraId="0D570772">
                  <w:pPr>
                    <w:jc w:val="center"/>
                    <w:rPr>
                      <w:b/>
                      <w:bCs/>
                      <w:color w:val="auto"/>
                      <w:szCs w:val="21"/>
                    </w:rPr>
                  </w:pPr>
                  <w:r>
                    <w:rPr>
                      <w:rFonts w:hint="eastAsia"/>
                      <w:b/>
                      <w:bCs/>
                      <w:color w:val="auto"/>
                      <w:szCs w:val="21"/>
                    </w:rPr>
                    <w:t>监测点名称</w:t>
                  </w:r>
                </w:p>
              </w:tc>
              <w:tc>
                <w:tcPr>
                  <w:tcW w:w="2544" w:type="dxa"/>
                  <w:vAlign w:val="center"/>
                </w:tcPr>
                <w:p w14:paraId="03C4CD4D">
                  <w:pPr>
                    <w:jc w:val="center"/>
                    <w:rPr>
                      <w:b/>
                      <w:bCs/>
                      <w:color w:val="auto"/>
                      <w:szCs w:val="21"/>
                    </w:rPr>
                  </w:pPr>
                  <w:r>
                    <w:rPr>
                      <w:rFonts w:hint="eastAsia"/>
                      <w:b/>
                      <w:bCs/>
                      <w:color w:val="auto"/>
                      <w:szCs w:val="21"/>
                    </w:rPr>
                    <w:t>相对方位</w:t>
                  </w:r>
                </w:p>
              </w:tc>
              <w:tc>
                <w:tcPr>
                  <w:tcW w:w="1888" w:type="dxa"/>
                  <w:vAlign w:val="center"/>
                </w:tcPr>
                <w:p w14:paraId="20E08F96">
                  <w:pPr>
                    <w:jc w:val="center"/>
                    <w:rPr>
                      <w:b/>
                      <w:bCs/>
                      <w:color w:val="auto"/>
                      <w:szCs w:val="21"/>
                    </w:rPr>
                  </w:pPr>
                  <w:r>
                    <w:rPr>
                      <w:rFonts w:hint="eastAsia"/>
                      <w:b/>
                      <w:bCs/>
                      <w:color w:val="auto"/>
                      <w:szCs w:val="21"/>
                    </w:rPr>
                    <w:t>距离</w:t>
                  </w:r>
                </w:p>
              </w:tc>
            </w:tr>
            <w:tr w14:paraId="6A60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4" w:type="dxa"/>
                  <w:vAlign w:val="center"/>
                </w:tcPr>
                <w:p w14:paraId="0AECC7AC">
                  <w:pPr>
                    <w:jc w:val="center"/>
                    <w:rPr>
                      <w:color w:val="auto"/>
                      <w:szCs w:val="21"/>
                    </w:rPr>
                  </w:pPr>
                  <w:r>
                    <w:rPr>
                      <w:rFonts w:hint="eastAsia"/>
                      <w:color w:val="auto"/>
                      <w:szCs w:val="21"/>
                    </w:rPr>
                    <w:t>G1</w:t>
                  </w:r>
                </w:p>
              </w:tc>
              <w:tc>
                <w:tcPr>
                  <w:tcW w:w="3159" w:type="dxa"/>
                  <w:vAlign w:val="center"/>
                </w:tcPr>
                <w:p w14:paraId="0FB7426F">
                  <w:pPr>
                    <w:jc w:val="center"/>
                    <w:rPr>
                      <w:color w:val="auto"/>
                      <w:szCs w:val="21"/>
                    </w:rPr>
                  </w:pPr>
                  <w:r>
                    <w:rPr>
                      <w:rFonts w:hint="eastAsia"/>
                      <w:color w:val="auto"/>
                      <w:szCs w:val="21"/>
                    </w:rPr>
                    <w:t>船板冲</w:t>
                  </w:r>
                </w:p>
              </w:tc>
              <w:tc>
                <w:tcPr>
                  <w:tcW w:w="2544" w:type="dxa"/>
                  <w:vAlign w:val="center"/>
                </w:tcPr>
                <w:p w14:paraId="26E7F000">
                  <w:pPr>
                    <w:jc w:val="center"/>
                    <w:rPr>
                      <w:rFonts w:hint="eastAsia" w:eastAsia="宋体"/>
                      <w:color w:val="auto"/>
                      <w:szCs w:val="21"/>
                      <w:lang w:eastAsia="zh-CN"/>
                    </w:rPr>
                  </w:pPr>
                  <w:r>
                    <w:rPr>
                      <w:rFonts w:hint="eastAsia"/>
                      <w:color w:val="auto"/>
                      <w:szCs w:val="21"/>
                      <w:lang w:val="en-US" w:eastAsia="zh-CN"/>
                    </w:rPr>
                    <w:t>西北</w:t>
                  </w:r>
                </w:p>
              </w:tc>
              <w:tc>
                <w:tcPr>
                  <w:tcW w:w="1888" w:type="dxa"/>
                  <w:vAlign w:val="center"/>
                </w:tcPr>
                <w:p w14:paraId="2A9BBE4D">
                  <w:pPr>
                    <w:jc w:val="center"/>
                    <w:rPr>
                      <w:color w:val="auto"/>
                      <w:szCs w:val="21"/>
                    </w:rPr>
                  </w:pPr>
                  <w:r>
                    <w:rPr>
                      <w:rFonts w:hint="eastAsia"/>
                      <w:color w:val="auto"/>
                      <w:szCs w:val="21"/>
                      <w:lang w:val="en-US" w:eastAsia="zh-CN"/>
                    </w:rPr>
                    <w:t>0.75</w:t>
                  </w:r>
                  <w:r>
                    <w:rPr>
                      <w:rFonts w:hint="eastAsia"/>
                      <w:color w:val="auto"/>
                      <w:szCs w:val="21"/>
                    </w:rPr>
                    <w:t>km</w:t>
                  </w:r>
                </w:p>
              </w:tc>
            </w:tr>
          </w:tbl>
          <w:p w14:paraId="129C8B2A">
            <w:pPr>
              <w:adjustRightInd w:val="0"/>
              <w:snapToGrid w:val="0"/>
              <w:spacing w:line="360" w:lineRule="auto"/>
              <w:ind w:firstLine="480" w:firstLineChars="200"/>
              <w:rPr>
                <w:color w:val="auto"/>
                <w:kern w:val="24"/>
                <w:sz w:val="24"/>
              </w:rPr>
            </w:pPr>
            <w:r>
              <w:rPr>
                <w:color w:val="auto"/>
                <w:kern w:val="24"/>
                <w:sz w:val="24"/>
              </w:rPr>
              <w:t>②监测项目</w:t>
            </w:r>
          </w:p>
          <w:p w14:paraId="15D5C8F8">
            <w:pPr>
              <w:adjustRightInd w:val="0"/>
              <w:snapToGrid w:val="0"/>
              <w:spacing w:line="360" w:lineRule="auto"/>
              <w:ind w:firstLine="480" w:firstLineChars="200"/>
              <w:rPr>
                <w:color w:val="auto"/>
                <w:kern w:val="24"/>
                <w:sz w:val="24"/>
              </w:rPr>
            </w:pPr>
            <w:r>
              <w:rPr>
                <w:color w:val="auto"/>
                <w:kern w:val="24"/>
                <w:sz w:val="24"/>
              </w:rPr>
              <w:t>特征因子：TSP。</w:t>
            </w:r>
          </w:p>
          <w:p w14:paraId="6BED1B87">
            <w:pPr>
              <w:adjustRightInd w:val="0"/>
              <w:snapToGrid w:val="0"/>
              <w:spacing w:line="360" w:lineRule="auto"/>
              <w:ind w:firstLine="480" w:firstLineChars="200"/>
              <w:rPr>
                <w:color w:val="auto"/>
                <w:kern w:val="24"/>
                <w:sz w:val="24"/>
              </w:rPr>
            </w:pPr>
            <w:r>
              <w:rPr>
                <w:color w:val="auto"/>
                <w:kern w:val="24"/>
                <w:sz w:val="24"/>
              </w:rPr>
              <w:t>③监测时段</w:t>
            </w:r>
          </w:p>
          <w:p w14:paraId="3429762C">
            <w:pPr>
              <w:adjustRightInd w:val="0"/>
              <w:snapToGrid w:val="0"/>
              <w:spacing w:line="360" w:lineRule="auto"/>
              <w:ind w:firstLine="480" w:firstLineChars="200"/>
              <w:rPr>
                <w:color w:val="auto"/>
                <w:kern w:val="24"/>
                <w:sz w:val="24"/>
              </w:rPr>
            </w:pPr>
            <w:r>
              <w:rPr>
                <w:color w:val="auto"/>
                <w:kern w:val="24"/>
                <w:sz w:val="24"/>
              </w:rPr>
              <w:t>TSP</w:t>
            </w:r>
            <w:r>
              <w:rPr>
                <w:rFonts w:hint="eastAsia"/>
                <w:color w:val="auto"/>
                <w:kern w:val="24"/>
                <w:sz w:val="24"/>
                <w:lang w:val="en-US" w:eastAsia="zh-CN"/>
              </w:rPr>
              <w:t>监测时间为</w:t>
            </w:r>
            <w:r>
              <w:rPr>
                <w:rFonts w:hint="default" w:ascii="Times New Roman" w:hAnsi="Times New Roman" w:eastAsia="宋体" w:cs="Times New Roman"/>
                <w:color w:val="auto"/>
                <w:sz w:val="24"/>
                <w:szCs w:val="24"/>
                <w:u w:val="none" w:color="auto"/>
                <w:lang w:val="en-US" w:eastAsia="zh-CN"/>
              </w:rPr>
              <w:t>202</w:t>
            </w:r>
            <w:r>
              <w:rPr>
                <w:rFonts w:hint="eastAsia" w:cs="Times New Roman"/>
                <w:color w:val="auto"/>
                <w:sz w:val="24"/>
                <w:szCs w:val="24"/>
                <w:u w:val="none" w:color="auto"/>
                <w:lang w:val="en-US" w:eastAsia="zh-CN"/>
              </w:rPr>
              <w:t>4</w:t>
            </w:r>
            <w:r>
              <w:rPr>
                <w:rFonts w:hint="default" w:ascii="Times New Roman" w:hAnsi="Times New Roman" w:eastAsia="宋体" w:cs="Times New Roman"/>
                <w:color w:val="auto"/>
                <w:sz w:val="24"/>
                <w:szCs w:val="24"/>
                <w:u w:val="none" w:color="auto"/>
                <w:lang w:val="en-US" w:eastAsia="zh-CN"/>
              </w:rPr>
              <w:t>年</w:t>
            </w:r>
            <w:r>
              <w:rPr>
                <w:rFonts w:hint="eastAsia" w:cs="Times New Roman"/>
                <w:color w:val="auto"/>
                <w:sz w:val="24"/>
                <w:szCs w:val="24"/>
                <w:u w:val="none" w:color="auto"/>
                <w:lang w:val="en-US" w:eastAsia="zh-CN"/>
              </w:rPr>
              <w:t>10</w:t>
            </w:r>
            <w:r>
              <w:rPr>
                <w:rFonts w:hint="default" w:ascii="Times New Roman" w:hAnsi="Times New Roman" w:eastAsia="宋体" w:cs="Times New Roman"/>
                <w:color w:val="auto"/>
                <w:sz w:val="24"/>
                <w:szCs w:val="24"/>
                <w:u w:val="none" w:color="auto"/>
                <w:lang w:val="en-US" w:eastAsia="zh-CN"/>
              </w:rPr>
              <w:t>月</w:t>
            </w:r>
            <w:r>
              <w:rPr>
                <w:rFonts w:hint="eastAsia" w:cs="Times New Roman"/>
                <w:color w:val="auto"/>
                <w:sz w:val="24"/>
                <w:szCs w:val="24"/>
                <w:u w:val="none" w:color="auto"/>
                <w:lang w:val="en-US" w:eastAsia="zh-CN"/>
              </w:rPr>
              <w:t>23</w:t>
            </w:r>
            <w:r>
              <w:rPr>
                <w:rFonts w:hint="default" w:ascii="Times New Roman" w:hAnsi="Times New Roman" w:eastAsia="宋体" w:cs="Times New Roman"/>
                <w:color w:val="auto"/>
                <w:sz w:val="24"/>
                <w:szCs w:val="24"/>
                <w:u w:val="none" w:color="auto"/>
                <w:lang w:val="en-US" w:eastAsia="zh-CN"/>
              </w:rPr>
              <w:t>日</w:t>
            </w:r>
            <w:r>
              <w:rPr>
                <w:rFonts w:hint="eastAsia"/>
                <w:snapToGrid w:val="0"/>
                <w:color w:val="auto"/>
                <w:kern w:val="0"/>
                <w:sz w:val="24"/>
              </w:rPr>
              <w:t>~</w:t>
            </w:r>
            <w:r>
              <w:rPr>
                <w:rFonts w:hint="eastAsia" w:cs="Times New Roman"/>
                <w:color w:val="auto"/>
                <w:sz w:val="24"/>
                <w:szCs w:val="24"/>
                <w:u w:val="none" w:color="auto"/>
                <w:lang w:val="en-US" w:eastAsia="zh-CN"/>
              </w:rPr>
              <w:t>26</w:t>
            </w:r>
            <w:r>
              <w:rPr>
                <w:rFonts w:hint="default" w:ascii="Times New Roman" w:hAnsi="Times New Roman" w:eastAsia="宋体" w:cs="Times New Roman"/>
                <w:color w:val="auto"/>
                <w:sz w:val="24"/>
                <w:szCs w:val="24"/>
                <w:u w:val="none" w:color="auto"/>
                <w:lang w:val="en-US" w:eastAsia="zh-CN"/>
              </w:rPr>
              <w:t>日</w:t>
            </w:r>
            <w:r>
              <w:rPr>
                <w:rFonts w:hint="eastAsia" w:cs="Times New Roman"/>
                <w:color w:val="auto"/>
                <w:sz w:val="24"/>
                <w:szCs w:val="24"/>
                <w:u w:val="none" w:color="auto"/>
                <w:lang w:val="en-US" w:eastAsia="zh-CN"/>
              </w:rPr>
              <w:t>，</w:t>
            </w:r>
            <w:r>
              <w:rPr>
                <w:color w:val="auto"/>
                <w:kern w:val="24"/>
                <w:sz w:val="24"/>
              </w:rPr>
              <w:t>对监测点位的大气环境质量进行监测</w:t>
            </w:r>
            <w:r>
              <w:rPr>
                <w:rFonts w:hint="eastAsia"/>
                <w:color w:val="auto"/>
                <w:kern w:val="24"/>
                <w:sz w:val="24"/>
              </w:rPr>
              <w:t>。</w:t>
            </w:r>
          </w:p>
          <w:p w14:paraId="68EB989B">
            <w:pPr>
              <w:adjustRightInd w:val="0"/>
              <w:snapToGrid w:val="0"/>
              <w:spacing w:line="360" w:lineRule="auto"/>
              <w:ind w:firstLine="480" w:firstLineChars="200"/>
              <w:rPr>
                <w:color w:val="auto"/>
                <w:kern w:val="24"/>
                <w:sz w:val="24"/>
              </w:rPr>
            </w:pPr>
            <w:r>
              <w:rPr>
                <w:color w:val="auto"/>
                <w:kern w:val="24"/>
                <w:sz w:val="24"/>
              </w:rPr>
              <w:t>④现状评价</w:t>
            </w:r>
          </w:p>
          <w:p w14:paraId="2805CF5D">
            <w:pPr>
              <w:adjustRightInd w:val="0"/>
              <w:snapToGrid w:val="0"/>
              <w:spacing w:line="360" w:lineRule="auto"/>
              <w:ind w:firstLine="480" w:firstLineChars="200"/>
              <w:rPr>
                <w:color w:val="auto"/>
                <w:kern w:val="24"/>
                <w:sz w:val="24"/>
              </w:rPr>
            </w:pPr>
            <w:r>
              <w:rPr>
                <w:color w:val="auto"/>
                <w:kern w:val="24"/>
                <w:sz w:val="24"/>
              </w:rPr>
              <w:t>a.评价标准</w:t>
            </w:r>
          </w:p>
          <w:p w14:paraId="443B3C12">
            <w:pPr>
              <w:adjustRightInd w:val="0"/>
              <w:snapToGrid w:val="0"/>
              <w:spacing w:line="360" w:lineRule="auto"/>
              <w:ind w:firstLine="480" w:firstLineChars="200"/>
              <w:rPr>
                <w:color w:val="auto"/>
                <w:kern w:val="24"/>
                <w:sz w:val="24"/>
              </w:rPr>
            </w:pPr>
            <w:r>
              <w:rPr>
                <w:color w:val="auto"/>
                <w:kern w:val="24"/>
                <w:sz w:val="24"/>
              </w:rPr>
              <w:t>TSP 执行《环境空气质量标准》（GB3095-2012）二级标准及</w:t>
            </w:r>
            <w:r>
              <w:rPr>
                <w:rFonts w:ascii="Times New Roman" w:hAnsi="Times New Roman" w:eastAsia="宋体" w:cs="Times New Roman"/>
                <w:color w:val="auto"/>
                <w:kern w:val="24"/>
                <w:sz w:val="24"/>
              </w:rPr>
              <w:t>其修改单浓度限值要求。</w:t>
            </w:r>
          </w:p>
          <w:p w14:paraId="1389E533">
            <w:pPr>
              <w:pStyle w:val="73"/>
              <w:ind w:firstLine="482"/>
              <w:rPr>
                <w:rFonts w:eastAsia="宋体"/>
                <w:b/>
                <w:bCs/>
                <w:snapToGrid w:val="0"/>
                <w:color w:val="auto"/>
                <w:sz w:val="24"/>
              </w:rPr>
            </w:pPr>
            <w:r>
              <w:rPr>
                <w:rFonts w:eastAsia="宋体"/>
                <w:b/>
                <w:bCs/>
                <w:snapToGrid w:val="0"/>
                <w:color w:val="auto"/>
                <w:sz w:val="24"/>
              </w:rPr>
              <w:t>表3-</w:t>
            </w:r>
            <w:r>
              <w:rPr>
                <w:rFonts w:hint="eastAsia" w:eastAsia="宋体"/>
                <w:b/>
                <w:bCs/>
                <w:snapToGrid w:val="0"/>
                <w:color w:val="auto"/>
                <w:sz w:val="24"/>
              </w:rPr>
              <w:t>3</w:t>
            </w:r>
            <w:r>
              <w:rPr>
                <w:rFonts w:eastAsia="宋体"/>
                <w:b/>
                <w:bCs/>
                <w:snapToGrid w:val="0"/>
                <w:color w:val="auto"/>
                <w:sz w:val="24"/>
              </w:rPr>
              <w:t xml:space="preserve"> 环境空气质量评价标准限值</w:t>
            </w:r>
            <w:r>
              <w:rPr>
                <w:rFonts w:hint="eastAsia" w:eastAsia="宋体"/>
                <w:b/>
                <w:bCs/>
                <w:snapToGrid w:val="0"/>
                <w:color w:val="auto"/>
                <w:sz w:val="24"/>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146"/>
              <w:gridCol w:w="1253"/>
              <w:gridCol w:w="989"/>
              <w:gridCol w:w="3406"/>
            </w:tblGrid>
            <w:tr w14:paraId="3121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1" w:type="dxa"/>
                  <w:vAlign w:val="center"/>
                </w:tcPr>
                <w:p w14:paraId="5AEBB3BE">
                  <w:pPr>
                    <w:jc w:val="center"/>
                    <w:rPr>
                      <w:b/>
                      <w:bCs/>
                      <w:color w:val="auto"/>
                      <w:szCs w:val="21"/>
                    </w:rPr>
                  </w:pPr>
                  <w:r>
                    <w:rPr>
                      <w:rFonts w:hint="eastAsia"/>
                      <w:b/>
                      <w:bCs/>
                      <w:color w:val="auto"/>
                      <w:szCs w:val="21"/>
                    </w:rPr>
                    <w:t>污染物名称</w:t>
                  </w:r>
                </w:p>
              </w:tc>
              <w:tc>
                <w:tcPr>
                  <w:tcW w:w="1146" w:type="dxa"/>
                  <w:vAlign w:val="center"/>
                </w:tcPr>
                <w:p w14:paraId="0DD08ECD">
                  <w:pPr>
                    <w:jc w:val="center"/>
                    <w:rPr>
                      <w:b/>
                      <w:bCs/>
                      <w:color w:val="auto"/>
                      <w:szCs w:val="21"/>
                    </w:rPr>
                  </w:pPr>
                  <w:r>
                    <w:rPr>
                      <w:rFonts w:hint="eastAsia"/>
                      <w:b/>
                      <w:bCs/>
                      <w:color w:val="auto"/>
                      <w:szCs w:val="21"/>
                    </w:rPr>
                    <w:t>平均时间</w:t>
                  </w:r>
                </w:p>
              </w:tc>
              <w:tc>
                <w:tcPr>
                  <w:tcW w:w="1253" w:type="dxa"/>
                  <w:vAlign w:val="center"/>
                </w:tcPr>
                <w:p w14:paraId="35BB92C0">
                  <w:pPr>
                    <w:jc w:val="center"/>
                    <w:rPr>
                      <w:b/>
                      <w:bCs/>
                      <w:color w:val="auto"/>
                      <w:szCs w:val="21"/>
                    </w:rPr>
                  </w:pPr>
                  <w:r>
                    <w:rPr>
                      <w:rFonts w:hint="eastAsia"/>
                      <w:b/>
                      <w:bCs/>
                      <w:color w:val="auto"/>
                      <w:szCs w:val="21"/>
                    </w:rPr>
                    <w:t>浓度限值</w:t>
                  </w:r>
                </w:p>
              </w:tc>
              <w:tc>
                <w:tcPr>
                  <w:tcW w:w="989" w:type="dxa"/>
                  <w:vAlign w:val="center"/>
                </w:tcPr>
                <w:p w14:paraId="1D73ED78">
                  <w:pPr>
                    <w:jc w:val="center"/>
                    <w:rPr>
                      <w:b/>
                      <w:bCs/>
                      <w:color w:val="auto"/>
                      <w:szCs w:val="21"/>
                    </w:rPr>
                  </w:pPr>
                  <w:r>
                    <w:rPr>
                      <w:rFonts w:hint="eastAsia"/>
                      <w:b/>
                      <w:bCs/>
                      <w:color w:val="auto"/>
                      <w:szCs w:val="21"/>
                    </w:rPr>
                    <w:t>单位</w:t>
                  </w:r>
                </w:p>
              </w:tc>
              <w:tc>
                <w:tcPr>
                  <w:tcW w:w="3406" w:type="dxa"/>
                  <w:vAlign w:val="center"/>
                </w:tcPr>
                <w:p w14:paraId="4EBF2EAE">
                  <w:pPr>
                    <w:jc w:val="center"/>
                    <w:rPr>
                      <w:b/>
                      <w:bCs/>
                      <w:color w:val="auto"/>
                      <w:szCs w:val="21"/>
                    </w:rPr>
                  </w:pPr>
                  <w:r>
                    <w:rPr>
                      <w:rFonts w:hint="eastAsia"/>
                      <w:b/>
                      <w:bCs/>
                      <w:color w:val="auto"/>
                      <w:szCs w:val="21"/>
                    </w:rPr>
                    <w:t>标准来源</w:t>
                  </w:r>
                </w:p>
              </w:tc>
            </w:tr>
            <w:tr w14:paraId="2FA5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1" w:type="dxa"/>
                  <w:vAlign w:val="center"/>
                </w:tcPr>
                <w:p w14:paraId="5BEA5A09">
                  <w:pPr>
                    <w:jc w:val="center"/>
                    <w:rPr>
                      <w:color w:val="auto"/>
                      <w:szCs w:val="21"/>
                    </w:rPr>
                  </w:pPr>
                  <w:r>
                    <w:rPr>
                      <w:rFonts w:hint="eastAsia"/>
                      <w:color w:val="auto"/>
                      <w:szCs w:val="21"/>
                    </w:rPr>
                    <w:t>TSP</w:t>
                  </w:r>
                </w:p>
              </w:tc>
              <w:tc>
                <w:tcPr>
                  <w:tcW w:w="1146" w:type="dxa"/>
                  <w:vAlign w:val="center"/>
                </w:tcPr>
                <w:p w14:paraId="3E2B39A0">
                  <w:pPr>
                    <w:jc w:val="center"/>
                    <w:rPr>
                      <w:color w:val="auto"/>
                      <w:szCs w:val="21"/>
                    </w:rPr>
                  </w:pPr>
                  <w:r>
                    <w:rPr>
                      <w:rFonts w:hint="eastAsia"/>
                      <w:color w:val="auto"/>
                      <w:szCs w:val="21"/>
                    </w:rPr>
                    <w:t>24h</w:t>
                  </w:r>
                </w:p>
              </w:tc>
              <w:tc>
                <w:tcPr>
                  <w:tcW w:w="1253" w:type="dxa"/>
                  <w:vAlign w:val="center"/>
                </w:tcPr>
                <w:p w14:paraId="5D857576">
                  <w:pPr>
                    <w:jc w:val="center"/>
                    <w:rPr>
                      <w:color w:val="auto"/>
                      <w:szCs w:val="21"/>
                    </w:rPr>
                  </w:pPr>
                  <w:r>
                    <w:rPr>
                      <w:rFonts w:hint="eastAsia"/>
                      <w:color w:val="auto"/>
                      <w:szCs w:val="21"/>
                    </w:rPr>
                    <w:t>0.3</w:t>
                  </w:r>
                </w:p>
              </w:tc>
              <w:tc>
                <w:tcPr>
                  <w:tcW w:w="989" w:type="dxa"/>
                  <w:vAlign w:val="center"/>
                </w:tcPr>
                <w:p w14:paraId="0D5A649F">
                  <w:pPr>
                    <w:jc w:val="center"/>
                    <w:rPr>
                      <w:color w:val="auto"/>
                      <w:szCs w:val="21"/>
                    </w:rPr>
                  </w:pPr>
                  <w:r>
                    <w:rPr>
                      <w:rFonts w:hint="eastAsia"/>
                      <w:color w:val="auto"/>
                      <w:szCs w:val="21"/>
                    </w:rPr>
                    <w:t>mg/m</w:t>
                  </w:r>
                  <w:r>
                    <w:rPr>
                      <w:rFonts w:hint="eastAsia"/>
                      <w:color w:val="auto"/>
                      <w:szCs w:val="21"/>
                      <w:vertAlign w:val="superscript"/>
                    </w:rPr>
                    <w:t>3</w:t>
                  </w:r>
                </w:p>
              </w:tc>
              <w:tc>
                <w:tcPr>
                  <w:tcW w:w="3406" w:type="dxa"/>
                  <w:vAlign w:val="center"/>
                </w:tcPr>
                <w:p w14:paraId="73914EC1">
                  <w:pPr>
                    <w:jc w:val="center"/>
                    <w:rPr>
                      <w:color w:val="auto"/>
                      <w:szCs w:val="21"/>
                    </w:rPr>
                  </w:pPr>
                  <w:r>
                    <w:rPr>
                      <w:rFonts w:hint="eastAsia"/>
                      <w:color w:val="auto"/>
                      <w:szCs w:val="21"/>
                    </w:rPr>
                    <w:t>《环境空气质量标准》（GB3095-2012）</w:t>
                  </w:r>
                </w:p>
              </w:tc>
            </w:tr>
          </w:tbl>
          <w:p w14:paraId="468021EC">
            <w:pPr>
              <w:adjustRightInd w:val="0"/>
              <w:snapToGrid w:val="0"/>
              <w:spacing w:line="360" w:lineRule="auto"/>
              <w:ind w:firstLine="480" w:firstLineChars="200"/>
              <w:rPr>
                <w:color w:val="auto"/>
                <w:kern w:val="24"/>
                <w:sz w:val="24"/>
              </w:rPr>
            </w:pPr>
            <w:r>
              <w:rPr>
                <w:color w:val="auto"/>
                <w:kern w:val="24"/>
                <w:sz w:val="24"/>
              </w:rPr>
              <w:t>b.评价方法</w:t>
            </w:r>
          </w:p>
          <w:p w14:paraId="46C73A82">
            <w:pPr>
              <w:adjustRightInd w:val="0"/>
              <w:snapToGrid w:val="0"/>
              <w:spacing w:line="360" w:lineRule="auto"/>
              <w:ind w:firstLine="480" w:firstLineChars="200"/>
              <w:rPr>
                <w:color w:val="auto"/>
                <w:kern w:val="24"/>
                <w:sz w:val="24"/>
              </w:rPr>
            </w:pPr>
            <w:r>
              <w:rPr>
                <w:color w:val="auto"/>
                <w:kern w:val="24"/>
                <w:sz w:val="24"/>
              </w:rPr>
              <w:t>采用单因子污染指数法进行评价。</w:t>
            </w:r>
          </w:p>
          <w:p w14:paraId="4BB0297C">
            <w:pPr>
              <w:adjustRightInd w:val="0"/>
              <w:snapToGrid w:val="0"/>
              <w:spacing w:line="360" w:lineRule="auto"/>
              <w:ind w:firstLine="420" w:firstLineChars="200"/>
              <w:jc w:val="center"/>
              <w:rPr>
                <w:color w:val="auto"/>
                <w:kern w:val="24"/>
                <w:sz w:val="24"/>
              </w:rPr>
            </w:pPr>
            <w:r>
              <w:rPr>
                <w:color w:val="auto"/>
              </w:rPr>
              <w:drawing>
                <wp:inline distT="0" distB="0" distL="114300" distR="114300">
                  <wp:extent cx="1225550" cy="628650"/>
                  <wp:effectExtent l="0" t="0" r="6350" b="635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2"/>
                          <a:stretch>
                            <a:fillRect/>
                          </a:stretch>
                        </pic:blipFill>
                        <pic:spPr>
                          <a:xfrm>
                            <a:off x="0" y="0"/>
                            <a:ext cx="1225550" cy="628650"/>
                          </a:xfrm>
                          <a:prstGeom prst="rect">
                            <a:avLst/>
                          </a:prstGeom>
                          <a:noFill/>
                          <a:ln>
                            <a:noFill/>
                          </a:ln>
                        </pic:spPr>
                      </pic:pic>
                    </a:graphicData>
                  </a:graphic>
                </wp:inline>
              </w:drawing>
            </w:r>
          </w:p>
          <w:p w14:paraId="224CEFC7">
            <w:pPr>
              <w:adjustRightInd w:val="0"/>
              <w:snapToGrid w:val="0"/>
              <w:spacing w:line="360" w:lineRule="auto"/>
              <w:ind w:firstLine="480" w:firstLineChars="200"/>
              <w:rPr>
                <w:color w:val="auto"/>
                <w:kern w:val="24"/>
                <w:sz w:val="24"/>
              </w:rPr>
            </w:pPr>
            <w:r>
              <w:rPr>
                <w:color w:val="auto"/>
                <w:kern w:val="24"/>
                <w:sz w:val="24"/>
              </w:rPr>
              <w:t>式中：Ii—— i 污染物的单因子污染指数；</w:t>
            </w:r>
          </w:p>
          <w:p w14:paraId="3935AB92">
            <w:pPr>
              <w:adjustRightInd w:val="0"/>
              <w:snapToGrid w:val="0"/>
              <w:spacing w:line="360" w:lineRule="auto"/>
              <w:ind w:firstLine="480" w:firstLineChars="200"/>
              <w:rPr>
                <w:color w:val="auto"/>
                <w:kern w:val="24"/>
                <w:sz w:val="24"/>
              </w:rPr>
            </w:pPr>
            <w:r>
              <w:rPr>
                <w:color w:val="auto"/>
                <w:kern w:val="24"/>
                <w:sz w:val="24"/>
              </w:rPr>
              <w:t>Ci—— i 污染物的实测浓度，mg/Nm</w:t>
            </w:r>
            <w:r>
              <w:rPr>
                <w:color w:val="auto"/>
                <w:kern w:val="24"/>
                <w:sz w:val="24"/>
                <w:vertAlign w:val="superscript"/>
              </w:rPr>
              <w:t>3</w:t>
            </w:r>
            <w:r>
              <w:rPr>
                <w:color w:val="auto"/>
                <w:kern w:val="24"/>
                <w:sz w:val="24"/>
              </w:rPr>
              <w:t>；</w:t>
            </w:r>
          </w:p>
          <w:p w14:paraId="00BFE817">
            <w:pPr>
              <w:adjustRightInd w:val="0"/>
              <w:snapToGrid w:val="0"/>
              <w:spacing w:line="360" w:lineRule="auto"/>
              <w:ind w:firstLine="480" w:firstLineChars="200"/>
              <w:rPr>
                <w:color w:val="auto"/>
                <w:kern w:val="24"/>
                <w:sz w:val="24"/>
              </w:rPr>
            </w:pPr>
            <w:r>
              <w:rPr>
                <w:color w:val="auto"/>
                <w:kern w:val="24"/>
                <w:sz w:val="24"/>
              </w:rPr>
              <w:t>COi—— i 污染物的评价标准，mg/Nm</w:t>
            </w:r>
            <w:r>
              <w:rPr>
                <w:color w:val="auto"/>
                <w:kern w:val="24"/>
                <w:sz w:val="24"/>
                <w:vertAlign w:val="superscript"/>
              </w:rPr>
              <w:t>3</w:t>
            </w:r>
            <w:r>
              <w:rPr>
                <w:color w:val="auto"/>
                <w:kern w:val="24"/>
                <w:sz w:val="24"/>
              </w:rPr>
              <w:t>。</w:t>
            </w:r>
          </w:p>
          <w:p w14:paraId="7F408851">
            <w:pPr>
              <w:adjustRightInd w:val="0"/>
              <w:snapToGrid w:val="0"/>
              <w:spacing w:line="360" w:lineRule="auto"/>
              <w:ind w:firstLine="480" w:firstLineChars="200"/>
              <w:rPr>
                <w:color w:val="auto"/>
                <w:kern w:val="24"/>
                <w:sz w:val="24"/>
              </w:rPr>
            </w:pPr>
            <w:r>
              <w:rPr>
                <w:color w:val="auto"/>
                <w:kern w:val="24"/>
                <w:sz w:val="24"/>
              </w:rPr>
              <w:t>Ii≥1 为超标，否则为未超标。对照评价标准计算各监测点的各污染物小时平均浓度和日均浓度的污染指数范围、超标率等。按相关标准规定，当检测值低于检测线时，单因子指数按检出限的一半进行计算。</w:t>
            </w:r>
          </w:p>
          <w:p w14:paraId="3F0E42DF">
            <w:pPr>
              <w:adjustRightInd w:val="0"/>
              <w:snapToGrid w:val="0"/>
              <w:spacing w:line="360" w:lineRule="auto"/>
              <w:ind w:firstLine="480" w:firstLineChars="200"/>
              <w:rPr>
                <w:color w:val="auto"/>
                <w:kern w:val="24"/>
                <w:sz w:val="24"/>
              </w:rPr>
            </w:pPr>
            <w:r>
              <w:rPr>
                <w:color w:val="auto"/>
                <w:kern w:val="24"/>
                <w:sz w:val="24"/>
              </w:rPr>
              <w:t>c.评价结果</w:t>
            </w:r>
          </w:p>
          <w:p w14:paraId="7D1783A9">
            <w:pPr>
              <w:adjustRightInd w:val="0"/>
              <w:snapToGrid w:val="0"/>
              <w:spacing w:line="360" w:lineRule="auto"/>
              <w:ind w:firstLine="480" w:firstLineChars="200"/>
              <w:rPr>
                <w:color w:val="auto"/>
                <w:kern w:val="24"/>
                <w:sz w:val="24"/>
              </w:rPr>
            </w:pPr>
            <w:r>
              <w:rPr>
                <w:color w:val="auto"/>
                <w:kern w:val="24"/>
                <w:sz w:val="24"/>
              </w:rPr>
              <w:t>根据</w:t>
            </w:r>
            <w:r>
              <w:rPr>
                <w:rFonts w:hint="eastAsia"/>
                <w:color w:val="auto"/>
                <w:kern w:val="24"/>
                <w:sz w:val="24"/>
                <w:lang w:val="en-US" w:eastAsia="zh-CN"/>
              </w:rPr>
              <w:t>引用</w:t>
            </w:r>
            <w:r>
              <w:rPr>
                <w:color w:val="auto"/>
                <w:kern w:val="24"/>
                <w:sz w:val="24"/>
              </w:rPr>
              <w:t>的现状监测数据，按照上述评价方法和标准，统计出本次大气环境质量评价结果，见下表所示：</w:t>
            </w:r>
          </w:p>
          <w:p w14:paraId="01365D85">
            <w:pPr>
              <w:adjustRightInd w:val="0"/>
              <w:snapToGrid w:val="0"/>
              <w:spacing w:line="360" w:lineRule="auto"/>
              <w:ind w:firstLine="480" w:firstLineChars="200"/>
              <w:rPr>
                <w:b/>
                <w:color w:val="auto"/>
                <w:sz w:val="24"/>
              </w:rPr>
            </w:pPr>
            <w:r>
              <w:rPr>
                <w:color w:val="auto"/>
                <w:kern w:val="24"/>
                <w:sz w:val="24"/>
              </w:rPr>
              <w:t>具体监测及统计结果见下表：</w:t>
            </w:r>
          </w:p>
          <w:p w14:paraId="63580DBA">
            <w:pPr>
              <w:pStyle w:val="73"/>
              <w:ind w:firstLine="482"/>
              <w:rPr>
                <w:rFonts w:eastAsia="宋体"/>
                <w:b/>
                <w:bCs/>
                <w:snapToGrid w:val="0"/>
                <w:color w:val="auto"/>
                <w:sz w:val="24"/>
              </w:rPr>
            </w:pPr>
            <w:r>
              <w:rPr>
                <w:rFonts w:eastAsia="宋体"/>
                <w:b/>
                <w:bCs/>
                <w:snapToGrid w:val="0"/>
                <w:color w:val="auto"/>
                <w:sz w:val="24"/>
              </w:rPr>
              <w:t>表3-</w:t>
            </w:r>
            <w:r>
              <w:rPr>
                <w:rFonts w:hint="eastAsia" w:eastAsia="宋体"/>
                <w:b/>
                <w:bCs/>
                <w:snapToGrid w:val="0"/>
                <w:color w:val="auto"/>
                <w:sz w:val="24"/>
              </w:rPr>
              <w:t>4</w:t>
            </w:r>
            <w:r>
              <w:rPr>
                <w:rFonts w:eastAsia="宋体"/>
                <w:b/>
                <w:bCs/>
                <w:snapToGrid w:val="0"/>
                <w:color w:val="auto"/>
                <w:sz w:val="24"/>
              </w:rPr>
              <w:t xml:space="preserve"> 空气环境监测数据统计表</w:t>
            </w:r>
            <w:r>
              <w:rPr>
                <w:rFonts w:hint="eastAsia" w:eastAsia="宋体"/>
                <w:b/>
                <w:bCs/>
                <w:snapToGrid w:val="0"/>
                <w:color w:val="auto"/>
                <w:sz w:val="24"/>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455"/>
              <w:gridCol w:w="1311"/>
              <w:gridCol w:w="1570"/>
              <w:gridCol w:w="1513"/>
              <w:gridCol w:w="1701"/>
            </w:tblGrid>
            <w:tr w14:paraId="7FFC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Align w:val="center"/>
                </w:tcPr>
                <w:p w14:paraId="4DB7BFF4">
                  <w:pPr>
                    <w:jc w:val="center"/>
                    <w:rPr>
                      <w:b/>
                      <w:bCs/>
                      <w:color w:val="auto"/>
                      <w:szCs w:val="21"/>
                    </w:rPr>
                  </w:pPr>
                  <w:r>
                    <w:rPr>
                      <w:rFonts w:hint="eastAsia"/>
                      <w:b/>
                      <w:bCs/>
                      <w:color w:val="auto"/>
                      <w:szCs w:val="21"/>
                    </w:rPr>
                    <w:t>点位</w:t>
                  </w:r>
                </w:p>
              </w:tc>
              <w:tc>
                <w:tcPr>
                  <w:tcW w:w="1455" w:type="dxa"/>
                  <w:vAlign w:val="center"/>
                </w:tcPr>
                <w:p w14:paraId="06C8C140">
                  <w:pPr>
                    <w:jc w:val="center"/>
                    <w:rPr>
                      <w:b/>
                      <w:bCs/>
                      <w:color w:val="auto"/>
                      <w:szCs w:val="21"/>
                    </w:rPr>
                  </w:pPr>
                  <w:r>
                    <w:rPr>
                      <w:rFonts w:hint="eastAsia"/>
                      <w:b/>
                      <w:bCs/>
                      <w:color w:val="auto"/>
                      <w:szCs w:val="21"/>
                    </w:rPr>
                    <w:t>污染物名称</w:t>
                  </w:r>
                </w:p>
              </w:tc>
              <w:tc>
                <w:tcPr>
                  <w:tcW w:w="1311" w:type="dxa"/>
                  <w:vAlign w:val="center"/>
                </w:tcPr>
                <w:p w14:paraId="28014DF2">
                  <w:pPr>
                    <w:jc w:val="center"/>
                    <w:rPr>
                      <w:b/>
                      <w:bCs/>
                      <w:color w:val="auto"/>
                      <w:szCs w:val="21"/>
                    </w:rPr>
                  </w:pPr>
                  <w:r>
                    <w:rPr>
                      <w:rFonts w:hint="eastAsia"/>
                      <w:b/>
                      <w:bCs/>
                      <w:color w:val="auto"/>
                      <w:szCs w:val="21"/>
                    </w:rPr>
                    <w:t>评价标准</w:t>
                  </w:r>
                </w:p>
              </w:tc>
              <w:tc>
                <w:tcPr>
                  <w:tcW w:w="1570" w:type="dxa"/>
                  <w:vAlign w:val="center"/>
                </w:tcPr>
                <w:p w14:paraId="73C08819">
                  <w:pPr>
                    <w:jc w:val="center"/>
                    <w:rPr>
                      <w:b/>
                      <w:bCs/>
                      <w:color w:val="auto"/>
                      <w:szCs w:val="21"/>
                    </w:rPr>
                  </w:pPr>
                  <w:r>
                    <w:rPr>
                      <w:rFonts w:hint="eastAsia"/>
                      <w:b/>
                      <w:bCs/>
                      <w:color w:val="auto"/>
                      <w:szCs w:val="21"/>
                    </w:rPr>
                    <w:t>监测</w:t>
                  </w:r>
                  <w:r>
                    <w:rPr>
                      <w:rFonts w:hint="eastAsia"/>
                      <w:b/>
                      <w:bCs/>
                      <w:color w:val="auto"/>
                      <w:szCs w:val="21"/>
                      <w:lang w:val="en-US" w:eastAsia="zh-CN"/>
                    </w:rPr>
                    <w:t>结果</w:t>
                  </w:r>
                  <w:r>
                    <w:rPr>
                      <w:rFonts w:hint="eastAsia"/>
                      <w:b/>
                      <w:bCs/>
                      <w:color w:val="auto"/>
                      <w:szCs w:val="21"/>
                    </w:rPr>
                    <w:t>浓度</w:t>
                  </w:r>
                </w:p>
              </w:tc>
              <w:tc>
                <w:tcPr>
                  <w:tcW w:w="1513" w:type="dxa"/>
                  <w:vAlign w:val="center"/>
                </w:tcPr>
                <w:p w14:paraId="73A75C79">
                  <w:pPr>
                    <w:jc w:val="center"/>
                    <w:rPr>
                      <w:rFonts w:hint="eastAsia" w:eastAsia="宋体"/>
                      <w:b/>
                      <w:bCs/>
                      <w:color w:val="auto"/>
                      <w:szCs w:val="21"/>
                      <w:lang w:val="en-US" w:eastAsia="zh-CN"/>
                    </w:rPr>
                  </w:pPr>
                  <w:r>
                    <w:rPr>
                      <w:rFonts w:hint="eastAsia"/>
                      <w:b/>
                      <w:bCs/>
                      <w:color w:val="auto"/>
                      <w:szCs w:val="21"/>
                      <w:lang w:val="en-US" w:eastAsia="zh-CN"/>
                    </w:rPr>
                    <w:t>污染指数</w:t>
                  </w:r>
                </w:p>
              </w:tc>
              <w:tc>
                <w:tcPr>
                  <w:tcW w:w="1701" w:type="dxa"/>
                  <w:vAlign w:val="center"/>
                </w:tcPr>
                <w:p w14:paraId="7E1828E8">
                  <w:pPr>
                    <w:jc w:val="center"/>
                    <w:rPr>
                      <w:b/>
                      <w:bCs/>
                      <w:color w:val="auto"/>
                      <w:szCs w:val="21"/>
                    </w:rPr>
                  </w:pPr>
                  <w:r>
                    <w:rPr>
                      <w:rFonts w:hint="eastAsia"/>
                      <w:b/>
                      <w:bCs/>
                      <w:color w:val="auto"/>
                      <w:szCs w:val="21"/>
                    </w:rPr>
                    <w:t>达标情况</w:t>
                  </w:r>
                </w:p>
              </w:tc>
            </w:tr>
            <w:tr w14:paraId="21F7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85" w:type="dxa"/>
                  <w:vAlign w:val="center"/>
                </w:tcPr>
                <w:p w14:paraId="43196568">
                  <w:pPr>
                    <w:jc w:val="center"/>
                    <w:rPr>
                      <w:color w:val="auto"/>
                      <w:szCs w:val="21"/>
                    </w:rPr>
                  </w:pPr>
                  <w:r>
                    <w:rPr>
                      <w:rFonts w:hint="eastAsia"/>
                      <w:color w:val="auto"/>
                      <w:szCs w:val="21"/>
                    </w:rPr>
                    <w:t>G1</w:t>
                  </w:r>
                </w:p>
              </w:tc>
              <w:tc>
                <w:tcPr>
                  <w:tcW w:w="1455" w:type="dxa"/>
                  <w:vAlign w:val="center"/>
                </w:tcPr>
                <w:p w14:paraId="2B098868">
                  <w:pPr>
                    <w:jc w:val="center"/>
                    <w:rPr>
                      <w:color w:val="auto"/>
                      <w:szCs w:val="21"/>
                    </w:rPr>
                  </w:pPr>
                  <w:r>
                    <w:rPr>
                      <w:rFonts w:hint="eastAsia"/>
                      <w:color w:val="auto"/>
                      <w:szCs w:val="21"/>
                    </w:rPr>
                    <w:t>TSP</w:t>
                  </w:r>
                </w:p>
              </w:tc>
              <w:tc>
                <w:tcPr>
                  <w:tcW w:w="1311" w:type="dxa"/>
                  <w:vAlign w:val="center"/>
                </w:tcPr>
                <w:p w14:paraId="16DE36E3">
                  <w:pPr>
                    <w:jc w:val="center"/>
                    <w:rPr>
                      <w:color w:val="auto"/>
                      <w:szCs w:val="21"/>
                    </w:rPr>
                  </w:pPr>
                  <w:r>
                    <w:rPr>
                      <w:rFonts w:hint="eastAsia"/>
                      <w:color w:val="auto"/>
                      <w:szCs w:val="21"/>
                    </w:rPr>
                    <w:t>0.</w:t>
                  </w:r>
                  <w:r>
                    <w:rPr>
                      <w:rFonts w:hint="eastAsia"/>
                      <w:color w:val="auto"/>
                      <w:szCs w:val="21"/>
                      <w:lang w:val="en-US" w:eastAsia="zh-CN"/>
                    </w:rPr>
                    <w:t>3</w:t>
                  </w:r>
                  <w:r>
                    <w:rPr>
                      <w:rFonts w:hint="eastAsia"/>
                      <w:color w:val="auto"/>
                      <w:szCs w:val="21"/>
                    </w:rPr>
                    <w:t>mg/m</w:t>
                  </w:r>
                  <w:r>
                    <w:rPr>
                      <w:rFonts w:hint="eastAsia"/>
                      <w:color w:val="auto"/>
                      <w:szCs w:val="21"/>
                      <w:vertAlign w:val="superscript"/>
                    </w:rPr>
                    <w:t>3</w:t>
                  </w:r>
                </w:p>
              </w:tc>
              <w:tc>
                <w:tcPr>
                  <w:tcW w:w="1570" w:type="dxa"/>
                  <w:vAlign w:val="center"/>
                </w:tcPr>
                <w:p w14:paraId="14C65EF5">
                  <w:pPr>
                    <w:jc w:val="center"/>
                    <w:rPr>
                      <w:rFonts w:hint="default"/>
                      <w:color w:val="auto"/>
                      <w:szCs w:val="21"/>
                      <w:lang w:val="en-US"/>
                    </w:rPr>
                  </w:pPr>
                  <w:r>
                    <w:rPr>
                      <w:rFonts w:hint="default" w:ascii="Times New Roman" w:hAnsi="Times New Roman" w:cs="Times New Roman"/>
                      <w:b w:val="0"/>
                      <w:bCs w:val="0"/>
                      <w:color w:val="auto"/>
                      <w:szCs w:val="21"/>
                      <w:u w:val="none"/>
                      <w:lang w:val="en-US" w:eastAsia="zh-CN"/>
                    </w:rPr>
                    <w:t>0.</w:t>
                  </w:r>
                  <w:r>
                    <w:rPr>
                      <w:rFonts w:hint="eastAsia" w:cs="Times New Roman"/>
                      <w:b w:val="0"/>
                      <w:bCs w:val="0"/>
                      <w:color w:val="auto"/>
                      <w:szCs w:val="21"/>
                      <w:u w:val="none"/>
                      <w:lang w:val="en-US" w:eastAsia="zh-CN"/>
                    </w:rPr>
                    <w:t>089</w:t>
                  </w:r>
                  <w:r>
                    <w:rPr>
                      <w:rFonts w:hint="default" w:ascii="Times New Roman" w:hAnsi="Times New Roman" w:cs="Times New Roman"/>
                      <w:b w:val="0"/>
                      <w:bCs w:val="0"/>
                      <w:color w:val="auto"/>
                      <w:szCs w:val="21"/>
                      <w:u w:val="none"/>
                    </w:rPr>
                    <w:t>-</w:t>
                  </w:r>
                  <w:r>
                    <w:rPr>
                      <w:rFonts w:hint="default" w:ascii="Times New Roman" w:hAnsi="Times New Roman" w:cs="Times New Roman"/>
                      <w:b w:val="0"/>
                      <w:bCs w:val="0"/>
                      <w:color w:val="auto"/>
                      <w:szCs w:val="21"/>
                      <w:u w:val="none"/>
                      <w:lang w:val="en-US" w:eastAsia="zh-CN"/>
                    </w:rPr>
                    <w:t>0.</w:t>
                  </w:r>
                  <w:r>
                    <w:rPr>
                      <w:rFonts w:hint="eastAsia" w:cs="Times New Roman"/>
                      <w:b w:val="0"/>
                      <w:bCs w:val="0"/>
                      <w:color w:val="auto"/>
                      <w:szCs w:val="21"/>
                      <w:u w:val="none"/>
                      <w:lang w:val="en-US" w:eastAsia="zh-CN"/>
                    </w:rPr>
                    <w:t>112</w:t>
                  </w:r>
                </w:p>
              </w:tc>
              <w:tc>
                <w:tcPr>
                  <w:tcW w:w="1513" w:type="dxa"/>
                  <w:vAlign w:val="center"/>
                </w:tcPr>
                <w:p w14:paraId="1E51C68C">
                  <w:pPr>
                    <w:jc w:val="center"/>
                    <w:rPr>
                      <w:rFonts w:hint="default" w:eastAsia="宋体"/>
                      <w:color w:val="auto"/>
                      <w:lang w:val="en-US" w:eastAsia="zh-CN"/>
                    </w:rPr>
                  </w:pPr>
                  <w:r>
                    <w:rPr>
                      <w:rFonts w:hint="default" w:ascii="Times New Roman" w:hAnsi="Times New Roman" w:cs="Times New Roman"/>
                      <w:b w:val="0"/>
                      <w:bCs w:val="0"/>
                      <w:color w:val="auto"/>
                      <w:szCs w:val="21"/>
                      <w:u w:val="none"/>
                    </w:rPr>
                    <w:t>0.</w:t>
                  </w:r>
                  <w:r>
                    <w:rPr>
                      <w:rFonts w:hint="eastAsia" w:cs="Times New Roman"/>
                      <w:b w:val="0"/>
                      <w:bCs w:val="0"/>
                      <w:color w:val="auto"/>
                      <w:szCs w:val="21"/>
                      <w:u w:val="none"/>
                      <w:lang w:val="en-US" w:eastAsia="zh-CN"/>
                    </w:rPr>
                    <w:t>30</w:t>
                  </w:r>
                  <w:r>
                    <w:rPr>
                      <w:rFonts w:hint="default" w:ascii="Times New Roman" w:hAnsi="Times New Roman" w:cs="Times New Roman"/>
                      <w:b w:val="0"/>
                      <w:bCs w:val="0"/>
                      <w:color w:val="auto"/>
                      <w:szCs w:val="21"/>
                      <w:u w:val="none"/>
                    </w:rPr>
                    <w:t>~0.</w:t>
                  </w:r>
                  <w:r>
                    <w:rPr>
                      <w:rFonts w:hint="eastAsia" w:cs="Times New Roman"/>
                      <w:b w:val="0"/>
                      <w:bCs w:val="0"/>
                      <w:color w:val="auto"/>
                      <w:szCs w:val="21"/>
                      <w:u w:val="none"/>
                      <w:lang w:val="en-US" w:eastAsia="zh-CN"/>
                    </w:rPr>
                    <w:t>37</w:t>
                  </w:r>
                </w:p>
              </w:tc>
              <w:tc>
                <w:tcPr>
                  <w:tcW w:w="1701" w:type="dxa"/>
                  <w:vAlign w:val="center"/>
                </w:tcPr>
                <w:p w14:paraId="2DCD52FF">
                  <w:pPr>
                    <w:jc w:val="center"/>
                    <w:rPr>
                      <w:color w:val="auto"/>
                      <w:szCs w:val="21"/>
                    </w:rPr>
                  </w:pPr>
                  <w:r>
                    <w:rPr>
                      <w:rFonts w:hint="eastAsia"/>
                      <w:color w:val="auto"/>
                      <w:szCs w:val="21"/>
                    </w:rPr>
                    <w:t>达标</w:t>
                  </w:r>
                </w:p>
              </w:tc>
            </w:tr>
          </w:tbl>
          <w:p w14:paraId="2FC30616">
            <w:pPr>
              <w:adjustRightInd w:val="0"/>
              <w:snapToGrid w:val="0"/>
              <w:spacing w:line="360" w:lineRule="auto"/>
              <w:ind w:firstLine="480" w:firstLineChars="200"/>
              <w:rPr>
                <w:color w:val="auto"/>
                <w:kern w:val="24"/>
                <w:sz w:val="24"/>
              </w:rPr>
            </w:pPr>
            <w:r>
              <w:rPr>
                <w:color w:val="auto"/>
                <w:kern w:val="24"/>
                <w:sz w:val="24"/>
              </w:rPr>
              <w:t>综上，评价区域内评价</w:t>
            </w:r>
            <w:r>
              <w:rPr>
                <w:rFonts w:hint="eastAsia"/>
                <w:color w:val="auto"/>
                <w:kern w:val="24"/>
                <w:sz w:val="24"/>
              </w:rPr>
              <w:t>因子</w:t>
            </w:r>
            <w:r>
              <w:rPr>
                <w:color w:val="auto"/>
                <w:kern w:val="24"/>
                <w:sz w:val="24"/>
              </w:rPr>
              <w:t>TSP 浓度满足《环境空气质量标准》(GB3095-2012)中二级标准限值</w:t>
            </w:r>
            <w:r>
              <w:rPr>
                <w:rFonts w:hint="eastAsia"/>
                <w:color w:val="auto"/>
                <w:kern w:val="24"/>
                <w:sz w:val="24"/>
              </w:rPr>
              <w:t>，</w:t>
            </w:r>
            <w:r>
              <w:rPr>
                <w:color w:val="auto"/>
                <w:kern w:val="24"/>
                <w:sz w:val="24"/>
              </w:rPr>
              <w:t>说明评价区域内环境空气质量现状总体良好。</w:t>
            </w:r>
          </w:p>
          <w:p w14:paraId="392A720B">
            <w:pPr>
              <w:spacing w:line="360" w:lineRule="auto"/>
              <w:ind w:firstLine="482" w:firstLineChars="200"/>
              <w:rPr>
                <w:b/>
                <w:color w:val="auto"/>
                <w:sz w:val="24"/>
              </w:rPr>
            </w:pPr>
            <w:r>
              <w:rPr>
                <w:b/>
                <w:color w:val="auto"/>
                <w:sz w:val="24"/>
              </w:rPr>
              <w:t>二、地表水环境</w:t>
            </w:r>
          </w:p>
          <w:p w14:paraId="722766F2">
            <w:pPr>
              <w:spacing w:line="360" w:lineRule="auto"/>
              <w:ind w:firstLine="480" w:firstLineChars="200"/>
              <w:rPr>
                <w:color w:val="auto"/>
                <w:sz w:val="24"/>
              </w:rPr>
            </w:pPr>
            <w:r>
              <w:rPr>
                <w:color w:val="auto"/>
                <w:sz w:val="24"/>
              </w:rPr>
              <w:t>根据建设项目环境影响报告表编制技术指南（污染影响类）</w:t>
            </w:r>
            <w:r>
              <w:rPr>
                <w:rFonts w:hint="eastAsia"/>
                <w:color w:val="auto"/>
                <w:sz w:val="24"/>
              </w:rPr>
              <w:t>，</w:t>
            </w:r>
            <w:r>
              <w:rPr>
                <w:color w:val="auto"/>
                <w:sz w:val="24"/>
              </w:rPr>
              <w:t>水环境质量现状调查应优先采用国务院生态环境保护主管部门统一发布的水环境状况信息。</w:t>
            </w:r>
          </w:p>
          <w:p w14:paraId="61FDDAB5">
            <w:pPr>
              <w:keepNext/>
              <w:keepLines/>
              <w:spacing w:line="360" w:lineRule="auto"/>
              <w:ind w:firstLine="480" w:firstLineChars="200"/>
              <w:rPr>
                <w:color w:val="auto"/>
                <w:sz w:val="24"/>
              </w:rPr>
            </w:pPr>
            <w:r>
              <w:rPr>
                <w:color w:val="auto"/>
                <w:sz w:val="24"/>
              </w:rPr>
              <w:t>本项目位于</w:t>
            </w:r>
            <w:r>
              <w:rPr>
                <w:rFonts w:hint="eastAsia"/>
                <w:color w:val="auto"/>
                <w:sz w:val="24"/>
                <w:lang w:eastAsia="zh-CN"/>
              </w:rPr>
              <w:t>金寨县梅山镇汪冲村</w:t>
            </w:r>
            <w:r>
              <w:rPr>
                <w:color w:val="auto"/>
                <w:sz w:val="24"/>
              </w:rPr>
              <w:t>，</w:t>
            </w:r>
            <w:r>
              <w:rPr>
                <w:rFonts w:hint="eastAsia"/>
                <w:color w:val="auto"/>
                <w:sz w:val="24"/>
              </w:rPr>
              <w:t>本评价引用</w:t>
            </w:r>
            <w:r>
              <w:rPr>
                <w:rFonts w:hint="eastAsia"/>
                <w:color w:val="auto"/>
                <w:sz w:val="24"/>
                <w:lang w:val="en-US" w:eastAsia="zh-CN"/>
              </w:rPr>
              <w:t>金寨县人民政府发布的</w:t>
            </w:r>
            <w:r>
              <w:rPr>
                <w:rFonts w:hint="eastAsia"/>
                <w:color w:val="auto"/>
                <w:sz w:val="24"/>
                <w:lang w:eastAsia="zh-CN"/>
              </w:rPr>
              <w:t>《2023年金寨县环境质量年报》，</w:t>
            </w:r>
            <w:r>
              <w:rPr>
                <w:rFonts w:hint="eastAsia"/>
                <w:color w:val="auto"/>
                <w:sz w:val="24"/>
                <w:lang w:val="en-US" w:eastAsia="zh-CN"/>
              </w:rPr>
              <w:t>2023年金寨县地表水国控断面和省控断面满足《地表水环境质量标准》（GB3838-2002）Ⅱ类标准</w:t>
            </w:r>
            <w:r>
              <w:rPr>
                <w:color w:val="auto"/>
                <w:sz w:val="24"/>
              </w:rPr>
              <w:t>。</w:t>
            </w:r>
          </w:p>
          <w:p w14:paraId="622CF3E3">
            <w:pPr>
              <w:spacing w:line="360" w:lineRule="auto"/>
              <w:ind w:firstLine="482" w:firstLineChars="200"/>
              <w:rPr>
                <w:b/>
                <w:color w:val="auto"/>
                <w:sz w:val="24"/>
              </w:rPr>
            </w:pPr>
            <w:r>
              <w:rPr>
                <w:b/>
                <w:color w:val="auto"/>
                <w:sz w:val="24"/>
              </w:rPr>
              <w:t>三、声环境</w:t>
            </w:r>
          </w:p>
          <w:p w14:paraId="54B919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rPr>
            </w:pPr>
            <w:r>
              <w:rPr>
                <w:color w:val="auto"/>
                <w:sz w:val="24"/>
              </w:rPr>
              <w:t>经现场勘查，本项目周边50m范围内</w:t>
            </w:r>
            <w:r>
              <w:rPr>
                <w:rFonts w:hint="eastAsia"/>
                <w:color w:val="auto"/>
                <w:sz w:val="24"/>
                <w:lang w:val="en-US" w:eastAsia="zh-CN"/>
              </w:rPr>
              <w:t>有1处敏感点</w:t>
            </w:r>
            <w:r>
              <w:rPr>
                <w:color w:val="auto"/>
                <w:sz w:val="24"/>
              </w:rPr>
              <w:t>，</w:t>
            </w:r>
            <w:r>
              <w:rPr>
                <w:rFonts w:hint="eastAsia"/>
                <w:color w:val="auto"/>
                <w:sz w:val="24"/>
                <w:lang w:val="en-US" w:eastAsia="zh-CN"/>
              </w:rPr>
              <w:t>委托</w:t>
            </w:r>
            <w:r>
              <w:rPr>
                <w:rFonts w:hint="eastAsia" w:ascii="Times New Roman" w:hAnsi="Times New Roman" w:eastAsia="宋体" w:cs="Times New Roman"/>
                <w:color w:val="auto"/>
                <w:kern w:val="24"/>
                <w:sz w:val="24"/>
                <w:lang w:eastAsia="zh-CN"/>
              </w:rPr>
              <w:t>安徽文竹环境科技有限责任公司</w:t>
            </w:r>
            <w:r>
              <w:rPr>
                <w:rFonts w:hint="eastAsia"/>
                <w:color w:val="auto"/>
                <w:sz w:val="24"/>
                <w:lang w:val="en-US" w:eastAsia="zh-CN"/>
              </w:rPr>
              <w:t>进行</w:t>
            </w:r>
            <w:r>
              <w:rPr>
                <w:color w:val="auto"/>
                <w:sz w:val="24"/>
              </w:rPr>
              <w:t>现状监测</w:t>
            </w:r>
            <w:r>
              <w:rPr>
                <w:rFonts w:hint="eastAsia"/>
                <w:color w:val="auto"/>
                <w:sz w:val="24"/>
              </w:rPr>
              <w:t>。</w:t>
            </w:r>
          </w:p>
          <w:p w14:paraId="3671A53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color w:val="auto"/>
                <w:kern w:val="0"/>
                <w:sz w:val="24"/>
                <w:szCs w:val="24"/>
              </w:rPr>
              <w:t>表3-</w:t>
            </w:r>
            <w:r>
              <w:rPr>
                <w:rFonts w:hint="eastAsia" w:cs="Times New Roman"/>
                <w:b/>
                <w:color w:val="auto"/>
                <w:kern w:val="0"/>
                <w:sz w:val="24"/>
                <w:szCs w:val="24"/>
                <w:lang w:val="en-US" w:eastAsia="zh-CN"/>
              </w:rPr>
              <w:t>5</w:t>
            </w:r>
            <w:r>
              <w:rPr>
                <w:rFonts w:hint="default" w:ascii="Times New Roman" w:hAnsi="Times New Roman" w:cs="Times New Roman"/>
                <w:b/>
                <w:color w:val="auto"/>
                <w:kern w:val="0"/>
                <w:sz w:val="24"/>
                <w:szCs w:val="24"/>
              </w:rPr>
              <w:t xml:space="preserve"> 噪声监测结果</w:t>
            </w:r>
            <w:r>
              <w:rPr>
                <w:rFonts w:hint="eastAsia" w:ascii="Times New Roman" w:hAnsi="Times New Roman" w:cs="Times New Roman"/>
                <w:b/>
                <w:color w:val="auto"/>
                <w:kern w:val="0"/>
                <w:sz w:val="24"/>
                <w:szCs w:val="24"/>
                <w:lang w:val="en-US" w:eastAsia="zh-CN"/>
              </w:rPr>
              <w:t xml:space="preserve">  </w:t>
            </w:r>
            <w:r>
              <w:rPr>
                <w:rFonts w:hint="default" w:ascii="Times New Roman" w:hAnsi="Times New Roman" w:cs="Times New Roman"/>
                <w:b/>
                <w:color w:val="auto"/>
                <w:kern w:val="0"/>
                <w:sz w:val="24"/>
                <w:szCs w:val="24"/>
              </w:rPr>
              <w:t>单位：dB(A)</w:t>
            </w:r>
          </w:p>
          <w:tbl>
            <w:tblPr>
              <w:tblStyle w:val="30"/>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504"/>
              <w:gridCol w:w="2297"/>
              <w:gridCol w:w="2086"/>
            </w:tblGrid>
            <w:tr w14:paraId="4BF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pct"/>
                  <w:noWrap w:val="0"/>
                  <w:vAlign w:val="center"/>
                </w:tcPr>
                <w:p w14:paraId="44CBE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default" w:ascii="Times New Roman" w:hAnsi="Times New Roman" w:eastAsia="宋体" w:cs="宋体"/>
                      <w:i w:val="0"/>
                      <w:color w:val="auto"/>
                      <w:kern w:val="0"/>
                      <w:sz w:val="21"/>
                      <w:szCs w:val="21"/>
                      <w:highlight w:val="none"/>
                      <w:u w:val="none"/>
                      <w:lang w:val="en-US" w:eastAsia="zh-CN" w:bidi="ar"/>
                    </w:rPr>
                    <w:t>时间</w:t>
                  </w:r>
                </w:p>
              </w:tc>
              <w:tc>
                <w:tcPr>
                  <w:tcW w:w="1466" w:type="pct"/>
                  <w:noWrap w:val="0"/>
                  <w:vAlign w:val="center"/>
                </w:tcPr>
                <w:p w14:paraId="4013D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default" w:ascii="Times New Roman" w:hAnsi="Times New Roman" w:eastAsia="宋体" w:cs="宋体"/>
                      <w:i w:val="0"/>
                      <w:color w:val="auto"/>
                      <w:kern w:val="0"/>
                      <w:sz w:val="21"/>
                      <w:szCs w:val="21"/>
                      <w:highlight w:val="none"/>
                      <w:u w:val="none"/>
                      <w:lang w:val="en-US" w:eastAsia="zh-CN" w:bidi="ar"/>
                    </w:rPr>
                    <w:t>监测点位</w:t>
                  </w:r>
                </w:p>
              </w:tc>
              <w:tc>
                <w:tcPr>
                  <w:tcW w:w="1345" w:type="pct"/>
                  <w:noWrap w:val="0"/>
                  <w:vAlign w:val="center"/>
                </w:tcPr>
                <w:p w14:paraId="652AB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default" w:ascii="Times New Roman" w:hAnsi="Times New Roman" w:eastAsia="宋体" w:cs="宋体"/>
                      <w:i w:val="0"/>
                      <w:color w:val="auto"/>
                      <w:kern w:val="0"/>
                      <w:sz w:val="21"/>
                      <w:szCs w:val="21"/>
                      <w:highlight w:val="none"/>
                      <w:u w:val="none"/>
                      <w:lang w:val="en-US" w:eastAsia="zh-CN" w:bidi="ar"/>
                    </w:rPr>
                    <w:t>昼间</w:t>
                  </w:r>
                </w:p>
              </w:tc>
              <w:tc>
                <w:tcPr>
                  <w:tcW w:w="1222" w:type="pct"/>
                  <w:noWrap w:val="0"/>
                  <w:vAlign w:val="center"/>
                </w:tcPr>
                <w:p w14:paraId="43818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default" w:ascii="Times New Roman" w:hAnsi="Times New Roman" w:eastAsia="宋体" w:cs="宋体"/>
                      <w:i w:val="0"/>
                      <w:color w:val="auto"/>
                      <w:kern w:val="0"/>
                      <w:sz w:val="21"/>
                      <w:szCs w:val="21"/>
                      <w:highlight w:val="none"/>
                      <w:u w:val="none"/>
                      <w:lang w:val="en-US" w:eastAsia="zh-CN" w:bidi="ar"/>
                    </w:rPr>
                    <w:t>夜间</w:t>
                  </w:r>
                </w:p>
              </w:tc>
            </w:tr>
            <w:tr w14:paraId="60D0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pct"/>
                  <w:noWrap w:val="0"/>
                  <w:vAlign w:val="center"/>
                </w:tcPr>
                <w:p w14:paraId="0AF27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default" w:ascii="Times New Roman" w:hAnsi="Times New Roman" w:eastAsia="宋体" w:cs="宋体"/>
                      <w:i w:val="0"/>
                      <w:color w:val="auto"/>
                      <w:kern w:val="0"/>
                      <w:sz w:val="21"/>
                      <w:szCs w:val="21"/>
                      <w:highlight w:val="none"/>
                      <w:u w:val="none"/>
                      <w:lang w:val="en-US" w:eastAsia="zh-CN" w:bidi="ar"/>
                    </w:rPr>
                    <w:t>202</w:t>
                  </w:r>
                  <w:r>
                    <w:rPr>
                      <w:rFonts w:hint="eastAsia" w:ascii="Times New Roman" w:hAnsi="Times New Roman" w:eastAsia="宋体" w:cs="宋体"/>
                      <w:i w:val="0"/>
                      <w:color w:val="auto"/>
                      <w:kern w:val="0"/>
                      <w:sz w:val="21"/>
                      <w:szCs w:val="21"/>
                      <w:highlight w:val="none"/>
                      <w:u w:val="none"/>
                      <w:lang w:val="en-US" w:eastAsia="zh-CN" w:bidi="ar"/>
                    </w:rPr>
                    <w:t>4</w:t>
                  </w:r>
                  <w:r>
                    <w:rPr>
                      <w:rFonts w:hint="default" w:ascii="Times New Roman" w:hAnsi="Times New Roman" w:eastAsia="宋体" w:cs="宋体"/>
                      <w:i w:val="0"/>
                      <w:color w:val="auto"/>
                      <w:kern w:val="0"/>
                      <w:sz w:val="21"/>
                      <w:szCs w:val="21"/>
                      <w:highlight w:val="none"/>
                      <w:u w:val="none"/>
                      <w:lang w:val="en-US" w:eastAsia="zh-CN" w:bidi="ar"/>
                    </w:rPr>
                    <w:t>.</w:t>
                  </w:r>
                  <w:r>
                    <w:rPr>
                      <w:rFonts w:hint="eastAsia" w:ascii="Times New Roman" w:hAnsi="Times New Roman" w:eastAsia="宋体" w:cs="宋体"/>
                      <w:i w:val="0"/>
                      <w:color w:val="auto"/>
                      <w:kern w:val="0"/>
                      <w:sz w:val="21"/>
                      <w:szCs w:val="21"/>
                      <w:highlight w:val="none"/>
                      <w:u w:val="none"/>
                      <w:lang w:val="en-US" w:eastAsia="zh-CN" w:bidi="ar"/>
                    </w:rPr>
                    <w:t>10</w:t>
                  </w:r>
                  <w:r>
                    <w:rPr>
                      <w:rFonts w:hint="default" w:ascii="Times New Roman" w:hAnsi="Times New Roman" w:eastAsia="宋体" w:cs="宋体"/>
                      <w:i w:val="0"/>
                      <w:color w:val="auto"/>
                      <w:kern w:val="0"/>
                      <w:sz w:val="21"/>
                      <w:szCs w:val="21"/>
                      <w:highlight w:val="none"/>
                      <w:u w:val="none"/>
                      <w:lang w:val="en-US" w:eastAsia="zh-CN" w:bidi="ar"/>
                    </w:rPr>
                    <w:t>.</w:t>
                  </w:r>
                  <w:r>
                    <w:rPr>
                      <w:rFonts w:hint="eastAsia" w:ascii="Times New Roman" w:hAnsi="Times New Roman" w:eastAsia="宋体" w:cs="宋体"/>
                      <w:i w:val="0"/>
                      <w:color w:val="auto"/>
                      <w:kern w:val="0"/>
                      <w:sz w:val="21"/>
                      <w:szCs w:val="21"/>
                      <w:highlight w:val="none"/>
                      <w:u w:val="none"/>
                      <w:lang w:val="en-US" w:eastAsia="zh-CN" w:bidi="ar"/>
                    </w:rPr>
                    <w:t>23</w:t>
                  </w:r>
                </w:p>
              </w:tc>
              <w:tc>
                <w:tcPr>
                  <w:tcW w:w="1466" w:type="pct"/>
                  <w:noWrap w:val="0"/>
                  <w:vAlign w:val="center"/>
                </w:tcPr>
                <w:p w14:paraId="42F35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imes New Roman" w:hAnsi="Times New Roman" w:eastAsia="宋体" w:cs="宋体"/>
                      <w:i w:val="0"/>
                      <w:color w:val="auto"/>
                      <w:kern w:val="0"/>
                      <w:sz w:val="21"/>
                      <w:szCs w:val="21"/>
                      <w:highlight w:val="none"/>
                      <w:u w:val="none"/>
                      <w:lang w:val="en-US" w:eastAsia="zh-CN" w:bidi="ar"/>
                    </w:rPr>
                    <w:t>N1（小湾子）</w:t>
                  </w:r>
                </w:p>
              </w:tc>
              <w:tc>
                <w:tcPr>
                  <w:tcW w:w="1345" w:type="pct"/>
                  <w:noWrap w:val="0"/>
                  <w:vAlign w:val="center"/>
                </w:tcPr>
                <w:p w14:paraId="4C7172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imes New Roman" w:hAnsi="Times New Roman" w:eastAsia="宋体" w:cs="宋体"/>
                      <w:i w:val="0"/>
                      <w:color w:val="auto"/>
                      <w:kern w:val="0"/>
                      <w:sz w:val="21"/>
                      <w:szCs w:val="21"/>
                      <w:highlight w:val="none"/>
                      <w:u w:val="none"/>
                      <w:lang w:val="en-US" w:eastAsia="zh-CN" w:bidi="ar"/>
                    </w:rPr>
                    <w:t>46.3</w:t>
                  </w:r>
                </w:p>
              </w:tc>
              <w:tc>
                <w:tcPr>
                  <w:tcW w:w="1222" w:type="pct"/>
                  <w:noWrap w:val="0"/>
                  <w:vAlign w:val="center"/>
                </w:tcPr>
                <w:p w14:paraId="5D9F1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imes New Roman" w:hAnsi="Times New Roman" w:eastAsia="宋体" w:cs="宋体"/>
                      <w:i w:val="0"/>
                      <w:color w:val="auto"/>
                      <w:kern w:val="0"/>
                      <w:sz w:val="21"/>
                      <w:szCs w:val="21"/>
                      <w:highlight w:val="none"/>
                      <w:u w:val="none"/>
                      <w:lang w:val="en-US" w:eastAsia="zh-CN" w:bidi="ar"/>
                    </w:rPr>
                    <w:t>35.1</w:t>
                  </w:r>
                </w:p>
              </w:tc>
            </w:tr>
          </w:tbl>
          <w:p w14:paraId="54BE694D">
            <w:pPr>
              <w:tabs>
                <w:tab w:val="left" w:pos="452"/>
              </w:tabs>
              <w:adjustRightInd w:val="0"/>
              <w:snapToGrid w:val="0"/>
              <w:spacing w:line="360" w:lineRule="auto"/>
              <w:ind w:firstLine="480" w:firstLineChars="200"/>
              <w:rPr>
                <w:b/>
                <w:color w:val="auto"/>
                <w:sz w:val="24"/>
              </w:rPr>
            </w:pPr>
            <w:r>
              <w:rPr>
                <w:rFonts w:hint="eastAsia" w:ascii="Times New Roman" w:hAnsi="Times New Roman" w:eastAsia="宋体" w:cs="Times New Roman"/>
                <w:color w:val="auto"/>
                <w:sz w:val="24"/>
              </w:rPr>
              <w:t>由项目区域环境噪声监测结果可以看出：项目</w:t>
            </w:r>
            <w:r>
              <w:rPr>
                <w:rFonts w:hint="eastAsia" w:ascii="Times New Roman" w:hAnsi="Times New Roman" w:eastAsia="宋体" w:cs="Times New Roman"/>
                <w:color w:val="auto"/>
                <w:sz w:val="24"/>
                <w:lang w:val="en-US" w:eastAsia="zh-CN"/>
              </w:rPr>
              <w:t>50m范围内</w:t>
            </w:r>
            <w:r>
              <w:rPr>
                <w:rFonts w:hint="eastAsia" w:ascii="Times New Roman" w:hAnsi="Times New Roman" w:eastAsia="宋体" w:cs="Times New Roman"/>
                <w:color w:val="auto"/>
                <w:sz w:val="24"/>
              </w:rPr>
              <w:t>敏感点满足《声环境质量标准》（GB3096-2008）中2类标准</w:t>
            </w:r>
            <w:r>
              <w:rPr>
                <w:rFonts w:hint="eastAsia" w:ascii="Times New Roman" w:hAnsi="Times New Roman" w:eastAsia="宋体" w:cs="Times New Roman"/>
                <w:color w:val="auto"/>
                <w:sz w:val="24"/>
                <w:lang w:eastAsia="zh-CN"/>
              </w:rPr>
              <w:t>。</w:t>
            </w:r>
          </w:p>
          <w:p w14:paraId="437B929E">
            <w:pPr>
              <w:tabs>
                <w:tab w:val="left" w:pos="452"/>
              </w:tabs>
              <w:adjustRightInd w:val="0"/>
              <w:snapToGrid w:val="0"/>
              <w:spacing w:line="360" w:lineRule="auto"/>
              <w:ind w:firstLine="482" w:firstLineChars="200"/>
              <w:rPr>
                <w:b/>
                <w:color w:val="auto"/>
                <w:sz w:val="24"/>
              </w:rPr>
            </w:pPr>
            <w:r>
              <w:rPr>
                <w:b/>
                <w:color w:val="auto"/>
                <w:sz w:val="24"/>
              </w:rPr>
              <w:t>四、生态环境质量现状</w:t>
            </w:r>
          </w:p>
          <w:p w14:paraId="4D75335A">
            <w:pPr>
              <w:adjustRightInd w:val="0"/>
              <w:snapToGrid w:val="0"/>
              <w:spacing w:line="360" w:lineRule="auto"/>
              <w:ind w:firstLine="480" w:firstLineChars="200"/>
              <w:rPr>
                <w:color w:val="auto"/>
                <w:sz w:val="24"/>
              </w:rPr>
            </w:pPr>
            <w:r>
              <w:rPr>
                <w:color w:val="auto"/>
                <w:sz w:val="24"/>
              </w:rPr>
              <w:t>本项目位于安徽</w:t>
            </w:r>
            <w:r>
              <w:rPr>
                <w:rFonts w:hint="eastAsia"/>
                <w:color w:val="auto"/>
                <w:sz w:val="24"/>
                <w:lang w:eastAsia="zh-CN"/>
              </w:rPr>
              <w:t>金寨县梅山镇汪冲村</w:t>
            </w:r>
            <w:r>
              <w:rPr>
                <w:color w:val="auto"/>
                <w:sz w:val="24"/>
              </w:rPr>
              <w:t>，项目为工业用地，且周边无风景名胜区和文物古迹等生态环境保护目标，因此不需要开展生态环境质量现状</w:t>
            </w:r>
            <w:r>
              <w:rPr>
                <w:rFonts w:hint="eastAsia"/>
                <w:color w:val="auto"/>
                <w:sz w:val="24"/>
                <w:lang w:val="en-US" w:eastAsia="zh-CN"/>
              </w:rPr>
              <w:t>调查</w:t>
            </w:r>
            <w:r>
              <w:rPr>
                <w:rFonts w:hint="eastAsia"/>
                <w:color w:val="auto"/>
                <w:sz w:val="24"/>
              </w:rPr>
              <w:t>。</w:t>
            </w:r>
          </w:p>
          <w:p w14:paraId="16B24CBD">
            <w:pPr>
              <w:tabs>
                <w:tab w:val="left" w:pos="452"/>
              </w:tabs>
              <w:adjustRightInd w:val="0"/>
              <w:snapToGrid w:val="0"/>
              <w:spacing w:line="360" w:lineRule="auto"/>
              <w:ind w:firstLine="482" w:firstLineChars="200"/>
              <w:rPr>
                <w:b/>
                <w:color w:val="auto"/>
                <w:sz w:val="24"/>
              </w:rPr>
            </w:pPr>
            <w:r>
              <w:rPr>
                <w:rFonts w:hint="eastAsia"/>
                <w:b/>
                <w:color w:val="auto"/>
                <w:sz w:val="24"/>
              </w:rPr>
              <w:t>五</w:t>
            </w:r>
            <w:r>
              <w:rPr>
                <w:b/>
                <w:color w:val="auto"/>
                <w:sz w:val="24"/>
              </w:rPr>
              <w:t>、电磁辐射</w:t>
            </w:r>
          </w:p>
          <w:p w14:paraId="65B30971">
            <w:pPr>
              <w:adjustRightInd w:val="0"/>
              <w:snapToGrid w:val="0"/>
              <w:spacing w:line="360" w:lineRule="auto"/>
              <w:ind w:firstLine="480" w:firstLineChars="200"/>
              <w:rPr>
                <w:color w:val="auto"/>
                <w:sz w:val="24"/>
              </w:rPr>
            </w:pPr>
            <w:r>
              <w:rPr>
                <w:color w:val="auto"/>
                <w:sz w:val="24"/>
              </w:rPr>
              <w:t>本项目不属于广播电台、差转台、电视塔台、卫星地球上行站、雷达等电磁辐射类项目，不存在电磁辐射等污染，因此不需要开展电磁辐射现状监测与评价。</w:t>
            </w:r>
          </w:p>
          <w:p w14:paraId="79C78208">
            <w:pPr>
              <w:tabs>
                <w:tab w:val="left" w:pos="452"/>
              </w:tabs>
              <w:adjustRightInd w:val="0"/>
              <w:snapToGrid w:val="0"/>
              <w:spacing w:line="360" w:lineRule="auto"/>
              <w:ind w:firstLine="482" w:firstLineChars="200"/>
              <w:rPr>
                <w:b/>
                <w:color w:val="auto"/>
                <w:sz w:val="24"/>
              </w:rPr>
            </w:pPr>
            <w:r>
              <w:rPr>
                <w:rFonts w:hint="eastAsia"/>
                <w:b/>
                <w:color w:val="auto"/>
                <w:sz w:val="24"/>
              </w:rPr>
              <w:t>六</w:t>
            </w:r>
            <w:r>
              <w:rPr>
                <w:b/>
                <w:color w:val="auto"/>
                <w:sz w:val="24"/>
              </w:rPr>
              <w:t>、地下水、土壤环境</w:t>
            </w:r>
          </w:p>
          <w:p w14:paraId="17892AAA">
            <w:pPr>
              <w:adjustRightInd w:val="0"/>
              <w:snapToGrid w:val="0"/>
              <w:spacing w:line="360" w:lineRule="auto"/>
              <w:ind w:firstLine="480" w:firstLineChars="200"/>
              <w:rPr>
                <w:color w:val="FF0000"/>
                <w:kern w:val="0"/>
                <w:szCs w:val="21"/>
              </w:rPr>
            </w:pPr>
            <w:r>
              <w:rPr>
                <w:color w:val="auto"/>
                <w:sz w:val="24"/>
              </w:rPr>
              <w:t>根据《建设项目环境影响报告表编制技术指南（污染影响类）（试行）》，地下水、土壤环境原则上不开展环境质量现状调查。建设项目存在地下水、土壤环境污染途径的，应结合污染源、保护目标分布情况开展现状调查以留作背景值。本项目厂界外500m范围内不涉及地下水集中式饮用水水源和热水、矿泉水、温泉等特殊地下水资源等地下水环境敏感目标，本项目的实施，对地下水及土壤影响很小，因此不需要开展地下水、土壤环境现状监测与评价。</w:t>
            </w:r>
          </w:p>
        </w:tc>
      </w:tr>
      <w:tr w14:paraId="3EC1B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4" w:type="pct"/>
            <w:vAlign w:val="center"/>
          </w:tcPr>
          <w:p w14:paraId="737C5340">
            <w:pPr>
              <w:adjustRightInd w:val="0"/>
              <w:snapToGrid w:val="0"/>
              <w:spacing w:line="360" w:lineRule="auto"/>
              <w:jc w:val="center"/>
              <w:rPr>
                <w:b/>
                <w:bCs/>
                <w:color w:val="auto"/>
                <w:kern w:val="0"/>
                <w:sz w:val="24"/>
              </w:rPr>
            </w:pPr>
            <w:r>
              <w:rPr>
                <w:b/>
                <w:bCs/>
                <w:color w:val="auto"/>
                <w:kern w:val="0"/>
                <w:sz w:val="24"/>
              </w:rPr>
              <w:t>环境</w:t>
            </w:r>
          </w:p>
          <w:p w14:paraId="4FF3A042">
            <w:pPr>
              <w:adjustRightInd w:val="0"/>
              <w:snapToGrid w:val="0"/>
              <w:spacing w:line="360" w:lineRule="auto"/>
              <w:jc w:val="center"/>
              <w:rPr>
                <w:b/>
                <w:bCs/>
                <w:color w:val="auto"/>
                <w:kern w:val="0"/>
                <w:sz w:val="24"/>
              </w:rPr>
            </w:pPr>
            <w:r>
              <w:rPr>
                <w:b/>
                <w:bCs/>
                <w:color w:val="auto"/>
                <w:kern w:val="0"/>
                <w:sz w:val="24"/>
              </w:rPr>
              <w:t>保护</w:t>
            </w:r>
          </w:p>
          <w:p w14:paraId="0779F7DB">
            <w:pPr>
              <w:adjustRightInd w:val="0"/>
              <w:snapToGrid w:val="0"/>
              <w:spacing w:line="360" w:lineRule="auto"/>
              <w:jc w:val="center"/>
              <w:rPr>
                <w:color w:val="FF0000"/>
                <w:kern w:val="0"/>
                <w:szCs w:val="21"/>
              </w:rPr>
            </w:pPr>
            <w:r>
              <w:rPr>
                <w:b/>
                <w:bCs/>
                <w:color w:val="auto"/>
                <w:kern w:val="0"/>
                <w:sz w:val="24"/>
              </w:rPr>
              <w:t>目标</w:t>
            </w:r>
          </w:p>
        </w:tc>
        <w:tc>
          <w:tcPr>
            <w:tcW w:w="4715" w:type="pct"/>
            <w:vAlign w:val="center"/>
          </w:tcPr>
          <w:p w14:paraId="28694C36">
            <w:pPr>
              <w:adjustRightInd w:val="0"/>
              <w:snapToGrid w:val="0"/>
              <w:spacing w:line="360" w:lineRule="auto"/>
              <w:rPr>
                <w:b/>
                <w:bCs/>
                <w:iCs/>
                <w:color w:val="auto"/>
                <w:sz w:val="24"/>
              </w:rPr>
            </w:pPr>
            <w:r>
              <w:rPr>
                <w:b/>
                <w:bCs/>
                <w:iCs/>
                <w:color w:val="auto"/>
                <w:sz w:val="24"/>
              </w:rPr>
              <w:t>1、大气环境保护目标</w:t>
            </w:r>
          </w:p>
          <w:p w14:paraId="1EF9A2AF">
            <w:pPr>
              <w:adjustRightInd w:val="0"/>
              <w:snapToGrid w:val="0"/>
              <w:spacing w:line="360" w:lineRule="auto"/>
              <w:ind w:firstLine="480" w:firstLineChars="200"/>
              <w:rPr>
                <w:b/>
                <w:bCs/>
                <w:iCs/>
                <w:color w:val="auto"/>
                <w:sz w:val="24"/>
              </w:rPr>
            </w:pPr>
            <w:r>
              <w:rPr>
                <w:color w:val="auto"/>
                <w:kern w:val="0"/>
                <w:sz w:val="24"/>
              </w:rPr>
              <w:t>根据现场踏勘与调查，项目</w:t>
            </w:r>
            <w:r>
              <w:rPr>
                <w:rFonts w:hint="eastAsia"/>
                <w:color w:val="auto"/>
                <w:kern w:val="0"/>
                <w:sz w:val="24"/>
              </w:rPr>
              <w:t>厂界500m范围内</w:t>
            </w:r>
            <w:r>
              <w:rPr>
                <w:rFonts w:hint="eastAsia"/>
                <w:color w:val="auto"/>
                <w:kern w:val="0"/>
                <w:sz w:val="24"/>
                <w:lang w:val="en-US" w:eastAsia="zh-CN"/>
              </w:rPr>
              <w:t>有4处居民区</w:t>
            </w:r>
            <w:r>
              <w:rPr>
                <w:rFonts w:hint="eastAsia"/>
                <w:color w:val="auto"/>
                <w:kern w:val="0"/>
                <w:sz w:val="24"/>
              </w:rPr>
              <w:t>。</w:t>
            </w:r>
          </w:p>
          <w:p w14:paraId="09BBA3F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表3-</w:t>
            </w:r>
            <w:r>
              <w:rPr>
                <w:rFonts w:hint="eastAsia" w:ascii="Times New Roman" w:hAnsi="Times New Roman" w:cs="Times New Roman"/>
                <w:b/>
                <w:color w:val="auto"/>
                <w:kern w:val="0"/>
                <w:sz w:val="24"/>
                <w:szCs w:val="24"/>
                <w:lang w:val="en-US" w:eastAsia="zh-CN"/>
              </w:rPr>
              <w:t>5</w:t>
            </w:r>
            <w:r>
              <w:rPr>
                <w:rFonts w:hint="default" w:ascii="Times New Roman" w:hAnsi="Times New Roman" w:cs="Times New Roman"/>
                <w:b/>
                <w:color w:val="auto"/>
                <w:kern w:val="0"/>
                <w:sz w:val="24"/>
                <w:szCs w:val="24"/>
                <w:lang w:val="en-US" w:eastAsia="zh-CN"/>
              </w:rPr>
              <w:t xml:space="preserve"> </w:t>
            </w:r>
            <w:r>
              <w:rPr>
                <w:rFonts w:hint="default" w:ascii="Times New Roman" w:hAnsi="Times New Roman" w:cs="Times New Roman"/>
                <w:b/>
                <w:color w:val="auto"/>
                <w:kern w:val="0"/>
                <w:sz w:val="24"/>
                <w:szCs w:val="24"/>
              </w:rPr>
              <w:t>项目环境敏感保护目标一览表</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6"/>
              <w:gridCol w:w="510"/>
              <w:gridCol w:w="964"/>
              <w:gridCol w:w="912"/>
              <w:gridCol w:w="818"/>
              <w:gridCol w:w="1077"/>
              <w:gridCol w:w="825"/>
              <w:gridCol w:w="874"/>
              <w:gridCol w:w="1848"/>
            </w:tblGrid>
            <w:tr w14:paraId="228A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6" w:type="dxa"/>
                  <w:vMerge w:val="restart"/>
                  <w:tcBorders>
                    <w:tl2br w:val="nil"/>
                    <w:tr2bl w:val="nil"/>
                  </w:tcBorders>
                  <w:noWrap w:val="0"/>
                  <w:vAlign w:val="center"/>
                </w:tcPr>
                <w:p w14:paraId="0230138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510" w:type="dxa"/>
                  <w:vMerge w:val="restart"/>
                  <w:tcBorders>
                    <w:tl2br w:val="nil"/>
                    <w:tr2bl w:val="nil"/>
                  </w:tcBorders>
                  <w:noWrap w:val="0"/>
                  <w:vAlign w:val="center"/>
                </w:tcPr>
                <w:p w14:paraId="50BC48B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964" w:type="dxa"/>
                  <w:vMerge w:val="restart"/>
                  <w:tcBorders>
                    <w:tl2br w:val="nil"/>
                    <w:tr2bl w:val="nil"/>
                  </w:tcBorders>
                  <w:noWrap w:val="0"/>
                  <w:vAlign w:val="center"/>
                </w:tcPr>
                <w:p w14:paraId="2AC5587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主要保护目标</w:t>
                  </w:r>
                </w:p>
              </w:tc>
              <w:tc>
                <w:tcPr>
                  <w:tcW w:w="1730" w:type="dxa"/>
                  <w:gridSpan w:val="2"/>
                  <w:tcBorders>
                    <w:tl2br w:val="nil"/>
                    <w:tr2bl w:val="nil"/>
                  </w:tcBorders>
                  <w:noWrap w:val="0"/>
                  <w:vAlign w:val="center"/>
                </w:tcPr>
                <w:p w14:paraId="4FFFCC92">
                  <w:pPr>
                    <w:widowControl/>
                    <w:jc w:val="center"/>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kern w:val="0"/>
                      <w:szCs w:val="21"/>
                    </w:rPr>
                    <w:t>坐标</w:t>
                  </w:r>
                </w:p>
              </w:tc>
              <w:tc>
                <w:tcPr>
                  <w:tcW w:w="1077" w:type="dxa"/>
                  <w:vMerge w:val="restart"/>
                  <w:tcBorders>
                    <w:tl2br w:val="nil"/>
                    <w:tr2bl w:val="nil"/>
                  </w:tcBorders>
                  <w:noWrap w:val="0"/>
                  <w:vAlign w:val="center"/>
                </w:tcPr>
                <w:p w14:paraId="733BA70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性质、规模</w:t>
                  </w:r>
                </w:p>
              </w:tc>
              <w:tc>
                <w:tcPr>
                  <w:tcW w:w="825" w:type="dxa"/>
                  <w:vMerge w:val="restart"/>
                  <w:tcBorders>
                    <w:tl2br w:val="nil"/>
                    <w:tr2bl w:val="nil"/>
                  </w:tcBorders>
                  <w:noWrap w:val="0"/>
                  <w:vAlign w:val="center"/>
                </w:tcPr>
                <w:p w14:paraId="09A2A6F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距离(m)</w:t>
                  </w:r>
                </w:p>
              </w:tc>
              <w:tc>
                <w:tcPr>
                  <w:tcW w:w="874" w:type="dxa"/>
                  <w:vMerge w:val="restart"/>
                  <w:tcBorders>
                    <w:tl2br w:val="nil"/>
                    <w:tr2bl w:val="nil"/>
                  </w:tcBorders>
                  <w:noWrap w:val="0"/>
                  <w:vAlign w:val="center"/>
                </w:tcPr>
                <w:p w14:paraId="6BAFF9F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方位</w:t>
                  </w:r>
                </w:p>
              </w:tc>
              <w:tc>
                <w:tcPr>
                  <w:tcW w:w="1848" w:type="dxa"/>
                  <w:vMerge w:val="restart"/>
                  <w:tcBorders>
                    <w:tl2br w:val="nil"/>
                    <w:tr2bl w:val="nil"/>
                  </w:tcBorders>
                  <w:noWrap w:val="0"/>
                  <w:vAlign w:val="center"/>
                </w:tcPr>
                <w:p w14:paraId="2D024F2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保护级别</w:t>
                  </w:r>
                </w:p>
              </w:tc>
            </w:tr>
            <w:tr w14:paraId="6AAD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6" w:type="dxa"/>
                  <w:vMerge w:val="continue"/>
                  <w:tcBorders>
                    <w:tl2br w:val="nil"/>
                    <w:tr2bl w:val="nil"/>
                  </w:tcBorders>
                  <w:noWrap w:val="0"/>
                  <w:vAlign w:val="center"/>
                </w:tcPr>
                <w:p w14:paraId="1E5C01E2">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rPr>
                  </w:pPr>
                </w:p>
              </w:tc>
              <w:tc>
                <w:tcPr>
                  <w:tcW w:w="510" w:type="dxa"/>
                  <w:vMerge w:val="continue"/>
                  <w:tcBorders>
                    <w:tl2br w:val="nil"/>
                    <w:tr2bl w:val="nil"/>
                  </w:tcBorders>
                  <w:noWrap w:val="0"/>
                  <w:vAlign w:val="center"/>
                </w:tcPr>
                <w:p w14:paraId="5D17B24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rPr>
                  </w:pPr>
                </w:p>
              </w:tc>
              <w:tc>
                <w:tcPr>
                  <w:tcW w:w="964" w:type="dxa"/>
                  <w:vMerge w:val="continue"/>
                  <w:tcBorders>
                    <w:tl2br w:val="nil"/>
                    <w:tr2bl w:val="nil"/>
                  </w:tcBorders>
                  <w:noWrap w:val="0"/>
                  <w:vAlign w:val="center"/>
                </w:tcPr>
                <w:p w14:paraId="34FDA65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rPr>
                  </w:pPr>
                </w:p>
              </w:tc>
              <w:tc>
                <w:tcPr>
                  <w:tcW w:w="912" w:type="dxa"/>
                  <w:tcBorders>
                    <w:tl2br w:val="nil"/>
                    <w:tr2bl w:val="nil"/>
                  </w:tcBorders>
                  <w:noWrap w:val="0"/>
                  <w:vAlign w:val="center"/>
                </w:tcPr>
                <w:p w14:paraId="50E4306A">
                  <w:pPr>
                    <w:widowControl/>
                    <w:jc w:val="center"/>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kern w:val="0"/>
                      <w:szCs w:val="21"/>
                    </w:rPr>
                    <w:t>X</w:t>
                  </w:r>
                </w:p>
              </w:tc>
              <w:tc>
                <w:tcPr>
                  <w:tcW w:w="818" w:type="dxa"/>
                  <w:tcBorders>
                    <w:tl2br w:val="nil"/>
                    <w:tr2bl w:val="nil"/>
                  </w:tcBorders>
                  <w:noWrap w:val="0"/>
                  <w:vAlign w:val="center"/>
                </w:tcPr>
                <w:p w14:paraId="7CDDCBDF">
                  <w:pPr>
                    <w:widowControl/>
                    <w:jc w:val="center"/>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kern w:val="0"/>
                      <w:szCs w:val="21"/>
                    </w:rPr>
                    <w:t>Y</w:t>
                  </w:r>
                </w:p>
              </w:tc>
              <w:tc>
                <w:tcPr>
                  <w:tcW w:w="1077" w:type="dxa"/>
                  <w:vMerge w:val="continue"/>
                  <w:tcBorders>
                    <w:tl2br w:val="nil"/>
                    <w:tr2bl w:val="nil"/>
                  </w:tcBorders>
                  <w:noWrap w:val="0"/>
                  <w:vAlign w:val="center"/>
                </w:tcPr>
                <w:p w14:paraId="6B65A00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p>
              </w:tc>
              <w:tc>
                <w:tcPr>
                  <w:tcW w:w="825" w:type="dxa"/>
                  <w:vMerge w:val="continue"/>
                  <w:tcBorders>
                    <w:tl2br w:val="nil"/>
                    <w:tr2bl w:val="nil"/>
                  </w:tcBorders>
                  <w:noWrap w:val="0"/>
                  <w:vAlign w:val="center"/>
                </w:tcPr>
                <w:p w14:paraId="029700A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p>
              </w:tc>
              <w:tc>
                <w:tcPr>
                  <w:tcW w:w="874" w:type="dxa"/>
                  <w:vMerge w:val="continue"/>
                  <w:tcBorders>
                    <w:tl2br w:val="nil"/>
                    <w:tr2bl w:val="nil"/>
                  </w:tcBorders>
                  <w:noWrap w:val="0"/>
                  <w:vAlign w:val="center"/>
                </w:tcPr>
                <w:p w14:paraId="193E8C2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p>
              </w:tc>
              <w:tc>
                <w:tcPr>
                  <w:tcW w:w="1848" w:type="dxa"/>
                  <w:vMerge w:val="continue"/>
                  <w:tcBorders>
                    <w:tl2br w:val="nil"/>
                    <w:tr2bl w:val="nil"/>
                  </w:tcBorders>
                  <w:noWrap w:val="0"/>
                  <w:vAlign w:val="center"/>
                </w:tcPr>
                <w:p w14:paraId="4D9A8F2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p>
              </w:tc>
            </w:tr>
            <w:tr w14:paraId="6DE2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 w:hRule="atLeast"/>
                <w:jc w:val="center"/>
              </w:trPr>
              <w:tc>
                <w:tcPr>
                  <w:tcW w:w="706" w:type="dxa"/>
                  <w:vMerge w:val="restart"/>
                  <w:tcBorders>
                    <w:tl2br w:val="nil"/>
                    <w:tr2bl w:val="nil"/>
                  </w:tcBorders>
                  <w:noWrap w:val="0"/>
                  <w:vAlign w:val="center"/>
                </w:tcPr>
                <w:p w14:paraId="03B2072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大气环境</w:t>
                  </w:r>
                </w:p>
              </w:tc>
              <w:tc>
                <w:tcPr>
                  <w:tcW w:w="510" w:type="dxa"/>
                  <w:tcBorders>
                    <w:tl2br w:val="nil"/>
                    <w:tr2bl w:val="nil"/>
                  </w:tcBorders>
                  <w:noWrap w:val="0"/>
                  <w:vAlign w:val="center"/>
                </w:tcPr>
                <w:p w14:paraId="0982453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964" w:type="dxa"/>
                  <w:tcBorders>
                    <w:tl2br w:val="nil"/>
                    <w:tr2bl w:val="nil"/>
                  </w:tcBorders>
                  <w:noWrap w:val="0"/>
                  <w:vAlign w:val="center"/>
                </w:tcPr>
                <w:p w14:paraId="3FE7A19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汪冲村</w:t>
                  </w:r>
                </w:p>
              </w:tc>
              <w:tc>
                <w:tcPr>
                  <w:tcW w:w="912" w:type="dxa"/>
                  <w:tcBorders>
                    <w:tl2br w:val="nil"/>
                    <w:tr2bl w:val="nil"/>
                  </w:tcBorders>
                  <w:noWrap w:val="0"/>
                  <w:vAlign w:val="center"/>
                </w:tcPr>
                <w:p w14:paraId="2BCB32A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230</w:t>
                  </w:r>
                </w:p>
              </w:tc>
              <w:tc>
                <w:tcPr>
                  <w:tcW w:w="818" w:type="dxa"/>
                  <w:tcBorders>
                    <w:tl2br w:val="nil"/>
                    <w:tr2bl w:val="nil"/>
                  </w:tcBorders>
                  <w:noWrap w:val="0"/>
                  <w:vAlign w:val="center"/>
                </w:tcPr>
                <w:p w14:paraId="39BB4C6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-100</w:t>
                  </w:r>
                </w:p>
              </w:tc>
              <w:tc>
                <w:tcPr>
                  <w:tcW w:w="1077" w:type="dxa"/>
                  <w:tcBorders>
                    <w:tl2br w:val="nil"/>
                    <w:tr2bl w:val="nil"/>
                  </w:tcBorders>
                  <w:noWrap w:val="0"/>
                  <w:vAlign w:val="center"/>
                </w:tcPr>
                <w:p w14:paraId="00A6692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约</w:t>
                  </w:r>
                  <w:r>
                    <w:rPr>
                      <w:rFonts w:hint="eastAsia" w:cs="Times New Roman"/>
                      <w:color w:val="auto"/>
                      <w:sz w:val="21"/>
                      <w:szCs w:val="21"/>
                      <w:lang w:val="en-US" w:eastAsia="zh-CN"/>
                    </w:rPr>
                    <w:t>18</w:t>
                  </w:r>
                  <w:r>
                    <w:rPr>
                      <w:rFonts w:hint="default" w:ascii="Times New Roman" w:hAnsi="Times New Roman" w:eastAsia="宋体" w:cs="Times New Roman"/>
                      <w:color w:val="auto"/>
                      <w:sz w:val="21"/>
                      <w:szCs w:val="21"/>
                    </w:rPr>
                    <w:t>人</w:t>
                  </w:r>
                </w:p>
              </w:tc>
              <w:tc>
                <w:tcPr>
                  <w:tcW w:w="825" w:type="dxa"/>
                  <w:tcBorders>
                    <w:tl2br w:val="nil"/>
                    <w:tr2bl w:val="nil"/>
                  </w:tcBorders>
                  <w:noWrap w:val="0"/>
                  <w:vAlign w:val="center"/>
                </w:tcPr>
                <w:p w14:paraId="5688EFF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250</w:t>
                  </w:r>
                </w:p>
              </w:tc>
              <w:tc>
                <w:tcPr>
                  <w:tcW w:w="874" w:type="dxa"/>
                  <w:tcBorders>
                    <w:tl2br w:val="nil"/>
                    <w:tr2bl w:val="nil"/>
                  </w:tcBorders>
                  <w:noWrap w:val="0"/>
                  <w:vAlign w:val="center"/>
                </w:tcPr>
                <w:p w14:paraId="04A4335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SE</w:t>
                  </w:r>
                </w:p>
              </w:tc>
              <w:tc>
                <w:tcPr>
                  <w:tcW w:w="1848" w:type="dxa"/>
                  <w:vMerge w:val="restart"/>
                  <w:tcBorders>
                    <w:tl2br w:val="nil"/>
                    <w:tr2bl w:val="nil"/>
                  </w:tcBorders>
                  <w:noWrap w:val="0"/>
                  <w:vAlign w:val="center"/>
                </w:tcPr>
                <w:p w14:paraId="266DAEE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《环境空气质量标准》（GB3095-2012）二级标准</w:t>
                  </w:r>
                </w:p>
              </w:tc>
            </w:tr>
            <w:tr w14:paraId="35FC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 w:hRule="atLeast"/>
                <w:jc w:val="center"/>
              </w:trPr>
              <w:tc>
                <w:tcPr>
                  <w:tcW w:w="706" w:type="dxa"/>
                  <w:vMerge w:val="continue"/>
                  <w:tcBorders>
                    <w:tl2br w:val="nil"/>
                    <w:tr2bl w:val="nil"/>
                  </w:tcBorders>
                  <w:noWrap w:val="0"/>
                  <w:vAlign w:val="center"/>
                </w:tcPr>
                <w:p w14:paraId="3978A95B">
                  <w:pPr>
                    <w:keepNext w:val="0"/>
                    <w:keepLines w:val="0"/>
                    <w:pageBreakBefore w:val="0"/>
                    <w:kinsoku/>
                    <w:wordWrap/>
                    <w:overflowPunct/>
                    <w:topLinePunct w:val="0"/>
                    <w:autoSpaceDE/>
                    <w:autoSpaceDN/>
                    <w:bidi w:val="0"/>
                    <w:adjustRightInd/>
                    <w:snapToGrid/>
                    <w:spacing w:line="240" w:lineRule="auto"/>
                    <w:jc w:val="center"/>
                    <w:textAlignment w:val="auto"/>
                    <w:outlineLvl w:val="9"/>
                    <w:rPr>
                      <w:color w:val="auto"/>
                    </w:rPr>
                  </w:pPr>
                </w:p>
              </w:tc>
              <w:tc>
                <w:tcPr>
                  <w:tcW w:w="510" w:type="dxa"/>
                  <w:tcBorders>
                    <w:tl2br w:val="nil"/>
                    <w:tr2bl w:val="nil"/>
                  </w:tcBorders>
                  <w:noWrap w:val="0"/>
                  <w:vAlign w:val="center"/>
                </w:tcPr>
                <w:p w14:paraId="3B8184F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964" w:type="dxa"/>
                  <w:tcBorders>
                    <w:tl2br w:val="nil"/>
                    <w:tr2bl w:val="nil"/>
                  </w:tcBorders>
                  <w:noWrap w:val="0"/>
                  <w:vAlign w:val="center"/>
                </w:tcPr>
                <w:p w14:paraId="3035F6B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小湾子</w:t>
                  </w:r>
                </w:p>
              </w:tc>
              <w:tc>
                <w:tcPr>
                  <w:tcW w:w="912" w:type="dxa"/>
                  <w:tcBorders>
                    <w:tl2br w:val="nil"/>
                    <w:tr2bl w:val="nil"/>
                  </w:tcBorders>
                  <w:noWrap w:val="0"/>
                  <w:vAlign w:val="center"/>
                </w:tcPr>
                <w:p w14:paraId="1F312C3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w:t>
                  </w:r>
                </w:p>
              </w:tc>
              <w:tc>
                <w:tcPr>
                  <w:tcW w:w="818" w:type="dxa"/>
                  <w:tcBorders>
                    <w:tl2br w:val="nil"/>
                    <w:tr2bl w:val="nil"/>
                  </w:tcBorders>
                  <w:noWrap w:val="0"/>
                  <w:vAlign w:val="center"/>
                </w:tcPr>
                <w:p w14:paraId="0EAF09E5">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1077" w:type="dxa"/>
                  <w:tcBorders>
                    <w:tl2br w:val="nil"/>
                    <w:tr2bl w:val="nil"/>
                  </w:tcBorders>
                  <w:noWrap w:val="0"/>
                  <w:vAlign w:val="center"/>
                </w:tcPr>
                <w:p w14:paraId="0A7453D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约</w:t>
                  </w:r>
                  <w:r>
                    <w:rPr>
                      <w:rFonts w:hint="eastAsia" w:ascii="Times New Roman" w:hAnsi="Times New Roman" w:eastAsia="宋体" w:cs="Times New Roman"/>
                      <w:color w:val="auto"/>
                      <w:sz w:val="21"/>
                      <w:szCs w:val="21"/>
                      <w:lang w:val="en-US" w:eastAsia="zh-CN"/>
                    </w:rPr>
                    <w:t>45</w:t>
                  </w:r>
                  <w:r>
                    <w:rPr>
                      <w:rFonts w:hint="default" w:ascii="Times New Roman" w:hAnsi="Times New Roman" w:eastAsia="宋体" w:cs="Times New Roman"/>
                      <w:color w:val="auto"/>
                      <w:sz w:val="21"/>
                      <w:szCs w:val="21"/>
                    </w:rPr>
                    <w:t>人</w:t>
                  </w:r>
                </w:p>
              </w:tc>
              <w:tc>
                <w:tcPr>
                  <w:tcW w:w="825" w:type="dxa"/>
                  <w:tcBorders>
                    <w:tl2br w:val="nil"/>
                    <w:tr2bl w:val="nil"/>
                  </w:tcBorders>
                  <w:noWrap w:val="0"/>
                  <w:vAlign w:val="center"/>
                </w:tcPr>
                <w:p w14:paraId="467EC9D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w:t>
                  </w:r>
                </w:p>
              </w:tc>
              <w:tc>
                <w:tcPr>
                  <w:tcW w:w="874" w:type="dxa"/>
                  <w:tcBorders>
                    <w:tl2br w:val="nil"/>
                    <w:tr2bl w:val="nil"/>
                  </w:tcBorders>
                  <w:noWrap w:val="0"/>
                  <w:vAlign w:val="center"/>
                </w:tcPr>
                <w:p w14:paraId="76EB909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E</w:t>
                  </w:r>
                </w:p>
              </w:tc>
              <w:tc>
                <w:tcPr>
                  <w:tcW w:w="1848" w:type="dxa"/>
                  <w:vMerge w:val="continue"/>
                  <w:tcBorders>
                    <w:tl2br w:val="nil"/>
                    <w:tr2bl w:val="nil"/>
                  </w:tcBorders>
                  <w:noWrap w:val="0"/>
                  <w:vAlign w:val="center"/>
                </w:tcPr>
                <w:p w14:paraId="159392A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p>
              </w:tc>
            </w:tr>
            <w:tr w14:paraId="746B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06" w:type="dxa"/>
                  <w:vMerge w:val="continue"/>
                  <w:tcBorders>
                    <w:tl2br w:val="nil"/>
                    <w:tr2bl w:val="nil"/>
                  </w:tcBorders>
                  <w:noWrap w:val="0"/>
                  <w:vAlign w:val="center"/>
                </w:tcPr>
                <w:p w14:paraId="4792314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p>
              </w:tc>
              <w:tc>
                <w:tcPr>
                  <w:tcW w:w="510" w:type="dxa"/>
                  <w:tcBorders>
                    <w:tl2br w:val="nil"/>
                    <w:tr2bl w:val="nil"/>
                  </w:tcBorders>
                  <w:noWrap w:val="0"/>
                  <w:vAlign w:val="center"/>
                </w:tcPr>
                <w:p w14:paraId="72DB4CC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964" w:type="dxa"/>
                  <w:tcBorders>
                    <w:tl2br w:val="nil"/>
                    <w:tr2bl w:val="nil"/>
                  </w:tcBorders>
                  <w:noWrap w:val="0"/>
                  <w:vAlign w:val="center"/>
                </w:tcPr>
                <w:p w14:paraId="3D5658A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石板冲</w:t>
                  </w:r>
                </w:p>
              </w:tc>
              <w:tc>
                <w:tcPr>
                  <w:tcW w:w="912" w:type="dxa"/>
                  <w:tcBorders>
                    <w:tl2br w:val="nil"/>
                    <w:tr2bl w:val="nil"/>
                  </w:tcBorders>
                  <w:noWrap w:val="0"/>
                  <w:vAlign w:val="center"/>
                </w:tcPr>
                <w:p w14:paraId="33F7B6F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818" w:type="dxa"/>
                  <w:tcBorders>
                    <w:tl2br w:val="nil"/>
                    <w:tr2bl w:val="nil"/>
                  </w:tcBorders>
                  <w:noWrap w:val="0"/>
                  <w:vAlign w:val="center"/>
                </w:tcPr>
                <w:p w14:paraId="025489A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eastAsia" w:cs="Times New Roman"/>
                      <w:color w:val="auto"/>
                      <w:sz w:val="21"/>
                      <w:szCs w:val="21"/>
                      <w:lang w:val="en-US" w:eastAsia="zh-CN"/>
                    </w:rPr>
                    <w:t>60</w:t>
                  </w:r>
                </w:p>
              </w:tc>
              <w:tc>
                <w:tcPr>
                  <w:tcW w:w="1077" w:type="dxa"/>
                  <w:tcBorders>
                    <w:tl2br w:val="nil"/>
                    <w:tr2bl w:val="nil"/>
                  </w:tcBorders>
                  <w:noWrap w:val="0"/>
                  <w:vAlign w:val="center"/>
                </w:tcPr>
                <w:p w14:paraId="1E910CD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约</w:t>
                  </w: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rPr>
                    <w:t>人</w:t>
                  </w:r>
                </w:p>
              </w:tc>
              <w:tc>
                <w:tcPr>
                  <w:tcW w:w="825" w:type="dxa"/>
                  <w:tcBorders>
                    <w:tl2br w:val="nil"/>
                    <w:tr2bl w:val="nil"/>
                  </w:tcBorders>
                  <w:noWrap w:val="0"/>
                  <w:vAlign w:val="center"/>
                </w:tcPr>
                <w:p w14:paraId="382484A2">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365</w:t>
                  </w:r>
                </w:p>
              </w:tc>
              <w:tc>
                <w:tcPr>
                  <w:tcW w:w="874" w:type="dxa"/>
                  <w:tcBorders>
                    <w:tl2br w:val="nil"/>
                    <w:tr2bl w:val="nil"/>
                  </w:tcBorders>
                  <w:noWrap w:val="0"/>
                  <w:vAlign w:val="center"/>
                </w:tcPr>
                <w:p w14:paraId="04FE70C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SE</w:t>
                  </w:r>
                </w:p>
              </w:tc>
              <w:tc>
                <w:tcPr>
                  <w:tcW w:w="1848" w:type="dxa"/>
                  <w:vMerge w:val="continue"/>
                  <w:tcBorders>
                    <w:tl2br w:val="nil"/>
                    <w:tr2bl w:val="nil"/>
                  </w:tcBorders>
                  <w:noWrap w:val="0"/>
                  <w:vAlign w:val="center"/>
                </w:tcPr>
                <w:p w14:paraId="3B1F95E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p>
              </w:tc>
            </w:tr>
            <w:tr w14:paraId="15DB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8" w:hRule="atLeast"/>
                <w:jc w:val="center"/>
              </w:trPr>
              <w:tc>
                <w:tcPr>
                  <w:tcW w:w="706" w:type="dxa"/>
                  <w:vMerge w:val="continue"/>
                  <w:tcBorders>
                    <w:tl2br w:val="nil"/>
                    <w:tr2bl w:val="nil"/>
                  </w:tcBorders>
                  <w:noWrap w:val="0"/>
                  <w:vAlign w:val="center"/>
                </w:tcPr>
                <w:p w14:paraId="6E3642B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p>
              </w:tc>
              <w:tc>
                <w:tcPr>
                  <w:tcW w:w="510" w:type="dxa"/>
                  <w:tcBorders>
                    <w:tl2br w:val="nil"/>
                    <w:tr2bl w:val="nil"/>
                  </w:tcBorders>
                  <w:noWrap w:val="0"/>
                  <w:vAlign w:val="center"/>
                </w:tcPr>
                <w:p w14:paraId="79833C7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964" w:type="dxa"/>
                  <w:tcBorders>
                    <w:tl2br w:val="nil"/>
                    <w:tr2bl w:val="nil"/>
                  </w:tcBorders>
                  <w:noWrap w:val="0"/>
                  <w:vAlign w:val="center"/>
                </w:tcPr>
                <w:p w14:paraId="2DBB818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散户</w:t>
                  </w:r>
                </w:p>
              </w:tc>
              <w:tc>
                <w:tcPr>
                  <w:tcW w:w="912" w:type="dxa"/>
                  <w:tcBorders>
                    <w:tl2br w:val="nil"/>
                    <w:tr2bl w:val="nil"/>
                  </w:tcBorders>
                  <w:noWrap w:val="0"/>
                  <w:vAlign w:val="center"/>
                </w:tcPr>
                <w:p w14:paraId="5070FFC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-320</w:t>
                  </w:r>
                </w:p>
              </w:tc>
              <w:tc>
                <w:tcPr>
                  <w:tcW w:w="818" w:type="dxa"/>
                  <w:tcBorders>
                    <w:tl2br w:val="nil"/>
                    <w:tr2bl w:val="nil"/>
                  </w:tcBorders>
                  <w:noWrap w:val="0"/>
                  <w:vAlign w:val="center"/>
                </w:tcPr>
                <w:p w14:paraId="309FF5A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1077" w:type="dxa"/>
                  <w:tcBorders>
                    <w:tl2br w:val="nil"/>
                    <w:tr2bl w:val="nil"/>
                  </w:tcBorders>
                  <w:noWrap w:val="0"/>
                  <w:vAlign w:val="center"/>
                </w:tcPr>
                <w:p w14:paraId="5BFBB7A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约</w:t>
                  </w: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rPr>
                    <w:t>人</w:t>
                  </w:r>
                </w:p>
              </w:tc>
              <w:tc>
                <w:tcPr>
                  <w:tcW w:w="825" w:type="dxa"/>
                  <w:tcBorders>
                    <w:tl2br w:val="nil"/>
                    <w:tr2bl w:val="nil"/>
                  </w:tcBorders>
                  <w:noWrap w:val="0"/>
                  <w:vAlign w:val="center"/>
                </w:tcPr>
                <w:p w14:paraId="3C142AB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320</w:t>
                  </w:r>
                </w:p>
              </w:tc>
              <w:tc>
                <w:tcPr>
                  <w:tcW w:w="874" w:type="dxa"/>
                  <w:tcBorders>
                    <w:tl2br w:val="nil"/>
                    <w:tr2bl w:val="nil"/>
                  </w:tcBorders>
                  <w:noWrap w:val="0"/>
                  <w:vAlign w:val="center"/>
                </w:tcPr>
                <w:p w14:paraId="55FD3F52">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w:t>
                  </w:r>
                </w:p>
              </w:tc>
              <w:tc>
                <w:tcPr>
                  <w:tcW w:w="1848" w:type="dxa"/>
                  <w:vMerge w:val="continue"/>
                  <w:tcBorders>
                    <w:tl2br w:val="nil"/>
                    <w:tr2bl w:val="nil"/>
                  </w:tcBorders>
                  <w:noWrap w:val="0"/>
                  <w:vAlign w:val="center"/>
                </w:tcPr>
                <w:p w14:paraId="0668700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p>
              </w:tc>
            </w:tr>
          </w:tbl>
          <w:p w14:paraId="6DDCF17A">
            <w:pPr>
              <w:adjustRightInd w:val="0"/>
              <w:snapToGrid w:val="0"/>
              <w:spacing w:line="360" w:lineRule="auto"/>
              <w:ind w:firstLine="482" w:firstLineChars="200"/>
              <w:rPr>
                <w:b/>
                <w:bCs/>
                <w:iCs/>
                <w:color w:val="auto"/>
                <w:sz w:val="24"/>
              </w:rPr>
            </w:pPr>
            <w:r>
              <w:rPr>
                <w:b/>
                <w:bCs/>
                <w:iCs/>
                <w:color w:val="auto"/>
                <w:sz w:val="24"/>
              </w:rPr>
              <w:t>2、水环境保护目标</w:t>
            </w:r>
          </w:p>
          <w:p w14:paraId="342FD921">
            <w:pPr>
              <w:adjustRightInd w:val="0"/>
              <w:snapToGrid w:val="0"/>
              <w:spacing w:line="360" w:lineRule="auto"/>
              <w:ind w:firstLine="480" w:firstLineChars="200"/>
              <w:rPr>
                <w:b/>
                <w:color w:val="auto"/>
                <w:kern w:val="0"/>
                <w:sz w:val="24"/>
              </w:rPr>
            </w:pPr>
            <w:r>
              <w:rPr>
                <w:color w:val="auto"/>
                <w:sz w:val="24"/>
              </w:rPr>
              <w:t>项目地表水水体为</w:t>
            </w:r>
            <w:r>
              <w:rPr>
                <w:rFonts w:hint="eastAsia"/>
                <w:color w:val="auto"/>
                <w:sz w:val="24"/>
                <w:lang w:val="en-US" w:eastAsia="zh-CN"/>
              </w:rPr>
              <w:t>史河</w:t>
            </w:r>
            <w:r>
              <w:rPr>
                <w:color w:val="auto"/>
                <w:sz w:val="24"/>
              </w:rPr>
              <w:t>。</w:t>
            </w:r>
          </w:p>
          <w:p w14:paraId="72D12D84">
            <w:pPr>
              <w:adjustRightInd w:val="0"/>
              <w:snapToGrid w:val="0"/>
              <w:spacing w:line="360" w:lineRule="auto"/>
              <w:jc w:val="center"/>
              <w:rPr>
                <w:b/>
                <w:color w:val="auto"/>
                <w:kern w:val="0"/>
                <w:sz w:val="24"/>
              </w:rPr>
            </w:pPr>
            <w:r>
              <w:rPr>
                <w:b/>
                <w:color w:val="auto"/>
                <w:kern w:val="0"/>
                <w:sz w:val="24"/>
              </w:rPr>
              <w:t>3-</w:t>
            </w:r>
            <w:r>
              <w:rPr>
                <w:rFonts w:hint="eastAsia"/>
                <w:b/>
                <w:color w:val="auto"/>
                <w:kern w:val="0"/>
                <w:sz w:val="24"/>
              </w:rPr>
              <w:t>6</w:t>
            </w:r>
            <w:r>
              <w:rPr>
                <w:b/>
                <w:color w:val="auto"/>
                <w:kern w:val="0"/>
                <w:sz w:val="24"/>
              </w:rPr>
              <w:t xml:space="preserve"> 项目环境敏感保护目标一览表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7"/>
              <w:gridCol w:w="617"/>
              <w:gridCol w:w="857"/>
              <w:gridCol w:w="912"/>
              <w:gridCol w:w="818"/>
              <w:gridCol w:w="1006"/>
              <w:gridCol w:w="896"/>
              <w:gridCol w:w="697"/>
              <w:gridCol w:w="2025"/>
            </w:tblGrid>
            <w:tr w14:paraId="3706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7" w:type="dxa"/>
                  <w:vMerge w:val="restart"/>
                  <w:tcBorders>
                    <w:tl2br w:val="nil"/>
                    <w:tr2bl w:val="nil"/>
                  </w:tcBorders>
                  <w:vAlign w:val="center"/>
                </w:tcPr>
                <w:p w14:paraId="1992B8D1">
                  <w:pPr>
                    <w:jc w:val="center"/>
                    <w:rPr>
                      <w:color w:val="auto"/>
                      <w:szCs w:val="21"/>
                    </w:rPr>
                  </w:pPr>
                  <w:r>
                    <w:rPr>
                      <w:color w:val="auto"/>
                      <w:szCs w:val="21"/>
                    </w:rPr>
                    <w:t>类别</w:t>
                  </w:r>
                </w:p>
              </w:tc>
              <w:tc>
                <w:tcPr>
                  <w:tcW w:w="617" w:type="dxa"/>
                  <w:vMerge w:val="restart"/>
                  <w:tcBorders>
                    <w:tl2br w:val="nil"/>
                    <w:tr2bl w:val="nil"/>
                  </w:tcBorders>
                  <w:vAlign w:val="center"/>
                </w:tcPr>
                <w:p w14:paraId="0CE06495">
                  <w:pPr>
                    <w:jc w:val="center"/>
                    <w:rPr>
                      <w:color w:val="auto"/>
                      <w:szCs w:val="21"/>
                    </w:rPr>
                  </w:pPr>
                  <w:r>
                    <w:rPr>
                      <w:color w:val="auto"/>
                      <w:szCs w:val="21"/>
                    </w:rPr>
                    <w:t>序号</w:t>
                  </w:r>
                </w:p>
              </w:tc>
              <w:tc>
                <w:tcPr>
                  <w:tcW w:w="857" w:type="dxa"/>
                  <w:vMerge w:val="restart"/>
                  <w:tcBorders>
                    <w:tl2br w:val="nil"/>
                    <w:tr2bl w:val="nil"/>
                  </w:tcBorders>
                  <w:vAlign w:val="center"/>
                </w:tcPr>
                <w:p w14:paraId="5B1449DA">
                  <w:pPr>
                    <w:jc w:val="center"/>
                    <w:rPr>
                      <w:color w:val="auto"/>
                      <w:szCs w:val="21"/>
                    </w:rPr>
                  </w:pPr>
                  <w:r>
                    <w:rPr>
                      <w:color w:val="auto"/>
                      <w:szCs w:val="21"/>
                    </w:rPr>
                    <w:t>主要保护目标</w:t>
                  </w:r>
                </w:p>
              </w:tc>
              <w:tc>
                <w:tcPr>
                  <w:tcW w:w="1730" w:type="dxa"/>
                  <w:gridSpan w:val="2"/>
                  <w:tcBorders>
                    <w:tl2br w:val="nil"/>
                    <w:tr2bl w:val="nil"/>
                  </w:tcBorders>
                  <w:vAlign w:val="center"/>
                </w:tcPr>
                <w:p w14:paraId="4DDCDC29">
                  <w:pPr>
                    <w:widowControl/>
                    <w:jc w:val="center"/>
                    <w:rPr>
                      <w:color w:val="auto"/>
                      <w:szCs w:val="21"/>
                    </w:rPr>
                  </w:pPr>
                  <w:r>
                    <w:rPr>
                      <w:color w:val="auto"/>
                      <w:kern w:val="0"/>
                      <w:szCs w:val="21"/>
                    </w:rPr>
                    <w:t>坐标</w:t>
                  </w:r>
                </w:p>
              </w:tc>
              <w:tc>
                <w:tcPr>
                  <w:tcW w:w="1006" w:type="dxa"/>
                  <w:vMerge w:val="restart"/>
                  <w:tcBorders>
                    <w:tl2br w:val="nil"/>
                    <w:tr2bl w:val="nil"/>
                  </w:tcBorders>
                  <w:vAlign w:val="center"/>
                </w:tcPr>
                <w:p w14:paraId="7765254E">
                  <w:pPr>
                    <w:jc w:val="center"/>
                    <w:rPr>
                      <w:color w:val="auto"/>
                      <w:szCs w:val="21"/>
                    </w:rPr>
                  </w:pPr>
                  <w:r>
                    <w:rPr>
                      <w:color w:val="auto"/>
                      <w:szCs w:val="21"/>
                    </w:rPr>
                    <w:t>性质、规模</w:t>
                  </w:r>
                </w:p>
              </w:tc>
              <w:tc>
                <w:tcPr>
                  <w:tcW w:w="896" w:type="dxa"/>
                  <w:vMerge w:val="restart"/>
                  <w:tcBorders>
                    <w:tl2br w:val="nil"/>
                    <w:tr2bl w:val="nil"/>
                  </w:tcBorders>
                  <w:vAlign w:val="center"/>
                </w:tcPr>
                <w:p w14:paraId="4717EC5A">
                  <w:pPr>
                    <w:jc w:val="center"/>
                    <w:rPr>
                      <w:color w:val="auto"/>
                      <w:szCs w:val="21"/>
                    </w:rPr>
                  </w:pPr>
                  <w:r>
                    <w:rPr>
                      <w:color w:val="auto"/>
                      <w:szCs w:val="21"/>
                    </w:rPr>
                    <w:t>距离(</w:t>
                  </w:r>
                  <w:r>
                    <w:rPr>
                      <w:rFonts w:hint="eastAsia"/>
                      <w:color w:val="auto"/>
                      <w:szCs w:val="21"/>
                    </w:rPr>
                    <w:t>k</w:t>
                  </w:r>
                  <w:r>
                    <w:rPr>
                      <w:color w:val="auto"/>
                      <w:szCs w:val="21"/>
                    </w:rPr>
                    <w:t>m)</w:t>
                  </w:r>
                </w:p>
              </w:tc>
              <w:tc>
                <w:tcPr>
                  <w:tcW w:w="697" w:type="dxa"/>
                  <w:vMerge w:val="restart"/>
                  <w:tcBorders>
                    <w:tl2br w:val="nil"/>
                    <w:tr2bl w:val="nil"/>
                  </w:tcBorders>
                  <w:vAlign w:val="center"/>
                </w:tcPr>
                <w:p w14:paraId="7BE9A974">
                  <w:pPr>
                    <w:jc w:val="center"/>
                    <w:rPr>
                      <w:color w:val="auto"/>
                      <w:szCs w:val="21"/>
                    </w:rPr>
                  </w:pPr>
                  <w:r>
                    <w:rPr>
                      <w:color w:val="auto"/>
                      <w:szCs w:val="21"/>
                    </w:rPr>
                    <w:t>方位</w:t>
                  </w:r>
                </w:p>
              </w:tc>
              <w:tc>
                <w:tcPr>
                  <w:tcW w:w="2025" w:type="dxa"/>
                  <w:vMerge w:val="restart"/>
                  <w:tcBorders>
                    <w:tl2br w:val="nil"/>
                    <w:tr2bl w:val="nil"/>
                  </w:tcBorders>
                  <w:vAlign w:val="center"/>
                </w:tcPr>
                <w:p w14:paraId="0A4935CD">
                  <w:pPr>
                    <w:jc w:val="center"/>
                    <w:rPr>
                      <w:color w:val="auto"/>
                      <w:szCs w:val="21"/>
                    </w:rPr>
                  </w:pPr>
                  <w:r>
                    <w:rPr>
                      <w:color w:val="auto"/>
                      <w:szCs w:val="21"/>
                    </w:rPr>
                    <w:t>保护级别</w:t>
                  </w:r>
                </w:p>
              </w:tc>
            </w:tr>
            <w:tr w14:paraId="5FAB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7" w:type="dxa"/>
                  <w:vMerge w:val="continue"/>
                  <w:tcBorders>
                    <w:tl2br w:val="nil"/>
                    <w:tr2bl w:val="nil"/>
                  </w:tcBorders>
                  <w:vAlign w:val="center"/>
                </w:tcPr>
                <w:p w14:paraId="48F9F22A">
                  <w:pPr>
                    <w:jc w:val="center"/>
                    <w:rPr>
                      <w:color w:val="auto"/>
                    </w:rPr>
                  </w:pPr>
                </w:p>
              </w:tc>
              <w:tc>
                <w:tcPr>
                  <w:tcW w:w="617" w:type="dxa"/>
                  <w:vMerge w:val="continue"/>
                  <w:tcBorders>
                    <w:tl2br w:val="nil"/>
                    <w:tr2bl w:val="nil"/>
                  </w:tcBorders>
                  <w:vAlign w:val="center"/>
                </w:tcPr>
                <w:p w14:paraId="7820CBF1">
                  <w:pPr>
                    <w:jc w:val="center"/>
                    <w:rPr>
                      <w:color w:val="auto"/>
                    </w:rPr>
                  </w:pPr>
                </w:p>
              </w:tc>
              <w:tc>
                <w:tcPr>
                  <w:tcW w:w="857" w:type="dxa"/>
                  <w:vMerge w:val="continue"/>
                  <w:tcBorders>
                    <w:tl2br w:val="nil"/>
                    <w:tr2bl w:val="nil"/>
                  </w:tcBorders>
                  <w:vAlign w:val="center"/>
                </w:tcPr>
                <w:p w14:paraId="483DB980">
                  <w:pPr>
                    <w:jc w:val="center"/>
                    <w:rPr>
                      <w:color w:val="auto"/>
                    </w:rPr>
                  </w:pPr>
                </w:p>
              </w:tc>
              <w:tc>
                <w:tcPr>
                  <w:tcW w:w="912" w:type="dxa"/>
                  <w:tcBorders>
                    <w:tl2br w:val="nil"/>
                    <w:tr2bl w:val="nil"/>
                  </w:tcBorders>
                  <w:vAlign w:val="center"/>
                </w:tcPr>
                <w:p w14:paraId="5D5A0DF4">
                  <w:pPr>
                    <w:widowControl/>
                    <w:jc w:val="center"/>
                    <w:rPr>
                      <w:color w:val="auto"/>
                      <w:szCs w:val="21"/>
                    </w:rPr>
                  </w:pPr>
                  <w:r>
                    <w:rPr>
                      <w:color w:val="auto"/>
                      <w:kern w:val="0"/>
                      <w:szCs w:val="21"/>
                    </w:rPr>
                    <w:t>X</w:t>
                  </w:r>
                </w:p>
              </w:tc>
              <w:tc>
                <w:tcPr>
                  <w:tcW w:w="818" w:type="dxa"/>
                  <w:tcBorders>
                    <w:tl2br w:val="nil"/>
                    <w:tr2bl w:val="nil"/>
                  </w:tcBorders>
                  <w:vAlign w:val="center"/>
                </w:tcPr>
                <w:p w14:paraId="2C123338">
                  <w:pPr>
                    <w:widowControl/>
                    <w:jc w:val="center"/>
                    <w:rPr>
                      <w:color w:val="auto"/>
                      <w:szCs w:val="21"/>
                    </w:rPr>
                  </w:pPr>
                  <w:r>
                    <w:rPr>
                      <w:color w:val="auto"/>
                      <w:kern w:val="0"/>
                      <w:szCs w:val="21"/>
                    </w:rPr>
                    <w:t>Y</w:t>
                  </w:r>
                </w:p>
              </w:tc>
              <w:tc>
                <w:tcPr>
                  <w:tcW w:w="1006" w:type="dxa"/>
                  <w:vMerge w:val="continue"/>
                  <w:tcBorders>
                    <w:tl2br w:val="nil"/>
                    <w:tr2bl w:val="nil"/>
                  </w:tcBorders>
                  <w:vAlign w:val="center"/>
                </w:tcPr>
                <w:p w14:paraId="08F039D6">
                  <w:pPr>
                    <w:jc w:val="center"/>
                    <w:rPr>
                      <w:color w:val="auto"/>
                      <w:szCs w:val="21"/>
                    </w:rPr>
                  </w:pPr>
                </w:p>
              </w:tc>
              <w:tc>
                <w:tcPr>
                  <w:tcW w:w="896" w:type="dxa"/>
                  <w:vMerge w:val="continue"/>
                  <w:tcBorders>
                    <w:tl2br w:val="nil"/>
                    <w:tr2bl w:val="nil"/>
                  </w:tcBorders>
                  <w:vAlign w:val="center"/>
                </w:tcPr>
                <w:p w14:paraId="7980F540">
                  <w:pPr>
                    <w:jc w:val="center"/>
                    <w:rPr>
                      <w:color w:val="auto"/>
                      <w:szCs w:val="21"/>
                    </w:rPr>
                  </w:pPr>
                </w:p>
              </w:tc>
              <w:tc>
                <w:tcPr>
                  <w:tcW w:w="697" w:type="dxa"/>
                  <w:vMerge w:val="continue"/>
                  <w:tcBorders>
                    <w:tl2br w:val="nil"/>
                    <w:tr2bl w:val="nil"/>
                  </w:tcBorders>
                  <w:vAlign w:val="center"/>
                </w:tcPr>
                <w:p w14:paraId="652F3208">
                  <w:pPr>
                    <w:jc w:val="center"/>
                    <w:rPr>
                      <w:color w:val="auto"/>
                      <w:szCs w:val="21"/>
                    </w:rPr>
                  </w:pPr>
                </w:p>
              </w:tc>
              <w:tc>
                <w:tcPr>
                  <w:tcW w:w="2025" w:type="dxa"/>
                  <w:vMerge w:val="continue"/>
                  <w:tcBorders>
                    <w:tl2br w:val="nil"/>
                    <w:tr2bl w:val="nil"/>
                  </w:tcBorders>
                  <w:vAlign w:val="center"/>
                </w:tcPr>
                <w:p w14:paraId="3284AB4F">
                  <w:pPr>
                    <w:jc w:val="center"/>
                    <w:rPr>
                      <w:color w:val="auto"/>
                      <w:szCs w:val="21"/>
                    </w:rPr>
                  </w:pPr>
                </w:p>
              </w:tc>
            </w:tr>
            <w:tr w14:paraId="4B94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7" w:type="dxa"/>
                  <w:tcBorders>
                    <w:tl2br w:val="nil"/>
                    <w:tr2bl w:val="nil"/>
                  </w:tcBorders>
                  <w:vAlign w:val="center"/>
                </w:tcPr>
                <w:p w14:paraId="2F9A4646">
                  <w:pPr>
                    <w:jc w:val="center"/>
                    <w:rPr>
                      <w:color w:val="auto"/>
                      <w:szCs w:val="21"/>
                    </w:rPr>
                  </w:pPr>
                  <w:r>
                    <w:rPr>
                      <w:color w:val="auto"/>
                      <w:szCs w:val="21"/>
                    </w:rPr>
                    <w:t>地表水环境</w:t>
                  </w:r>
                </w:p>
              </w:tc>
              <w:tc>
                <w:tcPr>
                  <w:tcW w:w="617" w:type="dxa"/>
                  <w:tcBorders>
                    <w:tl2br w:val="nil"/>
                    <w:tr2bl w:val="nil"/>
                  </w:tcBorders>
                  <w:vAlign w:val="center"/>
                </w:tcPr>
                <w:p w14:paraId="5473E750">
                  <w:pPr>
                    <w:jc w:val="center"/>
                    <w:rPr>
                      <w:color w:val="auto"/>
                      <w:szCs w:val="21"/>
                    </w:rPr>
                  </w:pPr>
                  <w:r>
                    <w:rPr>
                      <w:color w:val="auto"/>
                      <w:szCs w:val="21"/>
                    </w:rPr>
                    <w:t>1</w:t>
                  </w:r>
                </w:p>
              </w:tc>
              <w:tc>
                <w:tcPr>
                  <w:tcW w:w="857" w:type="dxa"/>
                  <w:tcBorders>
                    <w:tl2br w:val="nil"/>
                    <w:tr2bl w:val="nil"/>
                  </w:tcBorders>
                  <w:vAlign w:val="center"/>
                </w:tcPr>
                <w:p w14:paraId="39208CFD">
                  <w:pPr>
                    <w:jc w:val="center"/>
                    <w:rPr>
                      <w:color w:val="auto"/>
                      <w:szCs w:val="21"/>
                    </w:rPr>
                  </w:pPr>
                  <w:r>
                    <w:rPr>
                      <w:rFonts w:hint="eastAsia"/>
                      <w:color w:val="auto"/>
                      <w:szCs w:val="21"/>
                    </w:rPr>
                    <w:t>史河</w:t>
                  </w:r>
                </w:p>
              </w:tc>
              <w:tc>
                <w:tcPr>
                  <w:tcW w:w="912" w:type="dxa"/>
                  <w:tcBorders>
                    <w:tl2br w:val="nil"/>
                    <w:tr2bl w:val="nil"/>
                  </w:tcBorders>
                  <w:vAlign w:val="center"/>
                </w:tcPr>
                <w:p w14:paraId="1B67E597">
                  <w:pPr>
                    <w:jc w:val="center"/>
                    <w:rPr>
                      <w:rFonts w:hint="default" w:eastAsia="宋体"/>
                      <w:color w:val="auto"/>
                      <w:szCs w:val="21"/>
                      <w:lang w:val="en-US" w:eastAsia="zh-CN"/>
                    </w:rPr>
                  </w:pPr>
                  <w:r>
                    <w:rPr>
                      <w:rFonts w:hint="eastAsia"/>
                      <w:color w:val="auto"/>
                      <w:szCs w:val="21"/>
                    </w:rPr>
                    <w:t>-</w:t>
                  </w:r>
                  <w:r>
                    <w:rPr>
                      <w:rFonts w:hint="eastAsia"/>
                      <w:color w:val="auto"/>
                      <w:szCs w:val="21"/>
                      <w:lang w:val="en-US" w:eastAsia="zh-CN"/>
                    </w:rPr>
                    <w:t>7100</w:t>
                  </w:r>
                </w:p>
              </w:tc>
              <w:tc>
                <w:tcPr>
                  <w:tcW w:w="818" w:type="dxa"/>
                  <w:tcBorders>
                    <w:tl2br w:val="nil"/>
                    <w:tr2bl w:val="nil"/>
                  </w:tcBorders>
                  <w:vAlign w:val="center"/>
                </w:tcPr>
                <w:p w14:paraId="7BCB8159">
                  <w:pPr>
                    <w:jc w:val="center"/>
                    <w:rPr>
                      <w:color w:val="auto"/>
                      <w:szCs w:val="21"/>
                    </w:rPr>
                  </w:pPr>
                  <w:r>
                    <w:rPr>
                      <w:rFonts w:hint="eastAsia"/>
                      <w:color w:val="auto"/>
                      <w:szCs w:val="21"/>
                    </w:rPr>
                    <w:t>0</w:t>
                  </w:r>
                </w:p>
              </w:tc>
              <w:tc>
                <w:tcPr>
                  <w:tcW w:w="1006" w:type="dxa"/>
                  <w:tcBorders>
                    <w:tl2br w:val="nil"/>
                    <w:tr2bl w:val="nil"/>
                  </w:tcBorders>
                  <w:vAlign w:val="center"/>
                </w:tcPr>
                <w:p w14:paraId="657B0084">
                  <w:pPr>
                    <w:jc w:val="center"/>
                    <w:rPr>
                      <w:rFonts w:hint="default" w:eastAsia="宋体"/>
                      <w:color w:val="auto"/>
                      <w:szCs w:val="21"/>
                      <w:lang w:val="en-US" w:eastAsia="zh-CN"/>
                    </w:rPr>
                  </w:pPr>
                  <w:r>
                    <w:rPr>
                      <w:rFonts w:hint="eastAsia"/>
                      <w:color w:val="auto"/>
                      <w:szCs w:val="21"/>
                      <w:lang w:val="en-US" w:eastAsia="zh-CN"/>
                    </w:rPr>
                    <w:t>中型河流</w:t>
                  </w:r>
                </w:p>
              </w:tc>
              <w:tc>
                <w:tcPr>
                  <w:tcW w:w="896" w:type="dxa"/>
                  <w:tcBorders>
                    <w:tl2br w:val="nil"/>
                    <w:tr2bl w:val="nil"/>
                  </w:tcBorders>
                  <w:vAlign w:val="center"/>
                </w:tcPr>
                <w:p w14:paraId="63ADC6BD">
                  <w:pPr>
                    <w:jc w:val="center"/>
                    <w:rPr>
                      <w:rFonts w:hint="default" w:eastAsia="宋体"/>
                      <w:color w:val="auto"/>
                      <w:szCs w:val="21"/>
                      <w:lang w:val="en-US" w:eastAsia="zh-CN"/>
                    </w:rPr>
                  </w:pPr>
                  <w:r>
                    <w:rPr>
                      <w:rFonts w:hint="eastAsia"/>
                      <w:color w:val="auto"/>
                      <w:szCs w:val="21"/>
                      <w:lang w:val="en-US" w:eastAsia="zh-CN"/>
                    </w:rPr>
                    <w:t>7.1</w:t>
                  </w:r>
                </w:p>
              </w:tc>
              <w:tc>
                <w:tcPr>
                  <w:tcW w:w="697" w:type="dxa"/>
                  <w:tcBorders>
                    <w:tl2br w:val="nil"/>
                    <w:tr2bl w:val="nil"/>
                  </w:tcBorders>
                  <w:vAlign w:val="center"/>
                </w:tcPr>
                <w:p w14:paraId="687E7D31">
                  <w:pPr>
                    <w:jc w:val="center"/>
                    <w:rPr>
                      <w:color w:val="auto"/>
                      <w:szCs w:val="21"/>
                    </w:rPr>
                  </w:pPr>
                  <w:r>
                    <w:rPr>
                      <w:color w:val="auto"/>
                      <w:szCs w:val="21"/>
                    </w:rPr>
                    <w:t>W</w:t>
                  </w:r>
                </w:p>
              </w:tc>
              <w:tc>
                <w:tcPr>
                  <w:tcW w:w="2025" w:type="dxa"/>
                  <w:tcBorders>
                    <w:tl2br w:val="nil"/>
                    <w:tr2bl w:val="nil"/>
                  </w:tcBorders>
                  <w:vAlign w:val="center"/>
                </w:tcPr>
                <w:p w14:paraId="2B9FB443">
                  <w:pPr>
                    <w:jc w:val="center"/>
                    <w:rPr>
                      <w:color w:val="auto"/>
                      <w:szCs w:val="21"/>
                    </w:rPr>
                  </w:pPr>
                  <w:r>
                    <w:rPr>
                      <w:color w:val="auto"/>
                      <w:szCs w:val="21"/>
                    </w:rPr>
                    <w:t>《地表水环境质量标准》（GB3838-2002）</w:t>
                  </w:r>
                </w:p>
                <w:p w14:paraId="0B0261F8">
                  <w:pPr>
                    <w:jc w:val="center"/>
                    <w:rPr>
                      <w:color w:val="auto"/>
                      <w:szCs w:val="21"/>
                    </w:rPr>
                  </w:pPr>
                  <w:r>
                    <w:rPr>
                      <w:color w:val="auto"/>
                      <w:szCs w:val="21"/>
                    </w:rPr>
                    <w:t>III类标准</w:t>
                  </w:r>
                </w:p>
              </w:tc>
            </w:tr>
          </w:tbl>
          <w:p w14:paraId="2A243977">
            <w:pPr>
              <w:adjustRightInd w:val="0"/>
              <w:snapToGrid w:val="0"/>
              <w:spacing w:line="360" w:lineRule="auto"/>
              <w:ind w:firstLine="480" w:firstLineChars="200"/>
              <w:rPr>
                <w:iCs/>
                <w:color w:val="auto"/>
                <w:sz w:val="24"/>
              </w:rPr>
            </w:pPr>
            <w:r>
              <w:rPr>
                <w:rFonts w:hint="eastAsia"/>
                <w:iCs/>
                <w:color w:val="auto"/>
                <w:sz w:val="24"/>
              </w:rPr>
              <w:t>注：以厂区中心为坐标原点</w:t>
            </w:r>
          </w:p>
          <w:p w14:paraId="78C59714">
            <w:pPr>
              <w:adjustRightInd w:val="0"/>
              <w:snapToGrid w:val="0"/>
              <w:spacing w:line="360" w:lineRule="auto"/>
              <w:ind w:firstLine="482" w:firstLineChars="200"/>
              <w:rPr>
                <w:b/>
                <w:bCs/>
                <w:iCs/>
                <w:color w:val="auto"/>
                <w:sz w:val="24"/>
              </w:rPr>
            </w:pPr>
            <w:r>
              <w:rPr>
                <w:b/>
                <w:bCs/>
                <w:iCs/>
                <w:color w:val="auto"/>
                <w:sz w:val="24"/>
              </w:rPr>
              <w:t>3、声环境保护目标</w:t>
            </w:r>
          </w:p>
          <w:p w14:paraId="75C21F16">
            <w:pPr>
              <w:adjustRightInd w:val="0"/>
              <w:snapToGrid w:val="0"/>
              <w:spacing w:line="360" w:lineRule="auto"/>
              <w:jc w:val="center"/>
              <w:rPr>
                <w:b/>
                <w:color w:val="auto"/>
                <w:kern w:val="0"/>
                <w:sz w:val="24"/>
              </w:rPr>
            </w:pPr>
            <w:r>
              <w:rPr>
                <w:b/>
                <w:color w:val="auto"/>
                <w:kern w:val="0"/>
                <w:sz w:val="24"/>
              </w:rPr>
              <w:t>3-</w:t>
            </w:r>
            <w:r>
              <w:rPr>
                <w:rFonts w:hint="eastAsia"/>
                <w:b/>
                <w:color w:val="auto"/>
                <w:kern w:val="0"/>
                <w:sz w:val="24"/>
                <w:lang w:val="en-US" w:eastAsia="zh-CN"/>
              </w:rPr>
              <w:t>7</w:t>
            </w:r>
            <w:r>
              <w:rPr>
                <w:b/>
                <w:color w:val="auto"/>
                <w:kern w:val="0"/>
                <w:sz w:val="24"/>
              </w:rPr>
              <w:t xml:space="preserve"> 项目环境敏感保护目标一览表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7"/>
              <w:gridCol w:w="617"/>
              <w:gridCol w:w="857"/>
              <w:gridCol w:w="912"/>
              <w:gridCol w:w="818"/>
              <w:gridCol w:w="1006"/>
              <w:gridCol w:w="896"/>
              <w:gridCol w:w="697"/>
              <w:gridCol w:w="2025"/>
            </w:tblGrid>
            <w:tr w14:paraId="25AD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7" w:type="dxa"/>
                  <w:vMerge w:val="restart"/>
                  <w:tcBorders>
                    <w:tl2br w:val="nil"/>
                    <w:tr2bl w:val="nil"/>
                  </w:tcBorders>
                  <w:vAlign w:val="center"/>
                </w:tcPr>
                <w:p w14:paraId="1FCAEEE1">
                  <w:pPr>
                    <w:jc w:val="center"/>
                    <w:rPr>
                      <w:color w:val="auto"/>
                      <w:szCs w:val="21"/>
                    </w:rPr>
                  </w:pPr>
                  <w:r>
                    <w:rPr>
                      <w:color w:val="auto"/>
                      <w:szCs w:val="21"/>
                    </w:rPr>
                    <w:t>类别</w:t>
                  </w:r>
                </w:p>
              </w:tc>
              <w:tc>
                <w:tcPr>
                  <w:tcW w:w="617" w:type="dxa"/>
                  <w:vMerge w:val="restart"/>
                  <w:tcBorders>
                    <w:tl2br w:val="nil"/>
                    <w:tr2bl w:val="nil"/>
                  </w:tcBorders>
                  <w:vAlign w:val="center"/>
                </w:tcPr>
                <w:p w14:paraId="2DF85952">
                  <w:pPr>
                    <w:jc w:val="center"/>
                    <w:rPr>
                      <w:color w:val="auto"/>
                      <w:szCs w:val="21"/>
                    </w:rPr>
                  </w:pPr>
                  <w:r>
                    <w:rPr>
                      <w:color w:val="auto"/>
                      <w:szCs w:val="21"/>
                    </w:rPr>
                    <w:t>序号</w:t>
                  </w:r>
                </w:p>
              </w:tc>
              <w:tc>
                <w:tcPr>
                  <w:tcW w:w="857" w:type="dxa"/>
                  <w:vMerge w:val="restart"/>
                  <w:tcBorders>
                    <w:tl2br w:val="nil"/>
                    <w:tr2bl w:val="nil"/>
                  </w:tcBorders>
                  <w:vAlign w:val="center"/>
                </w:tcPr>
                <w:p w14:paraId="26456767">
                  <w:pPr>
                    <w:jc w:val="center"/>
                    <w:rPr>
                      <w:color w:val="auto"/>
                      <w:szCs w:val="21"/>
                    </w:rPr>
                  </w:pPr>
                  <w:r>
                    <w:rPr>
                      <w:color w:val="auto"/>
                      <w:szCs w:val="21"/>
                    </w:rPr>
                    <w:t>主要保护目标</w:t>
                  </w:r>
                </w:p>
              </w:tc>
              <w:tc>
                <w:tcPr>
                  <w:tcW w:w="1730" w:type="dxa"/>
                  <w:gridSpan w:val="2"/>
                  <w:tcBorders>
                    <w:tl2br w:val="nil"/>
                    <w:tr2bl w:val="nil"/>
                  </w:tcBorders>
                  <w:vAlign w:val="center"/>
                </w:tcPr>
                <w:p w14:paraId="71520563">
                  <w:pPr>
                    <w:widowControl/>
                    <w:jc w:val="center"/>
                    <w:rPr>
                      <w:color w:val="auto"/>
                      <w:szCs w:val="21"/>
                    </w:rPr>
                  </w:pPr>
                  <w:r>
                    <w:rPr>
                      <w:color w:val="auto"/>
                      <w:kern w:val="0"/>
                      <w:szCs w:val="21"/>
                    </w:rPr>
                    <w:t>坐标</w:t>
                  </w:r>
                </w:p>
              </w:tc>
              <w:tc>
                <w:tcPr>
                  <w:tcW w:w="1006" w:type="dxa"/>
                  <w:vMerge w:val="restart"/>
                  <w:tcBorders>
                    <w:tl2br w:val="nil"/>
                    <w:tr2bl w:val="nil"/>
                  </w:tcBorders>
                  <w:vAlign w:val="center"/>
                </w:tcPr>
                <w:p w14:paraId="748547DC">
                  <w:pPr>
                    <w:jc w:val="center"/>
                    <w:rPr>
                      <w:color w:val="auto"/>
                      <w:szCs w:val="21"/>
                    </w:rPr>
                  </w:pPr>
                  <w:r>
                    <w:rPr>
                      <w:color w:val="auto"/>
                      <w:szCs w:val="21"/>
                    </w:rPr>
                    <w:t>性质、规模</w:t>
                  </w:r>
                </w:p>
              </w:tc>
              <w:tc>
                <w:tcPr>
                  <w:tcW w:w="896" w:type="dxa"/>
                  <w:vMerge w:val="restart"/>
                  <w:tcBorders>
                    <w:tl2br w:val="nil"/>
                    <w:tr2bl w:val="nil"/>
                  </w:tcBorders>
                  <w:vAlign w:val="center"/>
                </w:tcPr>
                <w:p w14:paraId="010457B1">
                  <w:pPr>
                    <w:jc w:val="center"/>
                    <w:rPr>
                      <w:color w:val="auto"/>
                      <w:szCs w:val="21"/>
                    </w:rPr>
                  </w:pPr>
                  <w:r>
                    <w:rPr>
                      <w:color w:val="auto"/>
                      <w:szCs w:val="21"/>
                    </w:rPr>
                    <w:t>距离(m)</w:t>
                  </w:r>
                </w:p>
              </w:tc>
              <w:tc>
                <w:tcPr>
                  <w:tcW w:w="697" w:type="dxa"/>
                  <w:vMerge w:val="restart"/>
                  <w:tcBorders>
                    <w:tl2br w:val="nil"/>
                    <w:tr2bl w:val="nil"/>
                  </w:tcBorders>
                  <w:vAlign w:val="center"/>
                </w:tcPr>
                <w:p w14:paraId="7BB50F72">
                  <w:pPr>
                    <w:jc w:val="center"/>
                    <w:rPr>
                      <w:color w:val="auto"/>
                      <w:szCs w:val="21"/>
                    </w:rPr>
                  </w:pPr>
                  <w:r>
                    <w:rPr>
                      <w:color w:val="auto"/>
                      <w:szCs w:val="21"/>
                    </w:rPr>
                    <w:t>方位</w:t>
                  </w:r>
                </w:p>
              </w:tc>
              <w:tc>
                <w:tcPr>
                  <w:tcW w:w="2025" w:type="dxa"/>
                  <w:vMerge w:val="restart"/>
                  <w:tcBorders>
                    <w:tl2br w:val="nil"/>
                    <w:tr2bl w:val="nil"/>
                  </w:tcBorders>
                  <w:vAlign w:val="center"/>
                </w:tcPr>
                <w:p w14:paraId="294B24CF">
                  <w:pPr>
                    <w:jc w:val="center"/>
                    <w:rPr>
                      <w:color w:val="auto"/>
                      <w:szCs w:val="21"/>
                    </w:rPr>
                  </w:pPr>
                  <w:r>
                    <w:rPr>
                      <w:color w:val="auto"/>
                      <w:szCs w:val="21"/>
                    </w:rPr>
                    <w:t>保护级别</w:t>
                  </w:r>
                </w:p>
              </w:tc>
            </w:tr>
            <w:tr w14:paraId="0CA2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7" w:type="dxa"/>
                  <w:vMerge w:val="continue"/>
                  <w:tcBorders>
                    <w:tl2br w:val="nil"/>
                    <w:tr2bl w:val="nil"/>
                  </w:tcBorders>
                  <w:vAlign w:val="center"/>
                </w:tcPr>
                <w:p w14:paraId="583EF0DB">
                  <w:pPr>
                    <w:jc w:val="center"/>
                    <w:rPr>
                      <w:color w:val="auto"/>
                    </w:rPr>
                  </w:pPr>
                </w:p>
              </w:tc>
              <w:tc>
                <w:tcPr>
                  <w:tcW w:w="617" w:type="dxa"/>
                  <w:vMerge w:val="continue"/>
                  <w:tcBorders>
                    <w:tl2br w:val="nil"/>
                    <w:tr2bl w:val="nil"/>
                  </w:tcBorders>
                  <w:vAlign w:val="center"/>
                </w:tcPr>
                <w:p w14:paraId="4398B039">
                  <w:pPr>
                    <w:jc w:val="center"/>
                    <w:rPr>
                      <w:color w:val="auto"/>
                    </w:rPr>
                  </w:pPr>
                </w:p>
              </w:tc>
              <w:tc>
                <w:tcPr>
                  <w:tcW w:w="857" w:type="dxa"/>
                  <w:vMerge w:val="continue"/>
                  <w:tcBorders>
                    <w:tl2br w:val="nil"/>
                    <w:tr2bl w:val="nil"/>
                  </w:tcBorders>
                  <w:vAlign w:val="center"/>
                </w:tcPr>
                <w:p w14:paraId="5879AEDE">
                  <w:pPr>
                    <w:jc w:val="center"/>
                    <w:rPr>
                      <w:color w:val="auto"/>
                    </w:rPr>
                  </w:pPr>
                </w:p>
              </w:tc>
              <w:tc>
                <w:tcPr>
                  <w:tcW w:w="912" w:type="dxa"/>
                  <w:tcBorders>
                    <w:tl2br w:val="nil"/>
                    <w:tr2bl w:val="nil"/>
                  </w:tcBorders>
                  <w:vAlign w:val="center"/>
                </w:tcPr>
                <w:p w14:paraId="672992CD">
                  <w:pPr>
                    <w:widowControl/>
                    <w:jc w:val="center"/>
                    <w:rPr>
                      <w:color w:val="auto"/>
                      <w:szCs w:val="21"/>
                    </w:rPr>
                  </w:pPr>
                  <w:r>
                    <w:rPr>
                      <w:color w:val="auto"/>
                      <w:kern w:val="0"/>
                      <w:szCs w:val="21"/>
                    </w:rPr>
                    <w:t>X</w:t>
                  </w:r>
                </w:p>
              </w:tc>
              <w:tc>
                <w:tcPr>
                  <w:tcW w:w="818" w:type="dxa"/>
                  <w:tcBorders>
                    <w:tl2br w:val="nil"/>
                    <w:tr2bl w:val="nil"/>
                  </w:tcBorders>
                  <w:vAlign w:val="center"/>
                </w:tcPr>
                <w:p w14:paraId="69EE6322">
                  <w:pPr>
                    <w:widowControl/>
                    <w:jc w:val="center"/>
                    <w:rPr>
                      <w:color w:val="auto"/>
                      <w:szCs w:val="21"/>
                    </w:rPr>
                  </w:pPr>
                  <w:r>
                    <w:rPr>
                      <w:color w:val="auto"/>
                      <w:kern w:val="0"/>
                      <w:szCs w:val="21"/>
                    </w:rPr>
                    <w:t>Y</w:t>
                  </w:r>
                </w:p>
              </w:tc>
              <w:tc>
                <w:tcPr>
                  <w:tcW w:w="1006" w:type="dxa"/>
                  <w:vMerge w:val="continue"/>
                  <w:tcBorders>
                    <w:tl2br w:val="nil"/>
                    <w:tr2bl w:val="nil"/>
                  </w:tcBorders>
                  <w:vAlign w:val="center"/>
                </w:tcPr>
                <w:p w14:paraId="126EA299">
                  <w:pPr>
                    <w:jc w:val="center"/>
                    <w:rPr>
                      <w:color w:val="auto"/>
                      <w:szCs w:val="21"/>
                    </w:rPr>
                  </w:pPr>
                </w:p>
              </w:tc>
              <w:tc>
                <w:tcPr>
                  <w:tcW w:w="896" w:type="dxa"/>
                  <w:vMerge w:val="continue"/>
                  <w:tcBorders>
                    <w:tl2br w:val="nil"/>
                    <w:tr2bl w:val="nil"/>
                  </w:tcBorders>
                  <w:vAlign w:val="center"/>
                </w:tcPr>
                <w:p w14:paraId="4F5FB810">
                  <w:pPr>
                    <w:jc w:val="center"/>
                    <w:rPr>
                      <w:color w:val="auto"/>
                      <w:szCs w:val="21"/>
                    </w:rPr>
                  </w:pPr>
                </w:p>
              </w:tc>
              <w:tc>
                <w:tcPr>
                  <w:tcW w:w="697" w:type="dxa"/>
                  <w:vMerge w:val="continue"/>
                  <w:tcBorders>
                    <w:tl2br w:val="nil"/>
                    <w:tr2bl w:val="nil"/>
                  </w:tcBorders>
                  <w:vAlign w:val="center"/>
                </w:tcPr>
                <w:p w14:paraId="3F8FA9E5">
                  <w:pPr>
                    <w:jc w:val="center"/>
                    <w:rPr>
                      <w:color w:val="auto"/>
                      <w:szCs w:val="21"/>
                    </w:rPr>
                  </w:pPr>
                </w:p>
              </w:tc>
              <w:tc>
                <w:tcPr>
                  <w:tcW w:w="2025" w:type="dxa"/>
                  <w:vMerge w:val="continue"/>
                  <w:tcBorders>
                    <w:tl2br w:val="nil"/>
                    <w:tr2bl w:val="nil"/>
                  </w:tcBorders>
                  <w:vAlign w:val="center"/>
                </w:tcPr>
                <w:p w14:paraId="4EF2A6E3">
                  <w:pPr>
                    <w:jc w:val="center"/>
                    <w:rPr>
                      <w:color w:val="auto"/>
                      <w:szCs w:val="21"/>
                    </w:rPr>
                  </w:pPr>
                </w:p>
              </w:tc>
            </w:tr>
            <w:tr w14:paraId="60BA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7" w:type="dxa"/>
                  <w:tcBorders>
                    <w:tl2br w:val="nil"/>
                    <w:tr2bl w:val="nil"/>
                  </w:tcBorders>
                  <w:vAlign w:val="center"/>
                </w:tcPr>
                <w:p w14:paraId="33B8F26E">
                  <w:pPr>
                    <w:jc w:val="center"/>
                    <w:rPr>
                      <w:color w:val="auto"/>
                      <w:szCs w:val="21"/>
                    </w:rPr>
                  </w:pPr>
                  <w:r>
                    <w:rPr>
                      <w:rFonts w:hint="eastAsia"/>
                      <w:color w:val="auto"/>
                      <w:szCs w:val="21"/>
                      <w:lang w:val="en-US" w:eastAsia="zh-CN"/>
                    </w:rPr>
                    <w:t>声</w:t>
                  </w:r>
                  <w:r>
                    <w:rPr>
                      <w:color w:val="auto"/>
                      <w:szCs w:val="21"/>
                    </w:rPr>
                    <w:t>环境</w:t>
                  </w:r>
                </w:p>
              </w:tc>
              <w:tc>
                <w:tcPr>
                  <w:tcW w:w="617" w:type="dxa"/>
                  <w:tcBorders>
                    <w:tl2br w:val="nil"/>
                    <w:tr2bl w:val="nil"/>
                  </w:tcBorders>
                  <w:vAlign w:val="center"/>
                </w:tcPr>
                <w:p w14:paraId="6513A067">
                  <w:pPr>
                    <w:jc w:val="center"/>
                    <w:rPr>
                      <w:color w:val="auto"/>
                      <w:szCs w:val="21"/>
                    </w:rPr>
                  </w:pPr>
                  <w:r>
                    <w:rPr>
                      <w:color w:val="auto"/>
                      <w:szCs w:val="21"/>
                    </w:rPr>
                    <w:t>1</w:t>
                  </w:r>
                </w:p>
              </w:tc>
              <w:tc>
                <w:tcPr>
                  <w:tcW w:w="857" w:type="dxa"/>
                  <w:tcBorders>
                    <w:tl2br w:val="nil"/>
                    <w:tr2bl w:val="nil"/>
                  </w:tcBorders>
                  <w:vAlign w:val="center"/>
                </w:tcPr>
                <w:p w14:paraId="47E4425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小湾子</w:t>
                  </w:r>
                </w:p>
              </w:tc>
              <w:tc>
                <w:tcPr>
                  <w:tcW w:w="912" w:type="dxa"/>
                  <w:tcBorders>
                    <w:tl2br w:val="nil"/>
                    <w:tr2bl w:val="nil"/>
                  </w:tcBorders>
                  <w:vAlign w:val="center"/>
                </w:tcPr>
                <w:p w14:paraId="60AC0EA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45</w:t>
                  </w:r>
                </w:p>
              </w:tc>
              <w:tc>
                <w:tcPr>
                  <w:tcW w:w="818" w:type="dxa"/>
                  <w:tcBorders>
                    <w:tl2br w:val="nil"/>
                    <w:tr2bl w:val="nil"/>
                  </w:tcBorders>
                  <w:vAlign w:val="center"/>
                </w:tcPr>
                <w:p w14:paraId="75C8B1B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w:t>
                  </w:r>
                </w:p>
              </w:tc>
              <w:tc>
                <w:tcPr>
                  <w:tcW w:w="1006" w:type="dxa"/>
                  <w:tcBorders>
                    <w:tl2br w:val="nil"/>
                    <w:tr2bl w:val="nil"/>
                  </w:tcBorders>
                  <w:vAlign w:val="center"/>
                </w:tcPr>
                <w:p w14:paraId="2E48A58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约</w:t>
                  </w:r>
                  <w:r>
                    <w:rPr>
                      <w:rFonts w:hint="eastAsia" w:cs="Times New Roman"/>
                      <w:color w:val="auto"/>
                      <w:sz w:val="21"/>
                      <w:szCs w:val="21"/>
                      <w:lang w:val="en-US" w:eastAsia="zh-CN"/>
                    </w:rPr>
                    <w:t>45</w:t>
                  </w:r>
                  <w:r>
                    <w:rPr>
                      <w:rFonts w:hint="default" w:ascii="Times New Roman" w:hAnsi="Times New Roman" w:eastAsia="宋体" w:cs="Times New Roman"/>
                      <w:color w:val="auto"/>
                      <w:sz w:val="21"/>
                      <w:szCs w:val="21"/>
                    </w:rPr>
                    <w:t>人</w:t>
                  </w:r>
                </w:p>
              </w:tc>
              <w:tc>
                <w:tcPr>
                  <w:tcW w:w="896" w:type="dxa"/>
                  <w:tcBorders>
                    <w:tl2br w:val="nil"/>
                    <w:tr2bl w:val="nil"/>
                  </w:tcBorders>
                  <w:vAlign w:val="center"/>
                </w:tcPr>
                <w:p w14:paraId="204372C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45</w:t>
                  </w:r>
                </w:p>
              </w:tc>
              <w:tc>
                <w:tcPr>
                  <w:tcW w:w="697" w:type="dxa"/>
                  <w:tcBorders>
                    <w:tl2br w:val="nil"/>
                    <w:tr2bl w:val="nil"/>
                  </w:tcBorders>
                  <w:vAlign w:val="center"/>
                </w:tcPr>
                <w:p w14:paraId="1CE76DB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E</w:t>
                  </w:r>
                </w:p>
              </w:tc>
              <w:tc>
                <w:tcPr>
                  <w:tcW w:w="2025" w:type="dxa"/>
                  <w:tcBorders>
                    <w:tl2br w:val="nil"/>
                    <w:tr2bl w:val="nil"/>
                  </w:tcBorders>
                  <w:vAlign w:val="center"/>
                </w:tcPr>
                <w:p w14:paraId="717B2B0C">
                  <w:pPr>
                    <w:jc w:val="center"/>
                    <w:rPr>
                      <w:rFonts w:hint="default"/>
                      <w:color w:val="auto"/>
                      <w:szCs w:val="21"/>
                      <w:lang w:val="en-US"/>
                    </w:rPr>
                  </w:pP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声</w:t>
                  </w:r>
                  <w:r>
                    <w:rPr>
                      <w:rFonts w:hint="default" w:ascii="Times New Roman" w:hAnsi="Times New Roman" w:eastAsia="宋体" w:cs="Times New Roman"/>
                      <w:color w:val="auto"/>
                      <w:sz w:val="21"/>
                      <w:szCs w:val="21"/>
                      <w:lang w:val="en-US" w:eastAsia="zh-CN"/>
                    </w:rPr>
                    <w:t>环境质量标准》（GB30</w:t>
                  </w:r>
                  <w:r>
                    <w:rPr>
                      <w:rFonts w:hint="eastAsia" w:ascii="Times New Roman" w:hAnsi="Times New Roman" w:eastAsia="宋体" w:cs="Times New Roman"/>
                      <w:color w:val="auto"/>
                      <w:sz w:val="21"/>
                      <w:szCs w:val="21"/>
                      <w:lang w:val="en-US" w:eastAsia="zh-CN"/>
                    </w:rPr>
                    <w:t>96</w:t>
                  </w:r>
                  <w:r>
                    <w:rPr>
                      <w:rFonts w:hint="default"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lang w:val="en-US" w:eastAsia="zh-CN"/>
                    </w:rPr>
                    <w:t>08</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2类标准</w:t>
                  </w:r>
                </w:p>
              </w:tc>
            </w:tr>
          </w:tbl>
          <w:p w14:paraId="36954AD5">
            <w:pPr>
              <w:adjustRightInd w:val="0"/>
              <w:snapToGrid w:val="0"/>
              <w:spacing w:line="360" w:lineRule="auto"/>
              <w:ind w:firstLine="482" w:firstLineChars="200"/>
              <w:rPr>
                <w:b/>
                <w:bCs/>
                <w:iCs/>
                <w:color w:val="auto"/>
                <w:sz w:val="24"/>
              </w:rPr>
            </w:pPr>
            <w:r>
              <w:rPr>
                <w:b/>
                <w:bCs/>
                <w:iCs/>
                <w:color w:val="auto"/>
                <w:sz w:val="24"/>
              </w:rPr>
              <w:t>4、其它环境保护目标</w:t>
            </w:r>
          </w:p>
          <w:p w14:paraId="2A68A2C6">
            <w:pPr>
              <w:adjustRightInd w:val="0"/>
              <w:snapToGrid w:val="0"/>
              <w:spacing w:line="360" w:lineRule="auto"/>
              <w:ind w:firstLine="480" w:firstLineChars="200"/>
              <w:rPr>
                <w:color w:val="FF0000"/>
                <w:kern w:val="0"/>
                <w:szCs w:val="21"/>
              </w:rPr>
            </w:pPr>
            <w:r>
              <w:rPr>
                <w:color w:val="auto"/>
                <w:sz w:val="24"/>
              </w:rPr>
              <w:t>厂界外500m范围内无地下水集中式使用水水源和热水、矿泉水、温泉等特殊地下水资源，无生态环境保护目标。</w:t>
            </w:r>
          </w:p>
        </w:tc>
      </w:tr>
      <w:tr w14:paraId="52291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84" w:type="pct"/>
            <w:tcMar>
              <w:left w:w="28" w:type="dxa"/>
              <w:right w:w="28" w:type="dxa"/>
            </w:tcMar>
            <w:vAlign w:val="center"/>
          </w:tcPr>
          <w:p w14:paraId="2AAC193D">
            <w:pPr>
              <w:adjustRightInd w:val="0"/>
              <w:snapToGrid w:val="0"/>
              <w:spacing w:line="360" w:lineRule="auto"/>
              <w:jc w:val="center"/>
              <w:rPr>
                <w:b/>
                <w:bCs/>
                <w:color w:val="auto"/>
                <w:kern w:val="0"/>
                <w:sz w:val="24"/>
              </w:rPr>
            </w:pPr>
            <w:r>
              <w:rPr>
                <w:b/>
                <w:bCs/>
                <w:color w:val="auto"/>
                <w:kern w:val="0"/>
                <w:sz w:val="24"/>
              </w:rPr>
              <w:t>污染</w:t>
            </w:r>
          </w:p>
          <w:p w14:paraId="5371E1AF">
            <w:pPr>
              <w:adjustRightInd w:val="0"/>
              <w:snapToGrid w:val="0"/>
              <w:spacing w:line="360" w:lineRule="auto"/>
              <w:jc w:val="center"/>
              <w:rPr>
                <w:b/>
                <w:bCs/>
                <w:color w:val="auto"/>
                <w:kern w:val="0"/>
                <w:sz w:val="24"/>
              </w:rPr>
            </w:pPr>
            <w:r>
              <w:rPr>
                <w:b/>
                <w:bCs/>
                <w:color w:val="auto"/>
                <w:kern w:val="0"/>
                <w:sz w:val="24"/>
              </w:rPr>
              <w:t>物排</w:t>
            </w:r>
          </w:p>
          <w:p w14:paraId="46F00AC1">
            <w:pPr>
              <w:adjustRightInd w:val="0"/>
              <w:snapToGrid w:val="0"/>
              <w:spacing w:line="360" w:lineRule="auto"/>
              <w:jc w:val="center"/>
              <w:rPr>
                <w:b/>
                <w:bCs/>
                <w:color w:val="auto"/>
                <w:kern w:val="0"/>
                <w:sz w:val="24"/>
              </w:rPr>
            </w:pPr>
            <w:r>
              <w:rPr>
                <w:b/>
                <w:bCs/>
                <w:color w:val="auto"/>
                <w:kern w:val="0"/>
                <w:sz w:val="24"/>
              </w:rPr>
              <w:t>放控</w:t>
            </w:r>
          </w:p>
          <w:p w14:paraId="70D58523">
            <w:pPr>
              <w:adjustRightInd w:val="0"/>
              <w:snapToGrid w:val="0"/>
              <w:spacing w:line="360" w:lineRule="auto"/>
              <w:jc w:val="center"/>
              <w:rPr>
                <w:b/>
                <w:bCs/>
                <w:color w:val="auto"/>
                <w:kern w:val="0"/>
                <w:sz w:val="24"/>
              </w:rPr>
            </w:pPr>
            <w:r>
              <w:rPr>
                <w:b/>
                <w:bCs/>
                <w:color w:val="auto"/>
                <w:kern w:val="0"/>
                <w:sz w:val="24"/>
              </w:rPr>
              <w:t>制标</w:t>
            </w:r>
          </w:p>
          <w:p w14:paraId="737CDE8A">
            <w:pPr>
              <w:adjustRightInd w:val="0"/>
              <w:snapToGrid w:val="0"/>
              <w:spacing w:line="360" w:lineRule="auto"/>
              <w:jc w:val="center"/>
              <w:rPr>
                <w:color w:val="FF0000"/>
                <w:kern w:val="0"/>
                <w:szCs w:val="21"/>
              </w:rPr>
            </w:pPr>
            <w:r>
              <w:rPr>
                <w:b/>
                <w:bCs/>
                <w:color w:val="auto"/>
                <w:kern w:val="0"/>
                <w:sz w:val="24"/>
              </w:rPr>
              <w:t>准</w:t>
            </w:r>
          </w:p>
        </w:tc>
        <w:tc>
          <w:tcPr>
            <w:tcW w:w="4715" w:type="pct"/>
            <w:vAlign w:val="center"/>
          </w:tcPr>
          <w:p w14:paraId="52DA81E6">
            <w:pPr>
              <w:spacing w:line="360" w:lineRule="auto"/>
              <w:ind w:firstLine="480" w:firstLineChars="200"/>
              <w:rPr>
                <w:b/>
                <w:color w:val="auto"/>
                <w:sz w:val="24"/>
              </w:rPr>
            </w:pPr>
            <w:r>
              <w:rPr>
                <w:rFonts w:eastAsia="Times New Roman"/>
                <w:b/>
                <w:color w:val="auto"/>
                <w:sz w:val="24"/>
              </w:rPr>
              <w:t>1</w:t>
            </w:r>
            <w:r>
              <w:rPr>
                <w:b/>
                <w:color w:val="auto"/>
                <w:sz w:val="24"/>
              </w:rPr>
              <w:t>、大气污染物排放标准</w:t>
            </w:r>
          </w:p>
          <w:p w14:paraId="638B0452">
            <w:pPr>
              <w:adjustRightInd w:val="0"/>
              <w:snapToGrid w:val="0"/>
              <w:spacing w:line="360" w:lineRule="auto"/>
              <w:ind w:firstLine="480" w:firstLineChars="200"/>
              <w:rPr>
                <w:color w:val="auto"/>
                <w:sz w:val="24"/>
                <w:szCs w:val="21"/>
                <w:lang w:bidi="ar"/>
              </w:rPr>
            </w:pPr>
            <w:r>
              <w:rPr>
                <w:rFonts w:hint="eastAsia"/>
                <w:color w:val="auto"/>
                <w:sz w:val="24"/>
                <w:szCs w:val="21"/>
                <w:lang w:bidi="ar"/>
              </w:rPr>
              <w:t>项目</w:t>
            </w:r>
            <w:r>
              <w:rPr>
                <w:rFonts w:hint="eastAsia"/>
                <w:color w:val="auto"/>
                <w:sz w:val="24"/>
                <w:szCs w:val="21"/>
                <w:lang w:val="en-US" w:eastAsia="zh-CN" w:bidi="ar"/>
              </w:rPr>
              <w:t>破</w:t>
            </w:r>
            <w:r>
              <w:rPr>
                <w:rFonts w:hint="eastAsia"/>
                <w:color w:val="auto"/>
                <w:sz w:val="24"/>
                <w:szCs w:val="21"/>
                <w:lang w:bidi="ar"/>
              </w:rPr>
              <w:t>碎</w:t>
            </w:r>
            <w:r>
              <w:rPr>
                <w:rFonts w:hint="eastAsia"/>
                <w:color w:val="auto"/>
                <w:sz w:val="24"/>
                <w:szCs w:val="21"/>
                <w:lang w:eastAsia="zh-CN" w:bidi="ar"/>
              </w:rPr>
              <w:t>、</w:t>
            </w:r>
            <w:r>
              <w:rPr>
                <w:rFonts w:hint="eastAsia"/>
                <w:color w:val="auto"/>
                <w:sz w:val="24"/>
                <w:szCs w:val="21"/>
                <w:lang w:val="en-US" w:eastAsia="zh-CN" w:bidi="ar"/>
              </w:rPr>
              <w:t>制粒</w:t>
            </w:r>
            <w:r>
              <w:rPr>
                <w:rFonts w:hint="eastAsia"/>
                <w:color w:val="auto"/>
                <w:sz w:val="24"/>
                <w:szCs w:val="21"/>
                <w:lang w:bidi="ar"/>
              </w:rPr>
              <w:t>工序产生的颗粒物执行《大气污染物综合排放标准》（GB16297-1996)表2新污染源大气污染物排放限值中二级标准的排放限值；</w:t>
            </w:r>
            <w:r>
              <w:rPr>
                <w:rFonts w:hint="eastAsia"/>
                <w:color w:val="auto"/>
                <w:sz w:val="24"/>
                <w:szCs w:val="21"/>
                <w:lang w:val="en-US" w:eastAsia="zh-CN" w:bidi="ar"/>
              </w:rPr>
              <w:t>生物质</w:t>
            </w:r>
            <w:r>
              <w:rPr>
                <w:rFonts w:hint="eastAsia"/>
                <w:color w:val="auto"/>
                <w:sz w:val="24"/>
                <w:szCs w:val="21"/>
                <w:lang w:bidi="ar"/>
              </w:rPr>
              <w:t>燃烧产生的颗粒物、SO</w:t>
            </w:r>
            <w:r>
              <w:rPr>
                <w:rFonts w:hint="eastAsia"/>
                <w:color w:val="auto"/>
                <w:sz w:val="24"/>
                <w:szCs w:val="21"/>
                <w:vertAlign w:val="subscript"/>
                <w:lang w:bidi="ar"/>
              </w:rPr>
              <w:t>2</w:t>
            </w:r>
            <w:r>
              <w:rPr>
                <w:rFonts w:hint="eastAsia"/>
                <w:color w:val="auto"/>
                <w:sz w:val="24"/>
                <w:szCs w:val="21"/>
                <w:lang w:bidi="ar"/>
              </w:rPr>
              <w:t>、NO</w:t>
            </w:r>
            <w:r>
              <w:rPr>
                <w:rFonts w:hint="eastAsia"/>
                <w:color w:val="auto"/>
                <w:sz w:val="24"/>
                <w:szCs w:val="21"/>
                <w:vertAlign w:val="subscript"/>
                <w:lang w:bidi="ar"/>
              </w:rPr>
              <w:t>X</w:t>
            </w:r>
            <w:r>
              <w:rPr>
                <w:rFonts w:hint="eastAsia"/>
                <w:color w:val="auto"/>
                <w:sz w:val="24"/>
                <w:szCs w:val="21"/>
                <w:lang w:bidi="ar"/>
              </w:rPr>
              <w:t>参照执行</w:t>
            </w:r>
            <w:r>
              <w:rPr>
                <w:rFonts w:hint="eastAsia"/>
                <w:color w:val="auto"/>
                <w:sz w:val="24"/>
                <w:szCs w:val="21"/>
                <w:lang w:eastAsia="zh-CN" w:bidi="ar"/>
              </w:rPr>
              <w:t>《锅炉大气污染排放标准》（GB13271-2014）</w:t>
            </w:r>
            <w:r>
              <w:rPr>
                <w:rFonts w:hint="eastAsia"/>
                <w:color w:val="auto"/>
                <w:sz w:val="24"/>
                <w:szCs w:val="21"/>
                <w:lang w:bidi="ar"/>
              </w:rPr>
              <w:t>中排放限值要求；厂界颗粒物无组织排放限值执行《大气污染物综合排放标准》（GB16297-1996)表2中的排放浓度限值，</w:t>
            </w:r>
            <w:r>
              <w:rPr>
                <w:rFonts w:hint="eastAsia" w:ascii="Times New Roman" w:hAnsi="Times New Roman" w:cs="Times New Roman"/>
                <w:color w:val="auto"/>
                <w:sz w:val="24"/>
                <w:szCs w:val="21"/>
                <w:lang w:val="en-US" w:eastAsia="zh-CN" w:bidi="ar"/>
              </w:rPr>
              <w:t>施工期颗粒物执行《施工场地颗粒物排放标准》（DB34/4811-2024）</w:t>
            </w:r>
            <w:r>
              <w:rPr>
                <w:rFonts w:hint="eastAsia" w:ascii="Times New Roman" w:hAnsi="Times New Roman" w:cs="Times New Roman"/>
                <w:color w:val="auto"/>
                <w:sz w:val="24"/>
                <w:szCs w:val="21"/>
                <w:lang w:bidi="ar"/>
              </w:rPr>
              <w:t>限值</w:t>
            </w:r>
            <w:r>
              <w:rPr>
                <w:rFonts w:hint="eastAsia" w:ascii="Times New Roman" w:hAnsi="Times New Roman" w:cs="Times New Roman"/>
                <w:color w:val="auto"/>
                <w:sz w:val="24"/>
                <w:szCs w:val="21"/>
                <w:lang w:eastAsia="zh-CN" w:bidi="ar"/>
              </w:rPr>
              <w:t>。</w:t>
            </w:r>
            <w:r>
              <w:rPr>
                <w:color w:val="auto"/>
                <w:sz w:val="24"/>
                <w:szCs w:val="21"/>
                <w:lang w:bidi="ar"/>
              </w:rPr>
              <w:t>要求具体执行详见下表。</w:t>
            </w:r>
          </w:p>
          <w:p w14:paraId="07CFF32F">
            <w:pPr>
              <w:spacing w:line="360" w:lineRule="auto"/>
              <w:jc w:val="center"/>
              <w:rPr>
                <w:rFonts w:hint="default" w:eastAsia="宋体"/>
                <w:b/>
                <w:color w:val="auto"/>
                <w:kern w:val="0"/>
                <w:sz w:val="24"/>
                <w:lang w:val="en-US" w:eastAsia="zh-CN"/>
              </w:rPr>
            </w:pPr>
            <w:r>
              <w:rPr>
                <w:b/>
                <w:color w:val="auto"/>
                <w:kern w:val="0"/>
                <w:sz w:val="24"/>
              </w:rPr>
              <w:t>表3-</w:t>
            </w:r>
            <w:r>
              <w:rPr>
                <w:rFonts w:hint="eastAsia"/>
                <w:b/>
                <w:color w:val="auto"/>
                <w:kern w:val="0"/>
                <w:sz w:val="24"/>
                <w:lang w:val="en-US" w:eastAsia="zh-CN"/>
              </w:rPr>
              <w:t>8</w:t>
            </w:r>
            <w:r>
              <w:rPr>
                <w:b/>
                <w:color w:val="auto"/>
                <w:kern w:val="0"/>
                <w:sz w:val="24"/>
              </w:rPr>
              <w:t xml:space="preserve"> </w:t>
            </w:r>
            <w:r>
              <w:rPr>
                <w:rFonts w:hint="eastAsia"/>
                <w:b/>
                <w:color w:val="auto"/>
                <w:kern w:val="0"/>
                <w:sz w:val="24"/>
                <w:lang w:val="en-US" w:eastAsia="zh-CN"/>
              </w:rPr>
              <w:t>项目污染物排放标准</w:t>
            </w:r>
          </w:p>
          <w:tbl>
            <w:tblPr>
              <w:tblStyle w:val="30"/>
              <w:tblW w:w="494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234"/>
              <w:gridCol w:w="1423"/>
              <w:gridCol w:w="1311"/>
              <w:gridCol w:w="781"/>
              <w:gridCol w:w="956"/>
              <w:gridCol w:w="1287"/>
              <w:gridCol w:w="1457"/>
            </w:tblGrid>
            <w:tr w14:paraId="79D56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Merge w:val="restart"/>
                  <w:vAlign w:val="center"/>
                </w:tcPr>
                <w:p w14:paraId="6950A164">
                  <w:pPr>
                    <w:jc w:val="center"/>
                    <w:rPr>
                      <w:b/>
                      <w:bCs w:val="0"/>
                      <w:color w:val="auto"/>
                      <w:szCs w:val="21"/>
                      <w:lang w:val="zh-CN" w:bidi="ar"/>
                    </w:rPr>
                  </w:pPr>
                  <w:r>
                    <w:rPr>
                      <w:b/>
                      <w:bCs w:val="0"/>
                      <w:color w:val="auto"/>
                      <w:szCs w:val="21"/>
                      <w:lang w:val="zh-CN" w:bidi="ar"/>
                    </w:rPr>
                    <w:t>污染物</w:t>
                  </w:r>
                </w:p>
              </w:tc>
              <w:tc>
                <w:tcPr>
                  <w:tcW w:w="842" w:type="pct"/>
                  <w:vMerge w:val="restart"/>
                  <w:vAlign w:val="center"/>
                </w:tcPr>
                <w:p w14:paraId="17CC8BE3">
                  <w:pPr>
                    <w:jc w:val="center"/>
                    <w:rPr>
                      <w:b/>
                      <w:bCs w:val="0"/>
                      <w:color w:val="auto"/>
                      <w:szCs w:val="21"/>
                      <w:lang w:val="zh-CN" w:bidi="ar"/>
                    </w:rPr>
                  </w:pPr>
                  <w:r>
                    <w:rPr>
                      <w:b/>
                      <w:bCs w:val="0"/>
                      <w:color w:val="auto"/>
                      <w:szCs w:val="21"/>
                      <w:lang w:val="zh-CN" w:bidi="ar"/>
                    </w:rPr>
                    <w:t>最高允许排放浓度（mg/m</w:t>
                  </w:r>
                  <w:r>
                    <w:rPr>
                      <w:b/>
                      <w:bCs w:val="0"/>
                      <w:color w:val="auto"/>
                      <w:szCs w:val="21"/>
                      <w:vertAlign w:val="superscript"/>
                      <w:lang w:val="zh-CN" w:bidi="ar"/>
                    </w:rPr>
                    <w:t>3</w:t>
                  </w:r>
                  <w:r>
                    <w:rPr>
                      <w:b/>
                      <w:bCs w:val="0"/>
                      <w:color w:val="auto"/>
                      <w:szCs w:val="21"/>
                      <w:lang w:val="zh-CN" w:bidi="ar"/>
                    </w:rPr>
                    <w:t>）</w:t>
                  </w:r>
                </w:p>
              </w:tc>
              <w:tc>
                <w:tcPr>
                  <w:tcW w:w="1237" w:type="pct"/>
                  <w:gridSpan w:val="2"/>
                  <w:vAlign w:val="center"/>
                </w:tcPr>
                <w:p w14:paraId="596D5460">
                  <w:pPr>
                    <w:jc w:val="center"/>
                    <w:rPr>
                      <w:b/>
                      <w:bCs w:val="0"/>
                      <w:color w:val="auto"/>
                      <w:szCs w:val="21"/>
                      <w:lang w:val="zh-CN" w:bidi="ar"/>
                    </w:rPr>
                  </w:pPr>
                  <w:r>
                    <w:rPr>
                      <w:b/>
                      <w:bCs w:val="0"/>
                      <w:color w:val="auto"/>
                      <w:szCs w:val="21"/>
                      <w:lang w:val="zh-CN" w:bidi="ar"/>
                    </w:rPr>
                    <w:t>最高允许排放速率（kg/h）</w:t>
                  </w:r>
                </w:p>
              </w:tc>
              <w:tc>
                <w:tcPr>
                  <w:tcW w:w="1327" w:type="pct"/>
                  <w:gridSpan w:val="2"/>
                  <w:vAlign w:val="center"/>
                </w:tcPr>
                <w:p w14:paraId="1FF305C1">
                  <w:pPr>
                    <w:jc w:val="center"/>
                    <w:rPr>
                      <w:b/>
                      <w:bCs w:val="0"/>
                      <w:color w:val="auto"/>
                      <w:szCs w:val="21"/>
                      <w:lang w:val="zh-CN" w:bidi="ar"/>
                    </w:rPr>
                  </w:pPr>
                  <w:r>
                    <w:rPr>
                      <w:b/>
                      <w:bCs w:val="0"/>
                      <w:color w:val="auto"/>
                      <w:szCs w:val="21"/>
                      <w:lang w:val="zh-CN" w:bidi="ar"/>
                    </w:rPr>
                    <w:t>无组织排放监控浓度限值</w:t>
                  </w:r>
                </w:p>
              </w:tc>
              <w:tc>
                <w:tcPr>
                  <w:tcW w:w="862" w:type="pct"/>
                  <w:vMerge w:val="restart"/>
                  <w:vAlign w:val="center"/>
                </w:tcPr>
                <w:p w14:paraId="1A4A41E7">
                  <w:pPr>
                    <w:jc w:val="center"/>
                    <w:rPr>
                      <w:b w:val="0"/>
                      <w:bCs/>
                      <w:color w:val="auto"/>
                      <w:szCs w:val="21"/>
                      <w:lang w:val="zh-CN" w:bidi="ar"/>
                    </w:rPr>
                  </w:pPr>
                  <w:r>
                    <w:rPr>
                      <w:b/>
                      <w:bCs w:val="0"/>
                      <w:color w:val="auto"/>
                      <w:szCs w:val="21"/>
                      <w:lang w:val="zh-CN" w:bidi="ar"/>
                    </w:rPr>
                    <w:t>标准来源</w:t>
                  </w:r>
                </w:p>
              </w:tc>
            </w:tr>
            <w:tr w14:paraId="544FB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Merge w:val="continue"/>
                  <w:vAlign w:val="center"/>
                </w:tcPr>
                <w:p w14:paraId="7DCE2B8C">
                  <w:pPr>
                    <w:jc w:val="center"/>
                    <w:rPr>
                      <w:b/>
                      <w:bCs w:val="0"/>
                      <w:color w:val="auto"/>
                      <w:szCs w:val="21"/>
                      <w:lang w:val="zh-CN" w:bidi="ar"/>
                    </w:rPr>
                  </w:pPr>
                </w:p>
              </w:tc>
              <w:tc>
                <w:tcPr>
                  <w:tcW w:w="842" w:type="pct"/>
                  <w:vMerge w:val="continue"/>
                  <w:vAlign w:val="center"/>
                </w:tcPr>
                <w:p w14:paraId="11C0CDF6">
                  <w:pPr>
                    <w:jc w:val="center"/>
                    <w:rPr>
                      <w:b/>
                      <w:bCs w:val="0"/>
                      <w:color w:val="auto"/>
                      <w:szCs w:val="21"/>
                      <w:lang w:val="zh-CN" w:bidi="ar"/>
                    </w:rPr>
                  </w:pPr>
                </w:p>
              </w:tc>
              <w:tc>
                <w:tcPr>
                  <w:tcW w:w="775" w:type="pct"/>
                  <w:vAlign w:val="center"/>
                </w:tcPr>
                <w:p w14:paraId="06E39A0E">
                  <w:pPr>
                    <w:jc w:val="center"/>
                    <w:rPr>
                      <w:b/>
                      <w:bCs w:val="0"/>
                      <w:color w:val="auto"/>
                      <w:szCs w:val="21"/>
                      <w:lang w:val="zh-CN" w:bidi="ar"/>
                    </w:rPr>
                  </w:pPr>
                  <w:r>
                    <w:rPr>
                      <w:b/>
                      <w:bCs w:val="0"/>
                      <w:color w:val="auto"/>
                      <w:szCs w:val="21"/>
                      <w:lang w:val="zh-CN" w:bidi="ar"/>
                    </w:rPr>
                    <w:t>排气筒高度（m）</w:t>
                  </w:r>
                </w:p>
              </w:tc>
              <w:tc>
                <w:tcPr>
                  <w:tcW w:w="462" w:type="pct"/>
                  <w:vAlign w:val="center"/>
                </w:tcPr>
                <w:p w14:paraId="37DEB215">
                  <w:pPr>
                    <w:jc w:val="center"/>
                    <w:rPr>
                      <w:b/>
                      <w:bCs w:val="0"/>
                      <w:color w:val="auto"/>
                      <w:szCs w:val="21"/>
                      <w:lang w:val="zh-CN" w:bidi="ar"/>
                    </w:rPr>
                  </w:pPr>
                  <w:r>
                    <w:rPr>
                      <w:b/>
                      <w:bCs w:val="0"/>
                      <w:color w:val="auto"/>
                      <w:szCs w:val="21"/>
                      <w:lang w:val="zh-CN" w:bidi="ar"/>
                    </w:rPr>
                    <w:t>二级</w:t>
                  </w:r>
                </w:p>
              </w:tc>
              <w:tc>
                <w:tcPr>
                  <w:tcW w:w="565" w:type="pct"/>
                  <w:vAlign w:val="center"/>
                </w:tcPr>
                <w:p w14:paraId="553B2302">
                  <w:pPr>
                    <w:jc w:val="center"/>
                    <w:rPr>
                      <w:b/>
                      <w:bCs w:val="0"/>
                      <w:color w:val="auto"/>
                      <w:szCs w:val="21"/>
                      <w:lang w:val="zh-CN" w:bidi="ar"/>
                    </w:rPr>
                  </w:pPr>
                  <w:r>
                    <w:rPr>
                      <w:b/>
                      <w:bCs w:val="0"/>
                      <w:color w:val="auto"/>
                      <w:szCs w:val="21"/>
                      <w:lang w:val="zh-CN" w:bidi="ar"/>
                    </w:rPr>
                    <w:t>监控点</w:t>
                  </w:r>
                </w:p>
              </w:tc>
              <w:tc>
                <w:tcPr>
                  <w:tcW w:w="761" w:type="pct"/>
                  <w:vAlign w:val="center"/>
                </w:tcPr>
                <w:p w14:paraId="4D35D42E">
                  <w:pPr>
                    <w:jc w:val="center"/>
                    <w:rPr>
                      <w:b/>
                      <w:bCs w:val="0"/>
                      <w:color w:val="auto"/>
                      <w:szCs w:val="21"/>
                      <w:lang w:val="zh-CN" w:bidi="ar"/>
                    </w:rPr>
                  </w:pPr>
                  <w:r>
                    <w:rPr>
                      <w:b/>
                      <w:bCs w:val="0"/>
                      <w:color w:val="auto"/>
                      <w:szCs w:val="21"/>
                      <w:lang w:val="zh-CN" w:bidi="ar"/>
                    </w:rPr>
                    <w:t>浓度</w:t>
                  </w:r>
                </w:p>
                <w:p w14:paraId="0928C531">
                  <w:pPr>
                    <w:jc w:val="center"/>
                    <w:rPr>
                      <w:b/>
                      <w:bCs w:val="0"/>
                      <w:color w:val="auto"/>
                      <w:szCs w:val="21"/>
                      <w:lang w:val="zh-CN" w:bidi="ar"/>
                    </w:rPr>
                  </w:pPr>
                  <w:r>
                    <w:rPr>
                      <w:b/>
                      <w:bCs w:val="0"/>
                      <w:color w:val="auto"/>
                      <w:szCs w:val="21"/>
                      <w:lang w:val="zh-CN" w:bidi="ar"/>
                    </w:rPr>
                    <w:t>（mg/m</w:t>
                  </w:r>
                  <w:r>
                    <w:rPr>
                      <w:b/>
                      <w:bCs w:val="0"/>
                      <w:color w:val="auto"/>
                      <w:szCs w:val="21"/>
                      <w:vertAlign w:val="superscript"/>
                      <w:lang w:val="zh-CN" w:bidi="ar"/>
                    </w:rPr>
                    <w:t>3</w:t>
                  </w:r>
                  <w:r>
                    <w:rPr>
                      <w:b/>
                      <w:bCs w:val="0"/>
                      <w:color w:val="auto"/>
                      <w:szCs w:val="21"/>
                      <w:lang w:val="zh-CN" w:bidi="ar"/>
                    </w:rPr>
                    <w:t>）</w:t>
                  </w:r>
                </w:p>
              </w:tc>
              <w:tc>
                <w:tcPr>
                  <w:tcW w:w="862" w:type="pct"/>
                  <w:vMerge w:val="continue"/>
                  <w:vAlign w:val="center"/>
                </w:tcPr>
                <w:p w14:paraId="20D0BB06">
                  <w:pPr>
                    <w:jc w:val="center"/>
                    <w:rPr>
                      <w:b/>
                      <w:color w:val="auto"/>
                      <w:szCs w:val="21"/>
                      <w:lang w:val="zh-CN" w:bidi="ar"/>
                    </w:rPr>
                  </w:pPr>
                </w:p>
              </w:tc>
            </w:tr>
            <w:tr w14:paraId="100D4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Align w:val="center"/>
                </w:tcPr>
                <w:p w14:paraId="4E59F7D3">
                  <w:pPr>
                    <w:jc w:val="center"/>
                    <w:rPr>
                      <w:b w:val="0"/>
                      <w:bCs/>
                      <w:color w:val="auto"/>
                      <w:szCs w:val="21"/>
                      <w:lang w:val="zh-CN" w:bidi="ar"/>
                    </w:rPr>
                  </w:pPr>
                  <w:r>
                    <w:rPr>
                      <w:b w:val="0"/>
                      <w:bCs/>
                      <w:color w:val="auto"/>
                      <w:szCs w:val="21"/>
                      <w:lang w:val="zh-CN" w:bidi="ar"/>
                    </w:rPr>
                    <w:t>颗粒物</w:t>
                  </w:r>
                </w:p>
              </w:tc>
              <w:tc>
                <w:tcPr>
                  <w:tcW w:w="842" w:type="pct"/>
                  <w:vAlign w:val="center"/>
                </w:tcPr>
                <w:p w14:paraId="446333E2">
                  <w:pPr>
                    <w:jc w:val="center"/>
                    <w:rPr>
                      <w:b w:val="0"/>
                      <w:bCs/>
                      <w:color w:val="auto"/>
                      <w:szCs w:val="21"/>
                      <w:lang w:bidi="ar"/>
                    </w:rPr>
                  </w:pPr>
                  <w:r>
                    <w:rPr>
                      <w:b w:val="0"/>
                      <w:bCs/>
                      <w:color w:val="auto"/>
                      <w:szCs w:val="21"/>
                      <w:lang w:bidi="ar"/>
                    </w:rPr>
                    <w:t>120</w:t>
                  </w:r>
                </w:p>
              </w:tc>
              <w:tc>
                <w:tcPr>
                  <w:tcW w:w="775" w:type="pct"/>
                  <w:vAlign w:val="center"/>
                </w:tcPr>
                <w:p w14:paraId="44A1F4DC">
                  <w:pPr>
                    <w:jc w:val="center"/>
                    <w:rPr>
                      <w:b w:val="0"/>
                      <w:bCs/>
                      <w:color w:val="auto"/>
                      <w:szCs w:val="21"/>
                      <w:lang w:val="zh-CN" w:bidi="ar"/>
                    </w:rPr>
                  </w:pPr>
                  <w:r>
                    <w:rPr>
                      <w:b w:val="0"/>
                      <w:bCs/>
                      <w:color w:val="auto"/>
                      <w:szCs w:val="21"/>
                      <w:lang w:val="zh-CN" w:bidi="ar"/>
                    </w:rPr>
                    <w:t>15</w:t>
                  </w:r>
                </w:p>
              </w:tc>
              <w:tc>
                <w:tcPr>
                  <w:tcW w:w="462" w:type="pct"/>
                  <w:vAlign w:val="center"/>
                </w:tcPr>
                <w:p w14:paraId="470E9E38">
                  <w:pPr>
                    <w:jc w:val="center"/>
                    <w:rPr>
                      <w:b w:val="0"/>
                      <w:bCs/>
                      <w:color w:val="auto"/>
                      <w:szCs w:val="21"/>
                      <w:lang w:val="zh-CN" w:bidi="ar"/>
                    </w:rPr>
                  </w:pPr>
                  <w:r>
                    <w:rPr>
                      <w:b w:val="0"/>
                      <w:bCs/>
                      <w:color w:val="auto"/>
                      <w:szCs w:val="21"/>
                      <w:lang w:bidi="ar"/>
                    </w:rPr>
                    <w:t>3.5</w:t>
                  </w:r>
                </w:p>
              </w:tc>
              <w:tc>
                <w:tcPr>
                  <w:tcW w:w="565" w:type="pct"/>
                  <w:vAlign w:val="center"/>
                </w:tcPr>
                <w:p w14:paraId="5F268C14">
                  <w:pPr>
                    <w:jc w:val="center"/>
                    <w:rPr>
                      <w:b w:val="0"/>
                      <w:bCs/>
                      <w:color w:val="auto"/>
                      <w:szCs w:val="21"/>
                      <w:lang w:val="zh-CN" w:bidi="ar"/>
                    </w:rPr>
                  </w:pPr>
                  <w:r>
                    <w:rPr>
                      <w:b w:val="0"/>
                      <w:bCs/>
                      <w:color w:val="auto"/>
                      <w:szCs w:val="21"/>
                      <w:lang w:val="zh-CN" w:bidi="ar"/>
                    </w:rPr>
                    <w:t>周界外浓度最高点</w:t>
                  </w:r>
                </w:p>
              </w:tc>
              <w:tc>
                <w:tcPr>
                  <w:tcW w:w="761" w:type="pct"/>
                  <w:vAlign w:val="center"/>
                </w:tcPr>
                <w:p w14:paraId="1154EB63">
                  <w:pPr>
                    <w:jc w:val="center"/>
                    <w:rPr>
                      <w:b w:val="0"/>
                      <w:bCs/>
                      <w:color w:val="auto"/>
                      <w:szCs w:val="21"/>
                      <w:lang w:val="zh-CN" w:bidi="ar"/>
                    </w:rPr>
                  </w:pPr>
                  <w:r>
                    <w:rPr>
                      <w:b w:val="0"/>
                      <w:bCs/>
                      <w:color w:val="auto"/>
                      <w:szCs w:val="21"/>
                      <w:lang w:bidi="ar"/>
                    </w:rPr>
                    <w:t>1.0</w:t>
                  </w:r>
                </w:p>
              </w:tc>
              <w:tc>
                <w:tcPr>
                  <w:tcW w:w="862" w:type="pct"/>
                  <w:vAlign w:val="center"/>
                </w:tcPr>
                <w:p w14:paraId="2021F95C">
                  <w:pPr>
                    <w:jc w:val="center"/>
                    <w:rPr>
                      <w:b w:val="0"/>
                      <w:bCs/>
                      <w:color w:val="auto"/>
                      <w:szCs w:val="21"/>
                      <w:lang w:val="zh-CN" w:bidi="ar"/>
                    </w:rPr>
                  </w:pPr>
                  <w:r>
                    <w:rPr>
                      <w:b w:val="0"/>
                      <w:bCs/>
                      <w:color w:val="auto"/>
                      <w:szCs w:val="21"/>
                      <w:lang w:bidi="ar"/>
                    </w:rPr>
                    <w:t>GB16297-1996</w:t>
                  </w:r>
                </w:p>
              </w:tc>
            </w:tr>
            <w:tr w14:paraId="6686F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Align w:val="center"/>
                </w:tcPr>
                <w:p w14:paraId="5CE974CA">
                  <w:pPr>
                    <w:jc w:val="center"/>
                    <w:rPr>
                      <w:b w:val="0"/>
                      <w:bCs/>
                      <w:color w:val="auto"/>
                      <w:szCs w:val="21"/>
                      <w:lang w:val="zh-CN" w:bidi="ar"/>
                    </w:rPr>
                  </w:pPr>
                  <w:r>
                    <w:rPr>
                      <w:b w:val="0"/>
                      <w:bCs/>
                      <w:color w:val="auto"/>
                      <w:szCs w:val="21"/>
                      <w:lang w:val="zh-CN" w:bidi="ar"/>
                    </w:rPr>
                    <w:t>颗粒物</w:t>
                  </w:r>
                </w:p>
              </w:tc>
              <w:tc>
                <w:tcPr>
                  <w:tcW w:w="842" w:type="pct"/>
                  <w:vAlign w:val="center"/>
                </w:tcPr>
                <w:p w14:paraId="07B2F158">
                  <w:pPr>
                    <w:jc w:val="center"/>
                    <w:rPr>
                      <w:rFonts w:hint="default" w:eastAsia="宋体"/>
                      <w:b w:val="0"/>
                      <w:bCs/>
                      <w:color w:val="auto"/>
                      <w:szCs w:val="21"/>
                      <w:lang w:val="en-US" w:eastAsia="zh-CN" w:bidi="ar"/>
                    </w:rPr>
                  </w:pPr>
                  <w:r>
                    <w:rPr>
                      <w:rFonts w:hint="eastAsia"/>
                      <w:b w:val="0"/>
                      <w:bCs/>
                      <w:color w:val="auto"/>
                      <w:szCs w:val="21"/>
                      <w:lang w:val="en-US" w:eastAsia="zh-CN" w:bidi="ar"/>
                    </w:rPr>
                    <w:t>50</w:t>
                  </w:r>
                </w:p>
              </w:tc>
              <w:tc>
                <w:tcPr>
                  <w:tcW w:w="775" w:type="pct"/>
                  <w:vMerge w:val="restart"/>
                  <w:vAlign w:val="center"/>
                </w:tcPr>
                <w:p w14:paraId="26483529">
                  <w:pPr>
                    <w:jc w:val="center"/>
                    <w:rPr>
                      <w:rFonts w:hint="default" w:eastAsia="宋体"/>
                      <w:b w:val="0"/>
                      <w:bCs/>
                      <w:color w:val="auto"/>
                      <w:szCs w:val="21"/>
                      <w:lang w:val="en-US" w:eastAsia="zh-CN" w:bidi="ar"/>
                    </w:rPr>
                  </w:pPr>
                  <w:r>
                    <w:rPr>
                      <w:rFonts w:hint="eastAsia"/>
                      <w:b w:val="0"/>
                      <w:bCs/>
                      <w:color w:val="auto"/>
                      <w:szCs w:val="21"/>
                      <w:lang w:val="en-US" w:eastAsia="zh-CN" w:bidi="ar"/>
                    </w:rPr>
                    <w:t>15</w:t>
                  </w:r>
                </w:p>
              </w:tc>
              <w:tc>
                <w:tcPr>
                  <w:tcW w:w="462" w:type="pct"/>
                  <w:vAlign w:val="center"/>
                </w:tcPr>
                <w:p w14:paraId="6B4C3463">
                  <w:pPr>
                    <w:jc w:val="center"/>
                    <w:rPr>
                      <w:rFonts w:hint="eastAsia" w:eastAsia="宋体"/>
                      <w:b w:val="0"/>
                      <w:bCs/>
                      <w:color w:val="auto"/>
                      <w:szCs w:val="21"/>
                      <w:lang w:val="en-US" w:eastAsia="zh-CN" w:bidi="ar"/>
                    </w:rPr>
                  </w:pPr>
                  <w:r>
                    <w:rPr>
                      <w:rFonts w:hint="eastAsia"/>
                      <w:b w:val="0"/>
                      <w:bCs/>
                      <w:color w:val="auto"/>
                      <w:szCs w:val="21"/>
                      <w:lang w:val="en-US" w:eastAsia="zh-CN" w:bidi="ar"/>
                    </w:rPr>
                    <w:t>/</w:t>
                  </w:r>
                </w:p>
              </w:tc>
              <w:tc>
                <w:tcPr>
                  <w:tcW w:w="565" w:type="pct"/>
                  <w:vAlign w:val="center"/>
                </w:tcPr>
                <w:p w14:paraId="57A36320">
                  <w:pPr>
                    <w:jc w:val="center"/>
                    <w:rPr>
                      <w:b w:val="0"/>
                      <w:bCs/>
                      <w:color w:val="auto"/>
                      <w:szCs w:val="21"/>
                      <w:lang w:val="zh-CN" w:bidi="ar"/>
                    </w:rPr>
                  </w:pPr>
                  <w:r>
                    <w:rPr>
                      <w:rFonts w:hint="eastAsia"/>
                      <w:b w:val="0"/>
                      <w:bCs/>
                      <w:color w:val="auto"/>
                      <w:szCs w:val="21"/>
                      <w:lang w:val="en-US" w:eastAsia="zh-CN" w:bidi="ar"/>
                    </w:rPr>
                    <w:t>/</w:t>
                  </w:r>
                </w:p>
              </w:tc>
              <w:tc>
                <w:tcPr>
                  <w:tcW w:w="761" w:type="pct"/>
                  <w:vAlign w:val="center"/>
                </w:tcPr>
                <w:p w14:paraId="6F72D1B8">
                  <w:pPr>
                    <w:jc w:val="center"/>
                    <w:rPr>
                      <w:b w:val="0"/>
                      <w:bCs/>
                      <w:color w:val="auto"/>
                      <w:szCs w:val="21"/>
                      <w:lang w:bidi="ar"/>
                    </w:rPr>
                  </w:pPr>
                  <w:r>
                    <w:rPr>
                      <w:rFonts w:hint="eastAsia"/>
                      <w:b w:val="0"/>
                      <w:bCs/>
                      <w:color w:val="auto"/>
                      <w:szCs w:val="21"/>
                      <w:lang w:val="en-US" w:eastAsia="zh-CN" w:bidi="ar"/>
                    </w:rPr>
                    <w:t>/</w:t>
                  </w:r>
                </w:p>
              </w:tc>
              <w:tc>
                <w:tcPr>
                  <w:tcW w:w="862" w:type="pct"/>
                  <w:vMerge w:val="restart"/>
                  <w:vAlign w:val="center"/>
                </w:tcPr>
                <w:p w14:paraId="51606F7C">
                  <w:pPr>
                    <w:jc w:val="center"/>
                    <w:rPr>
                      <w:rFonts w:hint="eastAsia" w:eastAsia="宋体"/>
                      <w:b w:val="0"/>
                      <w:bCs/>
                      <w:color w:val="auto"/>
                      <w:szCs w:val="21"/>
                      <w:lang w:eastAsia="zh-CN" w:bidi="ar"/>
                    </w:rPr>
                  </w:pPr>
                  <w:r>
                    <w:rPr>
                      <w:rFonts w:hint="eastAsia"/>
                      <w:color w:val="auto"/>
                      <w:lang w:eastAsia="zh-CN"/>
                    </w:rPr>
                    <w:t>《锅炉大气污染排放标准》（GB13271-2014）</w:t>
                  </w:r>
                </w:p>
              </w:tc>
            </w:tr>
            <w:tr w14:paraId="7AB5C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Align w:val="center"/>
                </w:tcPr>
                <w:p w14:paraId="502E7AB5">
                  <w:pPr>
                    <w:jc w:val="center"/>
                    <w:rPr>
                      <w:b w:val="0"/>
                      <w:bCs/>
                      <w:color w:val="auto"/>
                      <w:sz w:val="21"/>
                      <w:szCs w:val="21"/>
                      <w:lang w:val="zh-CN" w:bidi="ar"/>
                    </w:rPr>
                  </w:pPr>
                  <w:r>
                    <w:rPr>
                      <w:rFonts w:hint="eastAsia"/>
                      <w:color w:val="auto"/>
                      <w:sz w:val="21"/>
                      <w:szCs w:val="21"/>
                      <w:lang w:bidi="ar"/>
                    </w:rPr>
                    <w:t>SO</w:t>
                  </w:r>
                  <w:r>
                    <w:rPr>
                      <w:rFonts w:hint="eastAsia"/>
                      <w:color w:val="auto"/>
                      <w:sz w:val="21"/>
                      <w:szCs w:val="21"/>
                      <w:vertAlign w:val="subscript"/>
                      <w:lang w:bidi="ar"/>
                    </w:rPr>
                    <w:t>2</w:t>
                  </w:r>
                </w:p>
              </w:tc>
              <w:tc>
                <w:tcPr>
                  <w:tcW w:w="842" w:type="pct"/>
                  <w:vAlign w:val="center"/>
                </w:tcPr>
                <w:p w14:paraId="2BDA43D0">
                  <w:pPr>
                    <w:jc w:val="center"/>
                    <w:rPr>
                      <w:rFonts w:hint="default" w:eastAsia="宋体"/>
                      <w:b w:val="0"/>
                      <w:bCs/>
                      <w:color w:val="auto"/>
                      <w:szCs w:val="21"/>
                      <w:lang w:val="en-US" w:eastAsia="zh-CN" w:bidi="ar"/>
                    </w:rPr>
                  </w:pPr>
                  <w:r>
                    <w:rPr>
                      <w:rFonts w:hint="eastAsia"/>
                      <w:b w:val="0"/>
                      <w:bCs/>
                      <w:color w:val="auto"/>
                      <w:szCs w:val="21"/>
                      <w:lang w:val="en-US" w:eastAsia="zh-CN" w:bidi="ar"/>
                    </w:rPr>
                    <w:t>300</w:t>
                  </w:r>
                </w:p>
              </w:tc>
              <w:tc>
                <w:tcPr>
                  <w:tcW w:w="775" w:type="pct"/>
                  <w:vMerge w:val="continue"/>
                  <w:vAlign w:val="center"/>
                </w:tcPr>
                <w:p w14:paraId="651B8FB8">
                  <w:pPr>
                    <w:jc w:val="center"/>
                    <w:rPr>
                      <w:b w:val="0"/>
                      <w:bCs/>
                      <w:color w:val="auto"/>
                      <w:szCs w:val="21"/>
                      <w:lang w:val="zh-CN" w:bidi="ar"/>
                    </w:rPr>
                  </w:pPr>
                </w:p>
              </w:tc>
              <w:tc>
                <w:tcPr>
                  <w:tcW w:w="462" w:type="pct"/>
                  <w:vAlign w:val="center"/>
                </w:tcPr>
                <w:p w14:paraId="714EB76E">
                  <w:pPr>
                    <w:jc w:val="center"/>
                    <w:rPr>
                      <w:rFonts w:hint="eastAsia" w:eastAsia="宋体"/>
                      <w:b w:val="0"/>
                      <w:bCs/>
                      <w:color w:val="auto"/>
                      <w:szCs w:val="21"/>
                      <w:lang w:val="en-US" w:eastAsia="zh-CN" w:bidi="ar"/>
                    </w:rPr>
                  </w:pPr>
                  <w:r>
                    <w:rPr>
                      <w:rFonts w:hint="eastAsia"/>
                      <w:b w:val="0"/>
                      <w:bCs/>
                      <w:color w:val="auto"/>
                      <w:szCs w:val="21"/>
                      <w:lang w:val="en-US" w:eastAsia="zh-CN" w:bidi="ar"/>
                    </w:rPr>
                    <w:t>/</w:t>
                  </w:r>
                </w:p>
              </w:tc>
              <w:tc>
                <w:tcPr>
                  <w:tcW w:w="565" w:type="pct"/>
                  <w:vAlign w:val="center"/>
                </w:tcPr>
                <w:p w14:paraId="6E82D7B0">
                  <w:pPr>
                    <w:jc w:val="center"/>
                    <w:rPr>
                      <w:b w:val="0"/>
                      <w:bCs/>
                      <w:color w:val="auto"/>
                      <w:szCs w:val="21"/>
                      <w:lang w:val="zh-CN" w:bidi="ar"/>
                    </w:rPr>
                  </w:pPr>
                  <w:r>
                    <w:rPr>
                      <w:rFonts w:hint="eastAsia"/>
                      <w:b w:val="0"/>
                      <w:bCs/>
                      <w:color w:val="auto"/>
                      <w:szCs w:val="21"/>
                      <w:lang w:val="en-US" w:eastAsia="zh-CN" w:bidi="ar"/>
                    </w:rPr>
                    <w:t>/</w:t>
                  </w:r>
                </w:p>
              </w:tc>
              <w:tc>
                <w:tcPr>
                  <w:tcW w:w="761" w:type="pct"/>
                  <w:vAlign w:val="center"/>
                </w:tcPr>
                <w:p w14:paraId="3794D87F">
                  <w:pPr>
                    <w:jc w:val="center"/>
                    <w:rPr>
                      <w:b w:val="0"/>
                      <w:bCs/>
                      <w:color w:val="auto"/>
                      <w:szCs w:val="21"/>
                      <w:lang w:bidi="ar"/>
                    </w:rPr>
                  </w:pPr>
                  <w:r>
                    <w:rPr>
                      <w:rFonts w:hint="eastAsia"/>
                      <w:b w:val="0"/>
                      <w:bCs/>
                      <w:color w:val="auto"/>
                      <w:szCs w:val="21"/>
                      <w:lang w:val="en-US" w:eastAsia="zh-CN" w:bidi="ar"/>
                    </w:rPr>
                    <w:t>/</w:t>
                  </w:r>
                </w:p>
              </w:tc>
              <w:tc>
                <w:tcPr>
                  <w:tcW w:w="862" w:type="pct"/>
                  <w:vMerge w:val="continue"/>
                  <w:vAlign w:val="center"/>
                </w:tcPr>
                <w:p w14:paraId="392F8ED2">
                  <w:pPr>
                    <w:jc w:val="center"/>
                    <w:rPr>
                      <w:b w:val="0"/>
                      <w:bCs/>
                      <w:color w:val="auto"/>
                      <w:szCs w:val="21"/>
                      <w:lang w:bidi="ar"/>
                    </w:rPr>
                  </w:pPr>
                </w:p>
              </w:tc>
            </w:tr>
            <w:tr w14:paraId="1A4E4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Align w:val="center"/>
                </w:tcPr>
                <w:p w14:paraId="3CE20E41">
                  <w:pPr>
                    <w:jc w:val="center"/>
                    <w:rPr>
                      <w:b w:val="0"/>
                      <w:bCs/>
                      <w:color w:val="auto"/>
                      <w:sz w:val="21"/>
                      <w:szCs w:val="21"/>
                      <w:lang w:val="zh-CN" w:bidi="ar"/>
                    </w:rPr>
                  </w:pPr>
                  <w:r>
                    <w:rPr>
                      <w:rFonts w:hint="eastAsia"/>
                      <w:color w:val="auto"/>
                      <w:sz w:val="21"/>
                      <w:szCs w:val="21"/>
                      <w:lang w:bidi="ar"/>
                    </w:rPr>
                    <w:t>NO</w:t>
                  </w:r>
                  <w:r>
                    <w:rPr>
                      <w:rFonts w:hint="eastAsia"/>
                      <w:color w:val="auto"/>
                      <w:sz w:val="21"/>
                      <w:szCs w:val="21"/>
                      <w:vertAlign w:val="subscript"/>
                      <w:lang w:bidi="ar"/>
                    </w:rPr>
                    <w:t>X</w:t>
                  </w:r>
                </w:p>
              </w:tc>
              <w:tc>
                <w:tcPr>
                  <w:tcW w:w="842" w:type="pct"/>
                  <w:vAlign w:val="center"/>
                </w:tcPr>
                <w:p w14:paraId="04B1FFBA">
                  <w:pPr>
                    <w:jc w:val="center"/>
                    <w:rPr>
                      <w:rFonts w:hint="default" w:eastAsia="宋体"/>
                      <w:b w:val="0"/>
                      <w:bCs/>
                      <w:color w:val="auto"/>
                      <w:szCs w:val="21"/>
                      <w:lang w:val="en-US" w:eastAsia="zh-CN" w:bidi="ar"/>
                    </w:rPr>
                  </w:pPr>
                  <w:r>
                    <w:rPr>
                      <w:rFonts w:hint="eastAsia"/>
                      <w:b w:val="0"/>
                      <w:bCs/>
                      <w:color w:val="auto"/>
                      <w:szCs w:val="21"/>
                      <w:lang w:val="en-US" w:eastAsia="zh-CN" w:bidi="ar"/>
                    </w:rPr>
                    <w:t>300</w:t>
                  </w:r>
                </w:p>
              </w:tc>
              <w:tc>
                <w:tcPr>
                  <w:tcW w:w="775" w:type="pct"/>
                  <w:vMerge w:val="continue"/>
                  <w:vAlign w:val="center"/>
                </w:tcPr>
                <w:p w14:paraId="312E5DFE">
                  <w:pPr>
                    <w:jc w:val="center"/>
                    <w:rPr>
                      <w:b w:val="0"/>
                      <w:bCs/>
                      <w:color w:val="auto"/>
                      <w:szCs w:val="21"/>
                      <w:lang w:val="zh-CN" w:bidi="ar"/>
                    </w:rPr>
                  </w:pPr>
                </w:p>
              </w:tc>
              <w:tc>
                <w:tcPr>
                  <w:tcW w:w="462" w:type="pct"/>
                  <w:vAlign w:val="center"/>
                </w:tcPr>
                <w:p w14:paraId="099F7E1A">
                  <w:pPr>
                    <w:jc w:val="center"/>
                    <w:rPr>
                      <w:rFonts w:hint="eastAsia" w:eastAsia="宋体"/>
                      <w:b w:val="0"/>
                      <w:bCs/>
                      <w:color w:val="auto"/>
                      <w:szCs w:val="21"/>
                      <w:lang w:val="en-US" w:eastAsia="zh-CN" w:bidi="ar"/>
                    </w:rPr>
                  </w:pPr>
                  <w:r>
                    <w:rPr>
                      <w:rFonts w:hint="eastAsia"/>
                      <w:b w:val="0"/>
                      <w:bCs/>
                      <w:color w:val="auto"/>
                      <w:szCs w:val="21"/>
                      <w:lang w:val="en-US" w:eastAsia="zh-CN" w:bidi="ar"/>
                    </w:rPr>
                    <w:t>/</w:t>
                  </w:r>
                </w:p>
              </w:tc>
              <w:tc>
                <w:tcPr>
                  <w:tcW w:w="565" w:type="pct"/>
                  <w:vAlign w:val="center"/>
                </w:tcPr>
                <w:p w14:paraId="0DE3B387">
                  <w:pPr>
                    <w:jc w:val="center"/>
                    <w:rPr>
                      <w:b w:val="0"/>
                      <w:bCs/>
                      <w:color w:val="auto"/>
                      <w:szCs w:val="21"/>
                      <w:lang w:val="zh-CN" w:bidi="ar"/>
                    </w:rPr>
                  </w:pPr>
                  <w:r>
                    <w:rPr>
                      <w:rFonts w:hint="eastAsia"/>
                      <w:b w:val="0"/>
                      <w:bCs/>
                      <w:color w:val="auto"/>
                      <w:szCs w:val="21"/>
                      <w:lang w:val="en-US" w:eastAsia="zh-CN" w:bidi="ar"/>
                    </w:rPr>
                    <w:t>/</w:t>
                  </w:r>
                </w:p>
              </w:tc>
              <w:tc>
                <w:tcPr>
                  <w:tcW w:w="761" w:type="pct"/>
                  <w:vAlign w:val="center"/>
                </w:tcPr>
                <w:p w14:paraId="60BB272D">
                  <w:pPr>
                    <w:jc w:val="center"/>
                    <w:rPr>
                      <w:b w:val="0"/>
                      <w:bCs/>
                      <w:color w:val="auto"/>
                      <w:szCs w:val="21"/>
                      <w:lang w:bidi="ar"/>
                    </w:rPr>
                  </w:pPr>
                  <w:r>
                    <w:rPr>
                      <w:rFonts w:hint="eastAsia"/>
                      <w:b w:val="0"/>
                      <w:bCs/>
                      <w:color w:val="auto"/>
                      <w:szCs w:val="21"/>
                      <w:lang w:val="en-US" w:eastAsia="zh-CN" w:bidi="ar"/>
                    </w:rPr>
                    <w:t>/</w:t>
                  </w:r>
                </w:p>
              </w:tc>
              <w:tc>
                <w:tcPr>
                  <w:tcW w:w="862" w:type="pct"/>
                  <w:vMerge w:val="continue"/>
                  <w:vAlign w:val="center"/>
                </w:tcPr>
                <w:p w14:paraId="3BCAA801">
                  <w:pPr>
                    <w:jc w:val="center"/>
                    <w:rPr>
                      <w:b w:val="0"/>
                      <w:bCs/>
                      <w:color w:val="auto"/>
                      <w:szCs w:val="21"/>
                      <w:lang w:bidi="ar"/>
                    </w:rPr>
                  </w:pPr>
                </w:p>
              </w:tc>
            </w:tr>
          </w:tbl>
          <w:p w14:paraId="21745495">
            <w:pPr>
              <w:pStyle w:val="96"/>
              <w:rPr>
                <w:rFonts w:hint="eastAsia" w:ascii="Times New Roman" w:hAnsi="Times New Roman" w:eastAsia="宋体" w:cs="Times New Roman"/>
                <w:b/>
                <w:bCs w:val="0"/>
                <w:color w:val="auto"/>
                <w:kern w:val="0"/>
                <w:sz w:val="24"/>
                <w:szCs w:val="24"/>
                <w:lang w:val="en-US" w:eastAsia="zh-CN" w:bidi="ar-SA"/>
              </w:rPr>
            </w:pPr>
            <w:r>
              <w:rPr>
                <w:rFonts w:hint="eastAsia" w:ascii="Times New Roman" w:hAnsi="Times New Roman" w:eastAsia="宋体" w:cs="Times New Roman"/>
                <w:b/>
                <w:bCs w:val="0"/>
                <w:color w:val="auto"/>
                <w:kern w:val="0"/>
                <w:sz w:val="24"/>
                <w:szCs w:val="24"/>
                <w:lang w:val="en-US" w:eastAsia="zh-CN" w:bidi="ar-SA"/>
              </w:rPr>
              <w:t>表3-</w:t>
            </w:r>
            <w:r>
              <w:rPr>
                <w:rFonts w:hint="eastAsia" w:cs="Times New Roman"/>
                <w:b/>
                <w:bCs w:val="0"/>
                <w:color w:val="auto"/>
                <w:kern w:val="0"/>
                <w:sz w:val="24"/>
                <w:szCs w:val="24"/>
                <w:lang w:val="en-US" w:eastAsia="zh-CN" w:bidi="ar-SA"/>
              </w:rPr>
              <w:t xml:space="preserve">9 </w:t>
            </w:r>
            <w:r>
              <w:rPr>
                <w:rFonts w:hint="eastAsia" w:ascii="Times New Roman" w:hAnsi="Times New Roman" w:eastAsia="宋体" w:cs="Times New Roman"/>
                <w:b/>
                <w:bCs w:val="0"/>
                <w:color w:val="auto"/>
                <w:kern w:val="0"/>
                <w:sz w:val="24"/>
                <w:szCs w:val="24"/>
                <w:lang w:val="en-US" w:eastAsia="zh-CN" w:bidi="ar-SA"/>
              </w:rPr>
              <w:t>《施工场地颗粒物排放标准》（DB34/4811-2024）</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864"/>
              <w:gridCol w:w="2823"/>
              <w:gridCol w:w="2277"/>
            </w:tblGrid>
            <w:tr w14:paraId="5FA9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0" w:type="dxa"/>
                  <w:shd w:val="clear" w:color="auto" w:fill="auto"/>
                  <w:vAlign w:val="center"/>
                </w:tcPr>
                <w:p w14:paraId="2AA2B0FC">
                  <w:pPr>
                    <w:jc w:val="center"/>
                    <w:rPr>
                      <w:rFonts w:hint="eastAsia" w:ascii="Times New Roman" w:hAnsi="Times New Roman" w:cs="Times New Roman"/>
                      <w:b/>
                      <w:bCs w:val="0"/>
                      <w:color w:val="auto"/>
                      <w:szCs w:val="21"/>
                      <w:lang w:val="en-US" w:eastAsia="zh-CN" w:bidi="ar"/>
                    </w:rPr>
                  </w:pPr>
                  <w:r>
                    <w:rPr>
                      <w:rFonts w:hint="eastAsia" w:ascii="Times New Roman" w:hAnsi="Times New Roman" w:cs="Times New Roman"/>
                      <w:b/>
                      <w:bCs w:val="0"/>
                      <w:color w:val="auto"/>
                      <w:szCs w:val="21"/>
                      <w:lang w:val="en-US" w:eastAsia="zh-CN" w:bidi="ar"/>
                    </w:rPr>
                    <w:t>控制</w:t>
                  </w:r>
                  <w:r>
                    <w:rPr>
                      <w:rFonts w:hint="eastAsia" w:ascii="Times New Roman" w:hAnsi="Times New Roman" w:cs="Times New Roman"/>
                      <w:b/>
                      <w:bCs w:val="0"/>
                      <w:color w:val="auto"/>
                      <w:szCs w:val="21"/>
                      <w:lang w:bidi="ar"/>
                    </w:rPr>
                    <w:t>项目</w:t>
                  </w:r>
                </w:p>
              </w:tc>
              <w:tc>
                <w:tcPr>
                  <w:tcW w:w="1864" w:type="dxa"/>
                  <w:shd w:val="clear" w:color="auto" w:fill="auto"/>
                  <w:vAlign w:val="center"/>
                </w:tcPr>
                <w:p w14:paraId="3EAFEB1F">
                  <w:pPr>
                    <w:jc w:val="center"/>
                    <w:rPr>
                      <w:rFonts w:hint="eastAsia" w:ascii="Times New Roman" w:hAnsi="Times New Roman" w:cs="Times New Roman"/>
                      <w:b/>
                      <w:bCs w:val="0"/>
                      <w:color w:val="auto"/>
                      <w:szCs w:val="21"/>
                      <w:lang w:val="en-US" w:eastAsia="zh-CN" w:bidi="ar"/>
                    </w:rPr>
                  </w:pPr>
                  <w:r>
                    <w:rPr>
                      <w:rFonts w:hint="eastAsia" w:ascii="Times New Roman" w:hAnsi="Times New Roman" w:cs="Times New Roman"/>
                      <w:b/>
                      <w:bCs w:val="0"/>
                      <w:color w:val="auto"/>
                      <w:szCs w:val="21"/>
                      <w:lang w:val="en-US" w:eastAsia="zh-CN" w:bidi="ar"/>
                    </w:rPr>
                    <w:t>单位</w:t>
                  </w:r>
                </w:p>
              </w:tc>
              <w:tc>
                <w:tcPr>
                  <w:tcW w:w="2823" w:type="dxa"/>
                  <w:shd w:val="clear" w:color="auto" w:fill="auto"/>
                  <w:vAlign w:val="center"/>
                </w:tcPr>
                <w:p w14:paraId="43C61235">
                  <w:pPr>
                    <w:jc w:val="center"/>
                    <w:rPr>
                      <w:rFonts w:hint="eastAsia" w:ascii="Times New Roman" w:hAnsi="Times New Roman" w:cs="Times New Roman"/>
                      <w:b/>
                      <w:bCs w:val="0"/>
                      <w:color w:val="auto"/>
                      <w:szCs w:val="21"/>
                      <w:lang w:val="en-US" w:eastAsia="zh-CN" w:bidi="ar"/>
                    </w:rPr>
                  </w:pPr>
                  <w:r>
                    <w:rPr>
                      <w:rFonts w:hint="eastAsia" w:ascii="Times New Roman" w:hAnsi="Times New Roman" w:cs="Times New Roman"/>
                      <w:b/>
                      <w:bCs w:val="0"/>
                      <w:color w:val="auto"/>
                      <w:szCs w:val="21"/>
                      <w:lang w:val="en-US" w:eastAsia="zh-CN" w:bidi="ar"/>
                    </w:rPr>
                    <w:t>监测点浓度限值</w:t>
                  </w:r>
                </w:p>
              </w:tc>
              <w:tc>
                <w:tcPr>
                  <w:tcW w:w="2277" w:type="dxa"/>
                  <w:shd w:val="clear" w:color="auto" w:fill="auto"/>
                  <w:vAlign w:val="center"/>
                </w:tcPr>
                <w:p w14:paraId="7744A025">
                  <w:pPr>
                    <w:jc w:val="center"/>
                    <w:rPr>
                      <w:rFonts w:hint="eastAsia" w:ascii="Times New Roman" w:hAnsi="Times New Roman" w:cs="Times New Roman"/>
                      <w:b/>
                      <w:bCs w:val="0"/>
                      <w:color w:val="auto"/>
                      <w:szCs w:val="21"/>
                      <w:lang w:val="en-US" w:eastAsia="zh-CN" w:bidi="ar"/>
                    </w:rPr>
                  </w:pPr>
                  <w:r>
                    <w:rPr>
                      <w:rFonts w:hint="eastAsia" w:ascii="Times New Roman" w:hAnsi="Times New Roman" w:cs="Times New Roman"/>
                      <w:b/>
                      <w:bCs w:val="0"/>
                      <w:color w:val="auto"/>
                      <w:szCs w:val="21"/>
                      <w:lang w:val="en-US" w:eastAsia="zh-CN" w:bidi="ar"/>
                    </w:rPr>
                    <w:t>判定达标依据</w:t>
                  </w:r>
                </w:p>
              </w:tc>
            </w:tr>
            <w:tr w14:paraId="1829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0" w:type="dxa"/>
                  <w:vMerge w:val="restart"/>
                  <w:shd w:val="clear" w:color="auto" w:fill="auto"/>
                  <w:vAlign w:val="center"/>
                </w:tcPr>
                <w:p w14:paraId="77DDB1DC">
                  <w:pPr>
                    <w:jc w:val="center"/>
                    <w:rPr>
                      <w:rFonts w:hint="eastAsia"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TSP</w:t>
                  </w:r>
                </w:p>
              </w:tc>
              <w:tc>
                <w:tcPr>
                  <w:tcW w:w="1864" w:type="dxa"/>
                  <w:vMerge w:val="restart"/>
                  <w:shd w:val="clear" w:color="auto" w:fill="auto"/>
                  <w:vAlign w:val="center"/>
                </w:tcPr>
                <w:p w14:paraId="4A516B37">
                  <w:pPr>
                    <w:jc w:val="center"/>
                    <w:rPr>
                      <w:rFonts w:hint="eastAsia" w:ascii="Times New Roman" w:hAnsi="Times New Roman" w:cs="Times New Roman"/>
                      <w:bCs/>
                      <w:color w:val="auto"/>
                      <w:szCs w:val="21"/>
                      <w:lang w:val="en-US" w:eastAsia="zh-CN" w:bidi="ar"/>
                    </w:rPr>
                  </w:pPr>
                  <w:r>
                    <w:rPr>
                      <w:rFonts w:hint="default" w:ascii="Times New Roman" w:hAnsi="Times New Roman" w:cs="Times New Roman"/>
                      <w:bCs/>
                      <w:color w:val="auto"/>
                      <w:szCs w:val="21"/>
                      <w:lang w:val="en-US" w:eastAsia="zh-CN" w:bidi="ar"/>
                    </w:rPr>
                    <w:t>μg/m</w:t>
                  </w:r>
                  <w:r>
                    <w:rPr>
                      <w:rFonts w:hint="default" w:ascii="Times New Roman" w:hAnsi="Times New Roman" w:cs="Times New Roman"/>
                      <w:bCs/>
                      <w:color w:val="auto"/>
                      <w:szCs w:val="21"/>
                      <w:vertAlign w:val="superscript"/>
                      <w:lang w:val="en-US" w:eastAsia="zh-CN" w:bidi="ar"/>
                    </w:rPr>
                    <w:t>3</w:t>
                  </w:r>
                </w:p>
              </w:tc>
              <w:tc>
                <w:tcPr>
                  <w:tcW w:w="2823" w:type="dxa"/>
                  <w:shd w:val="clear" w:color="auto" w:fill="auto"/>
                  <w:vAlign w:val="center"/>
                </w:tcPr>
                <w:p w14:paraId="712C2C5B">
                  <w:pPr>
                    <w:jc w:val="center"/>
                    <w:rPr>
                      <w:rFonts w:hint="eastAsia"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1000</w:t>
                  </w:r>
                </w:p>
              </w:tc>
              <w:tc>
                <w:tcPr>
                  <w:tcW w:w="2277" w:type="dxa"/>
                  <w:shd w:val="clear" w:color="auto" w:fill="auto"/>
                  <w:vAlign w:val="center"/>
                </w:tcPr>
                <w:p w14:paraId="6CF4BB52">
                  <w:pPr>
                    <w:jc w:val="center"/>
                    <w:rPr>
                      <w:rFonts w:hint="eastAsia"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超标次数≤1次/日</w:t>
                  </w:r>
                </w:p>
              </w:tc>
            </w:tr>
            <w:tr w14:paraId="5377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0" w:type="dxa"/>
                  <w:vMerge w:val="continue"/>
                  <w:shd w:val="clear" w:color="auto" w:fill="auto"/>
                  <w:vAlign w:val="center"/>
                </w:tcPr>
                <w:p w14:paraId="2152E78B">
                  <w:pPr>
                    <w:jc w:val="center"/>
                    <w:rPr>
                      <w:rFonts w:hint="eastAsia" w:ascii="Times New Roman" w:hAnsi="Times New Roman" w:cs="Times New Roman"/>
                      <w:bCs/>
                      <w:color w:val="auto"/>
                      <w:szCs w:val="21"/>
                      <w:lang w:val="en-US" w:eastAsia="zh-CN" w:bidi="ar"/>
                    </w:rPr>
                  </w:pPr>
                </w:p>
              </w:tc>
              <w:tc>
                <w:tcPr>
                  <w:tcW w:w="1864" w:type="dxa"/>
                  <w:vMerge w:val="continue"/>
                  <w:shd w:val="clear" w:color="auto" w:fill="auto"/>
                  <w:vAlign w:val="center"/>
                </w:tcPr>
                <w:p w14:paraId="7408636A">
                  <w:pPr>
                    <w:jc w:val="center"/>
                    <w:rPr>
                      <w:rFonts w:hint="eastAsia" w:ascii="Times New Roman" w:hAnsi="Times New Roman" w:cs="Times New Roman"/>
                      <w:bCs/>
                      <w:color w:val="auto"/>
                      <w:szCs w:val="21"/>
                      <w:lang w:val="en-US" w:eastAsia="zh-CN" w:bidi="ar"/>
                    </w:rPr>
                  </w:pPr>
                </w:p>
              </w:tc>
              <w:tc>
                <w:tcPr>
                  <w:tcW w:w="2823" w:type="dxa"/>
                  <w:shd w:val="clear" w:color="auto" w:fill="auto"/>
                  <w:vAlign w:val="center"/>
                </w:tcPr>
                <w:p w14:paraId="6E7DD995">
                  <w:pPr>
                    <w:jc w:val="center"/>
                    <w:rPr>
                      <w:rFonts w:hint="default"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500</w:t>
                  </w:r>
                </w:p>
              </w:tc>
              <w:tc>
                <w:tcPr>
                  <w:tcW w:w="2277" w:type="dxa"/>
                  <w:shd w:val="clear" w:color="auto" w:fill="auto"/>
                  <w:vAlign w:val="center"/>
                </w:tcPr>
                <w:p w14:paraId="33208A10">
                  <w:pPr>
                    <w:jc w:val="center"/>
                    <w:rPr>
                      <w:rFonts w:hint="eastAsia"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超标次数≤6次/日</w:t>
                  </w:r>
                </w:p>
              </w:tc>
            </w:tr>
            <w:tr w14:paraId="6980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34" w:type="dxa"/>
                  <w:gridSpan w:val="4"/>
                  <w:shd w:val="clear" w:color="auto" w:fill="auto"/>
                  <w:vAlign w:val="center"/>
                </w:tcPr>
                <w:p w14:paraId="0818F0A7">
                  <w:pPr>
                    <w:jc w:val="center"/>
                    <w:rPr>
                      <w:rFonts w:hint="default"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任一监测点自整时起依次顺延15分钟的TSP浓度平均值不得超过的限值。超标次数指一个日历日96个TSP15分钟浓度</w:t>
                  </w:r>
                  <w:r>
                    <w:rPr>
                      <w:rFonts w:hint="default" w:ascii="Times New Roman" w:hAnsi="Times New Roman" w:cs="Times New Roman"/>
                      <w:bCs/>
                      <w:color w:val="auto"/>
                      <w:szCs w:val="21"/>
                      <w:lang w:val="en-US" w:eastAsia="zh-CN" w:bidi="ar"/>
                    </w:rPr>
                    <w:t>平均值超过监测点浓度限值的次数。</w:t>
                  </w:r>
                </w:p>
                <w:p w14:paraId="774220AA">
                  <w:pPr>
                    <w:jc w:val="center"/>
                    <w:rPr>
                      <w:rFonts w:hint="eastAsia" w:ascii="Times New Roman" w:hAnsi="Times New Roman" w:cs="Times New Roman"/>
                      <w:bCs/>
                      <w:color w:val="auto"/>
                      <w:szCs w:val="21"/>
                      <w:lang w:val="en-US" w:eastAsia="zh-CN" w:bidi="ar"/>
                    </w:rPr>
                  </w:pPr>
                  <w:r>
                    <w:rPr>
                      <w:rFonts w:hint="default" w:ascii="Times New Roman" w:hAnsi="Times New Roman" w:cs="Times New Roman"/>
                      <w:bCs/>
                      <w:color w:val="auto"/>
                      <w:szCs w:val="21"/>
                      <w:lang w:val="en-US" w:eastAsia="zh-CN" w:bidi="ar"/>
                    </w:rPr>
                    <w:t>根据HJ633判定设区市AQI在200~300之间且首要污染物为PM</w:t>
                  </w:r>
                  <w:r>
                    <w:rPr>
                      <w:rFonts w:hint="default" w:ascii="Times New Roman" w:hAnsi="Times New Roman" w:cs="Times New Roman"/>
                      <w:bCs/>
                      <w:color w:val="auto"/>
                      <w:szCs w:val="21"/>
                      <w:vertAlign w:val="subscript"/>
                      <w:lang w:val="en-US" w:eastAsia="zh-CN" w:bidi="ar"/>
                    </w:rPr>
                    <w:t>10</w:t>
                  </w:r>
                  <w:r>
                    <w:rPr>
                      <w:rFonts w:hint="default" w:ascii="Times New Roman" w:hAnsi="Times New Roman" w:cs="Times New Roman"/>
                      <w:bCs/>
                      <w:color w:val="auto"/>
                      <w:szCs w:val="21"/>
                      <w:lang w:val="en-US" w:eastAsia="zh-CN" w:bidi="ar"/>
                    </w:rPr>
                    <w:t>或PM</w:t>
                  </w:r>
                  <w:r>
                    <w:rPr>
                      <w:rFonts w:hint="default" w:ascii="Times New Roman" w:hAnsi="Times New Roman" w:cs="Times New Roman"/>
                      <w:bCs/>
                      <w:color w:val="auto"/>
                      <w:szCs w:val="21"/>
                      <w:vertAlign w:val="subscript"/>
                      <w:lang w:val="en-US" w:eastAsia="zh-CN" w:bidi="ar"/>
                    </w:rPr>
                    <w:t>2.5</w:t>
                  </w:r>
                  <w:r>
                    <w:rPr>
                      <w:rFonts w:hint="default" w:ascii="Times New Roman" w:hAnsi="Times New Roman" w:cs="Times New Roman"/>
                      <w:bCs/>
                      <w:color w:val="auto"/>
                      <w:szCs w:val="21"/>
                      <w:lang w:val="en-US" w:eastAsia="zh-CN" w:bidi="ar"/>
                    </w:rPr>
                    <w:t>时，TSP实测值扣除200μg/m</w:t>
                  </w:r>
                  <w:r>
                    <w:rPr>
                      <w:rFonts w:hint="default" w:ascii="Times New Roman" w:hAnsi="Times New Roman" w:cs="Times New Roman"/>
                      <w:bCs/>
                      <w:color w:val="auto"/>
                      <w:szCs w:val="21"/>
                      <w:vertAlign w:val="superscript"/>
                      <w:lang w:val="en-US" w:eastAsia="zh-CN" w:bidi="ar"/>
                    </w:rPr>
                    <w:t>3</w:t>
                  </w:r>
                  <w:r>
                    <w:rPr>
                      <w:rFonts w:hint="default" w:ascii="Times New Roman" w:hAnsi="Times New Roman" w:cs="Times New Roman"/>
                      <w:bCs/>
                      <w:color w:val="auto"/>
                      <w:szCs w:val="21"/>
                      <w:lang w:val="en-US" w:eastAsia="zh-CN" w:bidi="ar"/>
                    </w:rPr>
                    <w:t>后再进</w:t>
                  </w:r>
                  <w:r>
                    <w:rPr>
                      <w:rFonts w:hint="eastAsia" w:ascii="Times New Roman" w:hAnsi="Times New Roman" w:cs="Times New Roman"/>
                      <w:bCs/>
                      <w:color w:val="auto"/>
                      <w:szCs w:val="21"/>
                      <w:lang w:val="en-US" w:eastAsia="zh-CN" w:bidi="ar"/>
                    </w:rPr>
                    <w:t>行评价。</w:t>
                  </w:r>
                </w:p>
              </w:tc>
            </w:tr>
          </w:tbl>
          <w:p w14:paraId="220DF26F">
            <w:pPr>
              <w:spacing w:line="360" w:lineRule="auto"/>
              <w:ind w:firstLine="480" w:firstLineChars="200"/>
              <w:rPr>
                <w:rFonts w:eastAsia="Times New Roman"/>
                <w:b/>
                <w:color w:val="auto"/>
                <w:sz w:val="24"/>
              </w:rPr>
            </w:pPr>
            <w:r>
              <w:rPr>
                <w:rFonts w:eastAsia="Times New Roman"/>
                <w:b/>
                <w:color w:val="auto"/>
                <w:sz w:val="24"/>
              </w:rPr>
              <w:t>2、废水排放标准</w:t>
            </w:r>
          </w:p>
          <w:p w14:paraId="00A328FB">
            <w:pPr>
              <w:spacing w:line="360" w:lineRule="auto"/>
              <w:ind w:firstLine="464" w:firstLineChars="200"/>
              <w:rPr>
                <w:rFonts w:hint="eastAsia" w:ascii="Times New Roman" w:hAnsi="Times New Roman" w:eastAsia="宋体" w:cs="Times New Roman"/>
                <w:color w:val="auto"/>
                <w:spacing w:val="-4"/>
                <w:kern w:val="0"/>
                <w:sz w:val="24"/>
                <w:szCs w:val="24"/>
                <w:lang w:val="en-US" w:eastAsia="zh-CN" w:bidi="ar-SA"/>
              </w:rPr>
            </w:pPr>
            <w:r>
              <w:rPr>
                <w:rFonts w:hint="eastAsia" w:ascii="Times New Roman" w:hAnsi="Times New Roman" w:eastAsia="宋体" w:cs="Times New Roman"/>
                <w:color w:val="auto"/>
                <w:spacing w:val="-4"/>
                <w:kern w:val="0"/>
                <w:sz w:val="24"/>
                <w:szCs w:val="24"/>
                <w:lang w:val="en-US" w:eastAsia="zh-CN" w:bidi="ar-SA"/>
              </w:rPr>
              <w:t>项目无生产工艺废水，生活污水经化粪池处理后，通过地埋式污水处理设施处理，处理后的废水用于厂区绿化灌溉，不外排。</w:t>
            </w:r>
          </w:p>
          <w:p w14:paraId="09810545">
            <w:pPr>
              <w:spacing w:line="360" w:lineRule="auto"/>
              <w:ind w:firstLine="480" w:firstLineChars="200"/>
              <w:rPr>
                <w:rFonts w:eastAsia="Times New Roman"/>
                <w:b/>
                <w:color w:val="auto"/>
                <w:sz w:val="24"/>
              </w:rPr>
            </w:pPr>
            <w:r>
              <w:rPr>
                <w:rFonts w:eastAsia="Times New Roman"/>
                <w:b/>
                <w:color w:val="auto"/>
                <w:sz w:val="24"/>
              </w:rPr>
              <w:t>3、噪声排放标准</w:t>
            </w:r>
          </w:p>
          <w:p w14:paraId="5A9DBF36">
            <w:pPr>
              <w:pStyle w:val="13"/>
              <w:spacing w:before="0" w:after="0" w:line="360" w:lineRule="auto"/>
              <w:ind w:right="0" w:firstLine="464" w:firstLineChars="200"/>
              <w:rPr>
                <w:color w:val="auto"/>
                <w:spacing w:val="-4"/>
                <w:sz w:val="24"/>
                <w:szCs w:val="24"/>
              </w:rPr>
            </w:pPr>
            <w:r>
              <w:rPr>
                <w:color w:val="auto"/>
                <w:spacing w:val="-4"/>
                <w:sz w:val="24"/>
                <w:szCs w:val="24"/>
              </w:rPr>
              <w:t>本项目厂界噪声执行《工业企业厂界环境噪声排放标准》（GB12348-2008）</w:t>
            </w:r>
            <w:r>
              <w:rPr>
                <w:rFonts w:hint="eastAsia"/>
                <w:color w:val="auto"/>
                <w:spacing w:val="-4"/>
                <w:sz w:val="24"/>
                <w:szCs w:val="24"/>
                <w:lang w:val="en-US" w:eastAsia="zh-CN"/>
              </w:rPr>
              <w:t>2</w:t>
            </w:r>
            <w:r>
              <w:rPr>
                <w:color w:val="auto"/>
                <w:spacing w:val="-4"/>
                <w:sz w:val="24"/>
                <w:szCs w:val="24"/>
              </w:rPr>
              <w:t>类标准，详见下表：</w:t>
            </w:r>
          </w:p>
          <w:p w14:paraId="557798C2">
            <w:pPr>
              <w:pStyle w:val="7"/>
              <w:tabs>
                <w:tab w:val="left" w:pos="1147"/>
                <w:tab w:val="left" w:pos="3554"/>
              </w:tabs>
              <w:spacing w:before="48" w:after="3"/>
              <w:ind w:right="43"/>
              <w:jc w:val="center"/>
              <w:rPr>
                <w:rFonts w:eastAsia="宋体"/>
                <w:bCs w:val="0"/>
                <w:color w:val="auto"/>
                <w:kern w:val="0"/>
                <w:sz w:val="24"/>
                <w:szCs w:val="24"/>
                <w:lang w:val="en-US"/>
              </w:rPr>
            </w:pPr>
            <w:r>
              <w:rPr>
                <w:rFonts w:eastAsia="宋体"/>
                <w:bCs w:val="0"/>
                <w:color w:val="auto"/>
                <w:kern w:val="0"/>
                <w:sz w:val="24"/>
                <w:szCs w:val="24"/>
                <w:lang w:val="en-US"/>
              </w:rPr>
              <w:t>表3-</w:t>
            </w:r>
            <w:r>
              <w:rPr>
                <w:rFonts w:hint="eastAsia" w:eastAsia="宋体"/>
                <w:bCs w:val="0"/>
                <w:color w:val="auto"/>
                <w:kern w:val="0"/>
                <w:sz w:val="24"/>
                <w:szCs w:val="24"/>
                <w:lang w:val="en-US" w:eastAsia="zh-CN"/>
              </w:rPr>
              <w:t>10</w:t>
            </w:r>
            <w:r>
              <w:rPr>
                <w:rFonts w:eastAsia="宋体"/>
                <w:bCs w:val="0"/>
                <w:color w:val="auto"/>
                <w:kern w:val="0"/>
                <w:sz w:val="24"/>
                <w:szCs w:val="24"/>
                <w:lang w:val="en-US"/>
              </w:rPr>
              <w:t xml:space="preserve">  厂界噪声排放限值</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2777"/>
              <w:gridCol w:w="2508"/>
            </w:tblGrid>
            <w:tr w14:paraId="25E8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pct"/>
                  <w:vAlign w:val="center"/>
                </w:tcPr>
                <w:p w14:paraId="6B6499E6">
                  <w:pPr>
                    <w:adjustRightInd w:val="0"/>
                    <w:snapToGrid w:val="0"/>
                    <w:jc w:val="center"/>
                    <w:rPr>
                      <w:color w:val="auto"/>
                      <w:szCs w:val="21"/>
                    </w:rPr>
                  </w:pPr>
                  <w:r>
                    <w:rPr>
                      <w:color w:val="auto"/>
                      <w:szCs w:val="21"/>
                    </w:rPr>
                    <w:t>标准</w:t>
                  </w:r>
                </w:p>
              </w:tc>
              <w:tc>
                <w:tcPr>
                  <w:tcW w:w="1627" w:type="pct"/>
                  <w:vAlign w:val="center"/>
                </w:tcPr>
                <w:p w14:paraId="521A819F">
                  <w:pPr>
                    <w:adjustRightInd w:val="0"/>
                    <w:snapToGrid w:val="0"/>
                    <w:jc w:val="center"/>
                    <w:rPr>
                      <w:color w:val="auto"/>
                      <w:szCs w:val="21"/>
                    </w:rPr>
                  </w:pPr>
                  <w:r>
                    <w:rPr>
                      <w:color w:val="auto"/>
                      <w:szCs w:val="21"/>
                    </w:rPr>
                    <w:t>昼间</w:t>
                  </w:r>
                </w:p>
              </w:tc>
              <w:tc>
                <w:tcPr>
                  <w:tcW w:w="1470" w:type="pct"/>
                  <w:vAlign w:val="center"/>
                </w:tcPr>
                <w:p w14:paraId="08858E3A">
                  <w:pPr>
                    <w:adjustRightInd w:val="0"/>
                    <w:snapToGrid w:val="0"/>
                    <w:jc w:val="center"/>
                    <w:rPr>
                      <w:color w:val="auto"/>
                      <w:szCs w:val="21"/>
                    </w:rPr>
                  </w:pPr>
                  <w:r>
                    <w:rPr>
                      <w:color w:val="auto"/>
                      <w:szCs w:val="21"/>
                    </w:rPr>
                    <w:t>夜间</w:t>
                  </w:r>
                </w:p>
              </w:tc>
            </w:tr>
            <w:tr w14:paraId="7FE2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pct"/>
                  <w:vAlign w:val="center"/>
                </w:tcPr>
                <w:p w14:paraId="180E2BCA">
                  <w:pPr>
                    <w:jc w:val="center"/>
                    <w:rPr>
                      <w:color w:val="auto"/>
                      <w:szCs w:val="21"/>
                    </w:rPr>
                  </w:pPr>
                  <w:r>
                    <w:rPr>
                      <w:color w:val="auto"/>
                      <w:szCs w:val="21"/>
                    </w:rPr>
                    <w:t>GB12348-2008中</w:t>
                  </w:r>
                  <w:r>
                    <w:rPr>
                      <w:rFonts w:hint="eastAsia"/>
                      <w:color w:val="auto"/>
                      <w:szCs w:val="21"/>
                      <w:lang w:val="en-US" w:eastAsia="zh-CN"/>
                    </w:rPr>
                    <w:t>2</w:t>
                  </w:r>
                  <w:r>
                    <w:rPr>
                      <w:color w:val="auto"/>
                      <w:szCs w:val="21"/>
                    </w:rPr>
                    <w:t>类标准</w:t>
                  </w:r>
                </w:p>
              </w:tc>
              <w:tc>
                <w:tcPr>
                  <w:tcW w:w="1627" w:type="pct"/>
                  <w:vAlign w:val="center"/>
                </w:tcPr>
                <w:p w14:paraId="12896AFC">
                  <w:pPr>
                    <w:pStyle w:val="65"/>
                    <w:spacing w:line="240" w:lineRule="auto"/>
                    <w:rPr>
                      <w:color w:val="auto"/>
                      <w:sz w:val="21"/>
                    </w:rPr>
                  </w:pPr>
                  <w:r>
                    <w:rPr>
                      <w:color w:val="auto"/>
                      <w:sz w:val="21"/>
                    </w:rPr>
                    <w:t>6</w:t>
                  </w:r>
                  <w:r>
                    <w:rPr>
                      <w:rFonts w:hint="eastAsia"/>
                      <w:color w:val="auto"/>
                      <w:sz w:val="21"/>
                      <w:lang w:val="en-US" w:eastAsia="zh-CN"/>
                    </w:rPr>
                    <w:t>0</w:t>
                  </w:r>
                  <w:r>
                    <w:rPr>
                      <w:bCs/>
                      <w:color w:val="auto"/>
                    </w:rPr>
                    <w:t>dB(A)</w:t>
                  </w:r>
                </w:p>
              </w:tc>
              <w:tc>
                <w:tcPr>
                  <w:tcW w:w="1470" w:type="pct"/>
                  <w:vAlign w:val="center"/>
                </w:tcPr>
                <w:p w14:paraId="3CAF28F1">
                  <w:pPr>
                    <w:pStyle w:val="65"/>
                    <w:spacing w:line="240" w:lineRule="auto"/>
                    <w:rPr>
                      <w:color w:val="auto"/>
                      <w:sz w:val="21"/>
                    </w:rPr>
                  </w:pPr>
                  <w:r>
                    <w:rPr>
                      <w:color w:val="auto"/>
                      <w:sz w:val="21"/>
                    </w:rPr>
                    <w:t>5</w:t>
                  </w:r>
                  <w:r>
                    <w:rPr>
                      <w:rFonts w:hint="eastAsia"/>
                      <w:color w:val="auto"/>
                      <w:sz w:val="21"/>
                      <w:lang w:val="en-US" w:eastAsia="zh-CN"/>
                    </w:rPr>
                    <w:t>0</w:t>
                  </w:r>
                  <w:r>
                    <w:rPr>
                      <w:color w:val="auto"/>
                      <w:sz w:val="21"/>
                    </w:rPr>
                    <w:t>dB(A)</w:t>
                  </w:r>
                </w:p>
              </w:tc>
            </w:tr>
          </w:tbl>
          <w:p w14:paraId="5859CF56">
            <w:pPr>
              <w:spacing w:line="360" w:lineRule="auto"/>
              <w:ind w:firstLine="480" w:firstLineChars="200"/>
              <w:rPr>
                <w:rFonts w:eastAsia="Times New Roman"/>
                <w:b/>
                <w:color w:val="auto"/>
                <w:sz w:val="24"/>
              </w:rPr>
            </w:pPr>
            <w:r>
              <w:rPr>
                <w:rFonts w:eastAsia="Times New Roman"/>
                <w:b/>
                <w:color w:val="auto"/>
                <w:sz w:val="24"/>
              </w:rPr>
              <w:t>4、固体废物排放标准</w:t>
            </w:r>
          </w:p>
          <w:p w14:paraId="5A4A9ECF">
            <w:pPr>
              <w:pStyle w:val="13"/>
              <w:spacing w:before="0" w:after="0" w:line="360" w:lineRule="auto"/>
              <w:ind w:right="0" w:firstLine="464" w:firstLineChars="200"/>
              <w:rPr>
                <w:color w:val="FF0000"/>
                <w:szCs w:val="21"/>
              </w:rPr>
            </w:pPr>
            <w:r>
              <w:rPr>
                <w:color w:val="auto"/>
                <w:spacing w:val="-4"/>
                <w:sz w:val="24"/>
                <w:szCs w:val="24"/>
              </w:rPr>
              <w:t>项目生产过程中一般固废的暂存执行《中华人民共和国固体废物污染环境防治法》（2020年4月29日修订）并参照《一般工业固体废物贮存和填埋污染控制标准》（GB18599-2020）中有关要求。危险废物按《危险废物贮存污染控制标准》（GB 18597-2023）中的相关规定执行。</w:t>
            </w:r>
          </w:p>
        </w:tc>
      </w:tr>
      <w:tr w14:paraId="3DB3A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3" w:hRule="atLeast"/>
          <w:jc w:val="center"/>
        </w:trPr>
        <w:tc>
          <w:tcPr>
            <w:tcW w:w="284" w:type="pct"/>
            <w:vAlign w:val="center"/>
          </w:tcPr>
          <w:p w14:paraId="111133B1">
            <w:pPr>
              <w:adjustRightInd w:val="0"/>
              <w:snapToGrid w:val="0"/>
              <w:spacing w:line="360" w:lineRule="auto"/>
              <w:jc w:val="center"/>
              <w:rPr>
                <w:b/>
                <w:bCs/>
                <w:color w:val="auto"/>
                <w:kern w:val="0"/>
                <w:sz w:val="24"/>
              </w:rPr>
            </w:pPr>
            <w:r>
              <w:rPr>
                <w:b/>
                <w:bCs/>
                <w:color w:val="auto"/>
                <w:kern w:val="0"/>
                <w:sz w:val="24"/>
              </w:rPr>
              <w:t>总量</w:t>
            </w:r>
          </w:p>
          <w:p w14:paraId="141F5345">
            <w:pPr>
              <w:adjustRightInd w:val="0"/>
              <w:snapToGrid w:val="0"/>
              <w:spacing w:line="360" w:lineRule="auto"/>
              <w:jc w:val="center"/>
              <w:rPr>
                <w:b/>
                <w:bCs/>
                <w:color w:val="auto"/>
                <w:kern w:val="0"/>
                <w:sz w:val="24"/>
              </w:rPr>
            </w:pPr>
            <w:r>
              <w:rPr>
                <w:b/>
                <w:bCs/>
                <w:color w:val="auto"/>
                <w:kern w:val="0"/>
                <w:sz w:val="24"/>
              </w:rPr>
              <w:t>控制</w:t>
            </w:r>
          </w:p>
          <w:p w14:paraId="205B463F">
            <w:pPr>
              <w:adjustRightInd w:val="0"/>
              <w:snapToGrid w:val="0"/>
              <w:spacing w:line="360" w:lineRule="auto"/>
              <w:jc w:val="center"/>
              <w:rPr>
                <w:color w:val="FF0000"/>
                <w:kern w:val="0"/>
                <w:szCs w:val="21"/>
              </w:rPr>
            </w:pPr>
            <w:r>
              <w:rPr>
                <w:b/>
                <w:bCs/>
                <w:color w:val="auto"/>
                <w:kern w:val="0"/>
                <w:sz w:val="24"/>
              </w:rPr>
              <w:t>指标</w:t>
            </w:r>
          </w:p>
        </w:tc>
        <w:tc>
          <w:tcPr>
            <w:tcW w:w="4715" w:type="pct"/>
            <w:vAlign w:val="center"/>
          </w:tcPr>
          <w:p w14:paraId="2E646041">
            <w:pPr>
              <w:adjustRightInd w:val="0"/>
              <w:snapToGrid w:val="0"/>
              <w:spacing w:line="360" w:lineRule="auto"/>
              <w:rPr>
                <w:color w:val="FF0000"/>
                <w:sz w:val="24"/>
              </w:rPr>
            </w:pPr>
          </w:p>
          <w:p w14:paraId="1AD45B9B">
            <w:pPr>
              <w:adjustRightInd w:val="0"/>
              <w:snapToGrid w:val="0"/>
              <w:spacing w:line="360" w:lineRule="auto"/>
              <w:ind w:firstLine="480" w:firstLineChars="200"/>
              <w:rPr>
                <w:color w:val="auto"/>
                <w:sz w:val="24"/>
              </w:rPr>
            </w:pPr>
            <w:r>
              <w:rPr>
                <w:color w:val="auto"/>
                <w:sz w:val="24"/>
              </w:rPr>
              <w:t>建设单位应根据本项目废气、废水和固体废物等污染物的排放量，向上级主管部门和环保部门申请各项污染物排放总量控制指标。</w:t>
            </w:r>
          </w:p>
          <w:p w14:paraId="2A53E983">
            <w:pPr>
              <w:widowControl/>
              <w:adjustRightInd w:val="0"/>
              <w:snapToGrid w:val="0"/>
              <w:spacing w:line="360" w:lineRule="auto"/>
              <w:ind w:firstLine="480" w:firstLineChars="200"/>
              <w:contextualSpacing/>
              <w:rPr>
                <w:bCs/>
                <w:color w:val="auto"/>
                <w:kern w:val="0"/>
                <w:sz w:val="24"/>
              </w:rPr>
            </w:pPr>
            <w:r>
              <w:rPr>
                <w:color w:val="auto"/>
                <w:kern w:val="0"/>
                <w:sz w:val="24"/>
              </w:rPr>
              <w:t>①水污染物排放总量控制指标</w:t>
            </w:r>
          </w:p>
          <w:p w14:paraId="26C04C0C">
            <w:pPr>
              <w:widowControl/>
              <w:adjustRightInd w:val="0"/>
              <w:snapToGrid w:val="0"/>
              <w:spacing w:line="360" w:lineRule="auto"/>
              <w:ind w:firstLine="480" w:firstLineChars="200"/>
              <w:rPr>
                <w:bCs/>
                <w:color w:val="auto"/>
                <w:kern w:val="0"/>
                <w:sz w:val="24"/>
              </w:rPr>
            </w:pPr>
            <w:r>
              <w:rPr>
                <w:color w:val="auto"/>
                <w:kern w:val="0"/>
                <w:sz w:val="24"/>
              </w:rPr>
              <w:t>本项目</w:t>
            </w:r>
            <w:r>
              <w:rPr>
                <w:rFonts w:hint="eastAsia"/>
                <w:color w:val="auto"/>
                <w:kern w:val="0"/>
                <w:sz w:val="24"/>
                <w:lang w:val="en-US" w:eastAsia="zh-CN"/>
              </w:rPr>
              <w:t>废水不外排</w:t>
            </w:r>
            <w:r>
              <w:rPr>
                <w:color w:val="auto"/>
                <w:kern w:val="0"/>
                <w:sz w:val="24"/>
              </w:rPr>
              <w:t>；</w:t>
            </w:r>
          </w:p>
          <w:p w14:paraId="0BEC1C5B">
            <w:pPr>
              <w:widowControl/>
              <w:adjustRightInd w:val="0"/>
              <w:snapToGrid w:val="0"/>
              <w:spacing w:line="360" w:lineRule="auto"/>
              <w:ind w:firstLine="480" w:firstLineChars="200"/>
              <w:contextualSpacing/>
              <w:rPr>
                <w:bCs/>
                <w:color w:val="auto"/>
                <w:kern w:val="0"/>
                <w:sz w:val="24"/>
              </w:rPr>
            </w:pPr>
            <w:r>
              <w:rPr>
                <w:color w:val="auto"/>
                <w:kern w:val="0"/>
                <w:sz w:val="24"/>
              </w:rPr>
              <w:t>②大气污染物排放总量控制指标</w:t>
            </w:r>
          </w:p>
          <w:p w14:paraId="5ACA2F94">
            <w:pPr>
              <w:adjustRightInd w:val="0"/>
              <w:snapToGrid w:val="0"/>
              <w:spacing w:line="360" w:lineRule="auto"/>
              <w:ind w:firstLine="480" w:firstLineChars="200"/>
              <w:rPr>
                <w:color w:val="FF0000"/>
                <w:kern w:val="0"/>
                <w:szCs w:val="21"/>
              </w:rPr>
            </w:pPr>
            <w:r>
              <w:rPr>
                <w:color w:val="auto"/>
                <w:kern w:val="0"/>
                <w:sz w:val="24"/>
              </w:rPr>
              <w:t>生产工序产生的大气污染物主要为</w:t>
            </w:r>
            <w:r>
              <w:rPr>
                <w:rFonts w:hint="eastAsia"/>
                <w:color w:val="auto"/>
                <w:kern w:val="0"/>
                <w:sz w:val="24"/>
              </w:rPr>
              <w:t>颗粒物、</w:t>
            </w:r>
            <w:r>
              <w:rPr>
                <w:rFonts w:hint="eastAsia"/>
                <w:color w:val="auto"/>
                <w:kern w:val="0"/>
                <w:sz w:val="24"/>
                <w:lang w:val="en-US" w:eastAsia="zh-CN"/>
              </w:rPr>
              <w:t>SO</w:t>
            </w:r>
            <w:r>
              <w:rPr>
                <w:rFonts w:hint="eastAsia"/>
                <w:color w:val="auto"/>
                <w:kern w:val="0"/>
                <w:sz w:val="24"/>
                <w:vertAlign w:val="subscript"/>
                <w:lang w:val="en-US" w:eastAsia="zh-CN"/>
              </w:rPr>
              <w:t>2</w:t>
            </w:r>
            <w:r>
              <w:rPr>
                <w:rFonts w:hint="eastAsia"/>
                <w:color w:val="auto"/>
                <w:kern w:val="0"/>
                <w:sz w:val="24"/>
                <w:lang w:val="en-US" w:eastAsia="zh-CN"/>
              </w:rPr>
              <w:t>、NOx</w:t>
            </w:r>
            <w:r>
              <w:rPr>
                <w:color w:val="auto"/>
                <w:kern w:val="0"/>
                <w:sz w:val="24"/>
              </w:rPr>
              <w:t>，其大气污染物排放总量控制指标为：烟（粉）尘</w:t>
            </w:r>
            <w:r>
              <w:rPr>
                <w:rFonts w:hint="eastAsia"/>
                <w:color w:val="auto"/>
                <w:kern w:val="0"/>
                <w:sz w:val="24"/>
                <w:lang w:val="en-US" w:eastAsia="zh-CN"/>
              </w:rPr>
              <w:t>0.0962</w:t>
            </w:r>
            <w:r>
              <w:rPr>
                <w:color w:val="auto"/>
                <w:kern w:val="0"/>
                <w:sz w:val="24"/>
              </w:rPr>
              <w:t>t/a、</w:t>
            </w:r>
            <w:r>
              <w:rPr>
                <w:rFonts w:hint="eastAsia"/>
                <w:color w:val="auto"/>
                <w:kern w:val="0"/>
                <w:sz w:val="24"/>
                <w:lang w:val="en-US" w:eastAsia="zh-CN"/>
              </w:rPr>
              <w:t>SO</w:t>
            </w:r>
            <w:r>
              <w:rPr>
                <w:rFonts w:hint="eastAsia"/>
                <w:color w:val="auto"/>
                <w:kern w:val="0"/>
                <w:sz w:val="24"/>
                <w:vertAlign w:val="subscript"/>
                <w:lang w:val="en-US" w:eastAsia="zh-CN"/>
              </w:rPr>
              <w:t>2</w:t>
            </w:r>
            <w:r>
              <w:rPr>
                <w:rFonts w:hint="eastAsia"/>
                <w:color w:val="auto"/>
                <w:kern w:val="0"/>
                <w:sz w:val="24"/>
              </w:rPr>
              <w:t xml:space="preserve"> </w:t>
            </w:r>
            <w:r>
              <w:rPr>
                <w:rFonts w:hint="eastAsia"/>
                <w:color w:val="auto"/>
                <w:kern w:val="0"/>
                <w:sz w:val="24"/>
                <w:lang w:val="en-US" w:eastAsia="zh-CN"/>
              </w:rPr>
              <w:t>1.051</w:t>
            </w:r>
            <w:r>
              <w:rPr>
                <w:color w:val="auto"/>
                <w:kern w:val="0"/>
                <w:sz w:val="24"/>
              </w:rPr>
              <w:t>t/a</w:t>
            </w:r>
            <w:r>
              <w:rPr>
                <w:rFonts w:hint="eastAsia"/>
                <w:color w:val="auto"/>
                <w:kern w:val="0"/>
                <w:sz w:val="24"/>
                <w:lang w:val="en-US" w:eastAsia="zh-CN"/>
              </w:rPr>
              <w:t>、NOx 1.261</w:t>
            </w:r>
            <w:r>
              <w:rPr>
                <w:color w:val="auto"/>
                <w:kern w:val="0"/>
                <w:sz w:val="24"/>
              </w:rPr>
              <w:t>t/a。</w:t>
            </w:r>
          </w:p>
        </w:tc>
      </w:tr>
    </w:tbl>
    <w:p w14:paraId="53FCCAF5">
      <w:pPr>
        <w:pStyle w:val="27"/>
        <w:jc w:val="center"/>
        <w:outlineLvl w:val="0"/>
        <w:rPr>
          <w:rFonts w:ascii="Times New Roman" w:hAnsi="Times New Roman" w:eastAsia="黑体"/>
          <w:snapToGrid w:val="0"/>
          <w:color w:val="FF0000"/>
          <w:sz w:val="36"/>
          <w:szCs w:val="36"/>
        </w:rPr>
        <w:sectPr>
          <w:pgSz w:w="11907" w:h="16840"/>
          <w:pgMar w:top="1417" w:right="1417" w:bottom="1417" w:left="1417" w:header="851" w:footer="851" w:gutter="0"/>
          <w:cols w:space="720" w:num="1"/>
          <w:docGrid w:linePitch="312" w:charSpace="0"/>
        </w:sectPr>
      </w:pPr>
      <w:r>
        <w:rPr>
          <w:rFonts w:ascii="Times New Roman" w:hAnsi="Times New Roman" w:eastAsia="黑体"/>
          <w:snapToGrid w:val="0"/>
          <w:color w:val="FF0000"/>
          <w:sz w:val="36"/>
          <w:szCs w:val="36"/>
        </w:rPr>
        <w:br w:type="page"/>
      </w:r>
    </w:p>
    <w:p w14:paraId="0C3C6A27">
      <w:pPr>
        <w:pStyle w:val="27"/>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四、主要环境影响和保护措施</w:t>
      </w:r>
    </w:p>
    <w:tbl>
      <w:tblPr>
        <w:tblStyle w:val="30"/>
        <w:tblW w:w="50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1"/>
        <w:gridCol w:w="8946"/>
      </w:tblGrid>
      <w:tr w14:paraId="4E12B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8" w:type="pct"/>
            <w:tcMar>
              <w:left w:w="28" w:type="dxa"/>
              <w:right w:w="28" w:type="dxa"/>
            </w:tcMar>
            <w:vAlign w:val="center"/>
          </w:tcPr>
          <w:p w14:paraId="7B255912">
            <w:pPr>
              <w:spacing w:line="360" w:lineRule="auto"/>
              <w:jc w:val="center"/>
              <w:rPr>
                <w:color w:val="FF0000"/>
              </w:rPr>
            </w:pPr>
            <w:r>
              <w:rPr>
                <w:b/>
                <w:bCs/>
                <w:color w:val="auto"/>
                <w:sz w:val="24"/>
                <w:szCs w:val="32"/>
              </w:rPr>
              <w:t>施工期环境保护措施</w:t>
            </w:r>
          </w:p>
        </w:tc>
        <w:tc>
          <w:tcPr>
            <w:tcW w:w="4831" w:type="pct"/>
            <w:vAlign w:val="center"/>
          </w:tcPr>
          <w:p w14:paraId="4963E9AA">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本项目施工期主要是在现有的厂房内进行设备的进场、安装、调试等</w:t>
            </w:r>
            <w:r>
              <w:rPr>
                <w:rFonts w:ascii="Times New Roman" w:hAnsi="Times New Roman" w:eastAsia="宋体" w:cs="Times New Roman"/>
                <w:bCs/>
                <w:color w:val="auto"/>
                <w:szCs w:val="24"/>
              </w:rPr>
              <w:t>。</w:t>
            </w:r>
            <w:r>
              <w:rPr>
                <w:rFonts w:hint="eastAsia" w:ascii="Times New Roman" w:hAnsi="Times New Roman" w:eastAsia="宋体" w:cs="Times New Roman"/>
                <w:bCs/>
                <w:color w:val="auto"/>
                <w:szCs w:val="24"/>
              </w:rPr>
              <w:t>项目施工期主要为是在原有建筑基础上进行设备安装，无需土建施工。故施工扬尘污染小，主要在装修过程中会产生一定的噪声，对周围声环境质量造成一定的影响，但影响是暂时的，施工结束后影响将消失。</w:t>
            </w:r>
          </w:p>
          <w:p w14:paraId="5F926320">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1、施工扬尘</w:t>
            </w:r>
          </w:p>
          <w:p w14:paraId="64D8D909">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本项目仅对已建成构筑物的内部进行装修，产生扬尘的环节主要集中在施工现场内，而且装修过程中窗户关闭，相对来说，本项目扬尘产生量较少，对外环境影响较小。</w:t>
            </w:r>
          </w:p>
          <w:p w14:paraId="592E6B8E">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为了减少施工过程中对环境产生的施工扬尘影响，施工期间建设单位应对装修区域采取封闭措施（采用条纹塑料布围挡封闭），对易起尘材料做好密闭措施，确保不影响到外部环境空气质量。因装修活动是在室内进行且短期的，只要建设单位在装修期间按照相关要求切实采取有效的扬尘防治措施，施工扬尘对周围环境的影响也是暂时的，随着施工期的结束，扬尘污染也将停止。</w:t>
            </w:r>
          </w:p>
          <w:p w14:paraId="414FD331">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2、施工废水</w:t>
            </w:r>
          </w:p>
          <w:p w14:paraId="0BF1607D">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施工期废水来源主要为施工人员的生活污水。生活污水进入化粪池预处理后</w:t>
            </w:r>
            <w:r>
              <w:rPr>
                <w:rFonts w:hint="eastAsia" w:ascii="Times New Roman" w:hAnsi="Times New Roman" w:cs="Times New Roman"/>
                <w:bCs/>
                <w:color w:val="auto"/>
                <w:szCs w:val="24"/>
                <w:lang w:val="en-US" w:eastAsia="zh-CN"/>
              </w:rPr>
              <w:t>定期清掏</w:t>
            </w:r>
            <w:r>
              <w:rPr>
                <w:rFonts w:hint="eastAsia" w:ascii="Times New Roman" w:hAnsi="Times New Roman" w:eastAsia="宋体" w:cs="Times New Roman"/>
                <w:bCs/>
                <w:color w:val="auto"/>
                <w:szCs w:val="24"/>
              </w:rPr>
              <w:t>。</w:t>
            </w:r>
          </w:p>
          <w:p w14:paraId="35CD980B">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3、施工噪声</w:t>
            </w:r>
          </w:p>
          <w:p w14:paraId="5DD73CFD">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装修期间的噪声主要为切割、钻孔等过程中产生的，其源强在70～85dB（A）之间，产生的噪声为间歇性的，由于是在房间内进行作业，建筑物墙体、玻璃等均对噪声有一定的屏蔽能力，为保证施工噪声对周围环境造成的影响能够做到达标排放，建议建设单位应切实做好下列噪声控制措施：</w:t>
            </w:r>
          </w:p>
          <w:p w14:paraId="10A00FAA">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①用低噪声设备，加强设备的维护与管理，室内作业面保持窗户关闭，确保自身墙体及窗户隔声效果。</w:t>
            </w:r>
          </w:p>
          <w:p w14:paraId="1D0AD474">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②可固定的机械设备如电锯等安置在施工场地临时房间内，降低噪声对外环境影响；为进一步降低噪声对环境影响，建议考虑局部封闭作业。</w:t>
            </w:r>
          </w:p>
          <w:p w14:paraId="356B5107">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③加强对施工人员的监督和管理，促进其环保意识的增强，减少不必要的人为噪声。如对施工用框架模板要轻拿轻放，不得随意乱甩等。</w:t>
            </w:r>
          </w:p>
          <w:p w14:paraId="63311CDF">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④安排好施工时间，禁止夜间（当日 22 时至次日 6 时）进行产生噪声污染的施工作业和建筑材料的运输。如夜间确需施工则应向当地相关部门办理手续。</w:t>
            </w:r>
          </w:p>
          <w:p w14:paraId="248EE7EA">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在做好各项隔声措施后，装修阶段噪声能够满足《建筑施工场界环境噪声排放标准》（GB12523-2011）中昼间70 dB（A）要求。装修和安装期间对外界噪声的环境影响较小，因装修过程是暂时的，其影响也是短暂的，且本项目施工期短，随着装修的结束，施工噪声的影响也会随之停止。</w:t>
            </w:r>
          </w:p>
          <w:p w14:paraId="51FEFC4F">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4、施工振动</w:t>
            </w:r>
          </w:p>
          <w:p w14:paraId="6A761AE7">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本项目施工期振动主要来源于振动机械（电钻等），但其影响为间断性，对周边环境影响较小。本项目施工期振动环境影响防护如下：科学合理的施工现场布局是减少振动的重要途径，在满足施工作业的前提下，应充分考虑施工场地布置与周边环境的相对位置关系，将施工现场的固定振动源集中，缩小振动干扰的范围；优化施工方案，合理安排作业时间，在环境振动背景值较高的时间段内进行高振动作业，限制夜间进行有强振动污染严重的施工作业，并做到文明施工。</w:t>
            </w:r>
          </w:p>
          <w:p w14:paraId="6B848D5C">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5、施工期产生的固体废物</w:t>
            </w:r>
          </w:p>
          <w:p w14:paraId="3C26AF8F">
            <w:pPr>
              <w:pStyle w:val="27"/>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主要为施工建筑垃圾和施工人员的生活垃圾，根据建设单位提供资料，本项目施工期施工人员约5人，施工期约30天，施工人员生活垃圾以0.5kg/d 计，则产生生活垃圾约0.075t；建筑垃圾约0.2t，均交由环卫部门处理，对环境影响较小。</w:t>
            </w:r>
          </w:p>
          <w:p w14:paraId="4A7B65AE">
            <w:pPr>
              <w:pStyle w:val="27"/>
              <w:spacing w:before="0" w:beforeAutospacing="0" w:after="0" w:afterAutospacing="0" w:line="360" w:lineRule="auto"/>
              <w:ind w:firstLine="480" w:firstLineChars="200"/>
              <w:jc w:val="both"/>
              <w:rPr>
                <w:rFonts w:ascii="Times New Roman" w:hAnsi="Times New Roman"/>
                <w:color w:val="FF0000"/>
                <w:szCs w:val="21"/>
              </w:rPr>
            </w:pPr>
            <w:r>
              <w:rPr>
                <w:rFonts w:hint="eastAsia" w:ascii="Times New Roman" w:hAnsi="Times New Roman" w:eastAsia="宋体" w:cs="Times New Roman"/>
                <w:bCs/>
                <w:color w:val="auto"/>
                <w:szCs w:val="24"/>
              </w:rPr>
              <w:t>综上所述，本项目施工期环境影响是暂时性的，待施工结束后，受影响的环境因素可以恢复到现状水平。</w:t>
            </w:r>
          </w:p>
        </w:tc>
      </w:tr>
      <w:tr w14:paraId="2F8A4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8" w:type="pct"/>
            <w:tcMar>
              <w:left w:w="28" w:type="dxa"/>
              <w:right w:w="28" w:type="dxa"/>
            </w:tcMar>
            <w:vAlign w:val="center"/>
          </w:tcPr>
          <w:p w14:paraId="2AB9BB07">
            <w:pPr>
              <w:spacing w:line="360" w:lineRule="auto"/>
              <w:jc w:val="center"/>
              <w:rPr>
                <w:b/>
                <w:bCs/>
                <w:color w:val="FF0000"/>
                <w:sz w:val="24"/>
                <w:szCs w:val="32"/>
              </w:rPr>
            </w:pPr>
            <w:r>
              <w:rPr>
                <w:b/>
                <w:bCs/>
                <w:color w:val="auto"/>
                <w:sz w:val="24"/>
                <w:szCs w:val="32"/>
              </w:rPr>
              <w:t>运营期环境影响和保护措施</w:t>
            </w:r>
          </w:p>
        </w:tc>
        <w:tc>
          <w:tcPr>
            <w:tcW w:w="4831" w:type="pct"/>
            <w:vAlign w:val="center"/>
          </w:tcPr>
          <w:p w14:paraId="3AB31FFF">
            <w:pPr>
              <w:adjustRightInd w:val="0"/>
              <w:snapToGrid w:val="0"/>
              <w:spacing w:line="360" w:lineRule="auto"/>
              <w:rPr>
                <w:b/>
                <w:bCs/>
                <w:color w:val="auto"/>
                <w:spacing w:val="-10"/>
                <w:sz w:val="24"/>
              </w:rPr>
            </w:pPr>
            <w:r>
              <w:rPr>
                <w:rFonts w:hint="eastAsia"/>
                <w:b/>
                <w:bCs/>
                <w:color w:val="auto"/>
                <w:spacing w:val="-10"/>
                <w:sz w:val="24"/>
              </w:rPr>
              <w:t>1</w:t>
            </w:r>
            <w:r>
              <w:rPr>
                <w:b/>
                <w:bCs/>
                <w:color w:val="auto"/>
                <w:spacing w:val="-10"/>
                <w:sz w:val="24"/>
              </w:rPr>
              <w:t>、废气</w:t>
            </w:r>
          </w:p>
          <w:p w14:paraId="39393089">
            <w:pPr>
              <w:spacing w:line="360" w:lineRule="auto"/>
              <w:ind w:firstLine="480" w:firstLineChars="200"/>
              <w:rPr>
                <w:color w:val="auto"/>
                <w:sz w:val="24"/>
              </w:rPr>
            </w:pPr>
            <w:r>
              <w:rPr>
                <w:color w:val="auto"/>
                <w:sz w:val="24"/>
              </w:rPr>
              <w:t>项目生产过程中产生的废气主要为</w:t>
            </w:r>
            <w:r>
              <w:rPr>
                <w:rFonts w:hint="eastAsia"/>
                <w:color w:val="auto"/>
                <w:sz w:val="24"/>
                <w:lang w:val="en-US" w:eastAsia="zh-CN"/>
              </w:rPr>
              <w:t>竹制品机加工粉尘、烘干粉尘、破</w:t>
            </w:r>
            <w:r>
              <w:rPr>
                <w:rFonts w:hint="eastAsia"/>
                <w:color w:val="auto"/>
                <w:sz w:val="24"/>
                <w:lang w:eastAsia="zh-CN"/>
              </w:rPr>
              <w:t>碎</w:t>
            </w:r>
            <w:r>
              <w:rPr>
                <w:rFonts w:hint="eastAsia"/>
                <w:color w:val="auto"/>
                <w:sz w:val="24"/>
              </w:rPr>
              <w:t>粉尘、</w:t>
            </w:r>
            <w:r>
              <w:rPr>
                <w:rFonts w:hint="eastAsia"/>
                <w:color w:val="auto"/>
                <w:sz w:val="24"/>
                <w:lang w:val="en-US" w:eastAsia="zh-CN"/>
              </w:rPr>
              <w:t>制粒粉尘和燃烧废气</w:t>
            </w:r>
            <w:r>
              <w:rPr>
                <w:color w:val="auto"/>
                <w:sz w:val="24"/>
              </w:rPr>
              <w:t>。</w:t>
            </w:r>
          </w:p>
          <w:p w14:paraId="6A232585">
            <w:pPr>
              <w:pStyle w:val="27"/>
              <w:spacing w:before="0" w:beforeAutospacing="0" w:after="0" w:afterAutospacing="0" w:line="360" w:lineRule="auto"/>
              <w:ind w:firstLine="480" w:firstLineChars="200"/>
              <w:jc w:val="both"/>
              <w:rPr>
                <w:rFonts w:ascii="Times New Roman" w:hAnsi="Times New Roman"/>
                <w:color w:val="auto"/>
              </w:rPr>
            </w:pPr>
            <w:r>
              <w:rPr>
                <w:rFonts w:ascii="Times New Roman" w:hAnsi="Times New Roman"/>
                <w:color w:val="auto"/>
              </w:rPr>
              <w:t>1、废气源强</w:t>
            </w:r>
          </w:p>
          <w:p w14:paraId="13950DCA">
            <w:pPr>
              <w:pStyle w:val="27"/>
              <w:spacing w:before="0" w:beforeAutospacing="0" w:after="0" w:afterAutospacing="0" w:line="360" w:lineRule="auto"/>
              <w:ind w:firstLine="480" w:firstLineChars="200"/>
              <w:jc w:val="both"/>
              <w:rPr>
                <w:rFonts w:ascii="Times New Roman" w:hAnsi="Times New Roman"/>
                <w:color w:val="auto"/>
                <w:szCs w:val="24"/>
              </w:rPr>
            </w:pPr>
            <w:r>
              <w:rPr>
                <w:rFonts w:ascii="Times New Roman" w:hAnsi="Times New Roman"/>
                <w:color w:val="auto"/>
                <w:szCs w:val="24"/>
              </w:rPr>
              <w:t>（1）</w:t>
            </w:r>
            <w:r>
              <w:rPr>
                <w:rFonts w:hint="eastAsia"/>
                <w:color w:val="auto"/>
                <w:sz w:val="24"/>
                <w:lang w:val="en-US" w:eastAsia="zh-CN"/>
              </w:rPr>
              <w:t>竹制品机加工粉尘</w:t>
            </w:r>
          </w:p>
          <w:p w14:paraId="162A0C67">
            <w:pPr>
              <w:pStyle w:val="16"/>
              <w:spacing w:after="0" w:line="360" w:lineRule="auto"/>
              <w:ind w:left="0" w:leftChars="0" w:firstLine="480"/>
              <w:rPr>
                <w:rFonts w:hint="default"/>
                <w:color w:val="FF0000"/>
                <w:sz w:val="24"/>
                <w:lang w:val="en-US" w:eastAsia="zh-CN"/>
              </w:rPr>
            </w:pPr>
            <w:r>
              <w:rPr>
                <w:rFonts w:hint="eastAsia"/>
                <w:color w:val="auto"/>
                <w:sz w:val="24"/>
                <w:lang w:val="en-US" w:eastAsia="zh-CN"/>
              </w:rPr>
              <w:t>项目切断、开破、分片、拉丝、制签等机加工工序产生竹屑粉尘，参考《排放源统计调查产排污核算方法和系数手册》（生态环境部办公厅2021年6月11日印发）中204竹、藤、草等制品制造行业系数表，下料工段，竹片制备/断条/开片工艺产污系物：颗粒物0.44kg/m</w:t>
            </w:r>
            <w:r>
              <w:rPr>
                <w:rFonts w:hint="eastAsia"/>
                <w:color w:val="auto"/>
                <w:sz w:val="24"/>
                <w:vertAlign w:val="superscript"/>
                <w:lang w:val="en-US" w:eastAsia="zh-CN"/>
              </w:rPr>
              <w:t>3</w:t>
            </w:r>
            <w:r>
              <w:rPr>
                <w:rFonts w:hint="eastAsia"/>
                <w:color w:val="auto"/>
                <w:sz w:val="24"/>
                <w:lang w:val="en-US" w:eastAsia="zh-CN"/>
              </w:rPr>
              <w:t>-产品，本项目年产5000t</w:t>
            </w:r>
            <w:r>
              <w:rPr>
                <w:rFonts w:hint="eastAsia"/>
                <w:color w:val="auto"/>
                <w:szCs w:val="21"/>
                <w:lang w:val="en-US" w:eastAsia="zh-CN"/>
              </w:rPr>
              <w:t>竹制品，密度约1.2g/cm</w:t>
            </w:r>
            <w:r>
              <w:rPr>
                <w:rFonts w:hint="eastAsia"/>
                <w:color w:val="auto"/>
                <w:szCs w:val="21"/>
                <w:vertAlign w:val="superscript"/>
                <w:lang w:val="en-US" w:eastAsia="zh-CN"/>
              </w:rPr>
              <w:t>3</w:t>
            </w:r>
            <w:r>
              <w:rPr>
                <w:rFonts w:hint="eastAsia"/>
                <w:color w:val="auto"/>
                <w:szCs w:val="21"/>
                <w:lang w:val="en-US" w:eastAsia="zh-CN"/>
              </w:rPr>
              <w:t>，体积约4167</w:t>
            </w:r>
            <w:r>
              <w:rPr>
                <w:rFonts w:hint="eastAsia"/>
                <w:color w:val="auto"/>
                <w:sz w:val="24"/>
                <w:lang w:val="en-US" w:eastAsia="zh-CN"/>
              </w:rPr>
              <w:t>m</w:t>
            </w:r>
            <w:r>
              <w:rPr>
                <w:rFonts w:hint="eastAsia"/>
                <w:color w:val="auto"/>
                <w:sz w:val="24"/>
                <w:vertAlign w:val="superscript"/>
                <w:lang w:val="en-US" w:eastAsia="zh-CN"/>
              </w:rPr>
              <w:t>3</w:t>
            </w:r>
            <w:r>
              <w:rPr>
                <w:rFonts w:hint="eastAsia"/>
                <w:color w:val="auto"/>
                <w:sz w:val="24"/>
                <w:vertAlign w:val="baseline"/>
                <w:lang w:val="en-US" w:eastAsia="zh-CN"/>
              </w:rPr>
              <w:t>，则</w:t>
            </w:r>
            <w:r>
              <w:rPr>
                <w:rFonts w:hint="eastAsia"/>
                <w:color w:val="auto"/>
                <w:sz w:val="24"/>
                <w:lang w:val="en-US" w:eastAsia="zh-CN"/>
              </w:rPr>
              <w:t>竹制品机加工过程产生的粉尘约1.83t/a，因该部分工序竹粉屑颗粒较大且含水率高且车间具有一定封闭防护措施，约80%在机台周边自然沉降后无组织排放，则无组织粉尘排放量为0.366t/a，排放速率为1.525kg/h。</w:t>
            </w:r>
          </w:p>
          <w:p w14:paraId="333B9FBA">
            <w:pPr>
              <w:pStyle w:val="27"/>
              <w:spacing w:before="0" w:beforeAutospacing="0" w:after="0" w:afterAutospacing="0" w:line="360" w:lineRule="auto"/>
              <w:ind w:firstLine="480" w:firstLineChars="200"/>
              <w:jc w:val="both"/>
              <w:rPr>
                <w:rFonts w:hint="default" w:ascii="Times New Roman" w:hAnsi="Times New Roman" w:cs="Times New Roman"/>
                <w:color w:val="auto"/>
                <w:szCs w:val="24"/>
              </w:rPr>
            </w:pPr>
            <w:r>
              <w:rPr>
                <w:rFonts w:hint="default" w:ascii="Times New Roman" w:hAnsi="Times New Roman" w:cs="Times New Roman"/>
                <w:color w:val="auto"/>
                <w:szCs w:val="24"/>
              </w:rPr>
              <w:t>（</w:t>
            </w:r>
            <w:r>
              <w:rPr>
                <w:rFonts w:hint="default" w:ascii="Times New Roman" w:hAnsi="Times New Roman" w:cs="Times New Roman"/>
                <w:color w:val="auto"/>
                <w:szCs w:val="24"/>
                <w:lang w:val="en-US" w:eastAsia="zh-CN"/>
              </w:rPr>
              <w:t>2</w:t>
            </w:r>
            <w:r>
              <w:rPr>
                <w:rFonts w:hint="default" w:ascii="Times New Roman" w:hAnsi="Times New Roman" w:cs="Times New Roman"/>
                <w:color w:val="auto"/>
                <w:szCs w:val="24"/>
              </w:rPr>
              <w:t>）</w:t>
            </w:r>
            <w:r>
              <w:rPr>
                <w:rFonts w:hint="eastAsia"/>
                <w:color w:val="auto"/>
                <w:sz w:val="24"/>
                <w:lang w:val="en-US" w:eastAsia="zh-CN"/>
              </w:rPr>
              <w:t>破</w:t>
            </w:r>
            <w:r>
              <w:rPr>
                <w:rFonts w:hint="eastAsia"/>
                <w:color w:val="auto"/>
                <w:sz w:val="24"/>
                <w:lang w:eastAsia="zh-CN"/>
              </w:rPr>
              <w:t>碎</w:t>
            </w:r>
            <w:r>
              <w:rPr>
                <w:rFonts w:hint="eastAsia"/>
                <w:color w:val="auto"/>
                <w:sz w:val="24"/>
                <w:lang w:val="en-US" w:eastAsia="zh-CN"/>
              </w:rPr>
              <w:t>和制粒粉尘</w:t>
            </w:r>
          </w:p>
          <w:p w14:paraId="54F764CA">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imes New Roman" w:hAnsi="Times New Roman" w:cs="Times New Roman"/>
                <w:color w:val="auto"/>
                <w:sz w:val="24"/>
                <w:szCs w:val="32"/>
                <w:lang w:val="en-US" w:eastAsia="zh-CN"/>
              </w:rPr>
            </w:pPr>
            <w:r>
              <w:rPr>
                <w:rFonts w:hint="default" w:ascii="Times New Roman" w:hAnsi="Times New Roman" w:cs="Times New Roman"/>
                <w:color w:val="auto"/>
                <w:sz w:val="24"/>
                <w:lang w:val="en-US" w:eastAsia="zh-CN"/>
              </w:rPr>
              <w:t>根据《排放源统计调查产排污核算方法和系数手册》中“2542生物质致密成型燃料加工行业系数手册”，剪切、破碎、筛分、造粒工段中的</w:t>
            </w:r>
            <w:r>
              <w:rPr>
                <w:rFonts w:hint="eastAsia" w:ascii="Times New Roman" w:hAnsi="Times New Roman" w:cs="Times New Roman"/>
                <w:color w:val="auto"/>
                <w:sz w:val="24"/>
                <w:lang w:val="en-US" w:eastAsia="zh-CN"/>
              </w:rPr>
              <w:t>颗粒物</w:t>
            </w:r>
            <w:r>
              <w:rPr>
                <w:rFonts w:hint="default" w:ascii="Times New Roman" w:hAnsi="Times New Roman" w:cs="Times New Roman"/>
                <w:color w:val="auto"/>
                <w:sz w:val="24"/>
                <w:lang w:val="en-US" w:eastAsia="zh-CN"/>
              </w:rPr>
              <w:t>产污系数可取为6.69×10</w:t>
            </w:r>
            <w:r>
              <w:rPr>
                <w:rFonts w:hint="default" w:ascii="Times New Roman" w:hAnsi="Times New Roman" w:cs="Times New Roman"/>
                <w:color w:val="auto"/>
                <w:sz w:val="24"/>
                <w:vertAlign w:val="superscript"/>
                <w:lang w:val="en-US" w:eastAsia="zh-CN"/>
              </w:rPr>
              <w:t>-4</w:t>
            </w:r>
            <w:r>
              <w:rPr>
                <w:rFonts w:hint="default" w:ascii="Times New Roman" w:hAnsi="Times New Roman" w:cs="Times New Roman"/>
                <w:color w:val="auto"/>
                <w:sz w:val="24"/>
                <w:lang w:val="en-US" w:eastAsia="zh-CN"/>
              </w:rPr>
              <w:t>t/t产品</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本项目</w:t>
            </w:r>
            <w:r>
              <w:rPr>
                <w:rFonts w:hint="eastAsia" w:ascii="Times New Roman" w:hAnsi="Times New Roman" w:cs="Times New Roman"/>
                <w:color w:val="auto"/>
                <w:sz w:val="24"/>
                <w:lang w:val="en-US" w:eastAsia="zh-CN"/>
              </w:rPr>
              <w:t>生物质颗粒年产15000t</w:t>
            </w:r>
            <w:r>
              <w:rPr>
                <w:rFonts w:hint="default" w:ascii="Times New Roman" w:hAnsi="Times New Roman" w:cs="Times New Roman"/>
                <w:color w:val="auto"/>
                <w:sz w:val="24"/>
                <w:lang w:val="en-US" w:eastAsia="zh-CN"/>
              </w:rPr>
              <w:t>，则</w:t>
            </w:r>
            <w:r>
              <w:rPr>
                <w:rFonts w:hint="eastAsia"/>
                <w:color w:val="auto"/>
                <w:sz w:val="24"/>
                <w:lang w:val="en-US" w:eastAsia="zh-CN"/>
              </w:rPr>
              <w:t>破</w:t>
            </w:r>
            <w:r>
              <w:rPr>
                <w:rFonts w:hint="eastAsia"/>
                <w:color w:val="auto"/>
                <w:sz w:val="24"/>
                <w:lang w:eastAsia="zh-CN"/>
              </w:rPr>
              <w:t>碎</w:t>
            </w:r>
            <w:r>
              <w:rPr>
                <w:rFonts w:hint="eastAsia"/>
                <w:color w:val="auto"/>
                <w:sz w:val="24"/>
                <w:lang w:val="en-US" w:eastAsia="zh-CN"/>
              </w:rPr>
              <w:t>和制粒</w:t>
            </w:r>
            <w:r>
              <w:rPr>
                <w:rFonts w:hint="default" w:ascii="Times New Roman" w:hAnsi="Times New Roman" w:cs="Times New Roman"/>
                <w:color w:val="auto"/>
                <w:sz w:val="24"/>
                <w:lang w:val="en-US" w:eastAsia="zh-CN"/>
              </w:rPr>
              <w:t>过程粉尘的产生量</w:t>
            </w:r>
            <w:r>
              <w:rPr>
                <w:rFonts w:hint="eastAsia" w:ascii="Times New Roman" w:hAnsi="Times New Roman" w:cs="Times New Roman"/>
                <w:color w:val="auto"/>
                <w:sz w:val="24"/>
                <w:lang w:val="en-US" w:eastAsia="zh-CN"/>
              </w:rPr>
              <w:t>约</w:t>
            </w:r>
            <w:r>
              <w:rPr>
                <w:rFonts w:hint="default" w:ascii="Times New Roman" w:hAnsi="Times New Roman" w:cs="Times New Roman"/>
                <w:color w:val="auto"/>
                <w:sz w:val="24"/>
                <w:lang w:val="en-US" w:eastAsia="zh-CN"/>
              </w:rPr>
              <w:t>为</w:t>
            </w:r>
            <w:r>
              <w:rPr>
                <w:rFonts w:hint="eastAsia" w:ascii="Times New Roman" w:hAnsi="Times New Roman" w:cs="Times New Roman"/>
                <w:color w:val="auto"/>
                <w:sz w:val="24"/>
                <w:lang w:val="en-US" w:eastAsia="zh-CN"/>
              </w:rPr>
              <w:t>10</w:t>
            </w:r>
            <w:r>
              <w:rPr>
                <w:rFonts w:hint="default" w:ascii="Times New Roman" w:hAnsi="Times New Roman" w:cs="Times New Roman"/>
                <w:color w:val="auto"/>
                <w:sz w:val="24"/>
                <w:lang w:val="en-US" w:eastAsia="zh-CN"/>
              </w:rPr>
              <w:t>t/a，</w:t>
            </w:r>
            <w:r>
              <w:rPr>
                <w:rFonts w:hint="eastAsia" w:ascii="Times New Roman" w:hAnsi="Times New Roman" w:cs="Times New Roman"/>
                <w:color w:val="auto"/>
                <w:sz w:val="24"/>
                <w:lang w:val="en-US" w:eastAsia="zh-CN"/>
              </w:rPr>
              <w:t>年工作时间</w:t>
            </w:r>
            <w:r>
              <w:rPr>
                <w:rFonts w:hint="default" w:ascii="Times New Roman" w:hAnsi="Times New Roman" w:cs="Times New Roman"/>
                <w:color w:val="auto"/>
                <w:sz w:val="24"/>
                <w:lang w:val="en-US" w:eastAsia="zh-CN"/>
              </w:rPr>
              <w:t>2400h/a</w:t>
            </w:r>
            <w:r>
              <w:rPr>
                <w:rFonts w:hint="eastAsia" w:ascii="Times New Roman" w:hAnsi="Times New Roman" w:cs="Times New Roman"/>
                <w:color w:val="auto"/>
                <w:sz w:val="24"/>
                <w:lang w:val="en-US" w:eastAsia="zh-CN"/>
              </w:rPr>
              <w:t>，</w:t>
            </w:r>
            <w:r>
              <w:rPr>
                <w:rFonts w:hint="eastAsia" w:cs="Times New Roman"/>
                <w:color w:val="auto"/>
                <w:sz w:val="24"/>
                <w:lang w:val="en-US" w:eastAsia="zh-CN"/>
              </w:rPr>
              <w:t>拟在破碎机和造粒机</w:t>
            </w:r>
            <w:r>
              <w:rPr>
                <w:rFonts w:hint="eastAsia" w:ascii="Times New Roman" w:hAnsi="Times New Roman" w:cs="Times New Roman"/>
                <w:color w:val="auto"/>
                <w:lang w:val="en-US" w:eastAsia="zh-CN"/>
              </w:rPr>
              <w:t>投料口上方设置集气罩收集粉尘，集气罩尺寸均为0.</w:t>
            </w:r>
            <w:r>
              <w:rPr>
                <w:rFonts w:hint="eastAsia" w:cs="Times New Roman"/>
                <w:color w:val="auto"/>
                <w:lang w:val="en-US" w:eastAsia="zh-CN"/>
              </w:rPr>
              <w:t>6</w:t>
            </w:r>
            <w:r>
              <w:rPr>
                <w:rFonts w:hint="eastAsia" w:ascii="Times New Roman" w:hAnsi="Times New Roman" w:cs="Times New Roman"/>
                <w:color w:val="auto"/>
                <w:lang w:val="en-US" w:eastAsia="zh-CN"/>
              </w:rPr>
              <w:t>m×0.</w:t>
            </w:r>
            <w:r>
              <w:rPr>
                <w:rFonts w:hint="eastAsia" w:cs="Times New Roman"/>
                <w:color w:val="auto"/>
                <w:lang w:val="en-US" w:eastAsia="zh-CN"/>
              </w:rPr>
              <w:t>6</w:t>
            </w:r>
            <w:r>
              <w:rPr>
                <w:rFonts w:hint="eastAsia" w:ascii="Times New Roman" w:hAnsi="Times New Roman" w:cs="Times New Roman"/>
                <w:color w:val="auto"/>
                <w:lang w:val="en-US" w:eastAsia="zh-CN"/>
              </w:rPr>
              <w:t>m，</w:t>
            </w:r>
            <w:r>
              <w:rPr>
                <w:rFonts w:hint="default" w:ascii="Times New Roman" w:hAnsi="Times New Roman" w:cs="Times New Roman"/>
                <w:color w:val="auto"/>
                <w:lang w:val="en-US" w:eastAsia="zh-CN"/>
              </w:rPr>
              <w:t>根</w:t>
            </w:r>
            <w:r>
              <w:rPr>
                <w:rFonts w:hint="default" w:ascii="Times New Roman" w:hAnsi="Times New Roman" w:cs="Times New Roman"/>
                <w:color w:val="auto"/>
                <w:sz w:val="24"/>
                <w:szCs w:val="32"/>
                <w:lang w:val="en-US" w:eastAsia="zh-CN"/>
              </w:rPr>
              <w:t>据《三废处理工程技术手册》（废气卷）中外部集气罩风量确定计算公式：</w:t>
            </w:r>
          </w:p>
          <w:p w14:paraId="23A1C198">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cs="Times New Roman"/>
                <w:color w:val="auto"/>
                <w:sz w:val="24"/>
                <w:szCs w:val="32"/>
                <w:lang w:val="en-US" w:eastAsia="zh-CN"/>
              </w:rPr>
              <w:t>本项目</w:t>
            </w:r>
            <w:r>
              <w:rPr>
                <w:rFonts w:hint="default" w:ascii="Times New Roman" w:hAnsi="Times New Roman" w:cs="Times New Roman"/>
                <w:b w:val="0"/>
                <w:bCs w:val="0"/>
                <w:color w:val="auto"/>
                <w:sz w:val="24"/>
                <w:szCs w:val="24"/>
                <w:lang w:eastAsia="zh-CN"/>
              </w:rPr>
              <w:t>集气罩</w:t>
            </w:r>
            <w:r>
              <w:rPr>
                <w:rFonts w:hint="default" w:ascii="Times New Roman" w:hAnsi="Times New Roman" w:eastAsia="TimesNewRomanPSMT" w:cs="Times New Roman"/>
                <w:b w:val="0"/>
                <w:bCs w:val="0"/>
                <w:color w:val="auto"/>
                <w:kern w:val="0"/>
                <w:sz w:val="24"/>
                <w:szCs w:val="24"/>
                <w:lang w:val="en-US" w:eastAsia="zh-CN" w:bidi="ar"/>
              </w:rPr>
              <w:t>风量按如下公式（参照《环境工程设计手册》）进行计算：</w:t>
            </w:r>
          </w:p>
          <w:p w14:paraId="1701AEC3">
            <w:pPr>
              <w:pStyle w:val="89"/>
              <w:keepNext w:val="0"/>
              <w:keepLines w:val="0"/>
              <w:suppressLineNumbers w:val="0"/>
              <w:snapToGrid w:val="0"/>
              <w:spacing w:before="0" w:beforeAutospacing="0" w:after="0" w:afterAutospacing="0"/>
              <w:ind w:left="0" w:leftChars="0" w:right="0" w:firstLine="0" w:firstLineChars="0"/>
              <w:jc w:val="center"/>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Q=kPHVx</w:t>
            </w:r>
          </w:p>
          <w:p w14:paraId="070156EE">
            <w:pPr>
              <w:pStyle w:val="89"/>
              <w:keepNext w:val="0"/>
              <w:keepLines w:val="0"/>
              <w:suppressLineNumbers w:val="0"/>
              <w:snapToGrid w:val="0"/>
              <w:spacing w:before="0" w:beforeAutospacing="0" w:after="0" w:afterAutospacing="0"/>
              <w:ind w:left="0" w:right="0"/>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式中：Q——风量m</w:t>
            </w:r>
            <w:r>
              <w:rPr>
                <w:rFonts w:hint="default" w:ascii="Times New Roman" w:hAnsi="Times New Roman" w:eastAsia="TimesNewRomanPSMT" w:cs="Times New Roman"/>
                <w:b w:val="0"/>
                <w:bCs w:val="0"/>
                <w:color w:val="auto"/>
                <w:kern w:val="0"/>
                <w:sz w:val="24"/>
                <w:szCs w:val="24"/>
                <w:vertAlign w:val="superscript"/>
                <w:lang w:val="en-US" w:eastAsia="zh-CN" w:bidi="ar"/>
              </w:rPr>
              <w:t>3</w:t>
            </w:r>
            <w:r>
              <w:rPr>
                <w:rFonts w:hint="default" w:ascii="Times New Roman" w:hAnsi="Times New Roman" w:eastAsia="TimesNewRomanPSMT" w:cs="Times New Roman"/>
                <w:b w:val="0"/>
                <w:bCs w:val="0"/>
                <w:color w:val="auto"/>
                <w:kern w:val="0"/>
                <w:sz w:val="24"/>
                <w:szCs w:val="24"/>
                <w:lang w:val="en-US" w:eastAsia="zh-CN" w:bidi="ar"/>
              </w:rPr>
              <w:t>/s</w:t>
            </w:r>
          </w:p>
          <w:p w14:paraId="3827B66E">
            <w:pPr>
              <w:pStyle w:val="89"/>
              <w:keepNext w:val="0"/>
              <w:keepLines w:val="0"/>
              <w:suppressLineNumbers w:val="0"/>
              <w:snapToGrid w:val="0"/>
              <w:spacing w:before="0" w:beforeAutospacing="0" w:after="0" w:afterAutospacing="0"/>
              <w:ind w:left="0" w:right="0" w:firstLine="1200" w:firstLineChars="500"/>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k——考虑沿高度速度分布不均的安全系数，通常取k=1.4</w:t>
            </w:r>
          </w:p>
          <w:p w14:paraId="57BCF419">
            <w:pPr>
              <w:pStyle w:val="89"/>
              <w:keepNext w:val="0"/>
              <w:keepLines w:val="0"/>
              <w:suppressLineNumbers w:val="0"/>
              <w:snapToGrid w:val="0"/>
              <w:spacing w:before="0" w:beforeAutospacing="0" w:after="0" w:afterAutospacing="0"/>
              <w:ind w:left="0" w:right="0" w:firstLine="1200" w:firstLineChars="500"/>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P——罩口敞开周长m</w:t>
            </w:r>
          </w:p>
          <w:p w14:paraId="5AF8622E">
            <w:pPr>
              <w:pStyle w:val="89"/>
              <w:keepNext w:val="0"/>
              <w:keepLines w:val="0"/>
              <w:suppressLineNumbers w:val="0"/>
              <w:snapToGrid w:val="0"/>
              <w:spacing w:before="0" w:beforeAutospacing="0" w:after="0" w:afterAutospacing="0"/>
              <w:ind w:left="0" w:right="0" w:firstLine="1200" w:firstLineChars="500"/>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H——罩口距污染源的距离（本项目取0.</w:t>
            </w:r>
            <w:r>
              <w:rPr>
                <w:rFonts w:hint="eastAsia" w:eastAsia="TimesNewRomanPSMT" w:cs="Times New Roman"/>
                <w:b w:val="0"/>
                <w:bCs w:val="0"/>
                <w:color w:val="auto"/>
                <w:kern w:val="0"/>
                <w:sz w:val="24"/>
                <w:szCs w:val="24"/>
                <w:lang w:val="en-US" w:eastAsia="zh-CN" w:bidi="ar"/>
              </w:rPr>
              <w:t>3</w:t>
            </w:r>
            <w:r>
              <w:rPr>
                <w:rFonts w:hint="default" w:ascii="Times New Roman" w:hAnsi="Times New Roman" w:eastAsia="TimesNewRomanPSMT" w:cs="Times New Roman"/>
                <w:b w:val="0"/>
                <w:bCs w:val="0"/>
                <w:color w:val="auto"/>
                <w:kern w:val="0"/>
                <w:sz w:val="24"/>
                <w:szCs w:val="24"/>
                <w:lang w:val="en-US" w:eastAsia="zh-CN" w:bidi="ar"/>
              </w:rPr>
              <w:t>m）</w:t>
            </w:r>
          </w:p>
          <w:p w14:paraId="2A0433AE">
            <w:pPr>
              <w:pStyle w:val="89"/>
              <w:keepNext w:val="0"/>
              <w:keepLines w:val="0"/>
              <w:suppressLineNumbers w:val="0"/>
              <w:snapToGrid w:val="0"/>
              <w:spacing w:before="0" w:beforeAutospacing="0" w:after="0" w:afterAutospacing="0"/>
              <w:ind w:left="0" w:right="0" w:firstLine="1200" w:firstLineChars="500"/>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Vx——控制速度m/s（本项目取0.</w:t>
            </w:r>
            <w:r>
              <w:rPr>
                <w:rFonts w:hint="eastAsia" w:eastAsia="TimesNewRomanPSMT" w:cs="Times New Roman"/>
                <w:b w:val="0"/>
                <w:bCs w:val="0"/>
                <w:color w:val="auto"/>
                <w:kern w:val="0"/>
                <w:sz w:val="24"/>
                <w:szCs w:val="24"/>
                <w:lang w:val="en-US" w:eastAsia="zh-CN" w:bidi="ar"/>
              </w:rPr>
              <w:t>5</w:t>
            </w:r>
            <w:r>
              <w:rPr>
                <w:rFonts w:hint="default" w:ascii="Times New Roman" w:hAnsi="Times New Roman" w:eastAsia="TimesNewRomanPSMT" w:cs="Times New Roman"/>
                <w:b w:val="0"/>
                <w:bCs w:val="0"/>
                <w:color w:val="auto"/>
                <w:kern w:val="0"/>
                <w:sz w:val="24"/>
                <w:szCs w:val="24"/>
                <w:lang w:val="en-US" w:eastAsia="zh-CN" w:bidi="ar"/>
              </w:rPr>
              <w:t>m/s）</w:t>
            </w:r>
          </w:p>
          <w:p w14:paraId="77F15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jc w:val="both"/>
              <w:textAlignment w:val="auto"/>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Q=1.4</w:t>
            </w:r>
            <w:r>
              <w:rPr>
                <w:rFonts w:hint="default" w:ascii="Times New Roman" w:hAnsi="Times New Roman" w:eastAsia="宋体" w:cs="Times New Roman"/>
                <w:b w:val="0"/>
                <w:bCs w:val="0"/>
                <w:color w:val="auto"/>
                <w:kern w:val="0"/>
                <w:sz w:val="24"/>
                <w:szCs w:val="24"/>
                <w:lang w:val="en-US" w:eastAsia="zh-CN" w:bidi="ar"/>
              </w:rPr>
              <w:t>×</w:t>
            </w:r>
            <w:r>
              <w:rPr>
                <w:rFonts w:hint="eastAsia" w:cs="Times New Roman"/>
                <w:b w:val="0"/>
                <w:bCs w:val="0"/>
                <w:color w:val="auto"/>
                <w:kern w:val="0"/>
                <w:sz w:val="24"/>
                <w:szCs w:val="24"/>
                <w:lang w:val="en-US" w:eastAsia="zh-CN" w:bidi="ar"/>
              </w:rPr>
              <w:t>2.4</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eastAsia="TimesNewRomanPSMT" w:cs="Times New Roman"/>
                <w:b w:val="0"/>
                <w:bCs w:val="0"/>
                <w:color w:val="auto"/>
                <w:kern w:val="0"/>
                <w:sz w:val="24"/>
                <w:szCs w:val="24"/>
                <w:lang w:val="en-US" w:eastAsia="zh-CN" w:bidi="ar"/>
              </w:rPr>
              <w:t>0.</w:t>
            </w:r>
            <w:r>
              <w:rPr>
                <w:rFonts w:hint="eastAsia" w:eastAsia="TimesNewRomanPSMT" w:cs="Times New Roman"/>
                <w:b w:val="0"/>
                <w:bCs w:val="0"/>
                <w:color w:val="auto"/>
                <w:kern w:val="0"/>
                <w:sz w:val="24"/>
                <w:szCs w:val="24"/>
                <w:lang w:val="en-US" w:eastAsia="zh-CN" w:bidi="ar"/>
              </w:rPr>
              <w:t>3</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cs="Times New Roman"/>
                <w:b w:val="0"/>
                <w:bCs w:val="0"/>
                <w:color w:val="auto"/>
                <w:kern w:val="0"/>
                <w:sz w:val="24"/>
                <w:szCs w:val="24"/>
                <w:lang w:val="en-US" w:eastAsia="zh-CN" w:bidi="ar"/>
              </w:rPr>
              <w:t>0.</w:t>
            </w:r>
            <w:r>
              <w:rPr>
                <w:rFonts w:hint="eastAsia" w:cs="Times New Roman"/>
                <w:b w:val="0"/>
                <w:bCs w:val="0"/>
                <w:color w:val="auto"/>
                <w:kern w:val="0"/>
                <w:sz w:val="24"/>
                <w:szCs w:val="24"/>
                <w:lang w:val="en-US" w:eastAsia="zh-CN" w:bidi="ar"/>
              </w:rPr>
              <w:t>5</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eastAsia="TimesNewRomanPSMT" w:cs="Times New Roman"/>
                <w:b w:val="0"/>
                <w:bCs w:val="0"/>
                <w:color w:val="auto"/>
                <w:kern w:val="0"/>
                <w:sz w:val="24"/>
                <w:szCs w:val="24"/>
                <w:lang w:val="en-US" w:eastAsia="zh-CN" w:bidi="ar"/>
              </w:rPr>
              <w:t>3600=</w:t>
            </w:r>
            <w:r>
              <w:rPr>
                <w:rFonts w:hint="eastAsia" w:eastAsia="TimesNewRomanPSMT" w:cs="Times New Roman"/>
                <w:b w:val="0"/>
                <w:bCs w:val="0"/>
                <w:color w:val="auto"/>
                <w:kern w:val="0"/>
                <w:sz w:val="24"/>
                <w:szCs w:val="24"/>
                <w:lang w:val="en-US" w:eastAsia="zh-CN" w:bidi="ar"/>
              </w:rPr>
              <w:t>1814.4</w:t>
            </w:r>
            <w:r>
              <w:rPr>
                <w:rFonts w:hint="default" w:ascii="Times New Roman" w:hAnsi="Times New Roman" w:eastAsia="TimesNewRomanPSMT" w:cs="Times New Roman"/>
                <w:b w:val="0"/>
                <w:bCs w:val="0"/>
                <w:color w:val="auto"/>
                <w:kern w:val="0"/>
                <w:sz w:val="24"/>
                <w:szCs w:val="24"/>
                <w:lang w:val="en-US" w:eastAsia="zh-CN" w:bidi="ar"/>
              </w:rPr>
              <w:t>m</w:t>
            </w:r>
            <w:r>
              <w:rPr>
                <w:rFonts w:hint="default" w:ascii="Times New Roman" w:hAnsi="Times New Roman" w:eastAsia="TimesNewRomanPSMT" w:cs="Times New Roman"/>
                <w:b w:val="0"/>
                <w:bCs w:val="0"/>
                <w:color w:val="auto"/>
                <w:kern w:val="0"/>
                <w:sz w:val="24"/>
                <w:szCs w:val="24"/>
                <w:vertAlign w:val="superscript"/>
                <w:lang w:val="en-US" w:eastAsia="zh-CN" w:bidi="ar"/>
              </w:rPr>
              <w:t>3</w:t>
            </w:r>
            <w:r>
              <w:rPr>
                <w:rFonts w:hint="default" w:ascii="Times New Roman" w:hAnsi="Times New Roman" w:eastAsia="TimesNewRomanPSMT" w:cs="Times New Roman"/>
                <w:b w:val="0"/>
                <w:bCs w:val="0"/>
                <w:color w:val="auto"/>
                <w:kern w:val="0"/>
                <w:sz w:val="15"/>
                <w:szCs w:val="15"/>
                <w:vertAlign w:val="superscript"/>
                <w:lang w:val="en-US" w:eastAsia="zh-CN" w:bidi="ar"/>
              </w:rPr>
              <w:t xml:space="preserve"> </w:t>
            </w:r>
            <w:r>
              <w:rPr>
                <w:rFonts w:hint="default" w:ascii="Times New Roman" w:hAnsi="Times New Roman" w:eastAsia="TimesNewRomanPSMT" w:cs="Times New Roman"/>
                <w:b w:val="0"/>
                <w:bCs w:val="0"/>
                <w:color w:val="auto"/>
                <w:kern w:val="0"/>
                <w:sz w:val="24"/>
                <w:szCs w:val="24"/>
                <w:lang w:val="en-US" w:eastAsia="zh-CN" w:bidi="ar"/>
              </w:rPr>
              <w:t>/h</w:t>
            </w:r>
          </w:p>
          <w:p w14:paraId="528441FF">
            <w:pPr>
              <w:pStyle w:val="27"/>
              <w:spacing w:before="0" w:beforeAutospacing="0" w:after="0" w:afterAutospacing="0" w:line="360" w:lineRule="auto"/>
              <w:ind w:firstLine="480" w:firstLineChars="200"/>
              <w:jc w:val="both"/>
              <w:rPr>
                <w:rFonts w:hint="default" w:ascii="Times New Roman" w:hAnsi="Times New Roman" w:cs="Times New Roman"/>
                <w:color w:val="auto"/>
                <w:szCs w:val="24"/>
                <w:lang w:val="en-US" w:eastAsia="zh-CN"/>
              </w:rPr>
            </w:pPr>
            <w:r>
              <w:rPr>
                <w:rFonts w:hint="eastAsia" w:ascii="Times New Roman" w:hAnsi="Times New Roman" w:eastAsia="宋体" w:cs="Times New Roman"/>
                <w:color w:val="auto"/>
                <w:sz w:val="24"/>
                <w:szCs w:val="32"/>
                <w:lang w:val="en-US" w:eastAsia="zh-CN"/>
              </w:rPr>
              <w:t>本项目2台破碎</w:t>
            </w:r>
            <w:r>
              <w:rPr>
                <w:rFonts w:hint="default" w:ascii="Times New Roman" w:hAnsi="Times New Roman" w:eastAsia="宋体" w:cs="Times New Roman"/>
                <w:color w:val="auto"/>
                <w:sz w:val="24"/>
                <w:szCs w:val="32"/>
                <w:lang w:val="en-US" w:eastAsia="zh-CN"/>
              </w:rPr>
              <w:t>机</w:t>
            </w:r>
            <w:r>
              <w:rPr>
                <w:rFonts w:hint="eastAsia" w:ascii="Times New Roman" w:hAnsi="Times New Roman" w:eastAsia="宋体" w:cs="Times New Roman"/>
                <w:color w:val="auto"/>
                <w:sz w:val="24"/>
                <w:szCs w:val="32"/>
                <w:lang w:val="en-US" w:eastAsia="zh-CN"/>
              </w:rPr>
              <w:t>4台造粒机，则总风量设计为</w:t>
            </w:r>
            <w:r>
              <w:rPr>
                <w:rFonts w:hint="eastAsia" w:ascii="Times New Roman" w:hAnsi="Times New Roman" w:cs="Times New Roman"/>
                <w:color w:val="auto"/>
                <w:sz w:val="24"/>
                <w:szCs w:val="32"/>
                <w:lang w:val="en-US" w:eastAsia="zh-CN"/>
              </w:rPr>
              <w:t>11000</w:t>
            </w:r>
            <w:r>
              <w:rPr>
                <w:rFonts w:hint="default" w:ascii="Times New Roman" w:hAnsi="Times New Roman" w:eastAsia="宋体" w:cs="Times New Roman"/>
                <w:color w:val="auto"/>
                <w:sz w:val="24"/>
                <w:szCs w:val="32"/>
                <w:lang w:val="en-US" w:eastAsia="zh-CN"/>
              </w:rPr>
              <w:t>m</w:t>
            </w:r>
            <w:r>
              <w:rPr>
                <w:rFonts w:hint="default" w:ascii="Times New Roman" w:hAnsi="Times New Roman" w:eastAsia="宋体" w:cs="Times New Roman"/>
                <w:color w:val="auto"/>
                <w:sz w:val="24"/>
                <w:szCs w:val="32"/>
                <w:vertAlign w:val="superscript"/>
                <w:lang w:val="en-US" w:eastAsia="zh-CN"/>
              </w:rPr>
              <w:t>3</w:t>
            </w:r>
            <w:r>
              <w:rPr>
                <w:rFonts w:hint="default" w:ascii="Times New Roman" w:hAnsi="Times New Roman" w:eastAsia="宋体" w:cs="Times New Roman"/>
                <w:color w:val="auto"/>
                <w:sz w:val="24"/>
                <w:szCs w:val="32"/>
                <w:lang w:val="en-US" w:eastAsia="zh-CN"/>
              </w:rPr>
              <w:t>/h</w:t>
            </w:r>
            <w:r>
              <w:rPr>
                <w:rFonts w:hint="eastAsia"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集气罩收集效率为按90%计，</w:t>
            </w:r>
            <w:r>
              <w:rPr>
                <w:rFonts w:hint="eastAsia" w:ascii="Times New Roman" w:hAnsi="Times New Roman" w:eastAsia="宋体" w:cs="Times New Roman"/>
                <w:color w:val="auto"/>
                <w:sz w:val="24"/>
                <w:szCs w:val="32"/>
                <w:lang w:val="en-US" w:eastAsia="zh-CN"/>
              </w:rPr>
              <w:t>收集后通过布袋除尘器</w:t>
            </w:r>
            <w:r>
              <w:rPr>
                <w:rFonts w:hint="default" w:ascii="Times New Roman" w:hAnsi="Times New Roman" w:eastAsia="宋体" w:cs="Times New Roman"/>
                <w:color w:val="auto"/>
                <w:sz w:val="24"/>
                <w:szCs w:val="32"/>
                <w:lang w:val="en-US" w:eastAsia="zh-CN"/>
              </w:rPr>
              <w:t>处理</w:t>
            </w:r>
            <w:r>
              <w:rPr>
                <w:rFonts w:hint="eastAsia" w:ascii="Times New Roman" w:hAnsi="Times New Roman" w:eastAsia="宋体" w:cs="Times New Roman"/>
                <w:color w:val="auto"/>
                <w:sz w:val="24"/>
                <w:szCs w:val="32"/>
                <w:lang w:val="en-US" w:eastAsia="zh-CN"/>
              </w:rPr>
              <w:t>，处理后由15m高的DA001排气筒排放</w:t>
            </w:r>
            <w:r>
              <w:rPr>
                <w:rFonts w:hint="eastAsia" w:ascii="Times New Roman" w:hAnsi="Times New Roman" w:cs="Times New Roman"/>
                <w:b w:val="0"/>
                <w:bCs w:val="0"/>
                <w:color w:val="auto"/>
                <w:sz w:val="24"/>
                <w:szCs w:val="32"/>
                <w:highlight w:val="none"/>
                <w:lang w:val="en-US" w:eastAsia="zh-CN"/>
              </w:rPr>
              <w:t>。</w:t>
            </w:r>
          </w:p>
          <w:p w14:paraId="50A7AC8F">
            <w:pPr>
              <w:pStyle w:val="27"/>
              <w:spacing w:before="0" w:beforeAutospacing="0" w:after="0" w:afterAutospacing="0" w:line="360" w:lineRule="auto"/>
              <w:ind w:firstLine="480" w:firstLineChars="200"/>
              <w:jc w:val="both"/>
              <w:rPr>
                <w:rFonts w:hint="default" w:ascii="Times New Roman" w:hAnsi="Times New Roman"/>
                <w:color w:val="auto"/>
                <w:szCs w:val="24"/>
                <w:lang w:val="en-US" w:eastAsia="zh-CN"/>
              </w:rPr>
            </w:pPr>
            <w:r>
              <w:rPr>
                <w:rFonts w:hint="eastAsia" w:ascii="Times New Roman" w:hAnsi="Times New Roman"/>
                <w:color w:val="auto"/>
                <w:szCs w:val="24"/>
                <w:lang w:val="en-US" w:eastAsia="zh-CN"/>
              </w:rPr>
              <w:t>（3）燃烧废气</w:t>
            </w:r>
          </w:p>
          <w:p w14:paraId="202FC30F">
            <w:pPr>
              <w:pStyle w:val="27"/>
              <w:spacing w:before="0" w:beforeAutospacing="0" w:after="0" w:afterAutospacing="0" w:line="360" w:lineRule="auto"/>
              <w:ind w:firstLine="480" w:firstLineChars="200"/>
              <w:jc w:val="both"/>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根据生物质每小时消耗量=60万大卡×吨位/燃料热值/锅炉燃烧效率，本次评价锅炉燃烧效率按85%计算</w:t>
            </w:r>
            <w:r>
              <w:rPr>
                <w:rFonts w:hint="eastAsia" w:ascii="Times New Roman" w:hAnsi="Times New Roman" w:cs="Times New Roman"/>
                <w:color w:val="auto"/>
                <w:szCs w:val="24"/>
                <w:lang w:val="en-US" w:eastAsia="zh-CN"/>
              </w:rPr>
              <w:t>，</w:t>
            </w:r>
            <w:r>
              <w:rPr>
                <w:rFonts w:hint="default" w:ascii="Times New Roman" w:hAnsi="Times New Roman" w:cs="Times New Roman"/>
                <w:color w:val="auto"/>
                <w:szCs w:val="24"/>
                <w:lang w:val="en-US" w:eastAsia="zh-CN"/>
              </w:rPr>
              <w:t>生物质燃料低位发热量</w:t>
            </w:r>
            <w:r>
              <w:rPr>
                <w:rFonts w:hint="eastAsia" w:ascii="Times New Roman" w:hAnsi="Times New Roman" w:cs="Times New Roman"/>
                <w:color w:val="auto"/>
                <w:szCs w:val="24"/>
                <w:lang w:val="en-US" w:eastAsia="zh-CN"/>
              </w:rPr>
              <w:t>按</w:t>
            </w:r>
            <w:r>
              <w:rPr>
                <w:rFonts w:hint="default" w:ascii="Times New Roman" w:hAnsi="Times New Roman" w:cs="Times New Roman"/>
                <w:color w:val="auto"/>
                <w:szCs w:val="24"/>
                <w:lang w:val="en-US" w:eastAsia="zh-CN"/>
              </w:rPr>
              <w:t>4120cal/g（即4120kcal/kg）计算。</w:t>
            </w:r>
            <w:r>
              <w:rPr>
                <w:rFonts w:hint="eastAsia" w:ascii="Times New Roman" w:hAnsi="Times New Roman" w:cs="Times New Roman"/>
                <w:color w:val="auto"/>
                <w:szCs w:val="24"/>
                <w:lang w:val="en-US" w:eastAsia="zh-CN"/>
              </w:rPr>
              <w:t>因此本项目6t/h的生物质锅炉生物质燃料的用量为1.03t/h，年工作1200h，则年用量为1236t/a。</w:t>
            </w:r>
          </w:p>
          <w:p w14:paraId="01EF7D3F">
            <w:pPr>
              <w:pStyle w:val="27"/>
              <w:spacing w:before="0" w:beforeAutospacing="0" w:after="0" w:afterAutospacing="0" w:line="360" w:lineRule="auto"/>
              <w:ind w:firstLine="480" w:firstLineChars="200"/>
              <w:jc w:val="both"/>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本项目生物质</w:t>
            </w:r>
            <w:r>
              <w:rPr>
                <w:rFonts w:hint="eastAsia" w:ascii="Times New Roman" w:hAnsi="Times New Roman" w:cs="Times New Roman"/>
                <w:color w:val="auto"/>
                <w:szCs w:val="24"/>
                <w:lang w:val="en-US" w:eastAsia="zh-CN"/>
              </w:rPr>
              <w:t>锅炉</w:t>
            </w:r>
            <w:r>
              <w:rPr>
                <w:rFonts w:hint="default" w:ascii="Times New Roman" w:hAnsi="Times New Roman" w:cs="Times New Roman"/>
                <w:color w:val="auto"/>
                <w:szCs w:val="24"/>
                <w:lang w:val="en-US" w:eastAsia="zh-CN"/>
              </w:rPr>
              <w:t>燃烧废气中颗粒物、SO</w:t>
            </w:r>
            <w:r>
              <w:rPr>
                <w:rFonts w:hint="default" w:ascii="Times New Roman" w:hAnsi="Times New Roman" w:cs="Times New Roman"/>
                <w:color w:val="auto"/>
                <w:szCs w:val="24"/>
                <w:vertAlign w:val="subscript"/>
                <w:lang w:val="en-US" w:eastAsia="zh-CN"/>
              </w:rPr>
              <w:t>2</w:t>
            </w:r>
            <w:r>
              <w:rPr>
                <w:rFonts w:hint="default" w:ascii="Times New Roman" w:hAnsi="Times New Roman" w:cs="Times New Roman"/>
                <w:color w:val="auto"/>
                <w:szCs w:val="24"/>
                <w:lang w:val="en-US" w:eastAsia="zh-CN"/>
              </w:rPr>
              <w:t>、NOx产污系数参考《排放源统计调查产排污核算方法和系数手册》（环境部公告2021年第24号）附件中“4430工业锅炉（热力供应）行业系数手册”中生物质</w:t>
            </w:r>
            <w:r>
              <w:rPr>
                <w:rFonts w:hint="eastAsia" w:ascii="Times New Roman" w:hAnsi="Times New Roman" w:cs="Times New Roman"/>
                <w:color w:val="auto"/>
                <w:szCs w:val="24"/>
                <w:lang w:val="en-US" w:eastAsia="zh-CN"/>
              </w:rPr>
              <w:t>锅炉</w:t>
            </w:r>
            <w:r>
              <w:rPr>
                <w:rFonts w:hint="default" w:ascii="Times New Roman" w:hAnsi="Times New Roman" w:cs="Times New Roman"/>
                <w:color w:val="auto"/>
                <w:szCs w:val="24"/>
                <w:lang w:val="en-US" w:eastAsia="zh-CN"/>
              </w:rPr>
              <w:t>的颗粒物</w:t>
            </w:r>
            <w:r>
              <w:rPr>
                <w:rFonts w:hint="eastAsia" w:ascii="Times New Roman" w:hAnsi="Times New Roman" w:cs="Times New Roman"/>
                <w:color w:val="auto"/>
                <w:szCs w:val="24"/>
                <w:lang w:val="en-US" w:eastAsia="zh-CN"/>
              </w:rPr>
              <w:t>0.5kg/t原料</w:t>
            </w:r>
            <w:r>
              <w:rPr>
                <w:rFonts w:hint="default" w:ascii="Times New Roman" w:hAnsi="Times New Roman" w:cs="Times New Roman"/>
                <w:color w:val="auto"/>
                <w:szCs w:val="24"/>
                <w:lang w:val="en-US" w:eastAsia="zh-CN"/>
              </w:rPr>
              <w:t>、SO</w:t>
            </w:r>
            <w:r>
              <w:rPr>
                <w:rFonts w:hint="default" w:ascii="Times New Roman" w:hAnsi="Times New Roman" w:cs="Times New Roman"/>
                <w:color w:val="auto"/>
                <w:szCs w:val="24"/>
                <w:vertAlign w:val="subscript"/>
                <w:lang w:val="en-US" w:eastAsia="zh-CN"/>
              </w:rPr>
              <w:t>2</w:t>
            </w:r>
            <w:r>
              <w:rPr>
                <w:rFonts w:hint="eastAsia" w:ascii="Times New Roman" w:hAnsi="Times New Roman" w:cs="Times New Roman"/>
                <w:color w:val="auto"/>
                <w:szCs w:val="24"/>
                <w:vertAlign w:val="baseline"/>
                <w:lang w:val="en-US" w:eastAsia="zh-CN"/>
              </w:rPr>
              <w:t>17S</w:t>
            </w:r>
            <w:r>
              <w:rPr>
                <w:rFonts w:hint="default" w:ascii="Times New Roman" w:hAnsi="Times New Roman" w:cs="Times New Roman"/>
                <w:color w:val="auto"/>
                <w:szCs w:val="24"/>
                <w:lang w:val="en-US" w:eastAsia="zh-CN"/>
              </w:rPr>
              <w:t>、NOx</w:t>
            </w:r>
            <w:r>
              <w:rPr>
                <w:rFonts w:hint="eastAsia" w:ascii="Times New Roman" w:hAnsi="Times New Roman" w:cs="Times New Roman"/>
                <w:color w:val="auto"/>
                <w:szCs w:val="24"/>
                <w:lang w:val="en-US" w:eastAsia="zh-CN"/>
              </w:rPr>
              <w:t>1.02kg/t原料</w:t>
            </w:r>
            <w:r>
              <w:rPr>
                <w:rFonts w:hint="default" w:ascii="Times New Roman" w:hAnsi="Times New Roman" w:cs="Times New Roman"/>
                <w:color w:val="auto"/>
                <w:szCs w:val="24"/>
                <w:lang w:val="en-US" w:eastAsia="zh-CN"/>
              </w:rPr>
              <w:t>产污系数。</w:t>
            </w:r>
          </w:p>
          <w:p w14:paraId="195B912C">
            <w:pPr>
              <w:spacing w:before="181" w:line="220" w:lineRule="auto"/>
              <w:ind w:left="2980"/>
              <w:jc w:val="both"/>
              <w:rPr>
                <w:rFonts w:ascii="Times New Roman" w:hAnsi="Times New Roman" w:eastAsia="宋体" w:cs="Times New Roman"/>
                <w:b/>
                <w:bCs w:val="0"/>
                <w:color w:val="auto"/>
                <w:kern w:val="0"/>
                <w:sz w:val="24"/>
                <w:szCs w:val="24"/>
                <w:lang w:val="en-US" w:eastAsia="zh-CN" w:bidi="ar-SA"/>
              </w:rPr>
            </w:pPr>
            <w:r>
              <w:rPr>
                <w:rFonts w:hint="eastAsia" w:ascii="Times New Roman" w:hAnsi="Times New Roman"/>
                <w:color w:val="auto"/>
                <w:szCs w:val="24"/>
                <w:lang w:val="en-US" w:eastAsia="zh-CN"/>
              </w:rPr>
              <w:t xml:space="preserve"> </w:t>
            </w:r>
            <w:r>
              <w:rPr>
                <w:rFonts w:ascii="Times New Roman" w:hAnsi="Times New Roman" w:eastAsia="宋体" w:cs="Times New Roman"/>
                <w:b/>
                <w:bCs w:val="0"/>
                <w:color w:val="auto"/>
                <w:kern w:val="0"/>
                <w:sz w:val="24"/>
                <w:szCs w:val="24"/>
                <w:lang w:val="en-US" w:eastAsia="zh-CN" w:bidi="ar-SA"/>
              </w:rPr>
              <w:t>表</w:t>
            </w:r>
            <w:r>
              <w:rPr>
                <w:rFonts w:hint="eastAsia" w:ascii="Times New Roman" w:hAnsi="Times New Roman" w:eastAsia="宋体" w:cs="Times New Roman"/>
                <w:b/>
                <w:bCs w:val="0"/>
                <w:color w:val="auto"/>
                <w:kern w:val="0"/>
                <w:sz w:val="24"/>
                <w:szCs w:val="24"/>
                <w:lang w:val="en-US" w:eastAsia="zh-CN" w:bidi="ar-SA"/>
              </w:rPr>
              <w:t>4-1燃烧废气</w:t>
            </w:r>
            <w:r>
              <w:rPr>
                <w:rFonts w:ascii="Times New Roman" w:hAnsi="Times New Roman" w:eastAsia="宋体" w:cs="Times New Roman"/>
                <w:b/>
                <w:bCs w:val="0"/>
                <w:color w:val="auto"/>
                <w:kern w:val="0"/>
                <w:sz w:val="24"/>
                <w:szCs w:val="24"/>
                <w:lang w:val="en-US" w:eastAsia="zh-CN" w:bidi="ar-SA"/>
              </w:rPr>
              <w:t>产物一览表</w:t>
            </w:r>
          </w:p>
          <w:tbl>
            <w:tblPr>
              <w:tblStyle w:val="30"/>
              <w:tblW w:w="8730" w:type="dxa"/>
              <w:jc w:val="center"/>
              <w:tblLayout w:type="fixed"/>
              <w:tblCellMar>
                <w:top w:w="0" w:type="dxa"/>
                <w:left w:w="108" w:type="dxa"/>
                <w:bottom w:w="0" w:type="dxa"/>
                <w:right w:w="108" w:type="dxa"/>
              </w:tblCellMar>
            </w:tblPr>
            <w:tblGrid>
              <w:gridCol w:w="1916"/>
              <w:gridCol w:w="1916"/>
              <w:gridCol w:w="2448"/>
              <w:gridCol w:w="2450"/>
            </w:tblGrid>
            <w:tr w14:paraId="6FA6B485">
              <w:tblPrEx>
                <w:tblCellMar>
                  <w:top w:w="0" w:type="dxa"/>
                  <w:left w:w="108" w:type="dxa"/>
                  <w:bottom w:w="0" w:type="dxa"/>
                  <w:right w:w="108" w:type="dxa"/>
                </w:tblCellMar>
              </w:tblPrEx>
              <w:trPr>
                <w:trHeight w:val="90" w:hRule="atLeast"/>
                <w:jc w:val="center"/>
              </w:trPr>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36CF2CA1">
                  <w:pPr>
                    <w:jc w:val="center"/>
                    <w:rPr>
                      <w:color w:val="auto"/>
                      <w:szCs w:val="21"/>
                    </w:rPr>
                  </w:pPr>
                  <w:r>
                    <w:rPr>
                      <w:rFonts w:hint="eastAsia"/>
                      <w:color w:val="auto"/>
                      <w:szCs w:val="21"/>
                    </w:rPr>
                    <w:t>原料（</w:t>
                  </w:r>
                  <w:r>
                    <w:rPr>
                      <w:color w:val="auto"/>
                      <w:szCs w:val="21"/>
                    </w:rPr>
                    <w:t>t/a</w:t>
                  </w:r>
                  <w:r>
                    <w:rPr>
                      <w:rFonts w:hint="eastAsia"/>
                      <w:color w:val="auto"/>
                      <w:szCs w:val="21"/>
                    </w:rPr>
                    <w:t>）</w:t>
                  </w:r>
                </w:p>
              </w:tc>
              <w:tc>
                <w:tcPr>
                  <w:tcW w:w="1097" w:type="pct"/>
                  <w:tcBorders>
                    <w:top w:val="single" w:color="auto" w:sz="4" w:space="0"/>
                    <w:left w:val="nil"/>
                    <w:bottom w:val="single" w:color="auto" w:sz="4" w:space="0"/>
                    <w:right w:val="single" w:color="auto" w:sz="4" w:space="0"/>
                  </w:tcBorders>
                  <w:shd w:val="clear" w:color="auto" w:fill="auto"/>
                  <w:vAlign w:val="center"/>
                </w:tcPr>
                <w:p w14:paraId="6874E24B">
                  <w:pPr>
                    <w:jc w:val="center"/>
                    <w:rPr>
                      <w:rFonts w:hint="default" w:eastAsia="宋体"/>
                      <w:color w:val="auto"/>
                      <w:szCs w:val="21"/>
                      <w:lang w:val="en-US" w:eastAsia="zh-CN"/>
                    </w:rPr>
                  </w:pPr>
                  <w:r>
                    <w:rPr>
                      <w:rFonts w:hint="eastAsia"/>
                      <w:color w:val="auto"/>
                      <w:szCs w:val="21"/>
                      <w:lang w:val="en-US" w:eastAsia="zh-CN"/>
                    </w:rPr>
                    <w:t>污染物指标</w:t>
                  </w:r>
                </w:p>
              </w:tc>
              <w:tc>
                <w:tcPr>
                  <w:tcW w:w="1402" w:type="pct"/>
                  <w:tcBorders>
                    <w:top w:val="single" w:color="auto" w:sz="4" w:space="0"/>
                    <w:left w:val="nil"/>
                    <w:bottom w:val="single" w:color="auto" w:sz="4" w:space="0"/>
                    <w:right w:val="single" w:color="auto" w:sz="4" w:space="0"/>
                  </w:tcBorders>
                  <w:shd w:val="clear" w:color="auto" w:fill="auto"/>
                  <w:vAlign w:val="center"/>
                </w:tcPr>
                <w:p w14:paraId="71C9A337">
                  <w:pPr>
                    <w:jc w:val="center"/>
                    <w:rPr>
                      <w:color w:val="auto"/>
                      <w:szCs w:val="21"/>
                    </w:rPr>
                  </w:pPr>
                  <w:r>
                    <w:rPr>
                      <w:rFonts w:hint="eastAsia"/>
                      <w:color w:val="auto"/>
                      <w:szCs w:val="21"/>
                      <w:lang w:val="en-US" w:eastAsia="zh-CN"/>
                    </w:rPr>
                    <w:t>产污</w:t>
                  </w:r>
                  <w:r>
                    <w:rPr>
                      <w:rFonts w:hint="eastAsia"/>
                      <w:color w:val="auto"/>
                      <w:szCs w:val="21"/>
                    </w:rPr>
                    <w:t>系数</w:t>
                  </w:r>
                </w:p>
              </w:tc>
              <w:tc>
                <w:tcPr>
                  <w:tcW w:w="1403" w:type="pct"/>
                  <w:tcBorders>
                    <w:top w:val="single" w:color="auto" w:sz="4" w:space="0"/>
                    <w:left w:val="nil"/>
                    <w:bottom w:val="single" w:color="auto" w:sz="4" w:space="0"/>
                    <w:right w:val="single" w:color="auto" w:sz="4" w:space="0"/>
                  </w:tcBorders>
                  <w:shd w:val="clear" w:color="auto" w:fill="auto"/>
                  <w:vAlign w:val="center"/>
                </w:tcPr>
                <w:p w14:paraId="5DC33CAA">
                  <w:pPr>
                    <w:jc w:val="center"/>
                    <w:rPr>
                      <w:color w:val="auto"/>
                      <w:szCs w:val="21"/>
                    </w:rPr>
                  </w:pPr>
                  <w:r>
                    <w:rPr>
                      <w:rFonts w:hint="eastAsia"/>
                      <w:color w:val="auto"/>
                      <w:szCs w:val="21"/>
                    </w:rPr>
                    <w:t>产生量（</w:t>
                  </w:r>
                  <w:r>
                    <w:rPr>
                      <w:color w:val="auto"/>
                      <w:szCs w:val="21"/>
                    </w:rPr>
                    <w:t>t/a</w:t>
                  </w:r>
                  <w:r>
                    <w:rPr>
                      <w:rFonts w:hint="eastAsia"/>
                      <w:color w:val="auto"/>
                      <w:szCs w:val="21"/>
                    </w:rPr>
                    <w:t>）</w:t>
                  </w:r>
                </w:p>
              </w:tc>
            </w:tr>
            <w:tr w14:paraId="11861AB5">
              <w:tblPrEx>
                <w:tblCellMar>
                  <w:top w:w="0" w:type="dxa"/>
                  <w:left w:w="108" w:type="dxa"/>
                  <w:bottom w:w="0" w:type="dxa"/>
                  <w:right w:w="108" w:type="dxa"/>
                </w:tblCellMar>
              </w:tblPrEx>
              <w:trPr>
                <w:trHeight w:val="270" w:hRule="atLeast"/>
                <w:jc w:val="center"/>
              </w:trPr>
              <w:tc>
                <w:tcPr>
                  <w:tcW w:w="1097" w:type="pct"/>
                  <w:vMerge w:val="restart"/>
                  <w:tcBorders>
                    <w:top w:val="nil"/>
                    <w:left w:val="single" w:color="auto" w:sz="4" w:space="0"/>
                    <w:bottom w:val="single" w:color="auto" w:sz="4" w:space="0"/>
                    <w:right w:val="single" w:color="auto" w:sz="4" w:space="0"/>
                  </w:tcBorders>
                  <w:shd w:val="clear" w:color="auto" w:fill="auto"/>
                  <w:vAlign w:val="center"/>
                </w:tcPr>
                <w:p w14:paraId="2B882A43">
                  <w:pPr>
                    <w:jc w:val="center"/>
                    <w:rPr>
                      <w:rFonts w:hint="default" w:eastAsia="宋体"/>
                      <w:color w:val="auto"/>
                      <w:szCs w:val="21"/>
                      <w:lang w:val="en-US" w:eastAsia="zh-CN"/>
                    </w:rPr>
                  </w:pPr>
                  <w:r>
                    <w:rPr>
                      <w:rFonts w:hint="eastAsia"/>
                      <w:color w:val="auto"/>
                      <w:szCs w:val="21"/>
                      <w:lang w:val="en-US" w:eastAsia="zh-CN"/>
                    </w:rPr>
                    <w:t>1236</w:t>
                  </w:r>
                </w:p>
              </w:tc>
              <w:tc>
                <w:tcPr>
                  <w:tcW w:w="1097" w:type="pct"/>
                  <w:tcBorders>
                    <w:top w:val="nil"/>
                    <w:left w:val="nil"/>
                    <w:bottom w:val="single" w:color="auto" w:sz="4" w:space="0"/>
                    <w:right w:val="single" w:color="auto" w:sz="4" w:space="0"/>
                  </w:tcBorders>
                  <w:shd w:val="clear" w:color="auto" w:fill="auto"/>
                  <w:vAlign w:val="center"/>
                </w:tcPr>
                <w:p w14:paraId="3E44B7FC">
                  <w:pPr>
                    <w:jc w:val="center"/>
                    <w:rPr>
                      <w:color w:val="auto"/>
                      <w:szCs w:val="21"/>
                    </w:rPr>
                  </w:pPr>
                  <w:r>
                    <w:rPr>
                      <w:rFonts w:hint="eastAsia"/>
                      <w:color w:val="auto"/>
                      <w:szCs w:val="21"/>
                      <w:lang w:val="en-US" w:eastAsia="zh-CN"/>
                    </w:rPr>
                    <w:t>颗粒物</w:t>
                  </w:r>
                </w:p>
              </w:tc>
              <w:tc>
                <w:tcPr>
                  <w:tcW w:w="1402" w:type="pct"/>
                  <w:tcBorders>
                    <w:top w:val="nil"/>
                    <w:left w:val="nil"/>
                    <w:bottom w:val="single" w:color="auto" w:sz="4" w:space="0"/>
                    <w:right w:val="single" w:color="auto" w:sz="4" w:space="0"/>
                  </w:tcBorders>
                  <w:shd w:val="clear" w:color="auto" w:fill="auto"/>
                  <w:vAlign w:val="center"/>
                </w:tcPr>
                <w:p w14:paraId="159F3D15">
                  <w:pPr>
                    <w:jc w:val="center"/>
                    <w:rPr>
                      <w:rFonts w:hint="default" w:ascii="Times New Roman" w:hAnsi="Times New Roman" w:eastAsia="宋体" w:cs="Times New Roman"/>
                      <w:color w:val="auto"/>
                      <w:szCs w:val="21"/>
                      <w:lang w:val="en-US"/>
                    </w:rPr>
                  </w:pPr>
                  <w:r>
                    <w:rPr>
                      <w:rFonts w:hint="eastAsia" w:cs="Times New Roman"/>
                      <w:color w:val="auto"/>
                      <w:szCs w:val="21"/>
                      <w:lang w:val="en-US" w:eastAsia="zh-CN"/>
                    </w:rPr>
                    <w:t>0.5</w:t>
                  </w:r>
                  <w:r>
                    <w:rPr>
                      <w:rFonts w:hint="eastAsia" w:ascii="Times New Roman" w:hAnsi="Times New Roman" w:eastAsia="宋体" w:cs="Times New Roman"/>
                      <w:color w:val="auto"/>
                      <w:szCs w:val="21"/>
                      <w:lang w:val="en-US" w:eastAsia="zh-CN"/>
                    </w:rPr>
                    <w:t>kg/t</w:t>
                  </w:r>
                  <w:r>
                    <w:rPr>
                      <w:rFonts w:hint="eastAsia"/>
                      <w:color w:val="auto"/>
                      <w:szCs w:val="21"/>
                      <w:lang w:val="en-US" w:eastAsia="zh-CN"/>
                    </w:rPr>
                    <w:t>原料</w:t>
                  </w:r>
                </w:p>
              </w:tc>
              <w:tc>
                <w:tcPr>
                  <w:tcW w:w="1403" w:type="pct"/>
                  <w:tcBorders>
                    <w:top w:val="nil"/>
                    <w:left w:val="nil"/>
                    <w:bottom w:val="single" w:color="auto" w:sz="4" w:space="0"/>
                    <w:right w:val="single" w:color="auto" w:sz="4" w:space="0"/>
                  </w:tcBorders>
                  <w:shd w:val="clear" w:color="auto" w:fill="auto"/>
                  <w:vAlign w:val="center"/>
                </w:tcPr>
                <w:p w14:paraId="3E0E0E3A">
                  <w:pPr>
                    <w:jc w:val="center"/>
                    <w:rPr>
                      <w:rFonts w:hint="default" w:eastAsia="宋体"/>
                      <w:color w:val="auto"/>
                      <w:szCs w:val="21"/>
                      <w:lang w:val="en-US" w:eastAsia="zh-CN"/>
                    </w:rPr>
                  </w:pPr>
                  <w:r>
                    <w:rPr>
                      <w:rFonts w:hint="eastAsia"/>
                      <w:color w:val="auto"/>
                      <w:szCs w:val="21"/>
                      <w:lang w:val="en-US" w:eastAsia="zh-CN"/>
                    </w:rPr>
                    <w:t>0.618</w:t>
                  </w:r>
                </w:p>
              </w:tc>
            </w:tr>
            <w:tr w14:paraId="5669700E">
              <w:tblPrEx>
                <w:tblCellMar>
                  <w:top w:w="0" w:type="dxa"/>
                  <w:left w:w="108" w:type="dxa"/>
                  <w:bottom w:w="0" w:type="dxa"/>
                  <w:right w:w="108" w:type="dxa"/>
                </w:tblCellMar>
              </w:tblPrEx>
              <w:trPr>
                <w:trHeight w:val="270" w:hRule="atLeast"/>
                <w:jc w:val="center"/>
              </w:trPr>
              <w:tc>
                <w:tcPr>
                  <w:tcW w:w="1097" w:type="pct"/>
                  <w:vMerge w:val="continue"/>
                  <w:tcBorders>
                    <w:top w:val="nil"/>
                    <w:left w:val="single" w:color="auto" w:sz="4" w:space="0"/>
                    <w:bottom w:val="single" w:color="auto" w:sz="4" w:space="0"/>
                    <w:right w:val="single" w:color="auto" w:sz="4" w:space="0"/>
                  </w:tcBorders>
                  <w:vAlign w:val="center"/>
                </w:tcPr>
                <w:p w14:paraId="1A69EA5C">
                  <w:pPr>
                    <w:jc w:val="center"/>
                    <w:rPr>
                      <w:color w:val="auto"/>
                      <w:szCs w:val="21"/>
                    </w:rPr>
                  </w:pPr>
                </w:p>
              </w:tc>
              <w:tc>
                <w:tcPr>
                  <w:tcW w:w="1097" w:type="pct"/>
                  <w:tcBorders>
                    <w:top w:val="nil"/>
                    <w:left w:val="nil"/>
                    <w:bottom w:val="single" w:color="auto" w:sz="4" w:space="0"/>
                    <w:right w:val="single" w:color="auto" w:sz="4" w:space="0"/>
                  </w:tcBorders>
                  <w:shd w:val="clear" w:color="auto" w:fill="auto"/>
                  <w:vAlign w:val="center"/>
                </w:tcPr>
                <w:p w14:paraId="6320DA79">
                  <w:pPr>
                    <w:jc w:val="center"/>
                    <w:rPr>
                      <w:rFonts w:hint="eastAsia" w:eastAsia="宋体"/>
                      <w:color w:val="auto"/>
                      <w:szCs w:val="21"/>
                      <w:lang w:eastAsia="zh-CN"/>
                    </w:rPr>
                  </w:pPr>
                  <w:r>
                    <w:rPr>
                      <w:rFonts w:hint="eastAsia"/>
                      <w:color w:val="auto"/>
                      <w:szCs w:val="21"/>
                    </w:rPr>
                    <w:t>SO</w:t>
                  </w:r>
                  <w:r>
                    <w:rPr>
                      <w:rFonts w:hint="eastAsia"/>
                      <w:color w:val="auto"/>
                      <w:szCs w:val="21"/>
                      <w:vertAlign w:val="subscript"/>
                    </w:rPr>
                    <w:t>2</w:t>
                  </w:r>
                </w:p>
              </w:tc>
              <w:tc>
                <w:tcPr>
                  <w:tcW w:w="1402" w:type="pct"/>
                  <w:tcBorders>
                    <w:top w:val="nil"/>
                    <w:left w:val="nil"/>
                    <w:bottom w:val="single" w:color="auto" w:sz="4" w:space="0"/>
                    <w:right w:val="single" w:color="auto" w:sz="4" w:space="0"/>
                  </w:tcBorders>
                  <w:shd w:val="clear" w:color="auto" w:fill="auto"/>
                  <w:vAlign w:val="center"/>
                </w:tcPr>
                <w:p w14:paraId="486BF1BC">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17S</w:t>
                  </w:r>
                  <w:r>
                    <w:rPr>
                      <w:rFonts w:hint="eastAsia"/>
                      <w:color w:val="auto"/>
                      <w:szCs w:val="21"/>
                      <w:lang w:val="en-US" w:eastAsia="zh-CN"/>
                    </w:rPr>
                    <w:t>原料</w:t>
                  </w:r>
                </w:p>
              </w:tc>
              <w:tc>
                <w:tcPr>
                  <w:tcW w:w="1403" w:type="pct"/>
                  <w:tcBorders>
                    <w:top w:val="nil"/>
                    <w:left w:val="nil"/>
                    <w:bottom w:val="single" w:color="auto" w:sz="4" w:space="0"/>
                    <w:right w:val="single" w:color="auto" w:sz="4" w:space="0"/>
                  </w:tcBorders>
                  <w:shd w:val="clear" w:color="auto" w:fill="auto"/>
                  <w:vAlign w:val="center"/>
                </w:tcPr>
                <w:p w14:paraId="7B6A51D5">
                  <w:pPr>
                    <w:jc w:val="center"/>
                    <w:rPr>
                      <w:rFonts w:hint="default" w:eastAsia="宋体"/>
                      <w:color w:val="auto"/>
                      <w:szCs w:val="21"/>
                      <w:lang w:val="en-US" w:eastAsia="zh-CN"/>
                    </w:rPr>
                  </w:pPr>
                  <w:r>
                    <w:rPr>
                      <w:rFonts w:hint="eastAsia"/>
                      <w:color w:val="auto"/>
                      <w:szCs w:val="21"/>
                      <w:lang w:val="en-US" w:eastAsia="zh-CN"/>
                    </w:rPr>
                    <w:t>1.051</w:t>
                  </w:r>
                </w:p>
              </w:tc>
            </w:tr>
            <w:tr w14:paraId="70E1A7AD">
              <w:tblPrEx>
                <w:tblCellMar>
                  <w:top w:w="0" w:type="dxa"/>
                  <w:left w:w="108" w:type="dxa"/>
                  <w:bottom w:w="0" w:type="dxa"/>
                  <w:right w:w="108" w:type="dxa"/>
                </w:tblCellMar>
              </w:tblPrEx>
              <w:trPr>
                <w:trHeight w:val="136" w:hRule="atLeast"/>
                <w:jc w:val="center"/>
              </w:trPr>
              <w:tc>
                <w:tcPr>
                  <w:tcW w:w="1097" w:type="pct"/>
                  <w:vMerge w:val="continue"/>
                  <w:tcBorders>
                    <w:top w:val="nil"/>
                    <w:left w:val="single" w:color="auto" w:sz="4" w:space="0"/>
                    <w:bottom w:val="single" w:color="auto" w:sz="4" w:space="0"/>
                    <w:right w:val="single" w:color="auto" w:sz="4" w:space="0"/>
                  </w:tcBorders>
                  <w:vAlign w:val="center"/>
                </w:tcPr>
                <w:p w14:paraId="391D44B6">
                  <w:pPr>
                    <w:jc w:val="center"/>
                    <w:rPr>
                      <w:color w:val="auto"/>
                      <w:szCs w:val="21"/>
                    </w:rPr>
                  </w:pPr>
                </w:p>
              </w:tc>
              <w:tc>
                <w:tcPr>
                  <w:tcW w:w="1097" w:type="pct"/>
                  <w:tcBorders>
                    <w:top w:val="nil"/>
                    <w:left w:val="nil"/>
                    <w:bottom w:val="single" w:color="auto" w:sz="4" w:space="0"/>
                    <w:right w:val="single" w:color="auto" w:sz="4" w:space="0"/>
                  </w:tcBorders>
                  <w:shd w:val="clear" w:color="auto" w:fill="auto"/>
                  <w:vAlign w:val="center"/>
                </w:tcPr>
                <w:p w14:paraId="7D2B8BF7">
                  <w:pPr>
                    <w:jc w:val="center"/>
                    <w:rPr>
                      <w:color w:val="auto"/>
                      <w:szCs w:val="21"/>
                    </w:rPr>
                  </w:pPr>
                  <w:r>
                    <w:rPr>
                      <w:rFonts w:hint="eastAsia"/>
                      <w:color w:val="auto"/>
                      <w:szCs w:val="21"/>
                    </w:rPr>
                    <w:t>NO</w:t>
                  </w:r>
                  <w:r>
                    <w:rPr>
                      <w:rFonts w:hint="eastAsia"/>
                      <w:color w:val="auto"/>
                      <w:szCs w:val="21"/>
                      <w:vertAlign w:val="subscript"/>
                    </w:rPr>
                    <w:t>x</w:t>
                  </w:r>
                </w:p>
              </w:tc>
              <w:tc>
                <w:tcPr>
                  <w:tcW w:w="1402" w:type="pct"/>
                  <w:tcBorders>
                    <w:top w:val="nil"/>
                    <w:left w:val="nil"/>
                    <w:bottom w:val="single" w:color="auto" w:sz="4" w:space="0"/>
                    <w:right w:val="single" w:color="auto" w:sz="4" w:space="0"/>
                  </w:tcBorders>
                  <w:shd w:val="clear" w:color="auto" w:fill="auto"/>
                  <w:vAlign w:val="center"/>
                </w:tcPr>
                <w:p w14:paraId="3694CE77">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1.02kg/t</w:t>
                  </w:r>
                  <w:r>
                    <w:rPr>
                      <w:rFonts w:hint="eastAsia"/>
                      <w:color w:val="auto"/>
                      <w:szCs w:val="21"/>
                      <w:lang w:val="en-US" w:eastAsia="zh-CN"/>
                    </w:rPr>
                    <w:t>原料</w:t>
                  </w:r>
                </w:p>
              </w:tc>
              <w:tc>
                <w:tcPr>
                  <w:tcW w:w="1403" w:type="pct"/>
                  <w:tcBorders>
                    <w:top w:val="nil"/>
                    <w:left w:val="nil"/>
                    <w:bottom w:val="single" w:color="auto" w:sz="4" w:space="0"/>
                    <w:right w:val="single" w:color="auto" w:sz="4" w:space="0"/>
                  </w:tcBorders>
                  <w:shd w:val="clear" w:color="auto" w:fill="auto"/>
                  <w:vAlign w:val="center"/>
                </w:tcPr>
                <w:p w14:paraId="5C61B4CF">
                  <w:pPr>
                    <w:jc w:val="center"/>
                    <w:rPr>
                      <w:rFonts w:hint="default" w:eastAsia="宋体"/>
                      <w:color w:val="auto"/>
                      <w:szCs w:val="21"/>
                      <w:lang w:val="en-US" w:eastAsia="zh-CN"/>
                    </w:rPr>
                  </w:pPr>
                  <w:r>
                    <w:rPr>
                      <w:rFonts w:hint="eastAsia"/>
                      <w:color w:val="auto"/>
                      <w:szCs w:val="21"/>
                      <w:lang w:val="en-US" w:eastAsia="zh-CN"/>
                    </w:rPr>
                    <w:t>1.261</w:t>
                  </w:r>
                </w:p>
              </w:tc>
            </w:tr>
            <w:tr w14:paraId="6E273DC1">
              <w:tblPrEx>
                <w:tblCellMar>
                  <w:top w:w="0" w:type="dxa"/>
                  <w:left w:w="108" w:type="dxa"/>
                  <w:bottom w:w="0" w:type="dxa"/>
                  <w:right w:w="108" w:type="dxa"/>
                </w:tblCellMar>
              </w:tblPrEx>
              <w:trPr>
                <w:trHeight w:val="136" w:hRule="atLeast"/>
                <w:jc w:val="center"/>
              </w:trPr>
              <w:tc>
                <w:tcPr>
                  <w:tcW w:w="1097" w:type="pct"/>
                  <w:vMerge w:val="continue"/>
                  <w:tcBorders>
                    <w:left w:val="single" w:color="auto" w:sz="4" w:space="0"/>
                    <w:bottom w:val="single" w:color="auto" w:sz="4" w:space="0"/>
                    <w:right w:val="single" w:color="auto" w:sz="4" w:space="0"/>
                  </w:tcBorders>
                  <w:vAlign w:val="center"/>
                </w:tcPr>
                <w:p w14:paraId="760B31B4">
                  <w:pPr>
                    <w:jc w:val="center"/>
                  </w:pPr>
                </w:p>
              </w:tc>
              <w:tc>
                <w:tcPr>
                  <w:tcW w:w="1097" w:type="pct"/>
                  <w:tcBorders>
                    <w:top w:val="nil"/>
                    <w:left w:val="nil"/>
                    <w:bottom w:val="single" w:color="auto" w:sz="4" w:space="0"/>
                    <w:right w:val="single" w:color="auto" w:sz="4" w:space="0"/>
                  </w:tcBorders>
                  <w:shd w:val="clear" w:color="auto" w:fill="auto"/>
                  <w:vAlign w:val="center"/>
                </w:tcPr>
                <w:p w14:paraId="1D819D33">
                  <w:pPr>
                    <w:jc w:val="center"/>
                    <w:rPr>
                      <w:rFonts w:hint="default" w:eastAsia="宋体"/>
                      <w:color w:val="auto"/>
                      <w:szCs w:val="21"/>
                      <w:lang w:val="en-US" w:eastAsia="zh-CN"/>
                    </w:rPr>
                  </w:pPr>
                  <w:r>
                    <w:rPr>
                      <w:rFonts w:hint="eastAsia"/>
                      <w:color w:val="auto"/>
                      <w:szCs w:val="21"/>
                      <w:lang w:val="en-US" w:eastAsia="zh-CN"/>
                    </w:rPr>
                    <w:t>废气量</w:t>
                  </w:r>
                </w:p>
              </w:tc>
              <w:tc>
                <w:tcPr>
                  <w:tcW w:w="1402" w:type="pct"/>
                  <w:tcBorders>
                    <w:top w:val="nil"/>
                    <w:left w:val="nil"/>
                    <w:bottom w:val="single" w:color="auto" w:sz="4" w:space="0"/>
                    <w:right w:val="single" w:color="auto" w:sz="4" w:space="0"/>
                  </w:tcBorders>
                  <w:shd w:val="clear" w:color="auto" w:fill="auto"/>
                  <w:vAlign w:val="center"/>
                </w:tcPr>
                <w:p w14:paraId="3509B8DD">
                  <w:pPr>
                    <w:jc w:val="center"/>
                    <w:rPr>
                      <w:rFonts w:hint="default" w:eastAsia="宋体"/>
                      <w:color w:val="auto"/>
                      <w:szCs w:val="21"/>
                      <w:lang w:val="en-US" w:eastAsia="zh-CN"/>
                    </w:rPr>
                  </w:pPr>
                  <w:r>
                    <w:rPr>
                      <w:rFonts w:hint="eastAsia"/>
                      <w:color w:val="auto"/>
                      <w:szCs w:val="21"/>
                      <w:lang w:val="en-US" w:eastAsia="zh-CN"/>
                    </w:rPr>
                    <w:t>6240m</w:t>
                  </w:r>
                  <w:r>
                    <w:rPr>
                      <w:rFonts w:hint="eastAsia"/>
                      <w:color w:val="auto"/>
                      <w:szCs w:val="21"/>
                      <w:vertAlign w:val="superscript"/>
                      <w:lang w:val="en-US" w:eastAsia="zh-CN"/>
                    </w:rPr>
                    <w:t>3</w:t>
                  </w:r>
                  <w:r>
                    <w:rPr>
                      <w:rFonts w:hint="eastAsia"/>
                      <w:color w:val="auto"/>
                      <w:szCs w:val="21"/>
                      <w:lang w:val="en-US" w:eastAsia="zh-CN"/>
                    </w:rPr>
                    <w:t>/t原料</w:t>
                  </w:r>
                </w:p>
              </w:tc>
              <w:tc>
                <w:tcPr>
                  <w:tcW w:w="1403" w:type="pct"/>
                  <w:tcBorders>
                    <w:top w:val="nil"/>
                    <w:left w:val="nil"/>
                    <w:bottom w:val="single" w:color="auto" w:sz="4" w:space="0"/>
                    <w:right w:val="single" w:color="auto" w:sz="4" w:space="0"/>
                  </w:tcBorders>
                  <w:shd w:val="clear" w:color="auto" w:fill="auto"/>
                  <w:vAlign w:val="center"/>
                </w:tcPr>
                <w:p w14:paraId="1C0D714C">
                  <w:pPr>
                    <w:jc w:val="center"/>
                    <w:rPr>
                      <w:rFonts w:hint="default" w:eastAsia="宋体"/>
                      <w:color w:val="auto"/>
                      <w:szCs w:val="21"/>
                      <w:lang w:val="en-US" w:eastAsia="zh-CN"/>
                    </w:rPr>
                  </w:pPr>
                  <w:r>
                    <w:rPr>
                      <w:rFonts w:hint="eastAsia"/>
                      <w:color w:val="auto"/>
                      <w:szCs w:val="21"/>
                      <w:lang w:val="en-US" w:eastAsia="zh-CN"/>
                    </w:rPr>
                    <w:t>7712640m</w:t>
                  </w:r>
                  <w:r>
                    <w:rPr>
                      <w:rFonts w:hint="eastAsia"/>
                      <w:color w:val="auto"/>
                      <w:szCs w:val="21"/>
                      <w:vertAlign w:val="superscript"/>
                      <w:lang w:val="en-US" w:eastAsia="zh-CN"/>
                    </w:rPr>
                    <w:t>3</w:t>
                  </w:r>
                </w:p>
              </w:tc>
            </w:tr>
            <w:tr w14:paraId="780DEAC9">
              <w:tblPrEx>
                <w:tblCellMar>
                  <w:top w:w="0" w:type="dxa"/>
                  <w:left w:w="108" w:type="dxa"/>
                  <w:bottom w:w="0" w:type="dxa"/>
                  <w:right w:w="108" w:type="dxa"/>
                </w:tblCellMar>
              </w:tblPrEx>
              <w:trPr>
                <w:trHeight w:val="27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5A8BF80">
                  <w:pPr>
                    <w:jc w:val="left"/>
                    <w:rPr>
                      <w:rFonts w:hint="eastAsia"/>
                      <w:color w:val="auto"/>
                      <w:szCs w:val="21"/>
                      <w:lang w:val="en-US" w:eastAsia="zh-CN"/>
                    </w:rPr>
                  </w:pPr>
                  <w:r>
                    <w:rPr>
                      <w:rFonts w:hint="eastAsia"/>
                      <w:color w:val="auto"/>
                      <w:szCs w:val="21"/>
                      <w:lang w:val="en-US" w:eastAsia="zh-CN"/>
                    </w:rPr>
                    <w:t>注：生物质颗粒含硫量小于0.05，本项目取 0.05进行计算</w:t>
                  </w:r>
                </w:p>
              </w:tc>
            </w:tr>
          </w:tbl>
          <w:p w14:paraId="630E8348">
            <w:pPr>
              <w:pStyle w:val="27"/>
              <w:spacing w:before="0" w:beforeAutospacing="0" w:after="0" w:afterAutospacing="0" w:line="360" w:lineRule="auto"/>
              <w:ind w:firstLine="480" w:firstLineChars="200"/>
              <w:jc w:val="both"/>
              <w:rPr>
                <w:rFonts w:ascii="宋体" w:hAnsi="Calibri"/>
                <w:bCs/>
                <w:color w:val="auto"/>
                <w:szCs w:val="32"/>
              </w:rPr>
            </w:pPr>
            <w:r>
              <w:rPr>
                <w:rFonts w:hint="eastAsia" w:ascii="Times New Roman" w:hAnsi="Times New Roman"/>
                <w:color w:val="auto"/>
                <w:szCs w:val="24"/>
                <w:lang w:val="en-US" w:eastAsia="zh-CN"/>
              </w:rPr>
              <w:t>本项目锅炉燃烧废气采用一套布袋除尘器处理，</w:t>
            </w:r>
            <w:r>
              <w:rPr>
                <w:rFonts w:hint="eastAsia" w:ascii="Times New Roman" w:hAnsi="Times New Roman" w:cs="Times New Roman"/>
                <w:color w:val="auto"/>
                <w:sz w:val="24"/>
                <w:szCs w:val="32"/>
                <w:lang w:val="en-US" w:eastAsia="zh-CN"/>
              </w:rPr>
              <w:t>废气经收集</w:t>
            </w:r>
            <w:r>
              <w:rPr>
                <w:rFonts w:hint="eastAsia" w:ascii="Times New Roman" w:hAnsi="Times New Roman"/>
                <w:color w:val="auto"/>
                <w:szCs w:val="24"/>
                <w:lang w:val="en-US" w:eastAsia="zh-CN"/>
              </w:rPr>
              <w:t>处理后由一根DA002排气筒排放，燃烧废气收集率为100%。</w:t>
            </w:r>
          </w:p>
          <w:p w14:paraId="563BF687">
            <w:pPr>
              <w:spacing w:line="360" w:lineRule="auto"/>
              <w:jc w:val="center"/>
              <w:rPr>
                <w:rFonts w:hint="eastAsia" w:eastAsia="宋体"/>
                <w:b/>
                <w:color w:val="FF0000"/>
                <w:sz w:val="24"/>
                <w:lang w:eastAsia="zh-CN"/>
              </w:rPr>
            </w:pPr>
            <w:r>
              <w:rPr>
                <w:rFonts w:hint="eastAsia" w:eastAsia="宋体"/>
                <w:b/>
                <w:color w:val="FF0000"/>
                <w:sz w:val="24"/>
                <w:lang w:eastAsia="zh-CN"/>
              </w:rPr>
              <w:drawing>
                <wp:inline distT="0" distB="0" distL="114300" distR="114300">
                  <wp:extent cx="4780915" cy="2029460"/>
                  <wp:effectExtent l="0" t="0" r="0" b="0"/>
                  <wp:docPr id="16" name="ECB019B1-382A-4266-B25C-5B523AA43C14-4" descr="C:/Users/Administrator/AppData/Local/Temp/wps.dNPAS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CB019B1-382A-4266-B25C-5B523AA43C14-4" descr="C:/Users/Administrator/AppData/Local/Temp/wps.dNPASawps"/>
                          <pic:cNvPicPr>
                            <a:picLocks noChangeAspect="1"/>
                          </pic:cNvPicPr>
                        </pic:nvPicPr>
                        <pic:blipFill>
                          <a:blip r:embed="rId13"/>
                          <a:stretch>
                            <a:fillRect/>
                          </a:stretch>
                        </pic:blipFill>
                        <pic:spPr>
                          <a:xfrm>
                            <a:off x="0" y="0"/>
                            <a:ext cx="4780915" cy="2029460"/>
                          </a:xfrm>
                          <a:prstGeom prst="rect">
                            <a:avLst/>
                          </a:prstGeom>
                        </pic:spPr>
                      </pic:pic>
                    </a:graphicData>
                  </a:graphic>
                </wp:inline>
              </w:drawing>
            </w:r>
          </w:p>
          <w:p w14:paraId="4F2DDF29">
            <w:pPr>
              <w:spacing w:line="360" w:lineRule="auto"/>
              <w:jc w:val="center"/>
              <w:rPr>
                <w:color w:val="FF0000"/>
                <w:kern w:val="0"/>
                <w:szCs w:val="21"/>
              </w:rPr>
            </w:pPr>
            <w:r>
              <w:rPr>
                <w:b/>
                <w:color w:val="auto"/>
                <w:sz w:val="24"/>
              </w:rPr>
              <w:t>图4-</w:t>
            </w:r>
            <w:r>
              <w:rPr>
                <w:rFonts w:hint="eastAsia"/>
                <w:b/>
                <w:color w:val="auto"/>
                <w:sz w:val="24"/>
              </w:rPr>
              <w:t xml:space="preserve">1 </w:t>
            </w:r>
            <w:r>
              <w:rPr>
                <w:b/>
                <w:color w:val="auto"/>
                <w:sz w:val="24"/>
              </w:rPr>
              <w:t xml:space="preserve"> </w:t>
            </w:r>
            <w:r>
              <w:rPr>
                <w:rFonts w:hint="eastAsia"/>
                <w:b/>
                <w:color w:val="auto"/>
                <w:sz w:val="24"/>
              </w:rPr>
              <w:t>有组织</w:t>
            </w:r>
            <w:r>
              <w:rPr>
                <w:b/>
                <w:color w:val="auto"/>
                <w:sz w:val="24"/>
              </w:rPr>
              <w:t>废气收集管线图</w:t>
            </w:r>
          </w:p>
        </w:tc>
      </w:tr>
    </w:tbl>
    <w:p w14:paraId="260D41DC">
      <w:pPr>
        <w:adjustRightInd w:val="0"/>
        <w:snapToGrid w:val="0"/>
        <w:spacing w:line="360" w:lineRule="auto"/>
        <w:rPr>
          <w:b/>
          <w:color w:val="FF0000"/>
          <w:kern w:val="0"/>
          <w:sz w:val="28"/>
          <w:szCs w:val="28"/>
        </w:rPr>
        <w:sectPr>
          <w:pgSz w:w="11905" w:h="16838"/>
          <w:pgMar w:top="1417" w:right="1417" w:bottom="1417" w:left="1417" w:header="851" w:footer="850" w:gutter="0"/>
          <w:cols w:space="0" w:num="1"/>
          <w:docGrid w:linePitch="312" w:charSpace="0"/>
        </w:sectPr>
      </w:pPr>
    </w:p>
    <w:p w14:paraId="00D51003">
      <w:pPr>
        <w:pStyle w:val="16"/>
        <w:ind w:firstLine="480"/>
        <w:rPr>
          <w:color w:val="FF0000"/>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3692"/>
      </w:tblGrid>
      <w:tr w14:paraId="74D0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5" w:hRule="atLeast"/>
          <w:jc w:val="center"/>
        </w:trPr>
        <w:tc>
          <w:tcPr>
            <w:tcW w:w="339" w:type="dxa"/>
          </w:tcPr>
          <w:p w14:paraId="51482F24">
            <w:pPr>
              <w:rPr>
                <w:b/>
                <w:color w:val="FF0000"/>
                <w:kern w:val="0"/>
                <w:sz w:val="28"/>
                <w:szCs w:val="28"/>
              </w:rPr>
            </w:pPr>
            <w:r>
              <w:rPr>
                <w:b/>
                <w:bCs/>
                <w:color w:val="auto"/>
                <w:sz w:val="24"/>
                <w:szCs w:val="32"/>
              </w:rPr>
              <w:t>运营期环境影响和保护措施</w:t>
            </w:r>
          </w:p>
        </w:tc>
        <w:tc>
          <w:tcPr>
            <w:tcW w:w="13692" w:type="dxa"/>
          </w:tcPr>
          <w:p w14:paraId="3EABCEE0">
            <w:pPr>
              <w:spacing w:line="360" w:lineRule="auto"/>
              <w:jc w:val="center"/>
              <w:rPr>
                <w:b/>
                <w:color w:val="auto"/>
                <w:kern w:val="0"/>
                <w:sz w:val="24"/>
              </w:rPr>
            </w:pPr>
            <w:r>
              <w:rPr>
                <w:b/>
                <w:color w:val="auto"/>
                <w:sz w:val="24"/>
              </w:rPr>
              <w:t>表4-</w:t>
            </w:r>
            <w:r>
              <w:rPr>
                <w:rFonts w:hint="eastAsia"/>
                <w:b/>
                <w:color w:val="auto"/>
                <w:sz w:val="24"/>
              </w:rPr>
              <w:t>2</w:t>
            </w:r>
            <w:r>
              <w:rPr>
                <w:b/>
                <w:color w:val="auto"/>
                <w:sz w:val="24"/>
              </w:rPr>
              <w:t xml:space="preserve">  </w:t>
            </w:r>
            <w:r>
              <w:rPr>
                <w:b/>
                <w:color w:val="auto"/>
                <w:kern w:val="0"/>
                <w:sz w:val="24"/>
              </w:rPr>
              <w:t>项目大气</w:t>
            </w:r>
            <w:r>
              <w:rPr>
                <w:rFonts w:hint="eastAsia"/>
                <w:b/>
                <w:color w:val="auto"/>
                <w:kern w:val="0"/>
                <w:sz w:val="24"/>
              </w:rPr>
              <w:t>有组织</w:t>
            </w:r>
            <w:r>
              <w:rPr>
                <w:b/>
                <w:color w:val="auto"/>
                <w:kern w:val="0"/>
                <w:sz w:val="24"/>
              </w:rPr>
              <w:t>污染物排放情况一览表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644"/>
              <w:gridCol w:w="677"/>
              <w:gridCol w:w="701"/>
              <w:gridCol w:w="585"/>
              <w:gridCol w:w="911"/>
              <w:gridCol w:w="733"/>
              <w:gridCol w:w="636"/>
              <w:gridCol w:w="626"/>
              <w:gridCol w:w="669"/>
              <w:gridCol w:w="709"/>
              <w:gridCol w:w="747"/>
              <w:gridCol w:w="728"/>
              <w:gridCol w:w="539"/>
              <w:gridCol w:w="437"/>
              <w:gridCol w:w="477"/>
              <w:gridCol w:w="464"/>
              <w:gridCol w:w="464"/>
              <w:gridCol w:w="1348"/>
              <w:gridCol w:w="874"/>
            </w:tblGrid>
            <w:tr w14:paraId="1A7E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184" w:type="pct"/>
                  <w:vMerge w:val="restart"/>
                  <w:shd w:val="clear" w:color="000000" w:fill="FFFFFF"/>
                  <w:vAlign w:val="center"/>
                </w:tcPr>
                <w:p w14:paraId="061398BE">
                  <w:pPr>
                    <w:jc w:val="center"/>
                    <w:rPr>
                      <w:color w:val="auto"/>
                      <w:szCs w:val="21"/>
                    </w:rPr>
                  </w:pPr>
                  <w:r>
                    <w:rPr>
                      <w:color w:val="auto"/>
                      <w:szCs w:val="21"/>
                    </w:rPr>
                    <w:t>产污环节</w:t>
                  </w:r>
                </w:p>
              </w:tc>
              <w:tc>
                <w:tcPr>
                  <w:tcW w:w="239" w:type="pct"/>
                  <w:vMerge w:val="restart"/>
                  <w:shd w:val="clear" w:color="000000" w:fill="FFFFFF"/>
                  <w:vAlign w:val="center"/>
                </w:tcPr>
                <w:p w14:paraId="30667385">
                  <w:pPr>
                    <w:jc w:val="center"/>
                    <w:rPr>
                      <w:color w:val="auto"/>
                      <w:szCs w:val="21"/>
                    </w:rPr>
                  </w:pPr>
                  <w:r>
                    <w:rPr>
                      <w:color w:val="auto"/>
                      <w:szCs w:val="21"/>
                    </w:rPr>
                    <w:t>污染物种类</w:t>
                  </w:r>
                </w:p>
              </w:tc>
              <w:tc>
                <w:tcPr>
                  <w:tcW w:w="511" w:type="pct"/>
                  <w:gridSpan w:val="2"/>
                  <w:shd w:val="clear" w:color="000000" w:fill="FFFFFF"/>
                  <w:vAlign w:val="center"/>
                </w:tcPr>
                <w:p w14:paraId="2080E400">
                  <w:pPr>
                    <w:jc w:val="center"/>
                    <w:rPr>
                      <w:color w:val="auto"/>
                      <w:szCs w:val="21"/>
                    </w:rPr>
                  </w:pPr>
                  <w:r>
                    <w:rPr>
                      <w:color w:val="auto"/>
                      <w:szCs w:val="21"/>
                    </w:rPr>
                    <w:t>污染物产生情况</w:t>
                  </w:r>
                </w:p>
              </w:tc>
              <w:tc>
                <w:tcPr>
                  <w:tcW w:w="217" w:type="pct"/>
                  <w:vMerge w:val="restart"/>
                  <w:shd w:val="clear" w:color="000000" w:fill="FFFFFF"/>
                  <w:vAlign w:val="center"/>
                </w:tcPr>
                <w:p w14:paraId="168BCE9F">
                  <w:pPr>
                    <w:jc w:val="center"/>
                    <w:rPr>
                      <w:color w:val="auto"/>
                      <w:szCs w:val="21"/>
                    </w:rPr>
                  </w:pPr>
                  <w:r>
                    <w:rPr>
                      <w:color w:val="auto"/>
                      <w:szCs w:val="21"/>
                    </w:rPr>
                    <w:t>排放形式</w:t>
                  </w:r>
                </w:p>
              </w:tc>
              <w:tc>
                <w:tcPr>
                  <w:tcW w:w="1327" w:type="pct"/>
                  <w:gridSpan w:val="5"/>
                  <w:shd w:val="clear" w:color="000000" w:fill="FFFFFF"/>
                  <w:vAlign w:val="center"/>
                </w:tcPr>
                <w:p w14:paraId="1DFB37E9">
                  <w:pPr>
                    <w:jc w:val="center"/>
                    <w:rPr>
                      <w:color w:val="auto"/>
                      <w:szCs w:val="21"/>
                    </w:rPr>
                  </w:pPr>
                  <w:r>
                    <w:rPr>
                      <w:color w:val="auto"/>
                      <w:szCs w:val="21"/>
                    </w:rPr>
                    <w:t>主要污染治理设施</w:t>
                  </w:r>
                </w:p>
              </w:tc>
              <w:tc>
                <w:tcPr>
                  <w:tcW w:w="810" w:type="pct"/>
                  <w:gridSpan w:val="3"/>
                  <w:shd w:val="clear" w:color="000000" w:fill="FFFFFF"/>
                  <w:vAlign w:val="center"/>
                </w:tcPr>
                <w:p w14:paraId="6108AD24">
                  <w:pPr>
                    <w:jc w:val="center"/>
                    <w:rPr>
                      <w:color w:val="auto"/>
                      <w:szCs w:val="21"/>
                    </w:rPr>
                  </w:pPr>
                  <w:r>
                    <w:rPr>
                      <w:color w:val="auto"/>
                      <w:szCs w:val="21"/>
                    </w:rPr>
                    <w:t>污染物排放情况</w:t>
                  </w:r>
                </w:p>
              </w:tc>
              <w:tc>
                <w:tcPr>
                  <w:tcW w:w="200" w:type="pct"/>
                  <w:vMerge w:val="restart"/>
                  <w:shd w:val="clear" w:color="000000" w:fill="FFFFFF"/>
                  <w:vAlign w:val="center"/>
                </w:tcPr>
                <w:p w14:paraId="20B9B07F">
                  <w:pPr>
                    <w:jc w:val="center"/>
                    <w:rPr>
                      <w:color w:val="auto"/>
                      <w:szCs w:val="21"/>
                    </w:rPr>
                  </w:pPr>
                  <w:r>
                    <w:rPr>
                      <w:color w:val="auto"/>
                      <w:szCs w:val="21"/>
                    </w:rPr>
                    <w:t>排污口编号</w:t>
                  </w:r>
                </w:p>
              </w:tc>
              <w:tc>
                <w:tcPr>
                  <w:tcW w:w="162" w:type="pct"/>
                  <w:vMerge w:val="restart"/>
                  <w:shd w:val="clear" w:color="000000" w:fill="FFFFFF"/>
                  <w:vAlign w:val="center"/>
                </w:tcPr>
                <w:p w14:paraId="0470AFF9">
                  <w:pPr>
                    <w:jc w:val="center"/>
                    <w:rPr>
                      <w:color w:val="auto"/>
                      <w:szCs w:val="21"/>
                    </w:rPr>
                  </w:pPr>
                  <w:r>
                    <w:rPr>
                      <w:rFonts w:hint="eastAsia"/>
                      <w:color w:val="auto"/>
                      <w:szCs w:val="21"/>
                    </w:rPr>
                    <w:t>高度m</w:t>
                  </w:r>
                </w:p>
              </w:tc>
              <w:tc>
                <w:tcPr>
                  <w:tcW w:w="177" w:type="pct"/>
                  <w:vMerge w:val="restart"/>
                  <w:shd w:val="clear" w:color="000000" w:fill="FFFFFF"/>
                  <w:vAlign w:val="center"/>
                </w:tcPr>
                <w:p w14:paraId="1A7B3B4D">
                  <w:pPr>
                    <w:jc w:val="center"/>
                    <w:rPr>
                      <w:color w:val="auto"/>
                      <w:szCs w:val="21"/>
                    </w:rPr>
                  </w:pPr>
                  <w:r>
                    <w:rPr>
                      <w:rFonts w:hint="eastAsia"/>
                      <w:color w:val="auto"/>
                      <w:szCs w:val="21"/>
                    </w:rPr>
                    <w:t>内径m</w:t>
                  </w:r>
                </w:p>
              </w:tc>
              <w:tc>
                <w:tcPr>
                  <w:tcW w:w="172" w:type="pct"/>
                  <w:vMerge w:val="restart"/>
                  <w:shd w:val="clear" w:color="000000" w:fill="FFFFFF"/>
                  <w:vAlign w:val="center"/>
                </w:tcPr>
                <w:p w14:paraId="5F37BD50">
                  <w:pPr>
                    <w:jc w:val="center"/>
                    <w:rPr>
                      <w:color w:val="auto"/>
                      <w:szCs w:val="21"/>
                    </w:rPr>
                  </w:pPr>
                  <w:r>
                    <w:rPr>
                      <w:rFonts w:hint="eastAsia"/>
                      <w:color w:val="auto"/>
                      <w:szCs w:val="21"/>
                    </w:rPr>
                    <w:t>温度</w:t>
                  </w:r>
                  <w:r>
                    <w:rPr>
                      <w:color w:val="auto"/>
                      <w:kern w:val="0"/>
                      <w:szCs w:val="21"/>
                    </w:rPr>
                    <w:t>℃</w:t>
                  </w:r>
                </w:p>
              </w:tc>
              <w:tc>
                <w:tcPr>
                  <w:tcW w:w="172" w:type="pct"/>
                  <w:vMerge w:val="restart"/>
                  <w:shd w:val="clear" w:color="000000" w:fill="FFFFFF"/>
                  <w:vAlign w:val="center"/>
                </w:tcPr>
                <w:p w14:paraId="7E3B9668">
                  <w:pPr>
                    <w:jc w:val="center"/>
                    <w:rPr>
                      <w:color w:val="auto"/>
                      <w:szCs w:val="21"/>
                    </w:rPr>
                  </w:pPr>
                  <w:r>
                    <w:rPr>
                      <w:rFonts w:hint="eastAsia"/>
                      <w:color w:val="auto"/>
                      <w:szCs w:val="21"/>
                    </w:rPr>
                    <w:t>类型</w:t>
                  </w:r>
                </w:p>
              </w:tc>
              <w:tc>
                <w:tcPr>
                  <w:tcW w:w="500" w:type="pct"/>
                  <w:vMerge w:val="restart"/>
                  <w:shd w:val="clear" w:color="000000" w:fill="FFFFFF"/>
                  <w:vAlign w:val="center"/>
                </w:tcPr>
                <w:p w14:paraId="600BCFC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坐标</w:t>
                  </w:r>
                </w:p>
              </w:tc>
              <w:tc>
                <w:tcPr>
                  <w:tcW w:w="324" w:type="pct"/>
                  <w:shd w:val="clear" w:color="000000" w:fill="FFFFFF"/>
                  <w:vAlign w:val="center"/>
                </w:tcPr>
                <w:p w14:paraId="346F2E71">
                  <w:pPr>
                    <w:jc w:val="center"/>
                    <w:rPr>
                      <w:color w:val="auto"/>
                      <w:szCs w:val="21"/>
                    </w:rPr>
                  </w:pPr>
                  <w:r>
                    <w:rPr>
                      <w:color w:val="auto"/>
                      <w:szCs w:val="21"/>
                    </w:rPr>
                    <w:t>排放标准</w:t>
                  </w:r>
                </w:p>
              </w:tc>
            </w:tr>
            <w:tr w14:paraId="7455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4" w:type="pct"/>
                  <w:vMerge w:val="continue"/>
                  <w:shd w:val="clear" w:color="auto" w:fill="FFFFFF"/>
                  <w:vAlign w:val="center"/>
                </w:tcPr>
                <w:p w14:paraId="3529E56E">
                  <w:pPr>
                    <w:jc w:val="center"/>
                    <w:rPr>
                      <w:color w:val="auto"/>
                      <w:szCs w:val="21"/>
                    </w:rPr>
                  </w:pPr>
                </w:p>
              </w:tc>
              <w:tc>
                <w:tcPr>
                  <w:tcW w:w="239" w:type="pct"/>
                  <w:vMerge w:val="continue"/>
                  <w:shd w:val="clear" w:color="auto" w:fill="FFFFFF"/>
                  <w:vAlign w:val="center"/>
                </w:tcPr>
                <w:p w14:paraId="42E0484A">
                  <w:pPr>
                    <w:jc w:val="center"/>
                    <w:rPr>
                      <w:color w:val="auto"/>
                      <w:szCs w:val="21"/>
                    </w:rPr>
                  </w:pPr>
                </w:p>
              </w:tc>
              <w:tc>
                <w:tcPr>
                  <w:tcW w:w="251" w:type="pct"/>
                  <w:shd w:val="clear" w:color="000000" w:fill="FFFFFF"/>
                  <w:vAlign w:val="center"/>
                </w:tcPr>
                <w:p w14:paraId="2A774107">
                  <w:pPr>
                    <w:jc w:val="center"/>
                    <w:rPr>
                      <w:color w:val="auto"/>
                      <w:szCs w:val="21"/>
                    </w:rPr>
                  </w:pPr>
                  <w:r>
                    <w:rPr>
                      <w:color w:val="auto"/>
                      <w:szCs w:val="21"/>
                    </w:rPr>
                    <w:t>产生浓度mg/m</w:t>
                  </w:r>
                  <w:r>
                    <w:rPr>
                      <w:color w:val="auto"/>
                      <w:szCs w:val="21"/>
                      <w:vertAlign w:val="superscript"/>
                    </w:rPr>
                    <w:t>3</w:t>
                  </w:r>
                </w:p>
              </w:tc>
              <w:tc>
                <w:tcPr>
                  <w:tcW w:w="260" w:type="pct"/>
                  <w:shd w:val="clear" w:color="000000" w:fill="FFFFFF"/>
                  <w:vAlign w:val="center"/>
                </w:tcPr>
                <w:p w14:paraId="20545DBF">
                  <w:pPr>
                    <w:jc w:val="center"/>
                    <w:rPr>
                      <w:color w:val="auto"/>
                      <w:szCs w:val="21"/>
                    </w:rPr>
                  </w:pPr>
                  <w:r>
                    <w:rPr>
                      <w:color w:val="auto"/>
                      <w:szCs w:val="21"/>
                    </w:rPr>
                    <w:t>产生量</w:t>
                  </w:r>
                  <w:r>
                    <w:rPr>
                      <w:rFonts w:hint="eastAsia"/>
                      <w:color w:val="auto"/>
                      <w:szCs w:val="21"/>
                    </w:rPr>
                    <w:t>t/a</w:t>
                  </w:r>
                </w:p>
              </w:tc>
              <w:tc>
                <w:tcPr>
                  <w:tcW w:w="217" w:type="pct"/>
                  <w:vMerge w:val="continue"/>
                  <w:shd w:val="clear" w:color="auto" w:fill="FFFFFF"/>
                  <w:vAlign w:val="center"/>
                </w:tcPr>
                <w:p w14:paraId="3DF2C73A">
                  <w:pPr>
                    <w:jc w:val="center"/>
                    <w:rPr>
                      <w:color w:val="auto"/>
                      <w:szCs w:val="21"/>
                    </w:rPr>
                  </w:pPr>
                </w:p>
              </w:tc>
              <w:tc>
                <w:tcPr>
                  <w:tcW w:w="338" w:type="pct"/>
                  <w:shd w:val="clear" w:color="000000" w:fill="FFFFFF"/>
                  <w:vAlign w:val="center"/>
                </w:tcPr>
                <w:p w14:paraId="31915634">
                  <w:pPr>
                    <w:jc w:val="center"/>
                    <w:rPr>
                      <w:color w:val="auto"/>
                      <w:szCs w:val="21"/>
                    </w:rPr>
                  </w:pPr>
                  <w:r>
                    <w:rPr>
                      <w:color w:val="auto"/>
                      <w:szCs w:val="21"/>
                    </w:rPr>
                    <w:t>治理措施</w:t>
                  </w:r>
                </w:p>
              </w:tc>
              <w:tc>
                <w:tcPr>
                  <w:tcW w:w="272" w:type="pct"/>
                  <w:shd w:val="clear" w:color="000000" w:fill="FFFFFF"/>
                  <w:vAlign w:val="center"/>
                </w:tcPr>
                <w:p w14:paraId="5E93E474">
                  <w:pPr>
                    <w:jc w:val="center"/>
                    <w:rPr>
                      <w:color w:val="auto"/>
                      <w:szCs w:val="21"/>
                    </w:rPr>
                  </w:pPr>
                  <w:r>
                    <w:rPr>
                      <w:color w:val="auto"/>
                      <w:szCs w:val="21"/>
                    </w:rPr>
                    <w:t>处理能力m</w:t>
                  </w:r>
                  <w:r>
                    <w:rPr>
                      <w:color w:val="auto"/>
                      <w:szCs w:val="21"/>
                      <w:vertAlign w:val="superscript"/>
                    </w:rPr>
                    <w:t>3</w:t>
                  </w:r>
                  <w:r>
                    <w:rPr>
                      <w:color w:val="auto"/>
                      <w:szCs w:val="21"/>
                    </w:rPr>
                    <w:t>/h</w:t>
                  </w:r>
                </w:p>
              </w:tc>
              <w:tc>
                <w:tcPr>
                  <w:tcW w:w="236" w:type="pct"/>
                  <w:shd w:val="clear" w:color="000000" w:fill="FFFFFF"/>
                  <w:vAlign w:val="center"/>
                </w:tcPr>
                <w:p w14:paraId="4D893B20">
                  <w:pPr>
                    <w:jc w:val="center"/>
                    <w:rPr>
                      <w:color w:val="auto"/>
                      <w:szCs w:val="21"/>
                    </w:rPr>
                  </w:pPr>
                  <w:r>
                    <w:rPr>
                      <w:color w:val="auto"/>
                      <w:szCs w:val="21"/>
                    </w:rPr>
                    <w:t>收集效率</w:t>
                  </w:r>
                </w:p>
              </w:tc>
              <w:tc>
                <w:tcPr>
                  <w:tcW w:w="232" w:type="pct"/>
                  <w:shd w:val="clear" w:color="000000" w:fill="FFFFFF"/>
                  <w:vAlign w:val="center"/>
                </w:tcPr>
                <w:p w14:paraId="57B4CEAB">
                  <w:pPr>
                    <w:jc w:val="center"/>
                    <w:rPr>
                      <w:color w:val="auto"/>
                      <w:szCs w:val="21"/>
                    </w:rPr>
                  </w:pPr>
                  <w:r>
                    <w:rPr>
                      <w:color w:val="auto"/>
                      <w:szCs w:val="21"/>
                    </w:rPr>
                    <w:t>去除效率</w:t>
                  </w:r>
                </w:p>
              </w:tc>
              <w:tc>
                <w:tcPr>
                  <w:tcW w:w="248" w:type="pct"/>
                  <w:shd w:val="clear" w:color="000000" w:fill="FFFFFF"/>
                  <w:vAlign w:val="center"/>
                </w:tcPr>
                <w:p w14:paraId="58558D29">
                  <w:pPr>
                    <w:jc w:val="center"/>
                    <w:rPr>
                      <w:color w:val="auto"/>
                      <w:szCs w:val="21"/>
                    </w:rPr>
                  </w:pPr>
                  <w:r>
                    <w:rPr>
                      <w:color w:val="auto"/>
                      <w:szCs w:val="21"/>
                    </w:rPr>
                    <w:t>是否为可行技术</w:t>
                  </w:r>
                </w:p>
              </w:tc>
              <w:tc>
                <w:tcPr>
                  <w:tcW w:w="263" w:type="pct"/>
                  <w:shd w:val="clear" w:color="000000" w:fill="FFFFFF"/>
                  <w:vAlign w:val="center"/>
                </w:tcPr>
                <w:p w14:paraId="16B8CB29">
                  <w:pPr>
                    <w:jc w:val="center"/>
                    <w:rPr>
                      <w:color w:val="auto"/>
                      <w:szCs w:val="21"/>
                    </w:rPr>
                  </w:pPr>
                  <w:r>
                    <w:rPr>
                      <w:color w:val="auto"/>
                      <w:szCs w:val="21"/>
                    </w:rPr>
                    <w:t>排放浓度mg/m</w:t>
                  </w:r>
                  <w:r>
                    <w:rPr>
                      <w:color w:val="auto"/>
                      <w:szCs w:val="21"/>
                      <w:vertAlign w:val="superscript"/>
                    </w:rPr>
                    <w:t>3</w:t>
                  </w:r>
                </w:p>
              </w:tc>
              <w:tc>
                <w:tcPr>
                  <w:tcW w:w="277" w:type="pct"/>
                  <w:shd w:val="clear" w:color="000000" w:fill="FFFFFF"/>
                  <w:vAlign w:val="center"/>
                </w:tcPr>
                <w:p w14:paraId="70C844D2">
                  <w:pPr>
                    <w:jc w:val="center"/>
                    <w:rPr>
                      <w:color w:val="auto"/>
                      <w:szCs w:val="21"/>
                    </w:rPr>
                  </w:pPr>
                  <w:r>
                    <w:rPr>
                      <w:color w:val="auto"/>
                      <w:szCs w:val="21"/>
                    </w:rPr>
                    <w:t>排放速率kg/h</w:t>
                  </w:r>
                </w:p>
              </w:tc>
              <w:tc>
                <w:tcPr>
                  <w:tcW w:w="270" w:type="pct"/>
                  <w:shd w:val="clear" w:color="000000" w:fill="FFFFFF"/>
                  <w:vAlign w:val="center"/>
                </w:tcPr>
                <w:p w14:paraId="1860580E">
                  <w:pPr>
                    <w:jc w:val="center"/>
                    <w:rPr>
                      <w:color w:val="auto"/>
                      <w:szCs w:val="21"/>
                    </w:rPr>
                  </w:pPr>
                  <w:r>
                    <w:rPr>
                      <w:color w:val="auto"/>
                      <w:szCs w:val="21"/>
                    </w:rPr>
                    <w:t>排放量</w:t>
                  </w:r>
                  <w:r>
                    <w:rPr>
                      <w:rFonts w:hint="eastAsia"/>
                      <w:color w:val="auto"/>
                      <w:szCs w:val="21"/>
                    </w:rPr>
                    <w:t>t/a</w:t>
                  </w:r>
                </w:p>
              </w:tc>
              <w:tc>
                <w:tcPr>
                  <w:tcW w:w="200" w:type="pct"/>
                  <w:vMerge w:val="continue"/>
                  <w:shd w:val="clear" w:color="auto" w:fill="FFFFFF"/>
                  <w:vAlign w:val="center"/>
                </w:tcPr>
                <w:p w14:paraId="6D0579E1">
                  <w:pPr>
                    <w:jc w:val="center"/>
                    <w:rPr>
                      <w:color w:val="auto"/>
                      <w:szCs w:val="21"/>
                    </w:rPr>
                  </w:pPr>
                </w:p>
              </w:tc>
              <w:tc>
                <w:tcPr>
                  <w:tcW w:w="162" w:type="pct"/>
                  <w:vMerge w:val="continue"/>
                  <w:shd w:val="clear" w:color="auto" w:fill="FFFFFF"/>
                  <w:vAlign w:val="center"/>
                </w:tcPr>
                <w:p w14:paraId="1E4BCD72">
                  <w:pPr>
                    <w:jc w:val="center"/>
                    <w:rPr>
                      <w:color w:val="FF0000"/>
                      <w:szCs w:val="21"/>
                    </w:rPr>
                  </w:pPr>
                </w:p>
              </w:tc>
              <w:tc>
                <w:tcPr>
                  <w:tcW w:w="177" w:type="pct"/>
                  <w:vMerge w:val="continue"/>
                  <w:shd w:val="clear" w:color="auto" w:fill="FFFFFF"/>
                  <w:vAlign w:val="center"/>
                </w:tcPr>
                <w:p w14:paraId="37CFDA34">
                  <w:pPr>
                    <w:jc w:val="center"/>
                    <w:rPr>
                      <w:color w:val="FF0000"/>
                      <w:szCs w:val="21"/>
                    </w:rPr>
                  </w:pPr>
                </w:p>
              </w:tc>
              <w:tc>
                <w:tcPr>
                  <w:tcW w:w="172" w:type="pct"/>
                  <w:vMerge w:val="continue"/>
                  <w:shd w:val="clear" w:color="auto" w:fill="FFFFFF"/>
                  <w:vAlign w:val="center"/>
                </w:tcPr>
                <w:p w14:paraId="6FA8FE2A">
                  <w:pPr>
                    <w:jc w:val="center"/>
                    <w:rPr>
                      <w:color w:val="FF0000"/>
                      <w:szCs w:val="21"/>
                    </w:rPr>
                  </w:pPr>
                </w:p>
              </w:tc>
              <w:tc>
                <w:tcPr>
                  <w:tcW w:w="172" w:type="pct"/>
                  <w:vMerge w:val="continue"/>
                  <w:shd w:val="clear" w:color="auto" w:fill="FFFFFF"/>
                  <w:vAlign w:val="center"/>
                </w:tcPr>
                <w:p w14:paraId="6965A766">
                  <w:pPr>
                    <w:jc w:val="center"/>
                    <w:rPr>
                      <w:color w:val="auto"/>
                      <w:szCs w:val="21"/>
                    </w:rPr>
                  </w:pPr>
                </w:p>
              </w:tc>
              <w:tc>
                <w:tcPr>
                  <w:tcW w:w="500" w:type="pct"/>
                  <w:vMerge w:val="continue"/>
                  <w:shd w:val="clear" w:color="auto" w:fill="FFFFFF"/>
                  <w:vAlign w:val="center"/>
                </w:tcPr>
                <w:p w14:paraId="045F320B">
                  <w:pPr>
                    <w:jc w:val="center"/>
                    <w:rPr>
                      <w:color w:val="000000" w:themeColor="text1"/>
                      <w:szCs w:val="21"/>
                      <w14:textFill>
                        <w14:solidFill>
                          <w14:schemeClr w14:val="tx1"/>
                        </w14:solidFill>
                      </w14:textFill>
                    </w:rPr>
                  </w:pPr>
                </w:p>
              </w:tc>
              <w:tc>
                <w:tcPr>
                  <w:tcW w:w="324" w:type="pct"/>
                  <w:shd w:val="clear" w:color="000000" w:fill="FFFFFF"/>
                  <w:vAlign w:val="center"/>
                </w:tcPr>
                <w:p w14:paraId="160B8437">
                  <w:pPr>
                    <w:jc w:val="center"/>
                    <w:rPr>
                      <w:color w:val="auto"/>
                      <w:szCs w:val="21"/>
                    </w:rPr>
                  </w:pPr>
                  <w:r>
                    <w:rPr>
                      <w:color w:val="auto"/>
                      <w:szCs w:val="21"/>
                    </w:rPr>
                    <w:t>浓度限值mg/m</w:t>
                  </w:r>
                  <w:r>
                    <w:rPr>
                      <w:color w:val="auto"/>
                      <w:szCs w:val="21"/>
                      <w:vertAlign w:val="superscript"/>
                    </w:rPr>
                    <w:t>3</w:t>
                  </w:r>
                </w:p>
              </w:tc>
            </w:tr>
            <w:tr w14:paraId="2024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4" w:type="pct"/>
                  <w:shd w:val="clear" w:color="auto" w:fill="FFFFFF"/>
                  <w:vAlign w:val="center"/>
                </w:tcPr>
                <w:p w14:paraId="51ACE90C">
                  <w:pPr>
                    <w:jc w:val="center"/>
                    <w:rPr>
                      <w:rFonts w:hint="eastAsia" w:eastAsia="宋体"/>
                      <w:color w:val="auto"/>
                      <w:szCs w:val="21"/>
                      <w:lang w:eastAsia="zh-CN"/>
                    </w:rPr>
                  </w:pPr>
                  <w:r>
                    <w:rPr>
                      <w:rFonts w:hint="eastAsia"/>
                      <w:color w:val="auto"/>
                      <w:szCs w:val="21"/>
                      <w:lang w:val="en-US" w:eastAsia="zh-CN"/>
                    </w:rPr>
                    <w:t>破碎、造粒</w:t>
                  </w:r>
                </w:p>
              </w:tc>
              <w:tc>
                <w:tcPr>
                  <w:tcW w:w="239" w:type="pct"/>
                  <w:shd w:val="clear" w:color="auto" w:fill="FFFFFF"/>
                  <w:noWrap/>
                  <w:vAlign w:val="center"/>
                </w:tcPr>
                <w:p w14:paraId="36AF1BD9">
                  <w:pPr>
                    <w:jc w:val="center"/>
                    <w:rPr>
                      <w:color w:val="auto"/>
                      <w:szCs w:val="21"/>
                    </w:rPr>
                  </w:pPr>
                  <w:r>
                    <w:rPr>
                      <w:rFonts w:hint="eastAsia"/>
                      <w:color w:val="auto"/>
                      <w:szCs w:val="21"/>
                    </w:rPr>
                    <w:t>粉尘</w:t>
                  </w:r>
                </w:p>
              </w:tc>
              <w:tc>
                <w:tcPr>
                  <w:tcW w:w="251" w:type="pct"/>
                  <w:shd w:val="clear" w:color="auto" w:fill="FFFFFF"/>
                  <w:noWrap/>
                  <w:vAlign w:val="center"/>
                </w:tcPr>
                <w:p w14:paraId="2916F159">
                  <w:pPr>
                    <w:jc w:val="center"/>
                    <w:rPr>
                      <w:rFonts w:hint="default" w:eastAsia="宋体"/>
                      <w:color w:val="auto"/>
                      <w:szCs w:val="21"/>
                      <w:lang w:val="en-US" w:eastAsia="zh-CN"/>
                    </w:rPr>
                  </w:pPr>
                  <w:r>
                    <w:rPr>
                      <w:rFonts w:hint="eastAsia"/>
                      <w:color w:val="auto"/>
                      <w:szCs w:val="21"/>
                      <w:lang w:val="en-US" w:eastAsia="zh-CN"/>
                    </w:rPr>
                    <w:t>208</w:t>
                  </w:r>
                </w:p>
              </w:tc>
              <w:tc>
                <w:tcPr>
                  <w:tcW w:w="260" w:type="pct"/>
                  <w:shd w:val="clear" w:color="auto" w:fill="FFFFFF"/>
                  <w:noWrap/>
                  <w:vAlign w:val="center"/>
                </w:tcPr>
                <w:p w14:paraId="1AB5FD7D">
                  <w:pPr>
                    <w:jc w:val="center"/>
                    <w:rPr>
                      <w:rFonts w:hint="default" w:eastAsia="宋体"/>
                      <w:color w:val="auto"/>
                      <w:szCs w:val="21"/>
                      <w:lang w:val="en-US" w:eastAsia="zh-CN"/>
                    </w:rPr>
                  </w:pPr>
                  <w:r>
                    <w:rPr>
                      <w:rFonts w:hint="eastAsia"/>
                      <w:color w:val="auto"/>
                      <w:szCs w:val="21"/>
                      <w:lang w:val="en-US" w:eastAsia="zh-CN"/>
                    </w:rPr>
                    <w:t>9</w:t>
                  </w:r>
                </w:p>
              </w:tc>
              <w:tc>
                <w:tcPr>
                  <w:tcW w:w="217" w:type="pct"/>
                  <w:shd w:val="clear" w:color="auto" w:fill="FFFFFF"/>
                  <w:noWrap/>
                  <w:vAlign w:val="center"/>
                </w:tcPr>
                <w:p w14:paraId="5182274D">
                  <w:pPr>
                    <w:jc w:val="center"/>
                    <w:rPr>
                      <w:color w:val="auto"/>
                      <w:szCs w:val="21"/>
                    </w:rPr>
                  </w:pPr>
                  <w:r>
                    <w:rPr>
                      <w:color w:val="auto"/>
                      <w:szCs w:val="21"/>
                    </w:rPr>
                    <w:t>有组织</w:t>
                  </w:r>
                </w:p>
              </w:tc>
              <w:tc>
                <w:tcPr>
                  <w:tcW w:w="338" w:type="pct"/>
                  <w:shd w:val="clear" w:color="auto" w:fill="FFFFFF"/>
                  <w:vAlign w:val="center"/>
                </w:tcPr>
                <w:p w14:paraId="6B8CC90D">
                  <w:pPr>
                    <w:jc w:val="center"/>
                    <w:rPr>
                      <w:color w:val="auto"/>
                      <w:szCs w:val="21"/>
                    </w:rPr>
                  </w:pPr>
                  <w:r>
                    <w:rPr>
                      <w:rFonts w:hint="eastAsia"/>
                      <w:color w:val="auto"/>
                      <w:szCs w:val="21"/>
                    </w:rPr>
                    <w:t>布袋除尘器</w:t>
                  </w:r>
                </w:p>
              </w:tc>
              <w:tc>
                <w:tcPr>
                  <w:tcW w:w="272" w:type="pct"/>
                  <w:shd w:val="clear" w:color="auto" w:fill="FFFFFF"/>
                  <w:noWrap/>
                  <w:vAlign w:val="center"/>
                </w:tcPr>
                <w:p w14:paraId="3C02C63E">
                  <w:pPr>
                    <w:jc w:val="center"/>
                    <w:rPr>
                      <w:rFonts w:hint="default" w:eastAsia="宋体"/>
                      <w:color w:val="auto"/>
                      <w:szCs w:val="21"/>
                      <w:lang w:val="en-US" w:eastAsia="zh-CN"/>
                    </w:rPr>
                  </w:pPr>
                  <w:r>
                    <w:rPr>
                      <w:rFonts w:hint="eastAsia"/>
                      <w:color w:val="auto"/>
                      <w:szCs w:val="21"/>
                      <w:lang w:val="en-US" w:eastAsia="zh-CN"/>
                    </w:rPr>
                    <w:t>18000</w:t>
                  </w:r>
                </w:p>
              </w:tc>
              <w:tc>
                <w:tcPr>
                  <w:tcW w:w="236" w:type="pct"/>
                  <w:shd w:val="clear" w:color="auto" w:fill="FFFFFF"/>
                  <w:noWrap/>
                  <w:vAlign w:val="center"/>
                </w:tcPr>
                <w:p w14:paraId="58E2F665">
                  <w:pPr>
                    <w:jc w:val="center"/>
                    <w:rPr>
                      <w:color w:val="auto"/>
                      <w:szCs w:val="21"/>
                    </w:rPr>
                  </w:pPr>
                  <w:r>
                    <w:rPr>
                      <w:rFonts w:hint="eastAsia"/>
                      <w:color w:val="auto"/>
                      <w:szCs w:val="21"/>
                      <w:lang w:val="en-US" w:eastAsia="zh-CN"/>
                    </w:rPr>
                    <w:t>90</w:t>
                  </w:r>
                  <w:r>
                    <w:rPr>
                      <w:color w:val="auto"/>
                      <w:szCs w:val="21"/>
                    </w:rPr>
                    <w:t>%</w:t>
                  </w:r>
                </w:p>
              </w:tc>
              <w:tc>
                <w:tcPr>
                  <w:tcW w:w="232" w:type="pct"/>
                  <w:shd w:val="clear" w:color="auto" w:fill="FFFFFF"/>
                  <w:noWrap/>
                  <w:vAlign w:val="center"/>
                </w:tcPr>
                <w:p w14:paraId="66E30B6C">
                  <w:pPr>
                    <w:jc w:val="center"/>
                    <w:rPr>
                      <w:color w:val="auto"/>
                      <w:szCs w:val="21"/>
                    </w:rPr>
                  </w:pPr>
                  <w:r>
                    <w:rPr>
                      <w:rFonts w:hint="eastAsia"/>
                      <w:color w:val="auto"/>
                      <w:szCs w:val="21"/>
                    </w:rPr>
                    <w:t>9</w:t>
                  </w:r>
                  <w:r>
                    <w:rPr>
                      <w:rFonts w:hint="eastAsia"/>
                      <w:color w:val="auto"/>
                      <w:szCs w:val="21"/>
                      <w:lang w:val="en-US" w:eastAsia="zh-CN"/>
                    </w:rPr>
                    <w:t>9</w:t>
                  </w:r>
                  <w:r>
                    <w:rPr>
                      <w:color w:val="auto"/>
                      <w:szCs w:val="21"/>
                    </w:rPr>
                    <w:t>%</w:t>
                  </w:r>
                </w:p>
              </w:tc>
              <w:tc>
                <w:tcPr>
                  <w:tcW w:w="248" w:type="pct"/>
                  <w:shd w:val="clear" w:color="auto" w:fill="FFFFFF"/>
                  <w:noWrap/>
                  <w:vAlign w:val="center"/>
                </w:tcPr>
                <w:p w14:paraId="54D87929">
                  <w:pPr>
                    <w:jc w:val="center"/>
                    <w:rPr>
                      <w:color w:val="auto"/>
                      <w:szCs w:val="21"/>
                    </w:rPr>
                  </w:pPr>
                  <w:r>
                    <w:rPr>
                      <w:color w:val="auto"/>
                      <w:szCs w:val="21"/>
                    </w:rPr>
                    <w:t>是</w:t>
                  </w:r>
                </w:p>
              </w:tc>
              <w:tc>
                <w:tcPr>
                  <w:tcW w:w="263" w:type="pct"/>
                  <w:shd w:val="clear" w:color="auto" w:fill="FFFFFF"/>
                  <w:noWrap/>
                  <w:vAlign w:val="center"/>
                </w:tcPr>
                <w:p w14:paraId="0343BFDA">
                  <w:pPr>
                    <w:jc w:val="center"/>
                    <w:rPr>
                      <w:rFonts w:hint="default" w:eastAsia="宋体"/>
                      <w:color w:val="auto"/>
                      <w:szCs w:val="21"/>
                      <w:lang w:val="en-US" w:eastAsia="zh-CN"/>
                    </w:rPr>
                  </w:pPr>
                  <w:r>
                    <w:rPr>
                      <w:rFonts w:hint="eastAsia"/>
                      <w:color w:val="auto"/>
                      <w:szCs w:val="21"/>
                      <w:lang w:val="en-US" w:eastAsia="zh-CN"/>
                    </w:rPr>
                    <w:t>2.08</w:t>
                  </w:r>
                </w:p>
              </w:tc>
              <w:tc>
                <w:tcPr>
                  <w:tcW w:w="277" w:type="pct"/>
                  <w:shd w:val="clear" w:color="auto" w:fill="FFFFFF"/>
                  <w:noWrap/>
                  <w:vAlign w:val="center"/>
                </w:tcPr>
                <w:p w14:paraId="6BFB1D49">
                  <w:pPr>
                    <w:jc w:val="center"/>
                    <w:rPr>
                      <w:rFonts w:hint="default"/>
                      <w:color w:val="auto"/>
                      <w:szCs w:val="21"/>
                      <w:lang w:val="en-US"/>
                    </w:rPr>
                  </w:pPr>
                  <w:r>
                    <w:rPr>
                      <w:rFonts w:hint="eastAsia"/>
                      <w:color w:val="auto"/>
                      <w:szCs w:val="21"/>
                      <w:lang w:val="en-US" w:eastAsia="zh-CN"/>
                    </w:rPr>
                    <w:t>0.0375</w:t>
                  </w:r>
                </w:p>
              </w:tc>
              <w:tc>
                <w:tcPr>
                  <w:tcW w:w="270" w:type="pct"/>
                  <w:shd w:val="clear" w:color="auto" w:fill="FFFFFF"/>
                  <w:noWrap/>
                  <w:vAlign w:val="center"/>
                </w:tcPr>
                <w:p w14:paraId="0F7EA167">
                  <w:pPr>
                    <w:jc w:val="center"/>
                    <w:rPr>
                      <w:rFonts w:hint="default" w:eastAsia="宋体"/>
                      <w:color w:val="auto"/>
                      <w:szCs w:val="21"/>
                      <w:lang w:val="en-US" w:eastAsia="zh-CN"/>
                    </w:rPr>
                  </w:pPr>
                  <w:r>
                    <w:rPr>
                      <w:rFonts w:hint="eastAsia"/>
                      <w:color w:val="auto"/>
                      <w:szCs w:val="21"/>
                      <w:lang w:val="en-US" w:eastAsia="zh-CN"/>
                    </w:rPr>
                    <w:t>0.09</w:t>
                  </w:r>
                </w:p>
              </w:tc>
              <w:tc>
                <w:tcPr>
                  <w:tcW w:w="200" w:type="pct"/>
                  <w:shd w:val="clear" w:color="auto" w:fill="FFFFFF"/>
                  <w:noWrap/>
                  <w:vAlign w:val="center"/>
                </w:tcPr>
                <w:p w14:paraId="7A971790">
                  <w:pPr>
                    <w:jc w:val="center"/>
                    <w:rPr>
                      <w:rFonts w:hint="eastAsia" w:eastAsia="宋体"/>
                      <w:color w:val="auto"/>
                      <w:szCs w:val="21"/>
                      <w:lang w:eastAsia="zh-CN"/>
                    </w:rPr>
                  </w:pPr>
                  <w:r>
                    <w:rPr>
                      <w:rFonts w:hint="eastAsia"/>
                      <w:color w:val="auto"/>
                      <w:szCs w:val="21"/>
                    </w:rPr>
                    <w:t>DA00</w:t>
                  </w:r>
                  <w:r>
                    <w:rPr>
                      <w:rFonts w:hint="eastAsia"/>
                      <w:color w:val="auto"/>
                      <w:szCs w:val="21"/>
                      <w:lang w:val="en-US" w:eastAsia="zh-CN"/>
                    </w:rPr>
                    <w:t>1</w:t>
                  </w:r>
                </w:p>
              </w:tc>
              <w:tc>
                <w:tcPr>
                  <w:tcW w:w="162" w:type="pct"/>
                  <w:shd w:val="clear" w:color="auto" w:fill="FFFFFF"/>
                  <w:noWrap/>
                  <w:vAlign w:val="center"/>
                </w:tcPr>
                <w:p w14:paraId="70786D5F">
                  <w:pPr>
                    <w:jc w:val="center"/>
                    <w:rPr>
                      <w:color w:val="auto"/>
                      <w:szCs w:val="21"/>
                    </w:rPr>
                  </w:pPr>
                  <w:r>
                    <w:rPr>
                      <w:rFonts w:hint="eastAsia"/>
                      <w:color w:val="auto"/>
                      <w:szCs w:val="21"/>
                    </w:rPr>
                    <w:t>15</w:t>
                  </w:r>
                </w:p>
              </w:tc>
              <w:tc>
                <w:tcPr>
                  <w:tcW w:w="177" w:type="pct"/>
                  <w:shd w:val="clear" w:color="auto" w:fill="FFFFFF"/>
                  <w:noWrap/>
                  <w:vAlign w:val="center"/>
                </w:tcPr>
                <w:p w14:paraId="465DAB4F">
                  <w:pPr>
                    <w:jc w:val="center"/>
                    <w:rPr>
                      <w:rFonts w:hint="eastAsia" w:eastAsia="宋体"/>
                      <w:color w:val="auto"/>
                      <w:szCs w:val="21"/>
                      <w:lang w:eastAsia="zh-CN"/>
                    </w:rPr>
                  </w:pPr>
                  <w:r>
                    <w:rPr>
                      <w:rFonts w:hint="eastAsia"/>
                      <w:color w:val="auto"/>
                      <w:szCs w:val="21"/>
                    </w:rPr>
                    <w:t>0.</w:t>
                  </w:r>
                  <w:r>
                    <w:rPr>
                      <w:rFonts w:hint="eastAsia"/>
                      <w:color w:val="auto"/>
                      <w:szCs w:val="21"/>
                      <w:lang w:val="en-US" w:eastAsia="zh-CN"/>
                    </w:rPr>
                    <w:t>7</w:t>
                  </w:r>
                </w:p>
              </w:tc>
              <w:tc>
                <w:tcPr>
                  <w:tcW w:w="172" w:type="pct"/>
                  <w:shd w:val="clear" w:color="auto" w:fill="FFFFFF"/>
                  <w:noWrap/>
                  <w:vAlign w:val="center"/>
                </w:tcPr>
                <w:p w14:paraId="427F8865">
                  <w:pPr>
                    <w:jc w:val="center"/>
                    <w:rPr>
                      <w:rFonts w:hint="default" w:eastAsia="宋体"/>
                      <w:color w:val="auto"/>
                      <w:szCs w:val="21"/>
                      <w:lang w:val="en-US" w:eastAsia="zh-CN"/>
                    </w:rPr>
                  </w:pPr>
                  <w:r>
                    <w:rPr>
                      <w:rFonts w:hint="eastAsia"/>
                      <w:color w:val="auto"/>
                      <w:szCs w:val="21"/>
                      <w:lang w:val="en-US" w:eastAsia="zh-CN"/>
                    </w:rPr>
                    <w:t>100</w:t>
                  </w:r>
                </w:p>
              </w:tc>
              <w:tc>
                <w:tcPr>
                  <w:tcW w:w="172" w:type="pct"/>
                  <w:shd w:val="clear" w:color="auto" w:fill="FFFFFF"/>
                  <w:noWrap/>
                  <w:vAlign w:val="center"/>
                </w:tcPr>
                <w:p w14:paraId="47B4F658">
                  <w:pPr>
                    <w:jc w:val="center"/>
                    <w:rPr>
                      <w:color w:val="auto"/>
                      <w:szCs w:val="21"/>
                    </w:rPr>
                  </w:pPr>
                  <w:r>
                    <w:rPr>
                      <w:color w:val="auto"/>
                      <w:kern w:val="0"/>
                      <w:szCs w:val="21"/>
                    </w:rPr>
                    <w:t>一般排放口</w:t>
                  </w:r>
                </w:p>
              </w:tc>
              <w:tc>
                <w:tcPr>
                  <w:tcW w:w="500" w:type="pct"/>
                  <w:shd w:val="clear" w:color="auto" w:fill="FFFFFF"/>
                  <w:noWrap/>
                  <w:vAlign w:val="center"/>
                </w:tcPr>
                <w:p w14:paraId="379137C0">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115.9636061</w:t>
                  </w:r>
                </w:p>
                <w:p w14:paraId="52BC3B6A">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31.66673507</w:t>
                  </w:r>
                </w:p>
              </w:tc>
              <w:tc>
                <w:tcPr>
                  <w:tcW w:w="324" w:type="pct"/>
                  <w:shd w:val="clear" w:color="auto" w:fill="FFFFFF"/>
                  <w:noWrap/>
                  <w:vAlign w:val="center"/>
                </w:tcPr>
                <w:p w14:paraId="62B72914">
                  <w:pPr>
                    <w:jc w:val="center"/>
                    <w:rPr>
                      <w:color w:val="auto"/>
                      <w:szCs w:val="21"/>
                    </w:rPr>
                  </w:pPr>
                  <w:r>
                    <w:rPr>
                      <w:rFonts w:hint="eastAsia"/>
                      <w:color w:val="auto"/>
                      <w:szCs w:val="21"/>
                      <w:lang w:val="en-US" w:eastAsia="zh-CN"/>
                    </w:rPr>
                    <w:t>1</w:t>
                  </w:r>
                  <w:r>
                    <w:rPr>
                      <w:rFonts w:hint="eastAsia"/>
                      <w:color w:val="auto"/>
                      <w:szCs w:val="21"/>
                    </w:rPr>
                    <w:t>20</w:t>
                  </w:r>
                </w:p>
              </w:tc>
            </w:tr>
            <w:tr w14:paraId="5851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4" w:type="pct"/>
                  <w:vMerge w:val="restart"/>
                  <w:shd w:val="clear" w:color="auto" w:fill="FFFFFF"/>
                  <w:vAlign w:val="center"/>
                </w:tcPr>
                <w:p w14:paraId="7B0F3768">
                  <w:pPr>
                    <w:jc w:val="center"/>
                    <w:rPr>
                      <w:rFonts w:hint="default" w:ascii="Times New Roman" w:hAnsi="Times New Roman" w:eastAsia="宋体" w:cs="Times New Roman"/>
                      <w:color w:val="auto"/>
                      <w:szCs w:val="21"/>
                      <w:lang w:val="en-US"/>
                    </w:rPr>
                  </w:pPr>
                  <w:r>
                    <w:rPr>
                      <w:rFonts w:hint="eastAsia" w:cs="Times New Roman"/>
                      <w:color w:val="auto"/>
                      <w:szCs w:val="21"/>
                      <w:lang w:val="en-US" w:eastAsia="zh-CN"/>
                    </w:rPr>
                    <w:t>燃烧</w:t>
                  </w:r>
                </w:p>
              </w:tc>
              <w:tc>
                <w:tcPr>
                  <w:tcW w:w="239" w:type="pct"/>
                  <w:shd w:val="clear" w:color="auto" w:fill="FFFFFF"/>
                  <w:noWrap/>
                  <w:vAlign w:val="center"/>
                </w:tcPr>
                <w:p w14:paraId="5C4CAB4A">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颗粒物</w:t>
                  </w:r>
                </w:p>
              </w:tc>
              <w:tc>
                <w:tcPr>
                  <w:tcW w:w="251" w:type="pct"/>
                  <w:shd w:val="clear" w:color="auto" w:fill="FFFFFF"/>
                  <w:noWrap/>
                  <w:vAlign w:val="center"/>
                </w:tcPr>
                <w:p w14:paraId="0A1D7AE0">
                  <w:pPr>
                    <w:jc w:val="center"/>
                    <w:rPr>
                      <w:rFonts w:hint="default" w:eastAsia="宋体"/>
                      <w:color w:val="auto"/>
                      <w:szCs w:val="21"/>
                      <w:lang w:val="en-US" w:eastAsia="zh-CN"/>
                    </w:rPr>
                  </w:pPr>
                  <w:r>
                    <w:rPr>
                      <w:rFonts w:hint="eastAsia"/>
                      <w:color w:val="auto"/>
                      <w:szCs w:val="21"/>
                      <w:lang w:val="en-US" w:eastAsia="zh-CN"/>
                    </w:rPr>
                    <w:t>80</w:t>
                  </w:r>
                </w:p>
              </w:tc>
              <w:tc>
                <w:tcPr>
                  <w:tcW w:w="260" w:type="pct"/>
                  <w:shd w:val="clear" w:color="auto" w:fill="auto"/>
                  <w:noWrap/>
                  <w:vAlign w:val="center"/>
                </w:tcPr>
                <w:p w14:paraId="196E1E25">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0.618</w:t>
                  </w:r>
                </w:p>
              </w:tc>
              <w:tc>
                <w:tcPr>
                  <w:tcW w:w="217" w:type="pct"/>
                  <w:vMerge w:val="restart"/>
                  <w:shd w:val="clear" w:color="auto" w:fill="FFFFFF"/>
                  <w:noWrap/>
                  <w:vAlign w:val="center"/>
                </w:tcPr>
                <w:p w14:paraId="458D4F5F">
                  <w:pPr>
                    <w:jc w:val="center"/>
                    <w:rPr>
                      <w:color w:val="auto"/>
                      <w:szCs w:val="21"/>
                    </w:rPr>
                  </w:pPr>
                  <w:r>
                    <w:rPr>
                      <w:color w:val="auto"/>
                      <w:szCs w:val="21"/>
                    </w:rPr>
                    <w:t>有组织</w:t>
                  </w:r>
                </w:p>
              </w:tc>
              <w:tc>
                <w:tcPr>
                  <w:tcW w:w="338" w:type="pct"/>
                  <w:shd w:val="clear" w:color="auto" w:fill="FFFFFF"/>
                  <w:vAlign w:val="center"/>
                </w:tcPr>
                <w:p w14:paraId="778F14A2">
                  <w:pPr>
                    <w:jc w:val="center"/>
                    <w:rPr>
                      <w:color w:val="auto"/>
                      <w:szCs w:val="21"/>
                    </w:rPr>
                  </w:pPr>
                  <w:r>
                    <w:rPr>
                      <w:rFonts w:hint="eastAsia"/>
                      <w:color w:val="auto"/>
                      <w:szCs w:val="21"/>
                    </w:rPr>
                    <w:t>布袋除尘器</w:t>
                  </w:r>
                </w:p>
              </w:tc>
              <w:tc>
                <w:tcPr>
                  <w:tcW w:w="272" w:type="pct"/>
                  <w:vMerge w:val="restart"/>
                  <w:shd w:val="clear" w:color="auto" w:fill="FFFFFF"/>
                  <w:noWrap/>
                  <w:vAlign w:val="center"/>
                </w:tcPr>
                <w:p w14:paraId="2CAFF48C">
                  <w:pPr>
                    <w:jc w:val="center"/>
                    <w:rPr>
                      <w:rFonts w:hint="default" w:eastAsia="宋体"/>
                      <w:color w:val="auto"/>
                      <w:szCs w:val="21"/>
                      <w:lang w:val="en-US" w:eastAsia="zh-CN"/>
                    </w:rPr>
                  </w:pPr>
                  <w:r>
                    <w:rPr>
                      <w:rFonts w:hint="eastAsia"/>
                      <w:color w:val="auto"/>
                      <w:szCs w:val="21"/>
                      <w:lang w:val="en-US" w:eastAsia="zh-CN"/>
                    </w:rPr>
                    <w:t>6427.2</w:t>
                  </w:r>
                </w:p>
              </w:tc>
              <w:tc>
                <w:tcPr>
                  <w:tcW w:w="236" w:type="pct"/>
                  <w:vMerge w:val="restart"/>
                  <w:shd w:val="clear" w:color="auto" w:fill="FFFFFF"/>
                  <w:noWrap/>
                  <w:vAlign w:val="center"/>
                </w:tcPr>
                <w:p w14:paraId="3B243D8E">
                  <w:pPr>
                    <w:jc w:val="center"/>
                    <w:rPr>
                      <w:color w:val="auto"/>
                      <w:szCs w:val="21"/>
                    </w:rPr>
                  </w:pPr>
                  <w:r>
                    <w:rPr>
                      <w:rFonts w:hint="eastAsia"/>
                      <w:color w:val="auto"/>
                      <w:szCs w:val="21"/>
                      <w:lang w:val="en-US" w:eastAsia="zh-CN"/>
                    </w:rPr>
                    <w:t>100</w:t>
                  </w:r>
                  <w:r>
                    <w:rPr>
                      <w:color w:val="auto"/>
                      <w:szCs w:val="21"/>
                    </w:rPr>
                    <w:t>%</w:t>
                  </w:r>
                </w:p>
              </w:tc>
              <w:tc>
                <w:tcPr>
                  <w:tcW w:w="232" w:type="pct"/>
                  <w:shd w:val="clear" w:color="auto" w:fill="FFFFFF"/>
                  <w:noWrap/>
                  <w:vAlign w:val="center"/>
                </w:tcPr>
                <w:p w14:paraId="7986C736">
                  <w:pPr>
                    <w:jc w:val="center"/>
                    <w:rPr>
                      <w:color w:val="auto"/>
                      <w:szCs w:val="21"/>
                    </w:rPr>
                  </w:pPr>
                  <w:r>
                    <w:rPr>
                      <w:color w:val="auto"/>
                      <w:szCs w:val="21"/>
                    </w:rPr>
                    <w:t>9</w:t>
                  </w:r>
                  <w:r>
                    <w:rPr>
                      <w:rFonts w:hint="eastAsia"/>
                      <w:color w:val="auto"/>
                      <w:szCs w:val="21"/>
                      <w:lang w:val="en-US" w:eastAsia="zh-CN"/>
                    </w:rPr>
                    <w:t>9</w:t>
                  </w:r>
                  <w:r>
                    <w:rPr>
                      <w:color w:val="auto"/>
                      <w:szCs w:val="21"/>
                    </w:rPr>
                    <w:t>%</w:t>
                  </w:r>
                </w:p>
              </w:tc>
              <w:tc>
                <w:tcPr>
                  <w:tcW w:w="248" w:type="pct"/>
                  <w:shd w:val="clear" w:color="auto" w:fill="FFFFFF"/>
                  <w:noWrap/>
                  <w:vAlign w:val="center"/>
                </w:tcPr>
                <w:p w14:paraId="19F4BF55">
                  <w:pPr>
                    <w:jc w:val="center"/>
                    <w:rPr>
                      <w:color w:val="auto"/>
                      <w:szCs w:val="21"/>
                    </w:rPr>
                  </w:pPr>
                  <w:r>
                    <w:rPr>
                      <w:color w:val="auto"/>
                      <w:szCs w:val="21"/>
                    </w:rPr>
                    <w:t>是</w:t>
                  </w:r>
                </w:p>
              </w:tc>
              <w:tc>
                <w:tcPr>
                  <w:tcW w:w="263" w:type="pct"/>
                  <w:shd w:val="clear" w:color="auto" w:fill="FFFFFF"/>
                  <w:noWrap/>
                  <w:vAlign w:val="center"/>
                </w:tcPr>
                <w:p w14:paraId="45ECED49">
                  <w:pPr>
                    <w:jc w:val="center"/>
                    <w:rPr>
                      <w:rFonts w:hint="default" w:eastAsia="宋体"/>
                      <w:color w:val="auto"/>
                      <w:szCs w:val="21"/>
                      <w:lang w:val="en-US" w:eastAsia="zh-CN"/>
                    </w:rPr>
                  </w:pPr>
                  <w:r>
                    <w:rPr>
                      <w:rFonts w:hint="eastAsia"/>
                      <w:color w:val="auto"/>
                      <w:szCs w:val="21"/>
                      <w:lang w:val="en-US" w:eastAsia="zh-CN"/>
                    </w:rPr>
                    <w:t>0.8</w:t>
                  </w:r>
                </w:p>
              </w:tc>
              <w:tc>
                <w:tcPr>
                  <w:tcW w:w="277" w:type="pct"/>
                  <w:shd w:val="clear" w:color="auto" w:fill="FFFFFF"/>
                  <w:noWrap/>
                  <w:vAlign w:val="center"/>
                </w:tcPr>
                <w:p w14:paraId="60F5BDF0">
                  <w:pPr>
                    <w:jc w:val="center"/>
                    <w:rPr>
                      <w:rFonts w:hint="default" w:eastAsia="宋体"/>
                      <w:color w:val="auto"/>
                      <w:szCs w:val="21"/>
                      <w:lang w:val="en-US" w:eastAsia="zh-CN"/>
                    </w:rPr>
                  </w:pPr>
                  <w:r>
                    <w:rPr>
                      <w:rFonts w:hint="eastAsia"/>
                      <w:color w:val="auto"/>
                      <w:szCs w:val="21"/>
                      <w:lang w:val="en-US" w:eastAsia="zh-CN"/>
                    </w:rPr>
                    <w:t>0.0052</w:t>
                  </w:r>
                </w:p>
              </w:tc>
              <w:tc>
                <w:tcPr>
                  <w:tcW w:w="270" w:type="pct"/>
                  <w:shd w:val="clear" w:color="auto" w:fill="FFFFFF"/>
                  <w:noWrap/>
                  <w:vAlign w:val="center"/>
                </w:tcPr>
                <w:p w14:paraId="3FD76F68">
                  <w:pPr>
                    <w:jc w:val="center"/>
                    <w:rPr>
                      <w:rFonts w:hint="default" w:eastAsia="宋体"/>
                      <w:color w:val="auto"/>
                      <w:szCs w:val="21"/>
                      <w:lang w:val="en-US" w:eastAsia="zh-CN"/>
                    </w:rPr>
                  </w:pPr>
                  <w:r>
                    <w:rPr>
                      <w:rFonts w:hint="eastAsia"/>
                      <w:color w:val="auto"/>
                      <w:szCs w:val="21"/>
                      <w:lang w:val="en-US" w:eastAsia="zh-CN"/>
                    </w:rPr>
                    <w:t>0.0062</w:t>
                  </w:r>
                </w:p>
              </w:tc>
              <w:tc>
                <w:tcPr>
                  <w:tcW w:w="200" w:type="pct"/>
                  <w:vMerge w:val="restart"/>
                  <w:shd w:val="clear" w:color="auto" w:fill="FFFFFF"/>
                  <w:noWrap/>
                  <w:vAlign w:val="center"/>
                </w:tcPr>
                <w:p w14:paraId="60531CF5">
                  <w:pPr>
                    <w:jc w:val="center"/>
                    <w:rPr>
                      <w:rFonts w:hint="eastAsia" w:eastAsia="宋体"/>
                      <w:color w:val="auto"/>
                      <w:szCs w:val="21"/>
                      <w:lang w:eastAsia="zh-CN"/>
                    </w:rPr>
                  </w:pPr>
                  <w:r>
                    <w:rPr>
                      <w:rFonts w:hint="eastAsia"/>
                      <w:color w:val="auto"/>
                      <w:szCs w:val="21"/>
                    </w:rPr>
                    <w:t>DA00</w:t>
                  </w:r>
                  <w:r>
                    <w:rPr>
                      <w:rFonts w:hint="eastAsia"/>
                      <w:color w:val="auto"/>
                      <w:szCs w:val="21"/>
                      <w:lang w:val="en-US" w:eastAsia="zh-CN"/>
                    </w:rPr>
                    <w:t>2</w:t>
                  </w:r>
                </w:p>
              </w:tc>
              <w:tc>
                <w:tcPr>
                  <w:tcW w:w="162" w:type="pct"/>
                  <w:vMerge w:val="restart"/>
                  <w:shd w:val="clear" w:color="auto" w:fill="FFFFFF"/>
                  <w:noWrap/>
                  <w:vAlign w:val="center"/>
                </w:tcPr>
                <w:p w14:paraId="41FE9DAA">
                  <w:pPr>
                    <w:jc w:val="center"/>
                    <w:rPr>
                      <w:color w:val="auto"/>
                      <w:szCs w:val="21"/>
                    </w:rPr>
                  </w:pPr>
                  <w:r>
                    <w:rPr>
                      <w:rFonts w:hint="eastAsia"/>
                      <w:color w:val="auto"/>
                      <w:szCs w:val="21"/>
                    </w:rPr>
                    <w:t>15</w:t>
                  </w:r>
                </w:p>
              </w:tc>
              <w:tc>
                <w:tcPr>
                  <w:tcW w:w="177" w:type="pct"/>
                  <w:vMerge w:val="restart"/>
                  <w:shd w:val="clear" w:color="auto" w:fill="FFFFFF"/>
                  <w:noWrap/>
                  <w:vAlign w:val="center"/>
                </w:tcPr>
                <w:p w14:paraId="47296AD5">
                  <w:pPr>
                    <w:jc w:val="center"/>
                    <w:rPr>
                      <w:rFonts w:hint="default" w:eastAsia="宋体"/>
                      <w:color w:val="auto"/>
                      <w:szCs w:val="21"/>
                      <w:lang w:val="en-US" w:eastAsia="zh-CN"/>
                    </w:rPr>
                  </w:pPr>
                  <w:r>
                    <w:rPr>
                      <w:rFonts w:hint="eastAsia"/>
                      <w:color w:val="auto"/>
                      <w:szCs w:val="21"/>
                      <w:lang w:val="en-US" w:eastAsia="zh-CN"/>
                    </w:rPr>
                    <w:t>0.4</w:t>
                  </w:r>
                </w:p>
              </w:tc>
              <w:tc>
                <w:tcPr>
                  <w:tcW w:w="172" w:type="pct"/>
                  <w:vMerge w:val="restart"/>
                  <w:shd w:val="clear" w:color="auto" w:fill="FFFFFF"/>
                  <w:noWrap/>
                  <w:vAlign w:val="center"/>
                </w:tcPr>
                <w:p w14:paraId="39D1BBC8">
                  <w:pPr>
                    <w:jc w:val="center"/>
                    <w:rPr>
                      <w:rFonts w:hint="default" w:eastAsia="宋体"/>
                      <w:color w:val="auto"/>
                      <w:szCs w:val="21"/>
                      <w:lang w:val="en-US" w:eastAsia="zh-CN"/>
                    </w:rPr>
                  </w:pPr>
                  <w:r>
                    <w:rPr>
                      <w:rFonts w:hint="eastAsia"/>
                      <w:color w:val="auto"/>
                      <w:szCs w:val="21"/>
                      <w:lang w:val="en-US" w:eastAsia="zh-CN"/>
                    </w:rPr>
                    <w:t>100</w:t>
                  </w:r>
                </w:p>
              </w:tc>
              <w:tc>
                <w:tcPr>
                  <w:tcW w:w="172" w:type="pct"/>
                  <w:vMerge w:val="restart"/>
                  <w:shd w:val="clear" w:color="auto" w:fill="FFFFFF"/>
                  <w:noWrap/>
                  <w:vAlign w:val="center"/>
                </w:tcPr>
                <w:p w14:paraId="28854AAC">
                  <w:pPr>
                    <w:jc w:val="center"/>
                    <w:rPr>
                      <w:color w:val="auto"/>
                      <w:szCs w:val="21"/>
                    </w:rPr>
                  </w:pPr>
                  <w:r>
                    <w:rPr>
                      <w:color w:val="auto"/>
                      <w:kern w:val="0"/>
                      <w:szCs w:val="21"/>
                    </w:rPr>
                    <w:t>一般排放口</w:t>
                  </w:r>
                </w:p>
              </w:tc>
              <w:tc>
                <w:tcPr>
                  <w:tcW w:w="500" w:type="pct"/>
                  <w:vMerge w:val="restart"/>
                  <w:shd w:val="clear" w:color="auto" w:fill="FFFFFF"/>
                  <w:noWrap/>
                  <w:vAlign w:val="center"/>
                </w:tcPr>
                <w:p w14:paraId="4756D39D">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115.9639280</w:t>
                  </w:r>
                </w:p>
                <w:p w14:paraId="1BFE8456">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31.66654195</w:t>
                  </w:r>
                </w:p>
              </w:tc>
              <w:tc>
                <w:tcPr>
                  <w:tcW w:w="324" w:type="pct"/>
                  <w:shd w:val="clear" w:color="auto" w:fill="FFFFFF"/>
                  <w:noWrap/>
                  <w:vAlign w:val="center"/>
                </w:tcPr>
                <w:p w14:paraId="10B50704">
                  <w:pPr>
                    <w:jc w:val="center"/>
                    <w:rPr>
                      <w:rFonts w:hint="default" w:eastAsia="宋体"/>
                      <w:color w:val="auto"/>
                      <w:szCs w:val="21"/>
                      <w:lang w:val="en-US" w:eastAsia="zh-CN"/>
                    </w:rPr>
                  </w:pPr>
                  <w:r>
                    <w:rPr>
                      <w:rFonts w:hint="eastAsia"/>
                      <w:color w:val="auto"/>
                      <w:szCs w:val="21"/>
                      <w:lang w:val="en-US" w:eastAsia="zh-CN"/>
                    </w:rPr>
                    <w:t>50</w:t>
                  </w:r>
                </w:p>
              </w:tc>
            </w:tr>
            <w:tr w14:paraId="3D41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4" w:type="pct"/>
                  <w:vMerge w:val="continue"/>
                  <w:shd w:val="clear" w:color="auto" w:fill="FFFFFF"/>
                  <w:vAlign w:val="center"/>
                </w:tcPr>
                <w:p w14:paraId="726740C7">
                  <w:pPr>
                    <w:jc w:val="center"/>
                    <w:rPr>
                      <w:color w:val="auto"/>
                    </w:rPr>
                  </w:pPr>
                </w:p>
              </w:tc>
              <w:tc>
                <w:tcPr>
                  <w:tcW w:w="239" w:type="pct"/>
                  <w:shd w:val="clear" w:color="auto" w:fill="FFFFFF"/>
                  <w:noWrap/>
                  <w:vAlign w:val="center"/>
                </w:tcPr>
                <w:p w14:paraId="3DDB9165">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SO</w:t>
                  </w:r>
                  <w:r>
                    <w:rPr>
                      <w:rFonts w:hint="eastAsia" w:cs="Times New Roman"/>
                      <w:color w:val="auto"/>
                      <w:szCs w:val="21"/>
                      <w:vertAlign w:val="subscript"/>
                      <w:lang w:val="en-US" w:eastAsia="zh-CN"/>
                    </w:rPr>
                    <w:t>2</w:t>
                  </w:r>
                </w:p>
              </w:tc>
              <w:tc>
                <w:tcPr>
                  <w:tcW w:w="251" w:type="pct"/>
                  <w:shd w:val="clear" w:color="auto" w:fill="FFFFFF"/>
                  <w:noWrap/>
                  <w:vAlign w:val="center"/>
                </w:tcPr>
                <w:p w14:paraId="0C57EC77">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136</w:t>
                  </w:r>
                </w:p>
              </w:tc>
              <w:tc>
                <w:tcPr>
                  <w:tcW w:w="260" w:type="pct"/>
                  <w:shd w:val="clear" w:color="auto" w:fill="auto"/>
                  <w:noWrap/>
                  <w:vAlign w:val="center"/>
                </w:tcPr>
                <w:p w14:paraId="6BC1907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1.051</w:t>
                  </w:r>
                </w:p>
              </w:tc>
              <w:tc>
                <w:tcPr>
                  <w:tcW w:w="217" w:type="pct"/>
                  <w:vMerge w:val="continue"/>
                  <w:shd w:val="clear" w:color="auto" w:fill="FFFFFF"/>
                  <w:noWrap/>
                  <w:vAlign w:val="center"/>
                </w:tcPr>
                <w:p w14:paraId="5389E5D8">
                  <w:pPr>
                    <w:jc w:val="center"/>
                    <w:rPr>
                      <w:rFonts w:hint="eastAsia" w:ascii="Times New Roman" w:hAnsi="Times New Roman" w:eastAsia="宋体" w:cs="Times New Roman"/>
                      <w:color w:val="auto"/>
                      <w:szCs w:val="21"/>
                    </w:rPr>
                  </w:pPr>
                </w:p>
              </w:tc>
              <w:tc>
                <w:tcPr>
                  <w:tcW w:w="338" w:type="pct"/>
                  <w:shd w:val="clear" w:color="auto" w:fill="FFFFFF"/>
                  <w:vAlign w:val="center"/>
                </w:tcPr>
                <w:p w14:paraId="2A8A3433">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272" w:type="pct"/>
                  <w:vMerge w:val="continue"/>
                  <w:shd w:val="clear" w:color="auto" w:fill="FFFFFF"/>
                  <w:noWrap/>
                  <w:vAlign w:val="center"/>
                </w:tcPr>
                <w:p w14:paraId="5DD514E5">
                  <w:pPr>
                    <w:jc w:val="center"/>
                    <w:rPr>
                      <w:rFonts w:hint="eastAsia" w:ascii="Times New Roman" w:hAnsi="Times New Roman" w:eastAsia="宋体" w:cs="Times New Roman"/>
                      <w:color w:val="auto"/>
                      <w:szCs w:val="21"/>
                    </w:rPr>
                  </w:pPr>
                </w:p>
              </w:tc>
              <w:tc>
                <w:tcPr>
                  <w:tcW w:w="236" w:type="pct"/>
                  <w:vMerge w:val="continue"/>
                  <w:shd w:val="clear" w:color="auto" w:fill="FFFFFF"/>
                  <w:noWrap/>
                  <w:vAlign w:val="center"/>
                </w:tcPr>
                <w:p w14:paraId="420E2D70">
                  <w:pPr>
                    <w:jc w:val="center"/>
                    <w:rPr>
                      <w:rFonts w:hint="eastAsia" w:ascii="Times New Roman" w:hAnsi="Times New Roman" w:eastAsia="宋体" w:cs="Times New Roman"/>
                      <w:color w:val="auto"/>
                      <w:szCs w:val="21"/>
                    </w:rPr>
                  </w:pPr>
                </w:p>
              </w:tc>
              <w:tc>
                <w:tcPr>
                  <w:tcW w:w="232" w:type="pct"/>
                  <w:shd w:val="clear" w:color="auto" w:fill="FFFFFF"/>
                  <w:noWrap/>
                  <w:vAlign w:val="center"/>
                </w:tcPr>
                <w:p w14:paraId="66A49E85">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248" w:type="pct"/>
                  <w:shd w:val="clear" w:color="auto" w:fill="FFFFFF"/>
                  <w:noWrap/>
                  <w:vAlign w:val="center"/>
                </w:tcPr>
                <w:p w14:paraId="4E349496">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263" w:type="pct"/>
                  <w:shd w:val="clear" w:color="auto" w:fill="FFFFFF"/>
                  <w:noWrap/>
                  <w:vAlign w:val="center"/>
                </w:tcPr>
                <w:p w14:paraId="724B144F">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136</w:t>
                  </w:r>
                </w:p>
              </w:tc>
              <w:tc>
                <w:tcPr>
                  <w:tcW w:w="277" w:type="pct"/>
                  <w:shd w:val="clear" w:color="auto" w:fill="FFFFFF"/>
                  <w:noWrap/>
                  <w:vAlign w:val="center"/>
                </w:tcPr>
                <w:p w14:paraId="0E069B25">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0.876</w:t>
                  </w:r>
                </w:p>
              </w:tc>
              <w:tc>
                <w:tcPr>
                  <w:tcW w:w="270" w:type="pct"/>
                  <w:shd w:val="clear" w:color="auto" w:fill="auto"/>
                  <w:noWrap/>
                  <w:vAlign w:val="center"/>
                </w:tcPr>
                <w:p w14:paraId="6C36C6E4">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1.051</w:t>
                  </w:r>
                </w:p>
              </w:tc>
              <w:tc>
                <w:tcPr>
                  <w:tcW w:w="200" w:type="pct"/>
                  <w:vMerge w:val="continue"/>
                  <w:shd w:val="clear" w:color="auto" w:fill="FFFFFF"/>
                  <w:noWrap/>
                  <w:vAlign w:val="center"/>
                </w:tcPr>
                <w:p w14:paraId="396FE663">
                  <w:pPr>
                    <w:jc w:val="center"/>
                    <w:rPr>
                      <w:rFonts w:hint="eastAsia" w:ascii="Times New Roman" w:hAnsi="Times New Roman" w:eastAsia="宋体" w:cs="Times New Roman"/>
                      <w:color w:val="auto"/>
                      <w:szCs w:val="21"/>
                    </w:rPr>
                  </w:pPr>
                </w:p>
              </w:tc>
              <w:tc>
                <w:tcPr>
                  <w:tcW w:w="162" w:type="pct"/>
                  <w:vMerge w:val="continue"/>
                  <w:shd w:val="clear" w:color="auto" w:fill="FFFFFF"/>
                  <w:noWrap/>
                  <w:vAlign w:val="center"/>
                </w:tcPr>
                <w:p w14:paraId="1AB980CB">
                  <w:pPr>
                    <w:jc w:val="center"/>
                    <w:rPr>
                      <w:rFonts w:hint="eastAsia" w:ascii="Times New Roman" w:hAnsi="Times New Roman" w:eastAsia="宋体" w:cs="Times New Roman"/>
                      <w:color w:val="auto"/>
                      <w:szCs w:val="21"/>
                    </w:rPr>
                  </w:pPr>
                </w:p>
              </w:tc>
              <w:tc>
                <w:tcPr>
                  <w:tcW w:w="177" w:type="pct"/>
                  <w:vMerge w:val="continue"/>
                  <w:shd w:val="clear" w:color="auto" w:fill="FFFFFF"/>
                  <w:noWrap/>
                  <w:vAlign w:val="center"/>
                </w:tcPr>
                <w:p w14:paraId="79F633C7">
                  <w:pPr>
                    <w:jc w:val="center"/>
                    <w:rPr>
                      <w:rFonts w:hint="eastAsia" w:ascii="Times New Roman" w:hAnsi="Times New Roman" w:eastAsia="宋体" w:cs="Times New Roman"/>
                      <w:color w:val="auto"/>
                      <w:szCs w:val="21"/>
                    </w:rPr>
                  </w:pPr>
                </w:p>
              </w:tc>
              <w:tc>
                <w:tcPr>
                  <w:tcW w:w="172" w:type="pct"/>
                  <w:vMerge w:val="continue"/>
                  <w:shd w:val="clear" w:color="auto" w:fill="FFFFFF"/>
                  <w:noWrap/>
                  <w:vAlign w:val="center"/>
                </w:tcPr>
                <w:p w14:paraId="009A01CD">
                  <w:pPr>
                    <w:jc w:val="center"/>
                    <w:rPr>
                      <w:rFonts w:hint="eastAsia" w:ascii="Times New Roman" w:hAnsi="Times New Roman" w:eastAsia="宋体" w:cs="Times New Roman"/>
                      <w:color w:val="auto"/>
                      <w:szCs w:val="21"/>
                    </w:rPr>
                  </w:pPr>
                </w:p>
              </w:tc>
              <w:tc>
                <w:tcPr>
                  <w:tcW w:w="172" w:type="pct"/>
                  <w:vMerge w:val="continue"/>
                  <w:shd w:val="clear" w:color="auto" w:fill="FFFFFF"/>
                  <w:noWrap/>
                  <w:vAlign w:val="center"/>
                </w:tcPr>
                <w:p w14:paraId="2C9974B5">
                  <w:pPr>
                    <w:jc w:val="center"/>
                    <w:rPr>
                      <w:rFonts w:hint="eastAsia" w:ascii="Times New Roman" w:hAnsi="Times New Roman" w:eastAsia="宋体" w:cs="Times New Roman"/>
                      <w:color w:val="auto"/>
                      <w:szCs w:val="21"/>
                    </w:rPr>
                  </w:pPr>
                </w:p>
              </w:tc>
              <w:tc>
                <w:tcPr>
                  <w:tcW w:w="500" w:type="pct"/>
                  <w:vMerge w:val="continue"/>
                  <w:shd w:val="clear" w:color="auto" w:fill="FFFFFF"/>
                  <w:noWrap/>
                  <w:vAlign w:val="center"/>
                </w:tcPr>
                <w:p w14:paraId="6D3F3015">
                  <w:pPr>
                    <w:jc w:val="center"/>
                    <w:rPr>
                      <w:rFonts w:hint="eastAsia" w:ascii="Times New Roman" w:hAnsi="Times New Roman" w:eastAsia="宋体" w:cs="Times New Roman"/>
                      <w:color w:val="FF0000"/>
                      <w:szCs w:val="21"/>
                    </w:rPr>
                  </w:pPr>
                </w:p>
              </w:tc>
              <w:tc>
                <w:tcPr>
                  <w:tcW w:w="324" w:type="pct"/>
                  <w:shd w:val="clear" w:color="auto" w:fill="FFFFFF"/>
                  <w:noWrap/>
                  <w:vAlign w:val="center"/>
                </w:tcPr>
                <w:p w14:paraId="58BFA614">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300</w:t>
                  </w:r>
                </w:p>
              </w:tc>
            </w:tr>
            <w:tr w14:paraId="3D51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4" w:type="pct"/>
                  <w:vMerge w:val="continue"/>
                  <w:shd w:val="clear" w:color="auto" w:fill="FFFFFF"/>
                  <w:vAlign w:val="center"/>
                </w:tcPr>
                <w:p w14:paraId="6AD7B247">
                  <w:pPr>
                    <w:jc w:val="center"/>
                    <w:rPr>
                      <w:rFonts w:hint="eastAsia" w:ascii="Times New Roman" w:hAnsi="Times New Roman" w:eastAsia="宋体" w:cs="Times New Roman"/>
                      <w:color w:val="FF0000"/>
                      <w:szCs w:val="21"/>
                    </w:rPr>
                  </w:pPr>
                </w:p>
              </w:tc>
              <w:tc>
                <w:tcPr>
                  <w:tcW w:w="239" w:type="pct"/>
                  <w:shd w:val="clear" w:color="auto" w:fill="FFFFFF"/>
                  <w:noWrap/>
                  <w:vAlign w:val="center"/>
                </w:tcPr>
                <w:p w14:paraId="15D25D5C">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NOx</w:t>
                  </w:r>
                </w:p>
              </w:tc>
              <w:tc>
                <w:tcPr>
                  <w:tcW w:w="251" w:type="pct"/>
                  <w:shd w:val="clear" w:color="auto" w:fill="FFFFFF"/>
                  <w:noWrap/>
                  <w:vAlign w:val="center"/>
                </w:tcPr>
                <w:p w14:paraId="5CCCCCB2">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163.5</w:t>
                  </w:r>
                </w:p>
              </w:tc>
              <w:tc>
                <w:tcPr>
                  <w:tcW w:w="260" w:type="pct"/>
                  <w:shd w:val="clear" w:color="auto" w:fill="auto"/>
                  <w:noWrap/>
                  <w:vAlign w:val="center"/>
                </w:tcPr>
                <w:p w14:paraId="3E7F9654">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1.261</w:t>
                  </w:r>
                </w:p>
              </w:tc>
              <w:tc>
                <w:tcPr>
                  <w:tcW w:w="217" w:type="pct"/>
                  <w:vMerge w:val="continue"/>
                  <w:shd w:val="clear" w:color="auto" w:fill="FFFFFF"/>
                  <w:noWrap/>
                  <w:vAlign w:val="center"/>
                </w:tcPr>
                <w:p w14:paraId="1A5205DB">
                  <w:pPr>
                    <w:jc w:val="center"/>
                    <w:rPr>
                      <w:rFonts w:hint="eastAsia" w:ascii="Times New Roman" w:hAnsi="Times New Roman" w:eastAsia="宋体" w:cs="Times New Roman"/>
                      <w:color w:val="auto"/>
                      <w:szCs w:val="21"/>
                    </w:rPr>
                  </w:pPr>
                </w:p>
              </w:tc>
              <w:tc>
                <w:tcPr>
                  <w:tcW w:w="338" w:type="pct"/>
                  <w:shd w:val="clear" w:color="auto" w:fill="FFFFFF"/>
                  <w:vAlign w:val="center"/>
                </w:tcPr>
                <w:p w14:paraId="45AC7D00">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272" w:type="pct"/>
                  <w:vMerge w:val="continue"/>
                  <w:shd w:val="clear" w:color="auto" w:fill="FFFFFF"/>
                  <w:noWrap/>
                  <w:vAlign w:val="center"/>
                </w:tcPr>
                <w:p w14:paraId="2A779EE6">
                  <w:pPr>
                    <w:jc w:val="center"/>
                    <w:rPr>
                      <w:rFonts w:hint="eastAsia" w:ascii="Times New Roman" w:hAnsi="Times New Roman" w:eastAsia="宋体" w:cs="Times New Roman"/>
                      <w:color w:val="auto"/>
                      <w:szCs w:val="21"/>
                    </w:rPr>
                  </w:pPr>
                </w:p>
              </w:tc>
              <w:tc>
                <w:tcPr>
                  <w:tcW w:w="236" w:type="pct"/>
                  <w:vMerge w:val="continue"/>
                  <w:shd w:val="clear" w:color="auto" w:fill="FFFFFF"/>
                  <w:noWrap/>
                  <w:vAlign w:val="center"/>
                </w:tcPr>
                <w:p w14:paraId="6F7EACDF">
                  <w:pPr>
                    <w:jc w:val="center"/>
                    <w:rPr>
                      <w:rFonts w:hint="eastAsia" w:ascii="Times New Roman" w:hAnsi="Times New Roman" w:eastAsia="宋体" w:cs="Times New Roman"/>
                      <w:color w:val="auto"/>
                      <w:szCs w:val="21"/>
                    </w:rPr>
                  </w:pPr>
                </w:p>
              </w:tc>
              <w:tc>
                <w:tcPr>
                  <w:tcW w:w="232" w:type="pct"/>
                  <w:shd w:val="clear" w:color="auto" w:fill="FFFFFF"/>
                  <w:noWrap/>
                  <w:vAlign w:val="center"/>
                </w:tcPr>
                <w:p w14:paraId="5E6E1D42">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248" w:type="pct"/>
                  <w:shd w:val="clear" w:color="auto" w:fill="FFFFFF"/>
                  <w:noWrap/>
                  <w:vAlign w:val="center"/>
                </w:tcPr>
                <w:p w14:paraId="7E0CCA97">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263" w:type="pct"/>
                  <w:shd w:val="clear" w:color="auto" w:fill="FFFFFF"/>
                  <w:noWrap/>
                  <w:vAlign w:val="center"/>
                </w:tcPr>
                <w:p w14:paraId="2C4755E2">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163.5</w:t>
                  </w:r>
                </w:p>
              </w:tc>
              <w:tc>
                <w:tcPr>
                  <w:tcW w:w="277" w:type="pct"/>
                  <w:shd w:val="clear" w:color="auto" w:fill="FFFFFF"/>
                  <w:noWrap/>
                  <w:vAlign w:val="center"/>
                </w:tcPr>
                <w:p w14:paraId="61C05A39">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1.051</w:t>
                  </w:r>
                </w:p>
              </w:tc>
              <w:tc>
                <w:tcPr>
                  <w:tcW w:w="270" w:type="pct"/>
                  <w:shd w:val="clear" w:color="auto" w:fill="auto"/>
                  <w:noWrap/>
                  <w:vAlign w:val="center"/>
                </w:tcPr>
                <w:p w14:paraId="05874B56">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1.261</w:t>
                  </w:r>
                </w:p>
              </w:tc>
              <w:tc>
                <w:tcPr>
                  <w:tcW w:w="200" w:type="pct"/>
                  <w:vMerge w:val="continue"/>
                  <w:shd w:val="clear" w:color="auto" w:fill="FFFFFF"/>
                  <w:noWrap/>
                  <w:vAlign w:val="center"/>
                </w:tcPr>
                <w:p w14:paraId="40156F88">
                  <w:pPr>
                    <w:jc w:val="center"/>
                    <w:rPr>
                      <w:rFonts w:hint="eastAsia" w:ascii="Times New Roman" w:hAnsi="Times New Roman" w:eastAsia="宋体" w:cs="Times New Roman"/>
                      <w:color w:val="auto"/>
                      <w:szCs w:val="21"/>
                    </w:rPr>
                  </w:pPr>
                </w:p>
              </w:tc>
              <w:tc>
                <w:tcPr>
                  <w:tcW w:w="162" w:type="pct"/>
                  <w:vMerge w:val="continue"/>
                  <w:shd w:val="clear" w:color="auto" w:fill="FFFFFF"/>
                  <w:noWrap/>
                  <w:vAlign w:val="center"/>
                </w:tcPr>
                <w:p w14:paraId="1EB89484">
                  <w:pPr>
                    <w:jc w:val="center"/>
                    <w:rPr>
                      <w:rFonts w:hint="eastAsia" w:ascii="Times New Roman" w:hAnsi="Times New Roman" w:eastAsia="宋体" w:cs="Times New Roman"/>
                      <w:color w:val="auto"/>
                      <w:szCs w:val="21"/>
                    </w:rPr>
                  </w:pPr>
                </w:p>
              </w:tc>
              <w:tc>
                <w:tcPr>
                  <w:tcW w:w="177" w:type="pct"/>
                  <w:vMerge w:val="continue"/>
                  <w:shd w:val="clear" w:color="auto" w:fill="FFFFFF"/>
                  <w:noWrap/>
                  <w:vAlign w:val="center"/>
                </w:tcPr>
                <w:p w14:paraId="68C8F757">
                  <w:pPr>
                    <w:jc w:val="center"/>
                    <w:rPr>
                      <w:rFonts w:hint="eastAsia" w:ascii="Times New Roman" w:hAnsi="Times New Roman" w:eastAsia="宋体" w:cs="Times New Roman"/>
                      <w:color w:val="auto"/>
                      <w:szCs w:val="21"/>
                    </w:rPr>
                  </w:pPr>
                </w:p>
              </w:tc>
              <w:tc>
                <w:tcPr>
                  <w:tcW w:w="172" w:type="pct"/>
                  <w:vMerge w:val="continue"/>
                  <w:shd w:val="clear" w:color="auto" w:fill="FFFFFF"/>
                  <w:noWrap/>
                  <w:vAlign w:val="center"/>
                </w:tcPr>
                <w:p w14:paraId="05E14CAE">
                  <w:pPr>
                    <w:jc w:val="center"/>
                    <w:rPr>
                      <w:rFonts w:hint="eastAsia" w:ascii="Times New Roman" w:hAnsi="Times New Roman" w:eastAsia="宋体" w:cs="Times New Roman"/>
                      <w:color w:val="auto"/>
                      <w:szCs w:val="21"/>
                    </w:rPr>
                  </w:pPr>
                </w:p>
              </w:tc>
              <w:tc>
                <w:tcPr>
                  <w:tcW w:w="172" w:type="pct"/>
                  <w:vMerge w:val="continue"/>
                  <w:shd w:val="clear" w:color="auto" w:fill="FFFFFF"/>
                  <w:noWrap/>
                  <w:vAlign w:val="center"/>
                </w:tcPr>
                <w:p w14:paraId="42B8D000">
                  <w:pPr>
                    <w:jc w:val="center"/>
                    <w:rPr>
                      <w:rFonts w:hint="eastAsia" w:ascii="Times New Roman" w:hAnsi="Times New Roman" w:eastAsia="宋体" w:cs="Times New Roman"/>
                      <w:color w:val="auto"/>
                      <w:szCs w:val="21"/>
                    </w:rPr>
                  </w:pPr>
                </w:p>
              </w:tc>
              <w:tc>
                <w:tcPr>
                  <w:tcW w:w="500" w:type="pct"/>
                  <w:vMerge w:val="continue"/>
                  <w:shd w:val="clear" w:color="auto" w:fill="FFFFFF"/>
                  <w:noWrap/>
                  <w:vAlign w:val="center"/>
                </w:tcPr>
                <w:p w14:paraId="5B08A477">
                  <w:pPr>
                    <w:jc w:val="center"/>
                    <w:rPr>
                      <w:rFonts w:hint="eastAsia" w:ascii="Times New Roman" w:hAnsi="Times New Roman" w:eastAsia="宋体" w:cs="Times New Roman"/>
                      <w:color w:val="FF0000"/>
                      <w:szCs w:val="21"/>
                    </w:rPr>
                  </w:pPr>
                </w:p>
              </w:tc>
              <w:tc>
                <w:tcPr>
                  <w:tcW w:w="324" w:type="pct"/>
                  <w:shd w:val="clear" w:color="auto" w:fill="FFFFFF"/>
                  <w:noWrap/>
                  <w:vAlign w:val="center"/>
                </w:tcPr>
                <w:p w14:paraId="2D01BC00">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300</w:t>
                  </w:r>
                </w:p>
              </w:tc>
            </w:tr>
          </w:tbl>
          <w:p w14:paraId="1BA70AA7">
            <w:pPr>
              <w:pStyle w:val="91"/>
              <w:adjustRightInd w:val="0"/>
              <w:snapToGrid w:val="0"/>
              <w:spacing w:before="120" w:beforeLines="50" w:line="360" w:lineRule="auto"/>
              <w:rPr>
                <w:rFonts w:hAnsi="Times New Roman"/>
                <w:color w:val="000000" w:themeColor="text1"/>
                <w:sz w:val="24"/>
                <w:szCs w:val="24"/>
                <w14:textFill>
                  <w14:solidFill>
                    <w14:schemeClr w14:val="tx1"/>
                  </w14:solidFill>
                </w14:textFill>
              </w:rPr>
            </w:pPr>
            <w:r>
              <w:rPr>
                <w:rFonts w:hAnsi="Times New Roman"/>
                <w:iCs w:val="0"/>
                <w:snapToGrid/>
                <w:color w:val="auto"/>
                <w:sz w:val="24"/>
                <w:szCs w:val="24"/>
              </w:rPr>
              <w:t>表</w:t>
            </w:r>
            <w:r>
              <w:rPr>
                <w:rFonts w:hint="eastAsia" w:hAnsi="Times New Roman"/>
                <w:iCs w:val="0"/>
                <w:snapToGrid/>
                <w:color w:val="auto"/>
                <w:sz w:val="24"/>
                <w:szCs w:val="24"/>
              </w:rPr>
              <w:t>4</w:t>
            </w:r>
            <w:r>
              <w:rPr>
                <w:rFonts w:hAnsi="Times New Roman"/>
                <w:iCs w:val="0"/>
                <w:snapToGrid/>
                <w:color w:val="auto"/>
                <w:sz w:val="24"/>
                <w:szCs w:val="24"/>
              </w:rPr>
              <w:t>-</w:t>
            </w:r>
            <w:r>
              <w:rPr>
                <w:rFonts w:hint="eastAsia" w:hAnsi="Times New Roman"/>
                <w:iCs w:val="0"/>
                <w:snapToGrid/>
                <w:color w:val="auto"/>
                <w:sz w:val="24"/>
                <w:szCs w:val="24"/>
              </w:rPr>
              <w:t>3</w:t>
            </w:r>
            <w:r>
              <w:rPr>
                <w:rFonts w:hAnsi="Times New Roman"/>
                <w:iCs w:val="0"/>
                <w:snapToGrid/>
                <w:color w:val="auto"/>
                <w:sz w:val="24"/>
                <w:szCs w:val="24"/>
              </w:rPr>
              <w:t xml:space="preserve"> </w:t>
            </w:r>
            <w:r>
              <w:rPr>
                <w:rFonts w:hint="eastAsia" w:hAnsi="Times New Roman"/>
                <w:bCs/>
                <w:color w:val="auto"/>
                <w:sz w:val="24"/>
                <w:szCs w:val="24"/>
              </w:rPr>
              <w:t>厂房</w:t>
            </w:r>
            <w:r>
              <w:rPr>
                <w:rFonts w:hAnsi="Times New Roman"/>
                <w:iCs w:val="0"/>
                <w:snapToGrid/>
                <w:color w:val="auto"/>
                <w:sz w:val="24"/>
                <w:szCs w:val="24"/>
              </w:rPr>
              <w:t>无组织废气污染源</w:t>
            </w:r>
            <w:r>
              <w:rPr>
                <w:rFonts w:hAnsi="Times New Roman"/>
                <w:iCs w:val="0"/>
                <w:snapToGrid/>
                <w:color w:val="000000" w:themeColor="text1"/>
                <w:sz w:val="24"/>
                <w:szCs w:val="24"/>
                <w14:textFill>
                  <w14:solidFill>
                    <w14:schemeClr w14:val="tx1"/>
                  </w14:solidFill>
                </w14:textFill>
              </w:rPr>
              <w:t>强一览表</w:t>
            </w:r>
          </w:p>
          <w:tbl>
            <w:tblPr>
              <w:tblStyle w:val="31"/>
              <w:tblW w:w="13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55"/>
              <w:gridCol w:w="1389"/>
              <w:gridCol w:w="1087"/>
              <w:gridCol w:w="1076"/>
              <w:gridCol w:w="1604"/>
              <w:gridCol w:w="1322"/>
              <w:gridCol w:w="1421"/>
              <w:gridCol w:w="1387"/>
              <w:gridCol w:w="1498"/>
            </w:tblGrid>
            <w:tr w14:paraId="6737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29" w:type="dxa"/>
                  <w:vMerge w:val="restart"/>
                  <w:vAlign w:val="center"/>
                </w:tcPr>
                <w:p w14:paraId="3DD4092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主要污染物</w:t>
                  </w:r>
                </w:p>
              </w:tc>
              <w:tc>
                <w:tcPr>
                  <w:tcW w:w="1355" w:type="dxa"/>
                  <w:vMerge w:val="restart"/>
                  <w:vAlign w:val="center"/>
                </w:tcPr>
                <w:p w14:paraId="79A4A60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产污环节</w:t>
                  </w:r>
                </w:p>
              </w:tc>
              <w:tc>
                <w:tcPr>
                  <w:tcW w:w="1389" w:type="dxa"/>
                  <w:vMerge w:val="restart"/>
                  <w:vAlign w:val="center"/>
                </w:tcPr>
                <w:p w14:paraId="40F97AC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产生量t/a</w:t>
                  </w:r>
                </w:p>
              </w:tc>
              <w:tc>
                <w:tcPr>
                  <w:tcW w:w="1087" w:type="dxa"/>
                  <w:vMerge w:val="restart"/>
                  <w:vAlign w:val="center"/>
                </w:tcPr>
                <w:p w14:paraId="7E6E767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治理措施</w:t>
                  </w:r>
                </w:p>
              </w:tc>
              <w:tc>
                <w:tcPr>
                  <w:tcW w:w="1076" w:type="dxa"/>
                  <w:vMerge w:val="restart"/>
                  <w:vAlign w:val="center"/>
                </w:tcPr>
                <w:p w14:paraId="312197B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治理效率</w:t>
                  </w:r>
                </w:p>
              </w:tc>
              <w:tc>
                <w:tcPr>
                  <w:tcW w:w="1604" w:type="dxa"/>
                  <w:vMerge w:val="restart"/>
                  <w:vAlign w:val="center"/>
                </w:tcPr>
                <w:p w14:paraId="473448D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排放速率（</w:t>
                  </w:r>
                  <w:r>
                    <w:rPr>
                      <w:color w:val="000000" w:themeColor="text1"/>
                      <w:szCs w:val="21"/>
                      <w14:textFill>
                        <w14:solidFill>
                          <w14:schemeClr w14:val="tx1"/>
                        </w14:solidFill>
                      </w14:textFill>
                    </w:rPr>
                    <w:t>kg/h</w:t>
                  </w:r>
                  <w:r>
                    <w:rPr>
                      <w:rFonts w:hint="eastAsia"/>
                      <w:color w:val="000000" w:themeColor="text1"/>
                      <w:szCs w:val="21"/>
                      <w14:textFill>
                        <w14:solidFill>
                          <w14:schemeClr w14:val="tx1"/>
                        </w14:solidFill>
                      </w14:textFill>
                    </w:rPr>
                    <w:t>）</w:t>
                  </w:r>
                </w:p>
              </w:tc>
              <w:tc>
                <w:tcPr>
                  <w:tcW w:w="1322" w:type="dxa"/>
                  <w:vMerge w:val="restart"/>
                  <w:vAlign w:val="center"/>
                </w:tcPr>
                <w:p w14:paraId="5A023B6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排放量（</w:t>
                  </w:r>
                  <w:r>
                    <w:rPr>
                      <w:color w:val="000000" w:themeColor="text1"/>
                      <w:szCs w:val="21"/>
                      <w14:textFill>
                        <w14:solidFill>
                          <w14:schemeClr w14:val="tx1"/>
                        </w14:solidFill>
                      </w14:textFill>
                    </w:rPr>
                    <w:t>t/a</w:t>
                  </w:r>
                  <w:r>
                    <w:rPr>
                      <w:rFonts w:hint="eastAsia"/>
                      <w:color w:val="000000" w:themeColor="text1"/>
                      <w:szCs w:val="21"/>
                      <w14:textFill>
                        <w14:solidFill>
                          <w14:schemeClr w14:val="tx1"/>
                        </w14:solidFill>
                      </w14:textFill>
                    </w:rPr>
                    <w:t>）</w:t>
                  </w:r>
                </w:p>
              </w:tc>
              <w:tc>
                <w:tcPr>
                  <w:tcW w:w="4306" w:type="dxa"/>
                  <w:gridSpan w:val="3"/>
                  <w:vAlign w:val="center"/>
                </w:tcPr>
                <w:p w14:paraId="3581F0C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面源/体源参数</w:t>
                  </w:r>
                </w:p>
              </w:tc>
            </w:tr>
            <w:tr w14:paraId="3DB1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29" w:type="dxa"/>
                  <w:vMerge w:val="continue"/>
                  <w:vAlign w:val="center"/>
                </w:tcPr>
                <w:p w14:paraId="4EC2702E">
                  <w:pPr>
                    <w:jc w:val="center"/>
                    <w:rPr>
                      <w:color w:val="000000" w:themeColor="text1"/>
                      <w:szCs w:val="21"/>
                      <w14:textFill>
                        <w14:solidFill>
                          <w14:schemeClr w14:val="tx1"/>
                        </w14:solidFill>
                      </w14:textFill>
                    </w:rPr>
                  </w:pPr>
                </w:p>
              </w:tc>
              <w:tc>
                <w:tcPr>
                  <w:tcW w:w="1355" w:type="dxa"/>
                  <w:vMerge w:val="continue"/>
                  <w:vAlign w:val="center"/>
                </w:tcPr>
                <w:p w14:paraId="256338F0">
                  <w:pPr>
                    <w:jc w:val="center"/>
                    <w:rPr>
                      <w:color w:val="000000" w:themeColor="text1"/>
                      <w:szCs w:val="21"/>
                      <w14:textFill>
                        <w14:solidFill>
                          <w14:schemeClr w14:val="tx1"/>
                        </w14:solidFill>
                      </w14:textFill>
                    </w:rPr>
                  </w:pPr>
                </w:p>
              </w:tc>
              <w:tc>
                <w:tcPr>
                  <w:tcW w:w="1389" w:type="dxa"/>
                  <w:vMerge w:val="continue"/>
                  <w:vAlign w:val="center"/>
                </w:tcPr>
                <w:p w14:paraId="38799C58">
                  <w:pPr>
                    <w:jc w:val="center"/>
                    <w:rPr>
                      <w:color w:val="000000" w:themeColor="text1"/>
                      <w:szCs w:val="21"/>
                      <w14:textFill>
                        <w14:solidFill>
                          <w14:schemeClr w14:val="tx1"/>
                        </w14:solidFill>
                      </w14:textFill>
                    </w:rPr>
                  </w:pPr>
                </w:p>
              </w:tc>
              <w:tc>
                <w:tcPr>
                  <w:tcW w:w="1087" w:type="dxa"/>
                  <w:vMerge w:val="continue"/>
                  <w:vAlign w:val="center"/>
                </w:tcPr>
                <w:p w14:paraId="1A2C1AAF">
                  <w:pPr>
                    <w:jc w:val="center"/>
                    <w:rPr>
                      <w:color w:val="000000" w:themeColor="text1"/>
                      <w:szCs w:val="21"/>
                      <w14:textFill>
                        <w14:solidFill>
                          <w14:schemeClr w14:val="tx1"/>
                        </w14:solidFill>
                      </w14:textFill>
                    </w:rPr>
                  </w:pPr>
                </w:p>
              </w:tc>
              <w:tc>
                <w:tcPr>
                  <w:tcW w:w="1076" w:type="dxa"/>
                  <w:vMerge w:val="continue"/>
                  <w:vAlign w:val="center"/>
                </w:tcPr>
                <w:p w14:paraId="0F5DC4BF">
                  <w:pPr>
                    <w:jc w:val="center"/>
                    <w:rPr>
                      <w:color w:val="000000" w:themeColor="text1"/>
                      <w:szCs w:val="21"/>
                      <w14:textFill>
                        <w14:solidFill>
                          <w14:schemeClr w14:val="tx1"/>
                        </w14:solidFill>
                      </w14:textFill>
                    </w:rPr>
                  </w:pPr>
                </w:p>
              </w:tc>
              <w:tc>
                <w:tcPr>
                  <w:tcW w:w="1604" w:type="dxa"/>
                  <w:vMerge w:val="continue"/>
                  <w:vAlign w:val="center"/>
                </w:tcPr>
                <w:p w14:paraId="34699BBA">
                  <w:pPr>
                    <w:jc w:val="center"/>
                    <w:rPr>
                      <w:color w:val="000000" w:themeColor="text1"/>
                      <w:szCs w:val="21"/>
                      <w14:textFill>
                        <w14:solidFill>
                          <w14:schemeClr w14:val="tx1"/>
                        </w14:solidFill>
                      </w14:textFill>
                    </w:rPr>
                  </w:pPr>
                </w:p>
              </w:tc>
              <w:tc>
                <w:tcPr>
                  <w:tcW w:w="1322" w:type="dxa"/>
                  <w:vMerge w:val="continue"/>
                  <w:vAlign w:val="center"/>
                </w:tcPr>
                <w:p w14:paraId="3BA66DF8">
                  <w:pPr>
                    <w:jc w:val="center"/>
                    <w:rPr>
                      <w:color w:val="000000" w:themeColor="text1"/>
                      <w:szCs w:val="21"/>
                      <w14:textFill>
                        <w14:solidFill>
                          <w14:schemeClr w14:val="tx1"/>
                        </w14:solidFill>
                      </w14:textFill>
                    </w:rPr>
                  </w:pPr>
                </w:p>
              </w:tc>
              <w:tc>
                <w:tcPr>
                  <w:tcW w:w="1421" w:type="dxa"/>
                  <w:vAlign w:val="center"/>
                </w:tcPr>
                <w:p w14:paraId="6D3E739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长（m）</w:t>
                  </w:r>
                </w:p>
              </w:tc>
              <w:tc>
                <w:tcPr>
                  <w:tcW w:w="1387" w:type="dxa"/>
                  <w:vAlign w:val="center"/>
                </w:tcPr>
                <w:p w14:paraId="547C0FB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宽（m）</w:t>
                  </w:r>
                </w:p>
              </w:tc>
              <w:tc>
                <w:tcPr>
                  <w:tcW w:w="1498" w:type="dxa"/>
                  <w:vAlign w:val="center"/>
                </w:tcPr>
                <w:p w14:paraId="052968C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高（m）</w:t>
                  </w:r>
                </w:p>
              </w:tc>
            </w:tr>
            <w:tr w14:paraId="5037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29" w:type="dxa"/>
                  <w:vAlign w:val="center"/>
                </w:tcPr>
                <w:p w14:paraId="5CA4CEDF">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355" w:type="dxa"/>
                  <w:vAlign w:val="center"/>
                </w:tcPr>
                <w:p w14:paraId="2A0094DE">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破碎</w:t>
                  </w:r>
                </w:p>
              </w:tc>
              <w:tc>
                <w:tcPr>
                  <w:tcW w:w="1389" w:type="dxa"/>
                  <w:vAlign w:val="center"/>
                </w:tcPr>
                <w:p w14:paraId="04878EF3">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1087" w:type="dxa"/>
                  <w:vAlign w:val="center"/>
                </w:tcPr>
                <w:p w14:paraId="3EF46884">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自然沉降</w:t>
                  </w:r>
                </w:p>
              </w:tc>
              <w:tc>
                <w:tcPr>
                  <w:tcW w:w="1076" w:type="dxa"/>
                  <w:vAlign w:val="center"/>
                </w:tcPr>
                <w:p w14:paraId="30EA0D3A">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80%</w:t>
                  </w:r>
                </w:p>
              </w:tc>
              <w:tc>
                <w:tcPr>
                  <w:tcW w:w="1604" w:type="dxa"/>
                  <w:vAlign w:val="center"/>
                </w:tcPr>
                <w:p w14:paraId="2B616E2D">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0.083</w:t>
                  </w:r>
                </w:p>
              </w:tc>
              <w:tc>
                <w:tcPr>
                  <w:tcW w:w="1322" w:type="dxa"/>
                  <w:vAlign w:val="center"/>
                </w:tcPr>
                <w:p w14:paraId="60A563EC">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0.2</w:t>
                  </w:r>
                </w:p>
              </w:tc>
              <w:tc>
                <w:tcPr>
                  <w:tcW w:w="1421" w:type="dxa"/>
                  <w:vAlign w:val="center"/>
                </w:tcPr>
                <w:p w14:paraId="00263263">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60</w:t>
                  </w:r>
                </w:p>
              </w:tc>
              <w:tc>
                <w:tcPr>
                  <w:tcW w:w="1387" w:type="dxa"/>
                  <w:vAlign w:val="center"/>
                </w:tcPr>
                <w:p w14:paraId="08573B73">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p>
              </w:tc>
              <w:tc>
                <w:tcPr>
                  <w:tcW w:w="1498" w:type="dxa"/>
                  <w:vAlign w:val="center"/>
                </w:tcPr>
                <w:p w14:paraId="686EF57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r>
            <w:tr w14:paraId="13B5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29" w:type="dxa"/>
                  <w:vAlign w:val="center"/>
                </w:tcPr>
                <w:p w14:paraId="1AE3B731">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355" w:type="dxa"/>
                  <w:vAlign w:val="center"/>
                </w:tcPr>
                <w:p w14:paraId="793A3493">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机加工</w:t>
                  </w:r>
                </w:p>
              </w:tc>
              <w:tc>
                <w:tcPr>
                  <w:tcW w:w="1389" w:type="dxa"/>
                  <w:vAlign w:val="center"/>
                </w:tcPr>
                <w:p w14:paraId="03F04074">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1.83</w:t>
                  </w:r>
                </w:p>
              </w:tc>
              <w:tc>
                <w:tcPr>
                  <w:tcW w:w="1087" w:type="dxa"/>
                  <w:shd w:val="clear" w:color="auto" w:fill="auto"/>
                  <w:vAlign w:val="center"/>
                </w:tcPr>
                <w:p w14:paraId="2DE7E660">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自然沉降</w:t>
                  </w:r>
                </w:p>
              </w:tc>
              <w:tc>
                <w:tcPr>
                  <w:tcW w:w="1076" w:type="dxa"/>
                  <w:shd w:val="clear" w:color="auto" w:fill="auto"/>
                  <w:vAlign w:val="center"/>
                </w:tcPr>
                <w:p w14:paraId="503E7231">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80%</w:t>
                  </w:r>
                </w:p>
              </w:tc>
              <w:tc>
                <w:tcPr>
                  <w:tcW w:w="1604" w:type="dxa"/>
                  <w:vAlign w:val="center"/>
                </w:tcPr>
                <w:p w14:paraId="5669CB5E">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0.153</w:t>
                  </w:r>
                </w:p>
              </w:tc>
              <w:tc>
                <w:tcPr>
                  <w:tcW w:w="1322" w:type="dxa"/>
                  <w:vAlign w:val="center"/>
                </w:tcPr>
                <w:p w14:paraId="4824EEC3">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0.366</w:t>
                  </w:r>
                </w:p>
              </w:tc>
              <w:tc>
                <w:tcPr>
                  <w:tcW w:w="1421" w:type="dxa"/>
                  <w:vAlign w:val="center"/>
                </w:tcPr>
                <w:p w14:paraId="208CB38A">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p>
              </w:tc>
              <w:tc>
                <w:tcPr>
                  <w:tcW w:w="1387" w:type="dxa"/>
                  <w:vAlign w:val="center"/>
                </w:tcPr>
                <w:p w14:paraId="3F1A4725">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44</w:t>
                  </w:r>
                </w:p>
              </w:tc>
              <w:tc>
                <w:tcPr>
                  <w:tcW w:w="1498" w:type="dxa"/>
                  <w:vAlign w:val="center"/>
                </w:tcPr>
                <w:p w14:paraId="2CD60545">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w:t>
                  </w:r>
                </w:p>
              </w:tc>
            </w:tr>
          </w:tbl>
          <w:p w14:paraId="519AF124">
            <w:pPr>
              <w:rPr>
                <w:b/>
                <w:color w:val="FF0000"/>
                <w:kern w:val="0"/>
                <w:sz w:val="28"/>
                <w:szCs w:val="28"/>
              </w:rPr>
            </w:pPr>
          </w:p>
        </w:tc>
      </w:tr>
    </w:tbl>
    <w:p w14:paraId="6B2241DC">
      <w:pPr>
        <w:rPr>
          <w:b/>
          <w:color w:val="FF0000"/>
          <w:kern w:val="0"/>
          <w:sz w:val="28"/>
          <w:szCs w:val="28"/>
        </w:rPr>
        <w:sectPr>
          <w:pgSz w:w="16838" w:h="11905" w:orient="landscape"/>
          <w:pgMar w:top="1417" w:right="1417" w:bottom="1417" w:left="1417" w:header="851" w:footer="850" w:gutter="0"/>
          <w:cols w:space="0" w:num="1"/>
          <w:docGrid w:linePitch="312" w:charSpace="0"/>
        </w:sectPr>
      </w:pPr>
    </w:p>
    <w:p w14:paraId="0714D762">
      <w:pPr>
        <w:pStyle w:val="16"/>
        <w:ind w:firstLine="480"/>
        <w:rPr>
          <w:color w:val="FF0000"/>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30"/>
      </w:tblGrid>
      <w:tr w14:paraId="6B72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6" w:hRule="atLeast"/>
        </w:trPr>
        <w:tc>
          <w:tcPr>
            <w:tcW w:w="332" w:type="dxa"/>
          </w:tcPr>
          <w:p w14:paraId="774C5765">
            <w:pPr>
              <w:jc w:val="left"/>
              <w:rPr>
                <w:color w:val="FF0000"/>
              </w:rPr>
            </w:pPr>
            <w:r>
              <w:rPr>
                <w:b/>
                <w:bCs/>
                <w:color w:val="auto"/>
                <w:sz w:val="24"/>
                <w:szCs w:val="32"/>
              </w:rPr>
              <w:t>运营期环境影响和保护措施</w:t>
            </w:r>
          </w:p>
        </w:tc>
        <w:tc>
          <w:tcPr>
            <w:tcW w:w="8955" w:type="dxa"/>
          </w:tcPr>
          <w:p w14:paraId="62818291">
            <w:pPr>
              <w:adjustRightInd w:val="0"/>
              <w:snapToGrid w:val="0"/>
              <w:spacing w:line="360" w:lineRule="auto"/>
              <w:ind w:firstLine="442" w:firstLineChars="200"/>
              <w:rPr>
                <w:b/>
                <w:bCs/>
                <w:color w:val="auto"/>
                <w:spacing w:val="-10"/>
                <w:sz w:val="24"/>
              </w:rPr>
            </w:pPr>
            <w:r>
              <w:rPr>
                <w:rFonts w:hint="eastAsia"/>
                <w:b/>
                <w:bCs/>
                <w:color w:val="auto"/>
                <w:spacing w:val="-10"/>
                <w:sz w:val="24"/>
              </w:rPr>
              <w:t>2</w:t>
            </w:r>
            <w:r>
              <w:rPr>
                <w:b/>
                <w:bCs/>
                <w:color w:val="auto"/>
                <w:spacing w:val="-10"/>
                <w:sz w:val="24"/>
              </w:rPr>
              <w:t>、非正常工况</w:t>
            </w:r>
          </w:p>
          <w:p w14:paraId="3F26B52B">
            <w:pPr>
              <w:spacing w:line="360" w:lineRule="auto"/>
              <w:ind w:firstLine="480" w:firstLineChars="200"/>
              <w:rPr>
                <w:color w:val="auto"/>
                <w:sz w:val="24"/>
              </w:rPr>
            </w:pPr>
            <w:r>
              <w:rPr>
                <w:color w:val="auto"/>
                <w:sz w:val="24"/>
              </w:rPr>
              <w:t>非正常排放是指生产过程中设备检修、工艺设备运转异常等非正常工况下的污染物排放，以及污染物排放控制措施达不到应有效率等情况下的排放。</w:t>
            </w:r>
          </w:p>
          <w:p w14:paraId="58E77C3B">
            <w:pPr>
              <w:pStyle w:val="10"/>
              <w:spacing w:line="360" w:lineRule="auto"/>
              <w:rPr>
                <w:rFonts w:cs="Times New Roman"/>
                <w:color w:val="auto"/>
                <w:lang w:val="en-US"/>
              </w:rPr>
            </w:pPr>
            <w:r>
              <w:rPr>
                <w:rFonts w:cs="Times New Roman"/>
                <w:color w:val="auto"/>
              </w:rPr>
              <w:t>表</w:t>
            </w:r>
            <w:r>
              <w:rPr>
                <w:rFonts w:cs="Times New Roman"/>
                <w:color w:val="auto"/>
                <w:lang w:val="en-US"/>
              </w:rPr>
              <w:t>4-</w:t>
            </w:r>
            <w:r>
              <w:rPr>
                <w:rFonts w:hint="eastAsia" w:cs="Times New Roman"/>
                <w:color w:val="auto"/>
                <w:lang w:val="en-US"/>
              </w:rPr>
              <w:t>4</w:t>
            </w:r>
            <w:r>
              <w:rPr>
                <w:rFonts w:cs="Times New Roman"/>
                <w:color w:val="auto"/>
                <w:lang w:val="en-US"/>
              </w:rPr>
              <w:t xml:space="preserve">  </w:t>
            </w:r>
            <w:r>
              <w:rPr>
                <w:rFonts w:cs="Times New Roman"/>
                <w:color w:val="auto"/>
              </w:rPr>
              <w:t>污染源非正常排放量核算表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48"/>
              <w:gridCol w:w="675"/>
              <w:gridCol w:w="1072"/>
              <w:gridCol w:w="582"/>
              <w:gridCol w:w="1528"/>
              <w:gridCol w:w="1420"/>
              <w:gridCol w:w="990"/>
              <w:gridCol w:w="936"/>
              <w:gridCol w:w="1048"/>
            </w:tblGrid>
            <w:tr w14:paraId="7904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202" w:type="pct"/>
                  <w:vAlign w:val="center"/>
                </w:tcPr>
                <w:p w14:paraId="7065FFA6">
                  <w:pPr>
                    <w:jc w:val="center"/>
                    <w:rPr>
                      <w:b/>
                      <w:color w:val="auto"/>
                      <w:szCs w:val="21"/>
                    </w:rPr>
                  </w:pPr>
                  <w:r>
                    <w:rPr>
                      <w:b/>
                      <w:color w:val="auto"/>
                      <w:szCs w:val="21"/>
                    </w:rPr>
                    <w:t>序号</w:t>
                  </w:r>
                </w:p>
              </w:tc>
              <w:tc>
                <w:tcPr>
                  <w:tcW w:w="392" w:type="pct"/>
                  <w:vAlign w:val="center"/>
                </w:tcPr>
                <w:p w14:paraId="56C251F1">
                  <w:pPr>
                    <w:jc w:val="center"/>
                    <w:rPr>
                      <w:b/>
                      <w:color w:val="auto"/>
                      <w:szCs w:val="21"/>
                    </w:rPr>
                  </w:pPr>
                  <w:r>
                    <w:rPr>
                      <w:b/>
                      <w:color w:val="auto"/>
                      <w:szCs w:val="21"/>
                    </w:rPr>
                    <w:t>污染源</w:t>
                  </w:r>
                </w:p>
              </w:tc>
              <w:tc>
                <w:tcPr>
                  <w:tcW w:w="623" w:type="pct"/>
                  <w:vAlign w:val="center"/>
                </w:tcPr>
                <w:p w14:paraId="69889919">
                  <w:pPr>
                    <w:jc w:val="center"/>
                    <w:rPr>
                      <w:b/>
                      <w:color w:val="auto"/>
                      <w:szCs w:val="21"/>
                    </w:rPr>
                  </w:pPr>
                  <w:r>
                    <w:rPr>
                      <w:b/>
                      <w:color w:val="auto"/>
                      <w:szCs w:val="21"/>
                    </w:rPr>
                    <w:t>非正常排放原因</w:t>
                  </w:r>
                </w:p>
              </w:tc>
              <w:tc>
                <w:tcPr>
                  <w:tcW w:w="338" w:type="pct"/>
                  <w:vAlign w:val="center"/>
                </w:tcPr>
                <w:p w14:paraId="509341DE">
                  <w:pPr>
                    <w:jc w:val="center"/>
                    <w:rPr>
                      <w:b/>
                      <w:color w:val="auto"/>
                      <w:szCs w:val="21"/>
                    </w:rPr>
                  </w:pPr>
                  <w:r>
                    <w:rPr>
                      <w:b/>
                      <w:color w:val="auto"/>
                      <w:szCs w:val="21"/>
                    </w:rPr>
                    <w:t>污染物</w:t>
                  </w:r>
                </w:p>
              </w:tc>
              <w:tc>
                <w:tcPr>
                  <w:tcW w:w="888" w:type="pct"/>
                  <w:vAlign w:val="center"/>
                </w:tcPr>
                <w:p w14:paraId="1FC85A32">
                  <w:pPr>
                    <w:jc w:val="center"/>
                    <w:rPr>
                      <w:b/>
                      <w:color w:val="auto"/>
                      <w:szCs w:val="21"/>
                    </w:rPr>
                  </w:pPr>
                  <w:r>
                    <w:rPr>
                      <w:b/>
                      <w:color w:val="auto"/>
                      <w:szCs w:val="21"/>
                    </w:rPr>
                    <w:t>非正常排放浓度/(mg/m</w:t>
                  </w:r>
                  <w:r>
                    <w:rPr>
                      <w:b/>
                      <w:color w:val="auto"/>
                      <w:szCs w:val="21"/>
                      <w:vertAlign w:val="superscript"/>
                    </w:rPr>
                    <w:t>3</w:t>
                  </w:r>
                  <w:r>
                    <w:rPr>
                      <w:b/>
                      <w:color w:val="auto"/>
                      <w:szCs w:val="21"/>
                    </w:rPr>
                    <w:t>)</w:t>
                  </w:r>
                </w:p>
              </w:tc>
              <w:tc>
                <w:tcPr>
                  <w:tcW w:w="825" w:type="pct"/>
                  <w:vAlign w:val="center"/>
                </w:tcPr>
                <w:p w14:paraId="121429D7">
                  <w:pPr>
                    <w:jc w:val="center"/>
                    <w:rPr>
                      <w:b/>
                      <w:color w:val="auto"/>
                      <w:szCs w:val="21"/>
                    </w:rPr>
                  </w:pPr>
                  <w:r>
                    <w:rPr>
                      <w:b/>
                      <w:color w:val="auto"/>
                      <w:szCs w:val="21"/>
                    </w:rPr>
                    <w:t>非正常排放速率/(kg/h）</w:t>
                  </w:r>
                </w:p>
              </w:tc>
              <w:tc>
                <w:tcPr>
                  <w:tcW w:w="575" w:type="pct"/>
                  <w:vAlign w:val="center"/>
                </w:tcPr>
                <w:p w14:paraId="4B877179">
                  <w:pPr>
                    <w:jc w:val="center"/>
                    <w:rPr>
                      <w:b/>
                      <w:color w:val="auto"/>
                      <w:szCs w:val="21"/>
                    </w:rPr>
                  </w:pPr>
                  <w:r>
                    <w:rPr>
                      <w:b/>
                      <w:color w:val="auto"/>
                      <w:szCs w:val="21"/>
                    </w:rPr>
                    <w:t>单次持续时间/h</w:t>
                  </w:r>
                </w:p>
              </w:tc>
              <w:tc>
                <w:tcPr>
                  <w:tcW w:w="544" w:type="pct"/>
                  <w:vAlign w:val="center"/>
                </w:tcPr>
                <w:p w14:paraId="42CF9859">
                  <w:pPr>
                    <w:jc w:val="center"/>
                    <w:rPr>
                      <w:b/>
                      <w:color w:val="auto"/>
                      <w:szCs w:val="21"/>
                    </w:rPr>
                  </w:pPr>
                  <w:r>
                    <w:rPr>
                      <w:b/>
                      <w:color w:val="auto"/>
                      <w:szCs w:val="21"/>
                    </w:rPr>
                    <w:t>年发生频次/次</w:t>
                  </w:r>
                </w:p>
              </w:tc>
              <w:tc>
                <w:tcPr>
                  <w:tcW w:w="609" w:type="pct"/>
                  <w:vAlign w:val="center"/>
                </w:tcPr>
                <w:p w14:paraId="5AF00ACD">
                  <w:pPr>
                    <w:jc w:val="center"/>
                    <w:rPr>
                      <w:b/>
                      <w:color w:val="auto"/>
                      <w:szCs w:val="21"/>
                    </w:rPr>
                  </w:pPr>
                  <w:r>
                    <w:rPr>
                      <w:b/>
                      <w:color w:val="auto"/>
                      <w:szCs w:val="21"/>
                    </w:rPr>
                    <w:t>应对措施</w:t>
                  </w:r>
                </w:p>
              </w:tc>
            </w:tr>
            <w:tr w14:paraId="6C4F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9" w:hRule="atLeast"/>
                <w:jc w:val="center"/>
              </w:trPr>
              <w:tc>
                <w:tcPr>
                  <w:tcW w:w="202" w:type="pct"/>
                  <w:vAlign w:val="center"/>
                </w:tcPr>
                <w:p w14:paraId="7200D72B">
                  <w:pPr>
                    <w:jc w:val="center"/>
                    <w:rPr>
                      <w:b/>
                      <w:color w:val="auto"/>
                      <w:szCs w:val="21"/>
                    </w:rPr>
                  </w:pPr>
                  <w:r>
                    <w:rPr>
                      <w:color w:val="auto"/>
                      <w:szCs w:val="21"/>
                    </w:rPr>
                    <w:t>1</w:t>
                  </w:r>
                </w:p>
              </w:tc>
              <w:tc>
                <w:tcPr>
                  <w:tcW w:w="392" w:type="pct"/>
                  <w:vAlign w:val="center"/>
                </w:tcPr>
                <w:p w14:paraId="3A33E40E">
                  <w:pPr>
                    <w:widowControl/>
                    <w:jc w:val="center"/>
                    <w:rPr>
                      <w:rFonts w:hint="eastAsia" w:eastAsia="宋体"/>
                      <w:color w:val="auto"/>
                      <w:kern w:val="0"/>
                      <w:szCs w:val="21"/>
                      <w:lang w:eastAsia="zh-CN"/>
                    </w:rPr>
                  </w:pPr>
                  <w:r>
                    <w:rPr>
                      <w:color w:val="auto"/>
                      <w:kern w:val="0"/>
                      <w:szCs w:val="21"/>
                    </w:rPr>
                    <w:t>DA00</w:t>
                  </w:r>
                  <w:r>
                    <w:rPr>
                      <w:rFonts w:hint="eastAsia"/>
                      <w:color w:val="auto"/>
                      <w:kern w:val="0"/>
                      <w:szCs w:val="21"/>
                      <w:lang w:val="en-US" w:eastAsia="zh-CN"/>
                    </w:rPr>
                    <w:t>1</w:t>
                  </w:r>
                </w:p>
              </w:tc>
              <w:tc>
                <w:tcPr>
                  <w:tcW w:w="623" w:type="pct"/>
                  <w:vAlign w:val="center"/>
                </w:tcPr>
                <w:p w14:paraId="56AB5624">
                  <w:pPr>
                    <w:jc w:val="center"/>
                    <w:rPr>
                      <w:color w:val="auto"/>
                      <w:szCs w:val="21"/>
                    </w:rPr>
                  </w:pPr>
                  <w:r>
                    <w:rPr>
                      <w:rFonts w:hint="eastAsia"/>
                      <w:color w:val="auto"/>
                    </w:rPr>
                    <w:t>布袋除尘器</w:t>
                  </w:r>
                  <w:r>
                    <w:rPr>
                      <w:rFonts w:hint="eastAsia"/>
                      <w:color w:val="auto"/>
                      <w:szCs w:val="21"/>
                      <w:lang w:val="en-US" w:eastAsia="zh-CN"/>
                    </w:rPr>
                    <w:t>失效</w:t>
                  </w:r>
                </w:p>
              </w:tc>
              <w:tc>
                <w:tcPr>
                  <w:tcW w:w="338" w:type="pct"/>
                  <w:vAlign w:val="center"/>
                </w:tcPr>
                <w:p w14:paraId="1560FD5B">
                  <w:pPr>
                    <w:widowControl/>
                    <w:jc w:val="center"/>
                    <w:rPr>
                      <w:color w:val="auto"/>
                      <w:szCs w:val="21"/>
                    </w:rPr>
                  </w:pPr>
                  <w:r>
                    <w:rPr>
                      <w:rFonts w:hint="eastAsia" w:cs="Times New Roman"/>
                      <w:color w:val="auto"/>
                      <w:szCs w:val="21"/>
                      <w:lang w:val="en-US" w:eastAsia="zh-CN"/>
                    </w:rPr>
                    <w:t>颗粒物</w:t>
                  </w:r>
                </w:p>
              </w:tc>
              <w:tc>
                <w:tcPr>
                  <w:tcW w:w="888" w:type="pct"/>
                  <w:vAlign w:val="center"/>
                </w:tcPr>
                <w:p w14:paraId="45D7473A">
                  <w:pPr>
                    <w:jc w:val="center"/>
                    <w:rPr>
                      <w:rFonts w:hint="default" w:eastAsia="宋体"/>
                      <w:color w:val="auto"/>
                      <w:kern w:val="0"/>
                      <w:szCs w:val="21"/>
                      <w:lang w:val="en-US" w:eastAsia="zh-CN"/>
                    </w:rPr>
                  </w:pPr>
                  <w:r>
                    <w:rPr>
                      <w:rFonts w:hint="eastAsia"/>
                      <w:color w:val="auto"/>
                      <w:szCs w:val="21"/>
                      <w:lang w:val="en-US" w:eastAsia="zh-CN"/>
                    </w:rPr>
                    <w:t>208</w:t>
                  </w:r>
                </w:p>
              </w:tc>
              <w:tc>
                <w:tcPr>
                  <w:tcW w:w="825" w:type="pct"/>
                  <w:vAlign w:val="center"/>
                </w:tcPr>
                <w:p w14:paraId="1AE3B594">
                  <w:pPr>
                    <w:jc w:val="center"/>
                    <w:rPr>
                      <w:rFonts w:hint="default" w:eastAsia="等线"/>
                      <w:color w:val="auto"/>
                      <w:szCs w:val="21"/>
                      <w:lang w:val="en-US" w:eastAsia="zh-CN"/>
                    </w:rPr>
                  </w:pPr>
                  <w:r>
                    <w:rPr>
                      <w:rFonts w:hint="eastAsia"/>
                      <w:color w:val="auto"/>
                      <w:szCs w:val="21"/>
                      <w:lang w:val="en-US" w:eastAsia="zh-CN"/>
                    </w:rPr>
                    <w:t>3.75</w:t>
                  </w:r>
                </w:p>
              </w:tc>
              <w:tc>
                <w:tcPr>
                  <w:tcW w:w="575" w:type="pct"/>
                  <w:vAlign w:val="center"/>
                </w:tcPr>
                <w:p w14:paraId="0BB0707F">
                  <w:pPr>
                    <w:jc w:val="center"/>
                    <w:rPr>
                      <w:color w:val="auto"/>
                      <w:szCs w:val="21"/>
                    </w:rPr>
                  </w:pPr>
                  <w:r>
                    <w:rPr>
                      <w:color w:val="auto"/>
                      <w:szCs w:val="21"/>
                    </w:rPr>
                    <w:t>0.5</w:t>
                  </w:r>
                </w:p>
              </w:tc>
              <w:tc>
                <w:tcPr>
                  <w:tcW w:w="544" w:type="pct"/>
                  <w:vAlign w:val="center"/>
                </w:tcPr>
                <w:p w14:paraId="310B34C2">
                  <w:pPr>
                    <w:jc w:val="center"/>
                    <w:rPr>
                      <w:color w:val="auto"/>
                      <w:szCs w:val="21"/>
                    </w:rPr>
                  </w:pPr>
                  <w:r>
                    <w:rPr>
                      <w:color w:val="auto"/>
                      <w:szCs w:val="21"/>
                    </w:rPr>
                    <w:t>1</w:t>
                  </w:r>
                </w:p>
              </w:tc>
              <w:tc>
                <w:tcPr>
                  <w:tcW w:w="609" w:type="pct"/>
                  <w:vAlign w:val="center"/>
                </w:tcPr>
                <w:p w14:paraId="21C583D2">
                  <w:pPr>
                    <w:jc w:val="center"/>
                    <w:rPr>
                      <w:b/>
                      <w:color w:val="auto"/>
                      <w:szCs w:val="21"/>
                    </w:rPr>
                  </w:pPr>
                  <w:r>
                    <w:rPr>
                      <w:color w:val="auto"/>
                      <w:szCs w:val="21"/>
                    </w:rPr>
                    <w:t>定期检修和维护</w:t>
                  </w:r>
                </w:p>
              </w:tc>
            </w:tr>
            <w:tr w14:paraId="0B29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1" w:hRule="atLeast"/>
                <w:jc w:val="center"/>
              </w:trPr>
              <w:tc>
                <w:tcPr>
                  <w:tcW w:w="202" w:type="pct"/>
                  <w:vMerge w:val="restart"/>
                  <w:vAlign w:val="center"/>
                </w:tcPr>
                <w:p w14:paraId="3F4BE3AA">
                  <w:pPr>
                    <w:jc w:val="center"/>
                    <w:rPr>
                      <w:color w:val="auto"/>
                      <w:szCs w:val="21"/>
                    </w:rPr>
                  </w:pPr>
                  <w:r>
                    <w:rPr>
                      <w:color w:val="auto"/>
                      <w:szCs w:val="21"/>
                    </w:rPr>
                    <w:t>2</w:t>
                  </w:r>
                </w:p>
              </w:tc>
              <w:tc>
                <w:tcPr>
                  <w:tcW w:w="392" w:type="pct"/>
                  <w:vMerge w:val="restart"/>
                  <w:vAlign w:val="center"/>
                </w:tcPr>
                <w:p w14:paraId="736AFAC7">
                  <w:pPr>
                    <w:widowControl/>
                    <w:jc w:val="center"/>
                    <w:rPr>
                      <w:rFonts w:hint="eastAsia" w:eastAsia="宋体"/>
                      <w:color w:val="auto"/>
                      <w:szCs w:val="21"/>
                      <w:lang w:eastAsia="zh-CN"/>
                    </w:rPr>
                  </w:pPr>
                  <w:r>
                    <w:rPr>
                      <w:color w:val="auto"/>
                      <w:kern w:val="0"/>
                      <w:szCs w:val="21"/>
                    </w:rPr>
                    <w:t>DA00</w:t>
                  </w:r>
                  <w:r>
                    <w:rPr>
                      <w:rFonts w:hint="eastAsia"/>
                      <w:color w:val="auto"/>
                      <w:kern w:val="0"/>
                      <w:szCs w:val="21"/>
                      <w:lang w:val="en-US" w:eastAsia="zh-CN"/>
                    </w:rPr>
                    <w:t>2</w:t>
                  </w:r>
                </w:p>
              </w:tc>
              <w:tc>
                <w:tcPr>
                  <w:tcW w:w="623" w:type="pct"/>
                  <w:vMerge w:val="restart"/>
                  <w:vAlign w:val="center"/>
                </w:tcPr>
                <w:p w14:paraId="0027C8C4">
                  <w:pPr>
                    <w:jc w:val="center"/>
                    <w:rPr>
                      <w:rFonts w:hint="eastAsia" w:eastAsia="宋体"/>
                      <w:color w:val="auto"/>
                      <w:szCs w:val="21"/>
                      <w:lang w:eastAsia="zh-CN"/>
                    </w:rPr>
                  </w:pPr>
                  <w:r>
                    <w:rPr>
                      <w:rFonts w:hint="eastAsia"/>
                      <w:color w:val="auto"/>
                    </w:rPr>
                    <w:t>布袋除尘器</w:t>
                  </w:r>
                  <w:r>
                    <w:rPr>
                      <w:rFonts w:hint="eastAsia"/>
                      <w:color w:val="auto"/>
                      <w:szCs w:val="21"/>
                      <w:lang w:val="en-US" w:eastAsia="zh-CN"/>
                    </w:rPr>
                    <w:t>失效</w:t>
                  </w:r>
                </w:p>
              </w:tc>
              <w:tc>
                <w:tcPr>
                  <w:tcW w:w="338" w:type="pct"/>
                  <w:vAlign w:val="center"/>
                </w:tcPr>
                <w:p w14:paraId="7BB16AEC">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颗粒物</w:t>
                  </w:r>
                </w:p>
              </w:tc>
              <w:tc>
                <w:tcPr>
                  <w:tcW w:w="888" w:type="pct"/>
                  <w:shd w:val="clear" w:color="auto" w:fill="FFFFFF"/>
                  <w:vAlign w:val="center"/>
                </w:tcPr>
                <w:p w14:paraId="7DA444CC">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80</w:t>
                  </w:r>
                </w:p>
              </w:tc>
              <w:tc>
                <w:tcPr>
                  <w:tcW w:w="825" w:type="pct"/>
                  <w:shd w:val="clear" w:color="auto" w:fill="FFFFFF"/>
                  <w:vAlign w:val="center"/>
                </w:tcPr>
                <w:p w14:paraId="69E8023C">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0.52</w:t>
                  </w:r>
                </w:p>
              </w:tc>
              <w:tc>
                <w:tcPr>
                  <w:tcW w:w="575" w:type="pct"/>
                  <w:vMerge w:val="restart"/>
                  <w:vAlign w:val="center"/>
                </w:tcPr>
                <w:p w14:paraId="71D07737">
                  <w:pPr>
                    <w:jc w:val="center"/>
                    <w:rPr>
                      <w:color w:val="auto"/>
                      <w:szCs w:val="21"/>
                    </w:rPr>
                  </w:pPr>
                  <w:r>
                    <w:rPr>
                      <w:color w:val="auto"/>
                      <w:szCs w:val="21"/>
                    </w:rPr>
                    <w:t>0.5</w:t>
                  </w:r>
                </w:p>
              </w:tc>
              <w:tc>
                <w:tcPr>
                  <w:tcW w:w="544" w:type="pct"/>
                  <w:vMerge w:val="restart"/>
                  <w:vAlign w:val="center"/>
                </w:tcPr>
                <w:p w14:paraId="40962A3D">
                  <w:pPr>
                    <w:jc w:val="center"/>
                    <w:rPr>
                      <w:color w:val="auto"/>
                      <w:szCs w:val="21"/>
                    </w:rPr>
                  </w:pPr>
                  <w:r>
                    <w:rPr>
                      <w:color w:val="auto"/>
                      <w:szCs w:val="21"/>
                    </w:rPr>
                    <w:t>1</w:t>
                  </w:r>
                </w:p>
              </w:tc>
              <w:tc>
                <w:tcPr>
                  <w:tcW w:w="609" w:type="pct"/>
                  <w:vMerge w:val="restart"/>
                  <w:vAlign w:val="center"/>
                </w:tcPr>
                <w:p w14:paraId="62853CDD">
                  <w:pPr>
                    <w:jc w:val="center"/>
                    <w:rPr>
                      <w:color w:val="auto"/>
                      <w:szCs w:val="21"/>
                    </w:rPr>
                  </w:pPr>
                  <w:r>
                    <w:rPr>
                      <w:color w:val="auto"/>
                      <w:szCs w:val="21"/>
                    </w:rPr>
                    <w:t>定期检修和维护</w:t>
                  </w:r>
                </w:p>
              </w:tc>
            </w:tr>
            <w:tr w14:paraId="1DF8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1" w:hRule="atLeast"/>
                <w:jc w:val="center"/>
              </w:trPr>
              <w:tc>
                <w:tcPr>
                  <w:tcW w:w="202" w:type="pct"/>
                  <w:vMerge w:val="continue"/>
                  <w:vAlign w:val="center"/>
                </w:tcPr>
                <w:p w14:paraId="6C1E6138">
                  <w:pPr>
                    <w:jc w:val="center"/>
                    <w:rPr>
                      <w:color w:val="auto"/>
                    </w:rPr>
                  </w:pPr>
                </w:p>
              </w:tc>
              <w:tc>
                <w:tcPr>
                  <w:tcW w:w="392" w:type="pct"/>
                  <w:vMerge w:val="continue"/>
                  <w:vAlign w:val="center"/>
                </w:tcPr>
                <w:p w14:paraId="26099E24">
                  <w:pPr>
                    <w:jc w:val="center"/>
                    <w:rPr>
                      <w:color w:val="auto"/>
                    </w:rPr>
                  </w:pPr>
                </w:p>
              </w:tc>
              <w:tc>
                <w:tcPr>
                  <w:tcW w:w="623" w:type="pct"/>
                  <w:vMerge w:val="continue"/>
                  <w:vAlign w:val="center"/>
                </w:tcPr>
                <w:p w14:paraId="48851A54">
                  <w:pPr>
                    <w:jc w:val="center"/>
                    <w:rPr>
                      <w:color w:val="auto"/>
                    </w:rPr>
                  </w:pPr>
                </w:p>
              </w:tc>
              <w:tc>
                <w:tcPr>
                  <w:tcW w:w="338" w:type="pct"/>
                  <w:vAlign w:val="center"/>
                </w:tcPr>
                <w:p w14:paraId="71F5A91B">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SO</w:t>
                  </w:r>
                  <w:r>
                    <w:rPr>
                      <w:rFonts w:hint="eastAsia" w:cs="Times New Roman"/>
                      <w:color w:val="auto"/>
                      <w:szCs w:val="21"/>
                      <w:vertAlign w:val="subscript"/>
                      <w:lang w:val="en-US" w:eastAsia="zh-CN"/>
                    </w:rPr>
                    <w:t>2</w:t>
                  </w:r>
                </w:p>
              </w:tc>
              <w:tc>
                <w:tcPr>
                  <w:tcW w:w="888" w:type="pct"/>
                  <w:shd w:val="clear" w:color="auto" w:fill="FFFFFF"/>
                  <w:vAlign w:val="center"/>
                </w:tcPr>
                <w:p w14:paraId="129257FF">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136</w:t>
                  </w:r>
                </w:p>
              </w:tc>
              <w:tc>
                <w:tcPr>
                  <w:tcW w:w="825" w:type="pct"/>
                  <w:shd w:val="clear" w:color="auto" w:fill="FFFFFF"/>
                  <w:vAlign w:val="center"/>
                </w:tcPr>
                <w:p w14:paraId="3874117D">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0.876</w:t>
                  </w:r>
                </w:p>
              </w:tc>
              <w:tc>
                <w:tcPr>
                  <w:tcW w:w="575" w:type="pct"/>
                  <w:vMerge w:val="continue"/>
                  <w:vAlign w:val="center"/>
                </w:tcPr>
                <w:p w14:paraId="34F25F7B">
                  <w:pPr>
                    <w:jc w:val="center"/>
                    <w:rPr>
                      <w:color w:val="auto"/>
                      <w:kern w:val="0"/>
                      <w:szCs w:val="21"/>
                    </w:rPr>
                  </w:pPr>
                </w:p>
              </w:tc>
              <w:tc>
                <w:tcPr>
                  <w:tcW w:w="544" w:type="pct"/>
                  <w:vMerge w:val="continue"/>
                  <w:vAlign w:val="center"/>
                </w:tcPr>
                <w:p w14:paraId="74D7063E">
                  <w:pPr>
                    <w:jc w:val="center"/>
                    <w:rPr>
                      <w:color w:val="auto"/>
                      <w:kern w:val="0"/>
                      <w:szCs w:val="21"/>
                    </w:rPr>
                  </w:pPr>
                </w:p>
              </w:tc>
              <w:tc>
                <w:tcPr>
                  <w:tcW w:w="609" w:type="pct"/>
                  <w:vMerge w:val="continue"/>
                  <w:vAlign w:val="center"/>
                </w:tcPr>
                <w:p w14:paraId="00741CCC">
                  <w:pPr>
                    <w:jc w:val="center"/>
                    <w:rPr>
                      <w:color w:val="auto"/>
                      <w:kern w:val="0"/>
                      <w:szCs w:val="21"/>
                    </w:rPr>
                  </w:pPr>
                </w:p>
              </w:tc>
            </w:tr>
            <w:tr w14:paraId="52AF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1" w:hRule="atLeast"/>
                <w:jc w:val="center"/>
              </w:trPr>
              <w:tc>
                <w:tcPr>
                  <w:tcW w:w="202" w:type="pct"/>
                  <w:vMerge w:val="continue"/>
                  <w:vAlign w:val="center"/>
                </w:tcPr>
                <w:p w14:paraId="692EB2E3">
                  <w:pPr>
                    <w:jc w:val="center"/>
                    <w:rPr>
                      <w:color w:val="auto"/>
                      <w:kern w:val="0"/>
                      <w:szCs w:val="21"/>
                    </w:rPr>
                  </w:pPr>
                </w:p>
              </w:tc>
              <w:tc>
                <w:tcPr>
                  <w:tcW w:w="392" w:type="pct"/>
                  <w:vMerge w:val="continue"/>
                  <w:vAlign w:val="center"/>
                </w:tcPr>
                <w:p w14:paraId="346F4355">
                  <w:pPr>
                    <w:jc w:val="center"/>
                    <w:rPr>
                      <w:color w:val="auto"/>
                      <w:kern w:val="0"/>
                      <w:szCs w:val="21"/>
                    </w:rPr>
                  </w:pPr>
                </w:p>
              </w:tc>
              <w:tc>
                <w:tcPr>
                  <w:tcW w:w="623" w:type="pct"/>
                  <w:vMerge w:val="continue"/>
                  <w:vAlign w:val="center"/>
                </w:tcPr>
                <w:p w14:paraId="5BB1AACD">
                  <w:pPr>
                    <w:jc w:val="center"/>
                    <w:rPr>
                      <w:color w:val="auto"/>
                      <w:kern w:val="0"/>
                      <w:szCs w:val="21"/>
                    </w:rPr>
                  </w:pPr>
                </w:p>
              </w:tc>
              <w:tc>
                <w:tcPr>
                  <w:tcW w:w="338" w:type="pct"/>
                  <w:vAlign w:val="center"/>
                </w:tcPr>
                <w:p w14:paraId="7EE2FC41">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NOx</w:t>
                  </w:r>
                </w:p>
              </w:tc>
              <w:tc>
                <w:tcPr>
                  <w:tcW w:w="888" w:type="pct"/>
                  <w:shd w:val="clear" w:color="auto" w:fill="FFFFFF"/>
                  <w:vAlign w:val="center"/>
                </w:tcPr>
                <w:p w14:paraId="3AAD3A3E">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163.5</w:t>
                  </w:r>
                </w:p>
              </w:tc>
              <w:tc>
                <w:tcPr>
                  <w:tcW w:w="825" w:type="pct"/>
                  <w:shd w:val="clear" w:color="auto" w:fill="FFFFFF"/>
                  <w:vAlign w:val="center"/>
                </w:tcPr>
                <w:p w14:paraId="619A024A">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1.051</w:t>
                  </w:r>
                </w:p>
              </w:tc>
              <w:tc>
                <w:tcPr>
                  <w:tcW w:w="575" w:type="pct"/>
                  <w:vMerge w:val="continue"/>
                  <w:vAlign w:val="center"/>
                </w:tcPr>
                <w:p w14:paraId="393453CB">
                  <w:pPr>
                    <w:jc w:val="center"/>
                    <w:rPr>
                      <w:color w:val="auto"/>
                      <w:kern w:val="0"/>
                      <w:szCs w:val="21"/>
                    </w:rPr>
                  </w:pPr>
                </w:p>
              </w:tc>
              <w:tc>
                <w:tcPr>
                  <w:tcW w:w="544" w:type="pct"/>
                  <w:vMerge w:val="continue"/>
                  <w:vAlign w:val="center"/>
                </w:tcPr>
                <w:p w14:paraId="5C88C064">
                  <w:pPr>
                    <w:jc w:val="center"/>
                    <w:rPr>
                      <w:color w:val="auto"/>
                      <w:kern w:val="0"/>
                      <w:szCs w:val="21"/>
                    </w:rPr>
                  </w:pPr>
                </w:p>
              </w:tc>
              <w:tc>
                <w:tcPr>
                  <w:tcW w:w="609" w:type="pct"/>
                  <w:vMerge w:val="continue"/>
                  <w:vAlign w:val="center"/>
                </w:tcPr>
                <w:p w14:paraId="05368179">
                  <w:pPr>
                    <w:jc w:val="center"/>
                    <w:rPr>
                      <w:color w:val="auto"/>
                      <w:kern w:val="0"/>
                      <w:szCs w:val="21"/>
                    </w:rPr>
                  </w:pPr>
                </w:p>
              </w:tc>
            </w:tr>
          </w:tbl>
          <w:p w14:paraId="2F73BBFD">
            <w:pPr>
              <w:adjustRightInd w:val="0"/>
              <w:snapToGrid w:val="0"/>
              <w:spacing w:line="360" w:lineRule="auto"/>
              <w:rPr>
                <w:color w:val="FF0000"/>
              </w:rPr>
            </w:pPr>
          </w:p>
        </w:tc>
      </w:tr>
    </w:tbl>
    <w:p w14:paraId="261E342A">
      <w:pPr>
        <w:pStyle w:val="16"/>
        <w:ind w:firstLine="480"/>
        <w:rPr>
          <w:color w:val="FF0000"/>
        </w:rPr>
        <w:sectPr>
          <w:pgSz w:w="11905" w:h="16838"/>
          <w:pgMar w:top="1417" w:right="1417" w:bottom="1417" w:left="1417" w:header="851" w:footer="850" w:gutter="0"/>
          <w:cols w:space="0" w:num="1"/>
          <w:docGrid w:linePitch="312" w:charSpace="0"/>
        </w:sectPr>
      </w:pPr>
    </w:p>
    <w:p w14:paraId="4BB9FE4A">
      <w:pPr>
        <w:rPr>
          <w:color w:val="FF0000"/>
        </w:rPr>
      </w:pPr>
    </w:p>
    <w:tbl>
      <w:tblPr>
        <w:tblStyle w:val="31"/>
        <w:tblW w:w="13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13490"/>
      </w:tblGrid>
      <w:tr w14:paraId="0759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9" w:hRule="atLeast"/>
          <w:jc w:val="center"/>
        </w:trPr>
        <w:tc>
          <w:tcPr>
            <w:tcW w:w="353" w:type="dxa"/>
            <w:vAlign w:val="center"/>
          </w:tcPr>
          <w:p w14:paraId="49B5CFAE">
            <w:pPr>
              <w:jc w:val="center"/>
              <w:rPr>
                <w:color w:val="FF0000"/>
              </w:rPr>
            </w:pPr>
            <w:r>
              <w:rPr>
                <w:b/>
                <w:bCs/>
                <w:color w:val="auto"/>
                <w:sz w:val="24"/>
                <w:szCs w:val="32"/>
              </w:rPr>
              <w:t>运营期环境影响和保护措施</w:t>
            </w:r>
          </w:p>
        </w:tc>
        <w:tc>
          <w:tcPr>
            <w:tcW w:w="13490" w:type="dxa"/>
            <w:vAlign w:val="center"/>
          </w:tcPr>
          <w:p w14:paraId="33774407">
            <w:pPr>
              <w:adjustRightInd w:val="0"/>
              <w:snapToGrid w:val="0"/>
              <w:spacing w:line="360" w:lineRule="auto"/>
              <w:ind w:left="420" w:leftChars="200"/>
              <w:rPr>
                <w:color w:val="auto"/>
              </w:rPr>
            </w:pPr>
            <w:r>
              <w:rPr>
                <w:rFonts w:hint="eastAsia"/>
                <w:b/>
                <w:bCs/>
                <w:color w:val="auto"/>
                <w:spacing w:val="-10"/>
                <w:sz w:val="24"/>
              </w:rPr>
              <w:t>3、</w:t>
            </w:r>
            <w:r>
              <w:rPr>
                <w:b/>
                <w:bCs/>
                <w:color w:val="auto"/>
                <w:spacing w:val="-10"/>
                <w:sz w:val="24"/>
              </w:rPr>
              <w:t>污染源强核算表格</w:t>
            </w:r>
          </w:p>
          <w:p w14:paraId="38EA1C5F">
            <w:pPr>
              <w:adjustRightInd w:val="0"/>
              <w:snapToGrid w:val="0"/>
              <w:spacing w:line="360" w:lineRule="auto"/>
              <w:ind w:left="420" w:leftChars="200"/>
              <w:jc w:val="center"/>
              <w:rPr>
                <w:b/>
                <w:bCs/>
                <w:color w:val="auto"/>
                <w:spacing w:val="-10"/>
                <w:sz w:val="24"/>
              </w:rPr>
            </w:pPr>
            <w:r>
              <w:rPr>
                <w:b/>
                <w:bCs/>
                <w:color w:val="auto"/>
                <w:spacing w:val="-10"/>
                <w:sz w:val="24"/>
              </w:rPr>
              <w:t>表4-</w:t>
            </w:r>
            <w:r>
              <w:rPr>
                <w:rFonts w:hint="eastAsia"/>
                <w:b/>
                <w:bCs/>
                <w:color w:val="auto"/>
                <w:spacing w:val="-10"/>
                <w:sz w:val="24"/>
              </w:rPr>
              <w:t>5</w:t>
            </w:r>
            <w:r>
              <w:rPr>
                <w:b/>
                <w:bCs/>
                <w:color w:val="auto"/>
                <w:spacing w:val="-10"/>
                <w:sz w:val="24"/>
              </w:rPr>
              <w:t xml:space="preserve"> 大气污染物污染源强核算表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3"/>
              <w:gridCol w:w="948"/>
              <w:gridCol w:w="1078"/>
              <w:gridCol w:w="624"/>
              <w:gridCol w:w="802"/>
              <w:gridCol w:w="940"/>
              <w:gridCol w:w="850"/>
              <w:gridCol w:w="1088"/>
              <w:gridCol w:w="700"/>
              <w:gridCol w:w="469"/>
              <w:gridCol w:w="1002"/>
              <w:gridCol w:w="880"/>
              <w:gridCol w:w="1058"/>
              <w:gridCol w:w="774"/>
            </w:tblGrid>
            <w:tr w14:paraId="4BAD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0" w:type="pct"/>
                  <w:vMerge w:val="restart"/>
                  <w:shd w:val="clear" w:color="auto" w:fill="auto"/>
                  <w:vAlign w:val="center"/>
                </w:tcPr>
                <w:p w14:paraId="210CFD49">
                  <w:pPr>
                    <w:widowControl/>
                    <w:adjustRightInd w:val="0"/>
                    <w:snapToGrid w:val="0"/>
                    <w:ind w:left="-105" w:leftChars="-50" w:right="-105" w:rightChars="-50"/>
                    <w:jc w:val="center"/>
                    <w:rPr>
                      <w:color w:val="auto"/>
                      <w:kern w:val="0"/>
                      <w:szCs w:val="21"/>
                    </w:rPr>
                  </w:pPr>
                  <w:r>
                    <w:rPr>
                      <w:color w:val="auto"/>
                      <w:kern w:val="0"/>
                      <w:szCs w:val="21"/>
                    </w:rPr>
                    <w:t>工序/生产线</w:t>
                  </w:r>
                </w:p>
              </w:tc>
              <w:tc>
                <w:tcPr>
                  <w:tcW w:w="461" w:type="pct"/>
                  <w:vMerge w:val="restart"/>
                  <w:shd w:val="clear" w:color="auto" w:fill="auto"/>
                  <w:vAlign w:val="center"/>
                </w:tcPr>
                <w:p w14:paraId="78E7197C">
                  <w:pPr>
                    <w:widowControl/>
                    <w:adjustRightInd w:val="0"/>
                    <w:snapToGrid w:val="0"/>
                    <w:ind w:left="-105" w:leftChars="-50" w:right="-105" w:rightChars="-50"/>
                    <w:jc w:val="center"/>
                    <w:rPr>
                      <w:color w:val="auto"/>
                      <w:kern w:val="0"/>
                      <w:szCs w:val="21"/>
                    </w:rPr>
                  </w:pPr>
                  <w:r>
                    <w:rPr>
                      <w:color w:val="auto"/>
                      <w:kern w:val="0"/>
                      <w:szCs w:val="21"/>
                    </w:rPr>
                    <w:t>装置</w:t>
                  </w:r>
                </w:p>
              </w:tc>
              <w:tc>
                <w:tcPr>
                  <w:tcW w:w="357" w:type="pct"/>
                  <w:vMerge w:val="restart"/>
                  <w:shd w:val="clear" w:color="auto" w:fill="auto"/>
                  <w:vAlign w:val="center"/>
                </w:tcPr>
                <w:p w14:paraId="7DFE32C8">
                  <w:pPr>
                    <w:widowControl/>
                    <w:adjustRightInd w:val="0"/>
                    <w:snapToGrid w:val="0"/>
                    <w:ind w:left="-105" w:leftChars="-50" w:right="-105" w:rightChars="-50"/>
                    <w:jc w:val="center"/>
                    <w:rPr>
                      <w:color w:val="auto"/>
                      <w:kern w:val="0"/>
                      <w:szCs w:val="21"/>
                    </w:rPr>
                  </w:pPr>
                  <w:r>
                    <w:rPr>
                      <w:color w:val="auto"/>
                      <w:kern w:val="0"/>
                      <w:szCs w:val="21"/>
                    </w:rPr>
                    <w:t>污染源</w:t>
                  </w:r>
                </w:p>
              </w:tc>
              <w:tc>
                <w:tcPr>
                  <w:tcW w:w="406" w:type="pct"/>
                  <w:vMerge w:val="restart"/>
                  <w:shd w:val="clear" w:color="auto" w:fill="auto"/>
                  <w:vAlign w:val="center"/>
                </w:tcPr>
                <w:p w14:paraId="10A64762">
                  <w:pPr>
                    <w:widowControl/>
                    <w:adjustRightInd w:val="0"/>
                    <w:snapToGrid w:val="0"/>
                    <w:ind w:left="-105" w:leftChars="-50" w:right="-105" w:rightChars="-50"/>
                    <w:jc w:val="center"/>
                    <w:rPr>
                      <w:color w:val="auto"/>
                      <w:kern w:val="0"/>
                      <w:szCs w:val="21"/>
                    </w:rPr>
                  </w:pPr>
                  <w:r>
                    <w:rPr>
                      <w:color w:val="auto"/>
                      <w:kern w:val="0"/>
                      <w:szCs w:val="21"/>
                    </w:rPr>
                    <w:t>污染物</w:t>
                  </w:r>
                </w:p>
              </w:tc>
              <w:tc>
                <w:tcPr>
                  <w:tcW w:w="1212" w:type="pct"/>
                  <w:gridSpan w:val="4"/>
                  <w:shd w:val="clear" w:color="auto" w:fill="auto"/>
                  <w:vAlign w:val="center"/>
                </w:tcPr>
                <w:p w14:paraId="4A9D1D4B">
                  <w:pPr>
                    <w:widowControl/>
                    <w:adjustRightInd w:val="0"/>
                    <w:snapToGrid w:val="0"/>
                    <w:ind w:left="-105" w:leftChars="-50" w:right="-105" w:rightChars="-50"/>
                    <w:jc w:val="center"/>
                    <w:rPr>
                      <w:color w:val="auto"/>
                      <w:kern w:val="0"/>
                      <w:szCs w:val="21"/>
                    </w:rPr>
                  </w:pPr>
                  <w:r>
                    <w:rPr>
                      <w:color w:val="auto"/>
                      <w:kern w:val="0"/>
                      <w:szCs w:val="21"/>
                    </w:rPr>
                    <w:t>污染物产生</w:t>
                  </w:r>
                </w:p>
              </w:tc>
              <w:tc>
                <w:tcPr>
                  <w:tcW w:w="674" w:type="pct"/>
                  <w:gridSpan w:val="2"/>
                  <w:shd w:val="clear" w:color="auto" w:fill="auto"/>
                  <w:vAlign w:val="center"/>
                </w:tcPr>
                <w:p w14:paraId="46F7FDEA">
                  <w:pPr>
                    <w:widowControl/>
                    <w:adjustRightInd w:val="0"/>
                    <w:snapToGrid w:val="0"/>
                    <w:ind w:left="-105" w:leftChars="-50" w:right="-105" w:rightChars="-50"/>
                    <w:jc w:val="center"/>
                    <w:rPr>
                      <w:color w:val="auto"/>
                      <w:kern w:val="0"/>
                      <w:szCs w:val="21"/>
                    </w:rPr>
                  </w:pPr>
                  <w:r>
                    <w:rPr>
                      <w:color w:val="auto"/>
                      <w:kern w:val="0"/>
                      <w:szCs w:val="21"/>
                    </w:rPr>
                    <w:t>治理措施</w:t>
                  </w:r>
                </w:p>
              </w:tc>
              <w:tc>
                <w:tcPr>
                  <w:tcW w:w="1285" w:type="pct"/>
                  <w:gridSpan w:val="4"/>
                  <w:shd w:val="clear" w:color="auto" w:fill="auto"/>
                  <w:vAlign w:val="center"/>
                </w:tcPr>
                <w:p w14:paraId="25A646A6">
                  <w:pPr>
                    <w:widowControl/>
                    <w:adjustRightInd w:val="0"/>
                    <w:snapToGrid w:val="0"/>
                    <w:ind w:left="-105" w:leftChars="-50" w:right="-105" w:rightChars="-50"/>
                    <w:jc w:val="center"/>
                    <w:rPr>
                      <w:color w:val="auto"/>
                      <w:kern w:val="0"/>
                      <w:szCs w:val="21"/>
                    </w:rPr>
                  </w:pPr>
                  <w:r>
                    <w:rPr>
                      <w:color w:val="auto"/>
                      <w:kern w:val="0"/>
                      <w:szCs w:val="21"/>
                    </w:rPr>
                    <w:t>污染物排放</w:t>
                  </w:r>
                </w:p>
              </w:tc>
              <w:tc>
                <w:tcPr>
                  <w:tcW w:w="291" w:type="pct"/>
                  <w:vMerge w:val="restart"/>
                  <w:shd w:val="clear" w:color="auto" w:fill="auto"/>
                  <w:vAlign w:val="center"/>
                </w:tcPr>
                <w:p w14:paraId="6302C5EC">
                  <w:pPr>
                    <w:widowControl/>
                    <w:adjustRightInd w:val="0"/>
                    <w:snapToGrid w:val="0"/>
                    <w:ind w:left="-105" w:leftChars="-50" w:right="-105" w:rightChars="-50"/>
                    <w:jc w:val="center"/>
                    <w:rPr>
                      <w:color w:val="auto"/>
                      <w:kern w:val="0"/>
                      <w:szCs w:val="21"/>
                    </w:rPr>
                  </w:pPr>
                  <w:r>
                    <w:rPr>
                      <w:color w:val="auto"/>
                      <w:kern w:val="0"/>
                      <w:szCs w:val="21"/>
                    </w:rPr>
                    <w:t>排放时间/h</w:t>
                  </w:r>
                </w:p>
              </w:tc>
            </w:tr>
            <w:tr w14:paraId="2AA7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0" w:type="pct"/>
                  <w:vMerge w:val="continue"/>
                  <w:shd w:val="clear" w:color="auto" w:fill="auto"/>
                  <w:vAlign w:val="center"/>
                </w:tcPr>
                <w:p w14:paraId="4CEE0DFD">
                  <w:pPr>
                    <w:widowControl/>
                    <w:adjustRightInd w:val="0"/>
                    <w:snapToGrid w:val="0"/>
                    <w:ind w:left="-105" w:leftChars="-50" w:right="-105" w:rightChars="-50"/>
                    <w:jc w:val="center"/>
                    <w:rPr>
                      <w:color w:val="auto"/>
                      <w:kern w:val="0"/>
                      <w:szCs w:val="21"/>
                    </w:rPr>
                  </w:pPr>
                </w:p>
              </w:tc>
              <w:tc>
                <w:tcPr>
                  <w:tcW w:w="461" w:type="pct"/>
                  <w:vMerge w:val="continue"/>
                  <w:shd w:val="clear" w:color="auto" w:fill="auto"/>
                  <w:vAlign w:val="center"/>
                </w:tcPr>
                <w:p w14:paraId="13408A91">
                  <w:pPr>
                    <w:widowControl/>
                    <w:adjustRightInd w:val="0"/>
                    <w:snapToGrid w:val="0"/>
                    <w:ind w:left="-105" w:leftChars="-50" w:right="-105" w:rightChars="-50"/>
                    <w:jc w:val="center"/>
                    <w:rPr>
                      <w:color w:val="auto"/>
                      <w:kern w:val="0"/>
                      <w:szCs w:val="21"/>
                    </w:rPr>
                  </w:pPr>
                </w:p>
              </w:tc>
              <w:tc>
                <w:tcPr>
                  <w:tcW w:w="357" w:type="pct"/>
                  <w:vMerge w:val="continue"/>
                  <w:shd w:val="clear" w:color="auto" w:fill="auto"/>
                  <w:vAlign w:val="center"/>
                </w:tcPr>
                <w:p w14:paraId="7DA28BF1">
                  <w:pPr>
                    <w:widowControl/>
                    <w:adjustRightInd w:val="0"/>
                    <w:snapToGrid w:val="0"/>
                    <w:ind w:left="-105" w:leftChars="-50" w:right="-105" w:rightChars="-50"/>
                    <w:jc w:val="center"/>
                    <w:rPr>
                      <w:color w:val="auto"/>
                      <w:kern w:val="0"/>
                      <w:szCs w:val="21"/>
                    </w:rPr>
                  </w:pPr>
                </w:p>
              </w:tc>
              <w:tc>
                <w:tcPr>
                  <w:tcW w:w="406" w:type="pct"/>
                  <w:vMerge w:val="continue"/>
                  <w:shd w:val="clear" w:color="auto" w:fill="auto"/>
                  <w:vAlign w:val="center"/>
                </w:tcPr>
                <w:p w14:paraId="76EF2C16">
                  <w:pPr>
                    <w:widowControl/>
                    <w:adjustRightInd w:val="0"/>
                    <w:snapToGrid w:val="0"/>
                    <w:ind w:left="-105" w:leftChars="-50" w:right="-105" w:rightChars="-50"/>
                    <w:jc w:val="center"/>
                    <w:rPr>
                      <w:color w:val="auto"/>
                      <w:kern w:val="0"/>
                      <w:szCs w:val="21"/>
                    </w:rPr>
                  </w:pPr>
                </w:p>
              </w:tc>
              <w:tc>
                <w:tcPr>
                  <w:tcW w:w="235" w:type="pct"/>
                  <w:shd w:val="clear" w:color="auto" w:fill="auto"/>
                  <w:vAlign w:val="center"/>
                </w:tcPr>
                <w:p w14:paraId="277540D5">
                  <w:pPr>
                    <w:widowControl/>
                    <w:adjustRightInd w:val="0"/>
                    <w:snapToGrid w:val="0"/>
                    <w:ind w:left="-105" w:leftChars="-50" w:right="-105" w:rightChars="-50"/>
                    <w:jc w:val="center"/>
                    <w:rPr>
                      <w:color w:val="auto"/>
                      <w:kern w:val="0"/>
                      <w:szCs w:val="21"/>
                    </w:rPr>
                  </w:pPr>
                  <w:r>
                    <w:rPr>
                      <w:color w:val="auto"/>
                      <w:kern w:val="0"/>
                      <w:szCs w:val="21"/>
                    </w:rPr>
                    <w:t>核算方法</w:t>
                  </w:r>
                </w:p>
              </w:tc>
              <w:tc>
                <w:tcPr>
                  <w:tcW w:w="302" w:type="pct"/>
                  <w:shd w:val="clear" w:color="auto" w:fill="auto"/>
                  <w:vAlign w:val="center"/>
                </w:tcPr>
                <w:p w14:paraId="43721FB0">
                  <w:pPr>
                    <w:widowControl/>
                    <w:adjustRightInd w:val="0"/>
                    <w:snapToGrid w:val="0"/>
                    <w:ind w:left="-105" w:leftChars="-50" w:right="-105" w:rightChars="-50"/>
                    <w:jc w:val="center"/>
                    <w:rPr>
                      <w:color w:val="auto"/>
                      <w:kern w:val="0"/>
                      <w:szCs w:val="21"/>
                    </w:rPr>
                  </w:pPr>
                  <w:r>
                    <w:rPr>
                      <w:color w:val="auto"/>
                      <w:kern w:val="0"/>
                      <w:szCs w:val="21"/>
                    </w:rPr>
                    <w:t>废气产生量m³/h</w:t>
                  </w:r>
                </w:p>
              </w:tc>
              <w:tc>
                <w:tcPr>
                  <w:tcW w:w="354" w:type="pct"/>
                  <w:shd w:val="clear" w:color="auto" w:fill="auto"/>
                  <w:vAlign w:val="center"/>
                </w:tcPr>
                <w:p w14:paraId="78E83003">
                  <w:pPr>
                    <w:widowControl/>
                    <w:adjustRightInd w:val="0"/>
                    <w:snapToGrid w:val="0"/>
                    <w:ind w:left="-105" w:leftChars="-50" w:right="-105" w:rightChars="-50"/>
                    <w:jc w:val="center"/>
                    <w:rPr>
                      <w:color w:val="auto"/>
                      <w:kern w:val="0"/>
                      <w:szCs w:val="21"/>
                    </w:rPr>
                  </w:pPr>
                  <w:r>
                    <w:rPr>
                      <w:color w:val="auto"/>
                      <w:kern w:val="0"/>
                      <w:szCs w:val="21"/>
                    </w:rPr>
                    <w:t>产生浓度mg/m³</w:t>
                  </w:r>
                </w:p>
              </w:tc>
              <w:tc>
                <w:tcPr>
                  <w:tcW w:w="320" w:type="pct"/>
                  <w:shd w:val="clear" w:color="auto" w:fill="auto"/>
                  <w:vAlign w:val="center"/>
                </w:tcPr>
                <w:p w14:paraId="64D13FE4">
                  <w:pPr>
                    <w:widowControl/>
                    <w:adjustRightInd w:val="0"/>
                    <w:snapToGrid w:val="0"/>
                    <w:ind w:left="-105" w:leftChars="-50" w:right="-105" w:rightChars="-50"/>
                    <w:jc w:val="center"/>
                    <w:rPr>
                      <w:color w:val="auto"/>
                      <w:kern w:val="0"/>
                      <w:szCs w:val="21"/>
                    </w:rPr>
                  </w:pPr>
                  <w:r>
                    <w:rPr>
                      <w:color w:val="auto"/>
                      <w:kern w:val="0"/>
                      <w:szCs w:val="21"/>
                    </w:rPr>
                    <w:t>产生量</w:t>
                  </w:r>
                </w:p>
              </w:tc>
              <w:tc>
                <w:tcPr>
                  <w:tcW w:w="410" w:type="pct"/>
                  <w:shd w:val="clear" w:color="auto" w:fill="auto"/>
                  <w:vAlign w:val="center"/>
                </w:tcPr>
                <w:p w14:paraId="41FE59FC">
                  <w:pPr>
                    <w:widowControl/>
                    <w:adjustRightInd w:val="0"/>
                    <w:snapToGrid w:val="0"/>
                    <w:ind w:left="-105" w:leftChars="-50" w:right="-105" w:rightChars="-50"/>
                    <w:jc w:val="center"/>
                    <w:rPr>
                      <w:color w:val="auto"/>
                      <w:kern w:val="0"/>
                      <w:szCs w:val="21"/>
                    </w:rPr>
                  </w:pPr>
                  <w:r>
                    <w:rPr>
                      <w:color w:val="auto"/>
                      <w:kern w:val="0"/>
                      <w:szCs w:val="21"/>
                    </w:rPr>
                    <w:t>工艺</w:t>
                  </w:r>
                </w:p>
              </w:tc>
              <w:tc>
                <w:tcPr>
                  <w:tcW w:w="263" w:type="pct"/>
                  <w:shd w:val="clear" w:color="auto" w:fill="auto"/>
                  <w:vAlign w:val="center"/>
                </w:tcPr>
                <w:p w14:paraId="14D0A866">
                  <w:pPr>
                    <w:widowControl/>
                    <w:adjustRightInd w:val="0"/>
                    <w:snapToGrid w:val="0"/>
                    <w:ind w:left="-105" w:leftChars="-50" w:right="-105" w:rightChars="-50"/>
                    <w:jc w:val="center"/>
                    <w:rPr>
                      <w:color w:val="auto"/>
                      <w:kern w:val="0"/>
                      <w:szCs w:val="21"/>
                    </w:rPr>
                  </w:pPr>
                  <w:r>
                    <w:rPr>
                      <w:color w:val="auto"/>
                      <w:kern w:val="0"/>
                      <w:szCs w:val="21"/>
                    </w:rPr>
                    <w:t>效率/%</w:t>
                  </w:r>
                </w:p>
              </w:tc>
              <w:tc>
                <w:tcPr>
                  <w:tcW w:w="176" w:type="pct"/>
                  <w:shd w:val="clear" w:color="auto" w:fill="auto"/>
                  <w:vAlign w:val="center"/>
                </w:tcPr>
                <w:p w14:paraId="5E0EDF51">
                  <w:pPr>
                    <w:widowControl/>
                    <w:adjustRightInd w:val="0"/>
                    <w:snapToGrid w:val="0"/>
                    <w:ind w:left="-105" w:leftChars="-50" w:right="-105" w:rightChars="-50"/>
                    <w:jc w:val="center"/>
                    <w:rPr>
                      <w:color w:val="auto"/>
                      <w:kern w:val="0"/>
                      <w:szCs w:val="21"/>
                    </w:rPr>
                  </w:pPr>
                  <w:r>
                    <w:rPr>
                      <w:color w:val="auto"/>
                      <w:kern w:val="0"/>
                      <w:szCs w:val="21"/>
                    </w:rPr>
                    <w:t>核算方法</w:t>
                  </w:r>
                </w:p>
              </w:tc>
              <w:tc>
                <w:tcPr>
                  <w:tcW w:w="377" w:type="pct"/>
                  <w:shd w:val="clear" w:color="auto" w:fill="auto"/>
                  <w:vAlign w:val="center"/>
                </w:tcPr>
                <w:p w14:paraId="79CC8EEF">
                  <w:pPr>
                    <w:widowControl/>
                    <w:adjustRightInd w:val="0"/>
                    <w:snapToGrid w:val="0"/>
                    <w:ind w:left="-105" w:leftChars="-50" w:right="-105" w:rightChars="-50"/>
                    <w:jc w:val="center"/>
                    <w:rPr>
                      <w:color w:val="auto"/>
                      <w:kern w:val="0"/>
                      <w:szCs w:val="21"/>
                    </w:rPr>
                  </w:pPr>
                  <w:r>
                    <w:rPr>
                      <w:color w:val="auto"/>
                      <w:kern w:val="0"/>
                      <w:szCs w:val="21"/>
                    </w:rPr>
                    <w:t>排放浓度mg/m</w:t>
                  </w:r>
                  <w:r>
                    <w:rPr>
                      <w:color w:val="auto"/>
                      <w:kern w:val="0"/>
                      <w:szCs w:val="21"/>
                      <w:vertAlign w:val="superscript"/>
                    </w:rPr>
                    <w:t>3</w:t>
                  </w:r>
                </w:p>
              </w:tc>
              <w:tc>
                <w:tcPr>
                  <w:tcW w:w="331" w:type="pct"/>
                  <w:shd w:val="clear" w:color="auto" w:fill="auto"/>
                  <w:vAlign w:val="center"/>
                </w:tcPr>
                <w:p w14:paraId="5DB1BA05">
                  <w:pPr>
                    <w:widowControl/>
                    <w:adjustRightInd w:val="0"/>
                    <w:snapToGrid w:val="0"/>
                    <w:ind w:left="-105" w:leftChars="-50" w:right="-105" w:rightChars="-50"/>
                    <w:jc w:val="center"/>
                    <w:rPr>
                      <w:color w:val="auto"/>
                      <w:kern w:val="0"/>
                      <w:szCs w:val="21"/>
                    </w:rPr>
                  </w:pPr>
                  <w:r>
                    <w:rPr>
                      <w:color w:val="auto"/>
                      <w:kern w:val="0"/>
                      <w:szCs w:val="21"/>
                    </w:rPr>
                    <w:t>排放速率kg/h</w:t>
                  </w:r>
                </w:p>
              </w:tc>
              <w:tc>
                <w:tcPr>
                  <w:tcW w:w="398" w:type="pct"/>
                  <w:shd w:val="clear" w:color="auto" w:fill="auto"/>
                  <w:vAlign w:val="center"/>
                </w:tcPr>
                <w:p w14:paraId="615577DC">
                  <w:pPr>
                    <w:widowControl/>
                    <w:adjustRightInd w:val="0"/>
                    <w:snapToGrid w:val="0"/>
                    <w:ind w:left="-105" w:leftChars="-50" w:right="-105" w:rightChars="-50"/>
                    <w:jc w:val="center"/>
                    <w:rPr>
                      <w:color w:val="auto"/>
                      <w:kern w:val="0"/>
                      <w:szCs w:val="21"/>
                    </w:rPr>
                  </w:pPr>
                  <w:r>
                    <w:rPr>
                      <w:color w:val="auto"/>
                      <w:kern w:val="0"/>
                      <w:szCs w:val="21"/>
                    </w:rPr>
                    <w:t>排放量t/a</w:t>
                  </w:r>
                </w:p>
              </w:tc>
              <w:tc>
                <w:tcPr>
                  <w:tcW w:w="291" w:type="pct"/>
                  <w:vMerge w:val="continue"/>
                  <w:vAlign w:val="center"/>
                </w:tcPr>
                <w:p w14:paraId="21369A5D">
                  <w:pPr>
                    <w:widowControl/>
                    <w:adjustRightInd w:val="0"/>
                    <w:snapToGrid w:val="0"/>
                    <w:ind w:left="-105" w:leftChars="-50" w:right="-105" w:rightChars="-50"/>
                    <w:jc w:val="center"/>
                    <w:rPr>
                      <w:color w:val="auto"/>
                      <w:kern w:val="0"/>
                      <w:szCs w:val="21"/>
                    </w:rPr>
                  </w:pPr>
                </w:p>
              </w:tc>
            </w:tr>
            <w:tr w14:paraId="7EE8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310" w:type="pct"/>
                  <w:shd w:val="clear" w:color="auto" w:fill="FFFFFF"/>
                  <w:vAlign w:val="center"/>
                </w:tcPr>
                <w:p w14:paraId="75F0087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破碎、造粒</w:t>
                  </w:r>
                </w:p>
              </w:tc>
              <w:tc>
                <w:tcPr>
                  <w:tcW w:w="461" w:type="pct"/>
                  <w:shd w:val="clear" w:color="auto" w:fill="auto"/>
                  <w:vAlign w:val="center"/>
                </w:tcPr>
                <w:p w14:paraId="67A86BD7">
                  <w:pPr>
                    <w:jc w:val="center"/>
                    <w:rPr>
                      <w:color w:val="auto"/>
                      <w:kern w:val="0"/>
                      <w:szCs w:val="21"/>
                    </w:rPr>
                  </w:pPr>
                  <w:r>
                    <w:rPr>
                      <w:rFonts w:hint="eastAsia"/>
                      <w:color w:val="auto"/>
                      <w:szCs w:val="21"/>
                    </w:rPr>
                    <w:t>布袋除尘器</w:t>
                  </w:r>
                </w:p>
              </w:tc>
              <w:tc>
                <w:tcPr>
                  <w:tcW w:w="357" w:type="pct"/>
                  <w:shd w:val="clear" w:color="auto" w:fill="auto"/>
                  <w:vAlign w:val="center"/>
                </w:tcPr>
                <w:p w14:paraId="4FFC2454">
                  <w:pPr>
                    <w:widowControl/>
                    <w:adjustRightInd w:val="0"/>
                    <w:snapToGrid w:val="0"/>
                    <w:ind w:left="-105" w:leftChars="-50" w:right="-105" w:rightChars="-50"/>
                    <w:jc w:val="center"/>
                    <w:rPr>
                      <w:color w:val="auto"/>
                      <w:kern w:val="0"/>
                      <w:szCs w:val="21"/>
                    </w:rPr>
                  </w:pPr>
                  <w:r>
                    <w:rPr>
                      <w:color w:val="auto"/>
                      <w:kern w:val="0"/>
                      <w:szCs w:val="21"/>
                    </w:rPr>
                    <w:t>有组织排放</w:t>
                  </w:r>
                </w:p>
              </w:tc>
              <w:tc>
                <w:tcPr>
                  <w:tcW w:w="406" w:type="pct"/>
                  <w:shd w:val="clear" w:color="auto" w:fill="auto"/>
                  <w:vAlign w:val="center"/>
                </w:tcPr>
                <w:p w14:paraId="565CEA96">
                  <w:pPr>
                    <w:widowControl/>
                    <w:adjustRightInd w:val="0"/>
                    <w:snapToGrid w:val="0"/>
                    <w:ind w:left="-105" w:leftChars="-50" w:right="-105" w:rightChars="-50"/>
                    <w:jc w:val="center"/>
                    <w:rPr>
                      <w:color w:val="auto"/>
                      <w:kern w:val="0"/>
                      <w:szCs w:val="21"/>
                    </w:rPr>
                  </w:pPr>
                  <w:r>
                    <w:rPr>
                      <w:rFonts w:hint="eastAsia"/>
                      <w:color w:val="auto"/>
                      <w:szCs w:val="21"/>
                    </w:rPr>
                    <w:t>粉尘</w:t>
                  </w:r>
                </w:p>
              </w:tc>
              <w:tc>
                <w:tcPr>
                  <w:tcW w:w="235" w:type="pct"/>
                  <w:vMerge w:val="restart"/>
                  <w:shd w:val="clear" w:color="auto" w:fill="auto"/>
                  <w:vAlign w:val="center"/>
                </w:tcPr>
                <w:p w14:paraId="14A7A56A">
                  <w:pPr>
                    <w:widowControl/>
                    <w:adjustRightInd w:val="0"/>
                    <w:snapToGrid w:val="0"/>
                    <w:ind w:left="-105" w:leftChars="-50" w:right="-105" w:rightChars="-50"/>
                    <w:jc w:val="center"/>
                    <w:rPr>
                      <w:color w:val="auto"/>
                      <w:kern w:val="0"/>
                      <w:szCs w:val="21"/>
                    </w:rPr>
                  </w:pPr>
                  <w:r>
                    <w:rPr>
                      <w:color w:val="auto"/>
                      <w:kern w:val="0"/>
                      <w:szCs w:val="21"/>
                    </w:rPr>
                    <w:t>系数法</w:t>
                  </w:r>
                </w:p>
              </w:tc>
              <w:tc>
                <w:tcPr>
                  <w:tcW w:w="302" w:type="pct"/>
                  <w:shd w:val="clear" w:color="auto" w:fill="auto"/>
                  <w:vAlign w:val="center"/>
                </w:tcPr>
                <w:p w14:paraId="0281B50E">
                  <w:pPr>
                    <w:jc w:val="center"/>
                    <w:rPr>
                      <w:rFonts w:hint="default" w:eastAsia="宋体"/>
                      <w:color w:val="auto"/>
                      <w:kern w:val="0"/>
                      <w:szCs w:val="21"/>
                      <w:lang w:val="en-US" w:eastAsia="zh-CN"/>
                    </w:rPr>
                  </w:pPr>
                  <w:r>
                    <w:rPr>
                      <w:rFonts w:hint="eastAsia"/>
                      <w:color w:val="auto"/>
                      <w:szCs w:val="21"/>
                      <w:lang w:val="en-US" w:eastAsia="zh-CN"/>
                    </w:rPr>
                    <w:t>18000</w:t>
                  </w:r>
                </w:p>
              </w:tc>
              <w:tc>
                <w:tcPr>
                  <w:tcW w:w="354" w:type="pct"/>
                  <w:shd w:val="clear" w:color="auto" w:fill="FFFFFF"/>
                  <w:vAlign w:val="center"/>
                </w:tcPr>
                <w:p w14:paraId="63F82805">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208</w:t>
                  </w:r>
                </w:p>
              </w:tc>
              <w:tc>
                <w:tcPr>
                  <w:tcW w:w="320" w:type="pct"/>
                  <w:shd w:val="clear" w:color="auto" w:fill="FFFFFF"/>
                  <w:vAlign w:val="center"/>
                </w:tcPr>
                <w:p w14:paraId="41072DFA">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w:t>
                  </w:r>
                </w:p>
              </w:tc>
              <w:tc>
                <w:tcPr>
                  <w:tcW w:w="410" w:type="pct"/>
                  <w:shd w:val="clear" w:color="auto" w:fill="auto"/>
                  <w:vAlign w:val="center"/>
                </w:tcPr>
                <w:p w14:paraId="406A2AF9">
                  <w:pPr>
                    <w:jc w:val="center"/>
                    <w:rPr>
                      <w:color w:val="auto"/>
                      <w:kern w:val="0"/>
                      <w:szCs w:val="21"/>
                    </w:rPr>
                  </w:pPr>
                  <w:r>
                    <w:rPr>
                      <w:rFonts w:hint="eastAsia"/>
                      <w:color w:val="auto"/>
                      <w:szCs w:val="21"/>
                    </w:rPr>
                    <w:t>布袋除尘器</w:t>
                  </w:r>
                </w:p>
              </w:tc>
              <w:tc>
                <w:tcPr>
                  <w:tcW w:w="263" w:type="pct"/>
                  <w:shd w:val="clear" w:color="auto" w:fill="auto"/>
                  <w:vAlign w:val="center"/>
                </w:tcPr>
                <w:p w14:paraId="0CEE6DAA">
                  <w:pPr>
                    <w:widowControl/>
                    <w:adjustRightInd w:val="0"/>
                    <w:snapToGrid w:val="0"/>
                    <w:ind w:left="-105" w:leftChars="-50" w:right="-105" w:rightChars="-50"/>
                    <w:jc w:val="center"/>
                    <w:rPr>
                      <w:rFonts w:hint="eastAsia" w:eastAsia="宋体"/>
                      <w:color w:val="auto"/>
                      <w:kern w:val="0"/>
                      <w:szCs w:val="21"/>
                      <w:lang w:eastAsia="zh-CN"/>
                    </w:rPr>
                  </w:pPr>
                  <w:r>
                    <w:rPr>
                      <w:color w:val="auto"/>
                      <w:kern w:val="0"/>
                      <w:szCs w:val="21"/>
                    </w:rPr>
                    <w:t>9</w:t>
                  </w:r>
                  <w:r>
                    <w:rPr>
                      <w:rFonts w:hint="eastAsia"/>
                      <w:color w:val="auto"/>
                      <w:kern w:val="0"/>
                      <w:szCs w:val="21"/>
                      <w:lang w:val="en-US" w:eastAsia="zh-CN"/>
                    </w:rPr>
                    <w:t>9</w:t>
                  </w:r>
                </w:p>
              </w:tc>
              <w:tc>
                <w:tcPr>
                  <w:tcW w:w="176" w:type="pct"/>
                  <w:vMerge w:val="restart"/>
                  <w:shd w:val="clear" w:color="auto" w:fill="auto"/>
                  <w:vAlign w:val="center"/>
                </w:tcPr>
                <w:p w14:paraId="6C9693C7">
                  <w:pPr>
                    <w:widowControl/>
                    <w:adjustRightInd w:val="0"/>
                    <w:snapToGrid w:val="0"/>
                    <w:ind w:left="-105" w:leftChars="-50" w:right="-105" w:rightChars="-50"/>
                    <w:jc w:val="center"/>
                    <w:rPr>
                      <w:color w:val="auto"/>
                      <w:kern w:val="0"/>
                      <w:szCs w:val="21"/>
                    </w:rPr>
                  </w:pPr>
                  <w:r>
                    <w:rPr>
                      <w:color w:val="auto"/>
                      <w:kern w:val="0"/>
                      <w:szCs w:val="21"/>
                    </w:rPr>
                    <w:t>系数法</w:t>
                  </w:r>
                </w:p>
              </w:tc>
              <w:tc>
                <w:tcPr>
                  <w:tcW w:w="377" w:type="pct"/>
                  <w:shd w:val="clear" w:color="auto" w:fill="FFFFFF"/>
                  <w:vAlign w:val="center"/>
                </w:tcPr>
                <w:p w14:paraId="2884C5CF">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2.08</w:t>
                  </w:r>
                </w:p>
              </w:tc>
              <w:tc>
                <w:tcPr>
                  <w:tcW w:w="331" w:type="pct"/>
                  <w:shd w:val="clear" w:color="auto" w:fill="FFFFFF"/>
                  <w:vAlign w:val="center"/>
                </w:tcPr>
                <w:p w14:paraId="3CAB20D2">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0.0375</w:t>
                  </w:r>
                </w:p>
              </w:tc>
              <w:tc>
                <w:tcPr>
                  <w:tcW w:w="398" w:type="pct"/>
                  <w:shd w:val="clear" w:color="auto" w:fill="FFFFFF"/>
                  <w:vAlign w:val="center"/>
                </w:tcPr>
                <w:p w14:paraId="73B2680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0.09</w:t>
                  </w:r>
                </w:p>
              </w:tc>
              <w:tc>
                <w:tcPr>
                  <w:tcW w:w="291" w:type="pct"/>
                  <w:vAlign w:val="center"/>
                </w:tcPr>
                <w:p w14:paraId="695AEA71">
                  <w:pPr>
                    <w:widowControl/>
                    <w:adjustRightInd w:val="0"/>
                    <w:snapToGrid w:val="0"/>
                    <w:ind w:left="-105" w:leftChars="-50" w:right="-105" w:rightChars="-50"/>
                    <w:jc w:val="center"/>
                    <w:rPr>
                      <w:rFonts w:hint="default" w:eastAsia="宋体"/>
                      <w:color w:val="auto"/>
                      <w:kern w:val="0"/>
                      <w:szCs w:val="21"/>
                      <w:lang w:val="en-US" w:eastAsia="zh-CN"/>
                    </w:rPr>
                  </w:pPr>
                  <w:r>
                    <w:rPr>
                      <w:rFonts w:hint="eastAsia"/>
                      <w:color w:val="auto"/>
                      <w:kern w:val="0"/>
                      <w:szCs w:val="21"/>
                      <w:lang w:val="en-US" w:eastAsia="zh-CN"/>
                    </w:rPr>
                    <w:t>2400</w:t>
                  </w:r>
                </w:p>
              </w:tc>
            </w:tr>
            <w:tr w14:paraId="62B9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10" w:type="pct"/>
                  <w:vMerge w:val="restart"/>
                  <w:shd w:val="clear" w:color="auto" w:fill="auto"/>
                  <w:vAlign w:val="center"/>
                </w:tcPr>
                <w:p w14:paraId="325B40C6">
                  <w:pPr>
                    <w:jc w:val="center"/>
                    <w:rPr>
                      <w:color w:val="auto"/>
                      <w:kern w:val="0"/>
                      <w:szCs w:val="21"/>
                    </w:rPr>
                  </w:pPr>
                  <w:r>
                    <w:rPr>
                      <w:rFonts w:hint="eastAsia" w:cs="Times New Roman"/>
                      <w:color w:val="auto"/>
                      <w:szCs w:val="21"/>
                      <w:lang w:val="en-US" w:eastAsia="zh-CN"/>
                    </w:rPr>
                    <w:t>燃烧</w:t>
                  </w:r>
                </w:p>
              </w:tc>
              <w:tc>
                <w:tcPr>
                  <w:tcW w:w="461" w:type="pct"/>
                  <w:shd w:val="clear" w:color="auto" w:fill="auto"/>
                  <w:vAlign w:val="center"/>
                </w:tcPr>
                <w:p w14:paraId="7EC677D0">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布袋除尘器</w:t>
                  </w:r>
                </w:p>
              </w:tc>
              <w:tc>
                <w:tcPr>
                  <w:tcW w:w="357" w:type="pct"/>
                  <w:vMerge w:val="restart"/>
                  <w:shd w:val="clear" w:color="auto" w:fill="auto"/>
                  <w:noWrap/>
                  <w:vAlign w:val="center"/>
                </w:tcPr>
                <w:p w14:paraId="3F22C9DF">
                  <w:pPr>
                    <w:jc w:val="center"/>
                    <w:rPr>
                      <w:rFonts w:hint="default" w:ascii="Times New Roman" w:hAnsi="Times New Roman" w:eastAsia="宋体" w:cs="Times New Roman"/>
                      <w:color w:val="auto"/>
                      <w:kern w:val="2"/>
                      <w:sz w:val="21"/>
                      <w:szCs w:val="21"/>
                      <w:lang w:val="en-US" w:eastAsia="zh-CN" w:bidi="ar-SA"/>
                    </w:rPr>
                  </w:pPr>
                  <w:r>
                    <w:rPr>
                      <w:color w:val="auto"/>
                      <w:kern w:val="0"/>
                      <w:szCs w:val="21"/>
                    </w:rPr>
                    <w:t>有组织排放</w:t>
                  </w:r>
                </w:p>
              </w:tc>
              <w:tc>
                <w:tcPr>
                  <w:tcW w:w="406" w:type="pct"/>
                  <w:shd w:val="clear" w:color="auto" w:fill="auto"/>
                  <w:vAlign w:val="center"/>
                </w:tcPr>
                <w:p w14:paraId="0F773B17">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颗粒物</w:t>
                  </w:r>
                </w:p>
              </w:tc>
              <w:tc>
                <w:tcPr>
                  <w:tcW w:w="235" w:type="pct"/>
                  <w:vMerge w:val="continue"/>
                  <w:shd w:val="clear" w:color="auto" w:fill="auto"/>
                  <w:noWrap/>
                  <w:vAlign w:val="center"/>
                </w:tcPr>
                <w:p w14:paraId="0373E805">
                  <w:pPr>
                    <w:widowControl/>
                    <w:adjustRightInd w:val="0"/>
                    <w:snapToGrid w:val="0"/>
                    <w:ind w:left="-105" w:leftChars="-50" w:right="-105" w:rightChars="-50"/>
                    <w:jc w:val="center"/>
                    <w:rPr>
                      <w:color w:val="auto"/>
                      <w:kern w:val="0"/>
                      <w:szCs w:val="21"/>
                    </w:rPr>
                  </w:pPr>
                </w:p>
              </w:tc>
              <w:tc>
                <w:tcPr>
                  <w:tcW w:w="302" w:type="pct"/>
                  <w:vMerge w:val="restart"/>
                  <w:shd w:val="clear" w:color="auto" w:fill="auto"/>
                  <w:noWrap/>
                  <w:vAlign w:val="center"/>
                </w:tcPr>
                <w:p w14:paraId="6CCF28B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2000</w:t>
                  </w:r>
                </w:p>
              </w:tc>
              <w:tc>
                <w:tcPr>
                  <w:tcW w:w="354" w:type="pct"/>
                  <w:shd w:val="clear" w:color="auto" w:fill="FFFFFF"/>
                  <w:noWrap/>
                  <w:vAlign w:val="center"/>
                </w:tcPr>
                <w:p w14:paraId="690F1E49">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80</w:t>
                  </w:r>
                </w:p>
              </w:tc>
              <w:tc>
                <w:tcPr>
                  <w:tcW w:w="320" w:type="pct"/>
                  <w:shd w:val="clear" w:color="auto" w:fill="auto"/>
                  <w:noWrap/>
                  <w:vAlign w:val="center"/>
                </w:tcPr>
                <w:p w14:paraId="1382E7D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0.618</w:t>
                  </w:r>
                </w:p>
              </w:tc>
              <w:tc>
                <w:tcPr>
                  <w:tcW w:w="410" w:type="pct"/>
                  <w:shd w:val="clear" w:color="auto" w:fill="auto"/>
                  <w:vAlign w:val="center"/>
                </w:tcPr>
                <w:p w14:paraId="12DA9AC5">
                  <w:pPr>
                    <w:widowControl/>
                    <w:adjustRightInd w:val="0"/>
                    <w:snapToGrid w:val="0"/>
                    <w:ind w:left="-105" w:leftChars="-50" w:right="-105" w:rightChars="-50"/>
                    <w:jc w:val="center"/>
                    <w:rPr>
                      <w:color w:val="auto"/>
                      <w:kern w:val="0"/>
                      <w:szCs w:val="21"/>
                    </w:rPr>
                  </w:pPr>
                  <w:r>
                    <w:rPr>
                      <w:rFonts w:hint="eastAsia"/>
                      <w:color w:val="auto"/>
                      <w:szCs w:val="21"/>
                    </w:rPr>
                    <w:t>布袋除尘器</w:t>
                  </w:r>
                </w:p>
              </w:tc>
              <w:tc>
                <w:tcPr>
                  <w:tcW w:w="263" w:type="pct"/>
                  <w:shd w:val="clear" w:color="auto" w:fill="auto"/>
                  <w:noWrap/>
                  <w:vAlign w:val="center"/>
                </w:tcPr>
                <w:p w14:paraId="71337BF3">
                  <w:pPr>
                    <w:widowControl/>
                    <w:adjustRightInd w:val="0"/>
                    <w:snapToGrid w:val="0"/>
                    <w:ind w:left="-105" w:leftChars="-50" w:right="-105" w:rightChars="-50"/>
                    <w:jc w:val="center"/>
                    <w:rPr>
                      <w:rFonts w:hint="eastAsia" w:eastAsia="宋体"/>
                      <w:color w:val="auto"/>
                      <w:kern w:val="0"/>
                      <w:szCs w:val="21"/>
                      <w:lang w:eastAsia="zh-CN"/>
                    </w:rPr>
                  </w:pPr>
                  <w:r>
                    <w:rPr>
                      <w:rFonts w:hint="eastAsia"/>
                      <w:color w:val="auto"/>
                      <w:kern w:val="0"/>
                      <w:szCs w:val="21"/>
                    </w:rPr>
                    <w:t>9</w:t>
                  </w:r>
                  <w:r>
                    <w:rPr>
                      <w:rFonts w:hint="eastAsia"/>
                      <w:color w:val="auto"/>
                      <w:kern w:val="0"/>
                      <w:szCs w:val="21"/>
                      <w:lang w:val="en-US" w:eastAsia="zh-CN"/>
                    </w:rPr>
                    <w:t>9</w:t>
                  </w:r>
                </w:p>
              </w:tc>
              <w:tc>
                <w:tcPr>
                  <w:tcW w:w="176" w:type="pct"/>
                  <w:vMerge w:val="continue"/>
                  <w:shd w:val="clear" w:color="auto" w:fill="auto"/>
                  <w:noWrap/>
                  <w:vAlign w:val="center"/>
                </w:tcPr>
                <w:p w14:paraId="23EEA01F">
                  <w:pPr>
                    <w:widowControl/>
                    <w:adjustRightInd w:val="0"/>
                    <w:snapToGrid w:val="0"/>
                    <w:ind w:left="-105" w:leftChars="-50" w:right="-105" w:rightChars="-50"/>
                    <w:jc w:val="center"/>
                    <w:rPr>
                      <w:color w:val="auto"/>
                      <w:kern w:val="0"/>
                      <w:szCs w:val="21"/>
                    </w:rPr>
                  </w:pPr>
                </w:p>
              </w:tc>
              <w:tc>
                <w:tcPr>
                  <w:tcW w:w="377" w:type="pct"/>
                  <w:shd w:val="clear" w:color="auto" w:fill="FFFFFF"/>
                  <w:noWrap/>
                  <w:vAlign w:val="center"/>
                </w:tcPr>
                <w:p w14:paraId="229A9047">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0.8</w:t>
                  </w:r>
                </w:p>
              </w:tc>
              <w:tc>
                <w:tcPr>
                  <w:tcW w:w="331" w:type="pct"/>
                  <w:shd w:val="clear" w:color="auto" w:fill="FFFFFF"/>
                  <w:noWrap/>
                  <w:vAlign w:val="center"/>
                </w:tcPr>
                <w:p w14:paraId="5D484D4E">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0.0052</w:t>
                  </w:r>
                </w:p>
              </w:tc>
              <w:tc>
                <w:tcPr>
                  <w:tcW w:w="398" w:type="pct"/>
                  <w:shd w:val="clear" w:color="auto" w:fill="FFFFFF"/>
                  <w:noWrap/>
                  <w:vAlign w:val="center"/>
                </w:tcPr>
                <w:p w14:paraId="04B1976F">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0.0062</w:t>
                  </w:r>
                </w:p>
              </w:tc>
              <w:tc>
                <w:tcPr>
                  <w:tcW w:w="291" w:type="pct"/>
                  <w:vMerge w:val="restart"/>
                  <w:shd w:val="clear" w:color="auto" w:fill="auto"/>
                  <w:vAlign w:val="center"/>
                </w:tcPr>
                <w:p w14:paraId="61C51187">
                  <w:pPr>
                    <w:jc w:val="center"/>
                    <w:rPr>
                      <w:rFonts w:hint="default" w:eastAsia="宋体"/>
                      <w:color w:val="auto"/>
                      <w:szCs w:val="21"/>
                      <w:lang w:val="en-US" w:eastAsia="zh-CN"/>
                    </w:rPr>
                  </w:pPr>
                  <w:r>
                    <w:rPr>
                      <w:rFonts w:hint="eastAsia"/>
                      <w:color w:val="auto"/>
                      <w:kern w:val="0"/>
                      <w:szCs w:val="21"/>
                      <w:lang w:val="en-US" w:eastAsia="zh-CN"/>
                    </w:rPr>
                    <w:t>1200</w:t>
                  </w:r>
                </w:p>
              </w:tc>
            </w:tr>
            <w:tr w14:paraId="41B6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10" w:type="pct"/>
                  <w:vMerge w:val="continue"/>
                  <w:shd w:val="clear" w:color="auto" w:fill="auto"/>
                  <w:vAlign w:val="center"/>
                </w:tcPr>
                <w:p w14:paraId="32B8D714">
                  <w:pPr>
                    <w:widowControl/>
                    <w:adjustRightInd w:val="0"/>
                    <w:snapToGrid w:val="0"/>
                    <w:ind w:left="-105" w:leftChars="-50" w:right="-105" w:rightChars="-50"/>
                    <w:jc w:val="center"/>
                    <w:rPr>
                      <w:color w:val="FF0000"/>
                    </w:rPr>
                  </w:pPr>
                </w:p>
              </w:tc>
              <w:tc>
                <w:tcPr>
                  <w:tcW w:w="461" w:type="pct"/>
                  <w:shd w:val="clear" w:color="auto" w:fill="auto"/>
                  <w:vAlign w:val="center"/>
                </w:tcPr>
                <w:p w14:paraId="425A99D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357" w:type="pct"/>
                  <w:vMerge w:val="continue"/>
                  <w:shd w:val="clear" w:color="auto" w:fill="auto"/>
                  <w:noWrap/>
                  <w:vAlign w:val="center"/>
                </w:tcPr>
                <w:p w14:paraId="0B17F087">
                  <w:pPr>
                    <w:jc w:val="center"/>
                    <w:rPr>
                      <w:rFonts w:hint="eastAsia" w:ascii="Times New Roman" w:hAnsi="Times New Roman" w:eastAsia="宋体" w:cs="Times New Roman"/>
                      <w:color w:val="auto"/>
                      <w:kern w:val="2"/>
                      <w:sz w:val="21"/>
                      <w:szCs w:val="21"/>
                      <w:lang w:val="en-US" w:eastAsia="zh-CN" w:bidi="ar-SA"/>
                    </w:rPr>
                  </w:pPr>
                </w:p>
              </w:tc>
              <w:tc>
                <w:tcPr>
                  <w:tcW w:w="406" w:type="pct"/>
                  <w:shd w:val="clear" w:color="auto" w:fill="auto"/>
                  <w:vAlign w:val="center"/>
                </w:tcPr>
                <w:p w14:paraId="53395643">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SO</w:t>
                  </w:r>
                  <w:r>
                    <w:rPr>
                      <w:rFonts w:hint="eastAsia" w:cs="Times New Roman"/>
                      <w:color w:val="auto"/>
                      <w:szCs w:val="21"/>
                      <w:vertAlign w:val="subscript"/>
                      <w:lang w:val="en-US" w:eastAsia="zh-CN"/>
                    </w:rPr>
                    <w:t>2</w:t>
                  </w:r>
                </w:p>
              </w:tc>
              <w:tc>
                <w:tcPr>
                  <w:tcW w:w="235" w:type="pct"/>
                  <w:vMerge w:val="continue"/>
                  <w:shd w:val="clear" w:color="auto" w:fill="auto"/>
                  <w:noWrap/>
                  <w:vAlign w:val="center"/>
                </w:tcPr>
                <w:p w14:paraId="1215BFEF">
                  <w:pPr>
                    <w:widowControl/>
                    <w:adjustRightInd w:val="0"/>
                    <w:snapToGrid w:val="0"/>
                    <w:ind w:left="-105" w:leftChars="-50" w:right="-105" w:rightChars="-50"/>
                    <w:jc w:val="center"/>
                    <w:rPr>
                      <w:color w:val="auto"/>
                      <w:kern w:val="0"/>
                      <w:szCs w:val="21"/>
                    </w:rPr>
                  </w:pPr>
                </w:p>
              </w:tc>
              <w:tc>
                <w:tcPr>
                  <w:tcW w:w="302" w:type="pct"/>
                  <w:vMerge w:val="continue"/>
                  <w:shd w:val="clear" w:color="auto" w:fill="auto"/>
                  <w:noWrap/>
                  <w:vAlign w:val="center"/>
                </w:tcPr>
                <w:p w14:paraId="2FB59C85">
                  <w:pPr>
                    <w:widowControl/>
                    <w:adjustRightInd w:val="0"/>
                    <w:snapToGrid w:val="0"/>
                    <w:ind w:left="-105" w:leftChars="-50" w:right="-105" w:rightChars="-50"/>
                    <w:jc w:val="center"/>
                    <w:rPr>
                      <w:color w:val="auto"/>
                      <w:kern w:val="0"/>
                      <w:szCs w:val="21"/>
                    </w:rPr>
                  </w:pPr>
                </w:p>
              </w:tc>
              <w:tc>
                <w:tcPr>
                  <w:tcW w:w="354" w:type="pct"/>
                  <w:shd w:val="clear" w:color="auto" w:fill="FFFFFF"/>
                  <w:noWrap/>
                  <w:vAlign w:val="center"/>
                </w:tcPr>
                <w:p w14:paraId="396824B3">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136</w:t>
                  </w:r>
                </w:p>
              </w:tc>
              <w:tc>
                <w:tcPr>
                  <w:tcW w:w="320" w:type="pct"/>
                  <w:shd w:val="clear" w:color="auto" w:fill="auto"/>
                  <w:noWrap/>
                  <w:vAlign w:val="center"/>
                </w:tcPr>
                <w:p w14:paraId="00088B85">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1.051</w:t>
                  </w:r>
                </w:p>
              </w:tc>
              <w:tc>
                <w:tcPr>
                  <w:tcW w:w="410" w:type="pct"/>
                  <w:shd w:val="clear" w:color="auto" w:fill="auto"/>
                  <w:vAlign w:val="center"/>
                </w:tcPr>
                <w:p w14:paraId="4DFA8AEF">
                  <w:pPr>
                    <w:widowControl/>
                    <w:adjustRightInd w:val="0"/>
                    <w:snapToGrid w:val="0"/>
                    <w:ind w:left="-105" w:leftChars="-50" w:right="-105" w:rightChars="-50"/>
                    <w:jc w:val="center"/>
                    <w:rPr>
                      <w:rFonts w:hint="eastAsia" w:eastAsia="宋体"/>
                      <w:color w:val="auto"/>
                      <w:kern w:val="0"/>
                      <w:szCs w:val="21"/>
                      <w:lang w:val="en-US" w:eastAsia="zh-CN"/>
                    </w:rPr>
                  </w:pPr>
                  <w:r>
                    <w:rPr>
                      <w:rFonts w:hint="eastAsia"/>
                      <w:color w:val="auto"/>
                      <w:kern w:val="0"/>
                      <w:szCs w:val="21"/>
                      <w:lang w:val="en-US" w:eastAsia="zh-CN"/>
                    </w:rPr>
                    <w:t>/</w:t>
                  </w:r>
                </w:p>
              </w:tc>
              <w:tc>
                <w:tcPr>
                  <w:tcW w:w="263" w:type="pct"/>
                  <w:shd w:val="clear" w:color="auto" w:fill="auto"/>
                  <w:noWrap/>
                  <w:vAlign w:val="center"/>
                </w:tcPr>
                <w:p w14:paraId="3CE9A756">
                  <w:pPr>
                    <w:widowControl/>
                    <w:adjustRightInd w:val="0"/>
                    <w:snapToGrid w:val="0"/>
                    <w:ind w:left="-105" w:leftChars="-50" w:right="-105" w:rightChars="-50"/>
                    <w:jc w:val="center"/>
                    <w:rPr>
                      <w:rFonts w:hint="eastAsia" w:eastAsia="宋体"/>
                      <w:color w:val="auto"/>
                      <w:kern w:val="0"/>
                      <w:szCs w:val="21"/>
                      <w:lang w:val="en-US" w:eastAsia="zh-CN"/>
                    </w:rPr>
                  </w:pPr>
                  <w:r>
                    <w:rPr>
                      <w:rFonts w:hint="eastAsia"/>
                      <w:color w:val="auto"/>
                      <w:kern w:val="0"/>
                      <w:szCs w:val="21"/>
                      <w:lang w:val="en-US" w:eastAsia="zh-CN"/>
                    </w:rPr>
                    <w:t>/</w:t>
                  </w:r>
                </w:p>
              </w:tc>
              <w:tc>
                <w:tcPr>
                  <w:tcW w:w="176" w:type="pct"/>
                  <w:vMerge w:val="continue"/>
                  <w:shd w:val="clear" w:color="auto" w:fill="auto"/>
                  <w:noWrap/>
                  <w:vAlign w:val="center"/>
                </w:tcPr>
                <w:p w14:paraId="66F813BA">
                  <w:pPr>
                    <w:widowControl/>
                    <w:adjustRightInd w:val="0"/>
                    <w:snapToGrid w:val="0"/>
                    <w:ind w:left="-105" w:leftChars="-50" w:right="-105" w:rightChars="-50"/>
                    <w:jc w:val="center"/>
                    <w:rPr>
                      <w:color w:val="auto"/>
                      <w:kern w:val="0"/>
                      <w:szCs w:val="21"/>
                    </w:rPr>
                  </w:pPr>
                </w:p>
              </w:tc>
              <w:tc>
                <w:tcPr>
                  <w:tcW w:w="377" w:type="pct"/>
                  <w:shd w:val="clear" w:color="auto" w:fill="FFFFFF"/>
                  <w:noWrap/>
                  <w:vAlign w:val="center"/>
                </w:tcPr>
                <w:p w14:paraId="407423AE">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136</w:t>
                  </w:r>
                </w:p>
              </w:tc>
              <w:tc>
                <w:tcPr>
                  <w:tcW w:w="331" w:type="pct"/>
                  <w:shd w:val="clear" w:color="auto" w:fill="FFFFFF"/>
                  <w:noWrap/>
                  <w:vAlign w:val="center"/>
                </w:tcPr>
                <w:p w14:paraId="7BD75572">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0.876</w:t>
                  </w:r>
                </w:p>
              </w:tc>
              <w:tc>
                <w:tcPr>
                  <w:tcW w:w="398" w:type="pct"/>
                  <w:shd w:val="clear" w:color="auto" w:fill="auto"/>
                  <w:noWrap/>
                  <w:vAlign w:val="center"/>
                </w:tcPr>
                <w:p w14:paraId="4E3BF339">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1.051</w:t>
                  </w:r>
                </w:p>
              </w:tc>
              <w:tc>
                <w:tcPr>
                  <w:tcW w:w="291" w:type="pct"/>
                  <w:vMerge w:val="continue"/>
                  <w:shd w:val="clear" w:color="auto" w:fill="auto"/>
                  <w:vAlign w:val="center"/>
                </w:tcPr>
                <w:p w14:paraId="43744125">
                  <w:pPr>
                    <w:widowControl/>
                    <w:adjustRightInd w:val="0"/>
                    <w:snapToGrid w:val="0"/>
                    <w:ind w:left="-105" w:leftChars="-50" w:right="-105" w:rightChars="-50"/>
                    <w:jc w:val="center"/>
                    <w:rPr>
                      <w:color w:val="FF0000"/>
                      <w:kern w:val="0"/>
                      <w:szCs w:val="21"/>
                    </w:rPr>
                  </w:pPr>
                </w:p>
              </w:tc>
            </w:tr>
            <w:tr w14:paraId="1A29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10" w:type="pct"/>
                  <w:vMerge w:val="continue"/>
                  <w:shd w:val="clear" w:color="auto" w:fill="auto"/>
                  <w:vAlign w:val="center"/>
                </w:tcPr>
                <w:p w14:paraId="4EDA37E9">
                  <w:pPr>
                    <w:widowControl/>
                    <w:adjustRightInd w:val="0"/>
                    <w:snapToGrid w:val="0"/>
                    <w:ind w:left="-105" w:leftChars="-50" w:right="-105" w:rightChars="-50"/>
                    <w:jc w:val="center"/>
                    <w:rPr>
                      <w:color w:val="FF0000"/>
                      <w:kern w:val="0"/>
                      <w:szCs w:val="21"/>
                    </w:rPr>
                  </w:pPr>
                </w:p>
              </w:tc>
              <w:tc>
                <w:tcPr>
                  <w:tcW w:w="461" w:type="pct"/>
                  <w:shd w:val="clear" w:color="auto" w:fill="auto"/>
                  <w:vAlign w:val="center"/>
                </w:tcPr>
                <w:p w14:paraId="589C1F93">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357" w:type="pct"/>
                  <w:vMerge w:val="continue"/>
                  <w:shd w:val="clear" w:color="auto" w:fill="auto"/>
                  <w:noWrap/>
                  <w:vAlign w:val="center"/>
                </w:tcPr>
                <w:p w14:paraId="73CDB191">
                  <w:pPr>
                    <w:jc w:val="center"/>
                    <w:rPr>
                      <w:rFonts w:hint="eastAsia" w:ascii="Times New Roman" w:hAnsi="Times New Roman" w:eastAsia="宋体" w:cs="Times New Roman"/>
                      <w:color w:val="auto"/>
                      <w:kern w:val="2"/>
                      <w:sz w:val="21"/>
                      <w:szCs w:val="21"/>
                      <w:lang w:val="en-US" w:eastAsia="zh-CN" w:bidi="ar-SA"/>
                    </w:rPr>
                  </w:pPr>
                </w:p>
              </w:tc>
              <w:tc>
                <w:tcPr>
                  <w:tcW w:w="406" w:type="pct"/>
                  <w:shd w:val="clear" w:color="auto" w:fill="auto"/>
                  <w:vAlign w:val="center"/>
                </w:tcPr>
                <w:p w14:paraId="114FFC7D">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NOx</w:t>
                  </w:r>
                </w:p>
              </w:tc>
              <w:tc>
                <w:tcPr>
                  <w:tcW w:w="235" w:type="pct"/>
                  <w:vMerge w:val="continue"/>
                  <w:shd w:val="clear" w:color="auto" w:fill="auto"/>
                  <w:noWrap/>
                  <w:vAlign w:val="center"/>
                </w:tcPr>
                <w:p w14:paraId="2414EF31">
                  <w:pPr>
                    <w:widowControl/>
                    <w:adjustRightInd w:val="0"/>
                    <w:snapToGrid w:val="0"/>
                    <w:ind w:left="-105" w:leftChars="-50" w:right="-105" w:rightChars="-50"/>
                    <w:jc w:val="center"/>
                    <w:rPr>
                      <w:color w:val="auto"/>
                      <w:kern w:val="0"/>
                      <w:szCs w:val="21"/>
                    </w:rPr>
                  </w:pPr>
                </w:p>
              </w:tc>
              <w:tc>
                <w:tcPr>
                  <w:tcW w:w="302" w:type="pct"/>
                  <w:vMerge w:val="continue"/>
                  <w:shd w:val="clear" w:color="auto" w:fill="auto"/>
                  <w:noWrap/>
                  <w:vAlign w:val="center"/>
                </w:tcPr>
                <w:p w14:paraId="16330D29">
                  <w:pPr>
                    <w:widowControl/>
                    <w:adjustRightInd w:val="0"/>
                    <w:snapToGrid w:val="0"/>
                    <w:ind w:left="-105" w:leftChars="-50" w:right="-105" w:rightChars="-50"/>
                    <w:jc w:val="center"/>
                    <w:rPr>
                      <w:color w:val="auto"/>
                      <w:kern w:val="0"/>
                      <w:szCs w:val="21"/>
                    </w:rPr>
                  </w:pPr>
                </w:p>
              </w:tc>
              <w:tc>
                <w:tcPr>
                  <w:tcW w:w="354" w:type="pct"/>
                  <w:shd w:val="clear" w:color="auto" w:fill="FFFFFF"/>
                  <w:noWrap/>
                  <w:vAlign w:val="center"/>
                </w:tcPr>
                <w:p w14:paraId="4284EA34">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163.5</w:t>
                  </w:r>
                </w:p>
              </w:tc>
              <w:tc>
                <w:tcPr>
                  <w:tcW w:w="320" w:type="pct"/>
                  <w:shd w:val="clear" w:color="auto" w:fill="auto"/>
                  <w:noWrap/>
                  <w:vAlign w:val="center"/>
                </w:tcPr>
                <w:p w14:paraId="251121C1">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1.261</w:t>
                  </w:r>
                </w:p>
              </w:tc>
              <w:tc>
                <w:tcPr>
                  <w:tcW w:w="410" w:type="pct"/>
                  <w:shd w:val="clear" w:color="auto" w:fill="auto"/>
                  <w:vAlign w:val="center"/>
                </w:tcPr>
                <w:p w14:paraId="55C6656B">
                  <w:pPr>
                    <w:widowControl/>
                    <w:adjustRightInd w:val="0"/>
                    <w:snapToGrid w:val="0"/>
                    <w:ind w:left="-105" w:leftChars="-50" w:right="-105" w:rightChars="-50"/>
                    <w:jc w:val="center"/>
                    <w:rPr>
                      <w:rFonts w:hint="eastAsia" w:eastAsia="宋体"/>
                      <w:color w:val="auto"/>
                      <w:kern w:val="0"/>
                      <w:szCs w:val="21"/>
                      <w:lang w:val="en-US" w:eastAsia="zh-CN"/>
                    </w:rPr>
                  </w:pPr>
                  <w:r>
                    <w:rPr>
                      <w:rFonts w:hint="eastAsia"/>
                      <w:color w:val="auto"/>
                      <w:kern w:val="0"/>
                      <w:szCs w:val="21"/>
                      <w:lang w:val="en-US" w:eastAsia="zh-CN"/>
                    </w:rPr>
                    <w:t>/</w:t>
                  </w:r>
                </w:p>
              </w:tc>
              <w:tc>
                <w:tcPr>
                  <w:tcW w:w="263" w:type="pct"/>
                  <w:shd w:val="clear" w:color="auto" w:fill="auto"/>
                  <w:noWrap/>
                  <w:vAlign w:val="center"/>
                </w:tcPr>
                <w:p w14:paraId="47E56491">
                  <w:pPr>
                    <w:widowControl/>
                    <w:adjustRightInd w:val="0"/>
                    <w:snapToGrid w:val="0"/>
                    <w:ind w:left="-105" w:leftChars="-50" w:right="-105" w:rightChars="-50"/>
                    <w:jc w:val="center"/>
                    <w:rPr>
                      <w:rFonts w:hint="eastAsia" w:eastAsia="宋体"/>
                      <w:color w:val="auto"/>
                      <w:kern w:val="0"/>
                      <w:szCs w:val="21"/>
                      <w:lang w:val="en-US" w:eastAsia="zh-CN"/>
                    </w:rPr>
                  </w:pPr>
                  <w:r>
                    <w:rPr>
                      <w:rFonts w:hint="eastAsia"/>
                      <w:color w:val="auto"/>
                      <w:kern w:val="0"/>
                      <w:szCs w:val="21"/>
                      <w:lang w:val="en-US" w:eastAsia="zh-CN"/>
                    </w:rPr>
                    <w:t>/</w:t>
                  </w:r>
                </w:p>
              </w:tc>
              <w:tc>
                <w:tcPr>
                  <w:tcW w:w="176" w:type="pct"/>
                  <w:vMerge w:val="continue"/>
                  <w:shd w:val="clear" w:color="auto" w:fill="auto"/>
                  <w:noWrap/>
                  <w:vAlign w:val="center"/>
                </w:tcPr>
                <w:p w14:paraId="6A275FB3">
                  <w:pPr>
                    <w:widowControl/>
                    <w:adjustRightInd w:val="0"/>
                    <w:snapToGrid w:val="0"/>
                    <w:ind w:left="-105" w:leftChars="-50" w:right="-105" w:rightChars="-50"/>
                    <w:jc w:val="center"/>
                    <w:rPr>
                      <w:color w:val="auto"/>
                      <w:kern w:val="0"/>
                      <w:szCs w:val="21"/>
                    </w:rPr>
                  </w:pPr>
                </w:p>
              </w:tc>
              <w:tc>
                <w:tcPr>
                  <w:tcW w:w="377" w:type="pct"/>
                  <w:shd w:val="clear" w:color="auto" w:fill="FFFFFF"/>
                  <w:noWrap/>
                  <w:vAlign w:val="center"/>
                </w:tcPr>
                <w:p w14:paraId="3265E741">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163.5</w:t>
                  </w:r>
                </w:p>
              </w:tc>
              <w:tc>
                <w:tcPr>
                  <w:tcW w:w="331" w:type="pct"/>
                  <w:shd w:val="clear" w:color="auto" w:fill="FFFFFF"/>
                  <w:noWrap/>
                  <w:vAlign w:val="center"/>
                </w:tcPr>
                <w:p w14:paraId="110FD775">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1.051</w:t>
                  </w:r>
                </w:p>
              </w:tc>
              <w:tc>
                <w:tcPr>
                  <w:tcW w:w="398" w:type="pct"/>
                  <w:shd w:val="clear" w:color="auto" w:fill="auto"/>
                  <w:noWrap/>
                  <w:vAlign w:val="center"/>
                </w:tcPr>
                <w:p w14:paraId="0806927A">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1.261</w:t>
                  </w:r>
                </w:p>
              </w:tc>
              <w:tc>
                <w:tcPr>
                  <w:tcW w:w="291" w:type="pct"/>
                  <w:vMerge w:val="continue"/>
                  <w:shd w:val="clear" w:color="auto" w:fill="auto"/>
                  <w:vAlign w:val="center"/>
                </w:tcPr>
                <w:p w14:paraId="1EAFBBE6">
                  <w:pPr>
                    <w:widowControl/>
                    <w:adjustRightInd w:val="0"/>
                    <w:snapToGrid w:val="0"/>
                    <w:ind w:left="-105" w:leftChars="-50" w:right="-105" w:rightChars="-50"/>
                    <w:jc w:val="center"/>
                    <w:rPr>
                      <w:color w:val="FF0000"/>
                      <w:kern w:val="0"/>
                      <w:szCs w:val="21"/>
                    </w:rPr>
                  </w:pPr>
                </w:p>
              </w:tc>
            </w:tr>
          </w:tbl>
          <w:p w14:paraId="57600FBD">
            <w:pPr>
              <w:jc w:val="center"/>
              <w:rPr>
                <w:color w:val="FF0000"/>
              </w:rPr>
            </w:pPr>
          </w:p>
        </w:tc>
      </w:tr>
    </w:tbl>
    <w:p w14:paraId="183A7672">
      <w:pPr>
        <w:rPr>
          <w:color w:val="FF0000"/>
        </w:rPr>
        <w:sectPr>
          <w:pgSz w:w="16838" w:h="11905" w:orient="landscape"/>
          <w:pgMar w:top="1417" w:right="1417" w:bottom="1417" w:left="1417" w:header="851" w:footer="850" w:gutter="0"/>
          <w:cols w:space="0" w:num="1"/>
          <w:docGrid w:linePitch="312" w:charSpace="0"/>
        </w:sect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8999"/>
      </w:tblGrid>
      <w:tr w14:paraId="2107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jc w:val="center"/>
        </w:trPr>
        <w:tc>
          <w:tcPr>
            <w:tcW w:w="288" w:type="dxa"/>
            <w:vAlign w:val="center"/>
          </w:tcPr>
          <w:p w14:paraId="1894B2FE">
            <w:pPr>
              <w:pStyle w:val="16"/>
              <w:ind w:firstLine="480"/>
              <w:rPr>
                <w:color w:val="FF0000"/>
              </w:rPr>
            </w:pPr>
          </w:p>
        </w:tc>
        <w:tc>
          <w:tcPr>
            <w:tcW w:w="8999" w:type="dxa"/>
            <w:vAlign w:val="center"/>
          </w:tcPr>
          <w:p w14:paraId="6EFE0268">
            <w:pPr>
              <w:adjustRightInd w:val="0"/>
              <w:snapToGrid w:val="0"/>
              <w:spacing w:line="360" w:lineRule="auto"/>
              <w:ind w:firstLine="442" w:firstLineChars="200"/>
              <w:rPr>
                <w:b/>
                <w:bCs/>
                <w:color w:val="auto"/>
                <w:spacing w:val="-10"/>
                <w:sz w:val="24"/>
              </w:rPr>
            </w:pPr>
            <w:r>
              <w:rPr>
                <w:rFonts w:hint="eastAsia"/>
                <w:b/>
                <w:bCs/>
                <w:color w:val="auto"/>
                <w:spacing w:val="-10"/>
                <w:sz w:val="24"/>
                <w:lang w:val="en-US" w:eastAsia="zh-CN"/>
              </w:rPr>
              <w:t>4</w:t>
            </w:r>
            <w:r>
              <w:rPr>
                <w:b/>
                <w:bCs/>
                <w:color w:val="auto"/>
                <w:spacing w:val="-10"/>
                <w:sz w:val="24"/>
              </w:rPr>
              <w:t>、措施可行性分析及其影响分析</w:t>
            </w:r>
          </w:p>
          <w:p w14:paraId="165CA6AA">
            <w:pPr>
              <w:spacing w:line="360" w:lineRule="auto"/>
              <w:ind w:firstLine="480" w:firstLineChars="200"/>
              <w:rPr>
                <w:color w:val="auto"/>
                <w:sz w:val="24"/>
              </w:rPr>
            </w:pPr>
            <w:r>
              <w:rPr>
                <w:color w:val="auto"/>
                <w:sz w:val="24"/>
              </w:rPr>
              <w:t>（1）措施可行性分析</w:t>
            </w:r>
          </w:p>
          <w:p w14:paraId="2F659409">
            <w:pPr>
              <w:pStyle w:val="13"/>
              <w:spacing w:before="0" w:after="0" w:line="360" w:lineRule="auto"/>
              <w:ind w:right="0" w:firstLine="480" w:firstLineChars="200"/>
              <w:rPr>
                <w:color w:val="auto"/>
                <w:sz w:val="24"/>
                <w:szCs w:val="28"/>
              </w:rPr>
            </w:pPr>
            <w:r>
              <w:rPr>
                <w:color w:val="auto"/>
                <w:sz w:val="24"/>
                <w:szCs w:val="28"/>
              </w:rPr>
              <w:t>本项目废气收集治理措施见下表：</w:t>
            </w:r>
          </w:p>
          <w:p w14:paraId="3C6A2664">
            <w:pPr>
              <w:adjustRightInd w:val="0"/>
              <w:snapToGrid w:val="0"/>
              <w:spacing w:line="360" w:lineRule="auto"/>
              <w:jc w:val="center"/>
              <w:rPr>
                <w:b/>
                <w:bCs/>
                <w:color w:val="auto"/>
                <w:spacing w:val="-10"/>
                <w:sz w:val="24"/>
              </w:rPr>
            </w:pPr>
            <w:r>
              <w:rPr>
                <w:b/>
                <w:bCs/>
                <w:color w:val="auto"/>
                <w:spacing w:val="-10"/>
                <w:sz w:val="24"/>
              </w:rPr>
              <w:t>表 4-</w:t>
            </w:r>
            <w:r>
              <w:rPr>
                <w:rFonts w:hint="eastAsia"/>
                <w:b/>
                <w:bCs/>
                <w:color w:val="auto"/>
                <w:spacing w:val="-10"/>
                <w:sz w:val="24"/>
                <w:lang w:val="en-US" w:eastAsia="zh-CN"/>
              </w:rPr>
              <w:t>7</w:t>
            </w:r>
            <w:r>
              <w:rPr>
                <w:b/>
                <w:bCs/>
                <w:color w:val="auto"/>
                <w:spacing w:val="-10"/>
                <w:sz w:val="24"/>
              </w:rPr>
              <w:tab/>
            </w:r>
            <w:r>
              <w:rPr>
                <w:b/>
                <w:bCs/>
                <w:color w:val="auto"/>
                <w:spacing w:val="-10"/>
                <w:sz w:val="24"/>
              </w:rPr>
              <w:t>废气治理措施一览表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7953"/>
            </w:tblGrid>
            <w:tr w14:paraId="6E23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5" w:type="pct"/>
                  <w:vAlign w:val="center"/>
                </w:tcPr>
                <w:p w14:paraId="20582E05">
                  <w:pPr>
                    <w:jc w:val="center"/>
                    <w:rPr>
                      <w:b/>
                      <w:bCs/>
                      <w:color w:val="auto"/>
                      <w:szCs w:val="21"/>
                    </w:rPr>
                  </w:pPr>
                  <w:r>
                    <w:rPr>
                      <w:b/>
                      <w:bCs/>
                      <w:color w:val="auto"/>
                      <w:szCs w:val="21"/>
                    </w:rPr>
                    <w:t>污染源</w:t>
                  </w:r>
                </w:p>
              </w:tc>
              <w:tc>
                <w:tcPr>
                  <w:tcW w:w="4534" w:type="pct"/>
                  <w:vAlign w:val="center"/>
                </w:tcPr>
                <w:p w14:paraId="519E7EDA">
                  <w:pPr>
                    <w:jc w:val="center"/>
                    <w:rPr>
                      <w:b/>
                      <w:bCs/>
                      <w:color w:val="auto"/>
                      <w:szCs w:val="21"/>
                    </w:rPr>
                  </w:pPr>
                  <w:r>
                    <w:rPr>
                      <w:b/>
                      <w:bCs/>
                      <w:color w:val="auto"/>
                      <w:szCs w:val="21"/>
                    </w:rPr>
                    <w:t>治理措施</w:t>
                  </w:r>
                </w:p>
              </w:tc>
            </w:tr>
            <w:tr w14:paraId="530A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465" w:type="pct"/>
                  <w:vAlign w:val="center"/>
                </w:tcPr>
                <w:p w14:paraId="5718D76D">
                  <w:pPr>
                    <w:jc w:val="center"/>
                    <w:rPr>
                      <w:color w:val="auto"/>
                      <w:szCs w:val="21"/>
                    </w:rPr>
                  </w:pPr>
                  <w:r>
                    <w:rPr>
                      <w:rFonts w:hint="eastAsia"/>
                      <w:color w:val="auto"/>
                      <w:szCs w:val="21"/>
                      <w:lang w:val="en-US" w:eastAsia="zh-CN"/>
                    </w:rPr>
                    <w:t>破</w:t>
                  </w:r>
                  <w:r>
                    <w:rPr>
                      <w:rFonts w:hint="eastAsia"/>
                      <w:color w:val="auto"/>
                      <w:szCs w:val="21"/>
                      <w:lang w:eastAsia="zh-CN"/>
                    </w:rPr>
                    <w:t>碎、</w:t>
                  </w:r>
                  <w:r>
                    <w:rPr>
                      <w:rFonts w:hint="eastAsia"/>
                      <w:color w:val="auto"/>
                      <w:szCs w:val="21"/>
                      <w:lang w:val="en-US" w:eastAsia="zh-CN"/>
                    </w:rPr>
                    <w:t>造粒</w:t>
                  </w:r>
                  <w:r>
                    <w:rPr>
                      <w:rFonts w:hint="eastAsia"/>
                      <w:color w:val="auto"/>
                      <w:szCs w:val="21"/>
                    </w:rPr>
                    <w:t>工序</w:t>
                  </w:r>
                </w:p>
              </w:tc>
              <w:tc>
                <w:tcPr>
                  <w:tcW w:w="4534" w:type="pct"/>
                  <w:vAlign w:val="center"/>
                </w:tcPr>
                <w:p w14:paraId="7BFD9999">
                  <w:pPr>
                    <w:jc w:val="center"/>
                    <w:rPr>
                      <w:b/>
                      <w:bCs/>
                      <w:color w:val="auto"/>
                      <w:szCs w:val="21"/>
                    </w:rPr>
                  </w:pPr>
                  <w:r>
                    <w:rPr>
                      <w:color w:val="auto"/>
                      <w:szCs w:val="21"/>
                    </w:rPr>
                    <w:t>本项目</w:t>
                  </w:r>
                  <w:r>
                    <w:rPr>
                      <w:rFonts w:hint="eastAsia"/>
                      <w:color w:val="auto"/>
                      <w:szCs w:val="21"/>
                      <w:lang w:val="en-US" w:eastAsia="zh-CN"/>
                    </w:rPr>
                    <w:t>破</w:t>
                  </w:r>
                  <w:r>
                    <w:rPr>
                      <w:rFonts w:hint="eastAsia"/>
                      <w:color w:val="auto"/>
                      <w:szCs w:val="21"/>
                      <w:lang w:eastAsia="zh-CN"/>
                    </w:rPr>
                    <w:t>碎、</w:t>
                  </w:r>
                  <w:r>
                    <w:rPr>
                      <w:rFonts w:hint="eastAsia"/>
                      <w:color w:val="auto"/>
                      <w:szCs w:val="21"/>
                      <w:lang w:val="en-US" w:eastAsia="zh-CN"/>
                    </w:rPr>
                    <w:t>造粒</w:t>
                  </w:r>
                  <w:r>
                    <w:rPr>
                      <w:rFonts w:hint="eastAsia"/>
                      <w:color w:val="auto"/>
                      <w:szCs w:val="21"/>
                    </w:rPr>
                    <w:t>工序</w:t>
                  </w:r>
                  <w:r>
                    <w:rPr>
                      <w:color w:val="auto"/>
                      <w:szCs w:val="21"/>
                    </w:rPr>
                    <w:t>产生的</w:t>
                  </w:r>
                  <w:r>
                    <w:rPr>
                      <w:rFonts w:hint="eastAsia"/>
                      <w:color w:val="auto"/>
                      <w:szCs w:val="21"/>
                    </w:rPr>
                    <w:t>粉尘</w:t>
                  </w:r>
                  <w:r>
                    <w:rPr>
                      <w:color w:val="auto"/>
                      <w:szCs w:val="21"/>
                    </w:rPr>
                    <w:t>经</w:t>
                  </w:r>
                  <w:r>
                    <w:rPr>
                      <w:rFonts w:hint="eastAsia"/>
                      <w:color w:val="auto"/>
                      <w:szCs w:val="21"/>
                    </w:rPr>
                    <w:t>收集后，通过布袋除尘器处理，处理效率为9</w:t>
                  </w:r>
                  <w:r>
                    <w:rPr>
                      <w:rFonts w:hint="eastAsia"/>
                      <w:color w:val="auto"/>
                      <w:szCs w:val="21"/>
                      <w:lang w:val="en-US" w:eastAsia="zh-CN"/>
                    </w:rPr>
                    <w:t>9</w:t>
                  </w:r>
                  <w:r>
                    <w:rPr>
                      <w:rFonts w:hint="eastAsia"/>
                      <w:color w:val="auto"/>
                      <w:szCs w:val="21"/>
                    </w:rPr>
                    <w:t>%，处理后由一根15m高的</w:t>
                  </w:r>
                  <w:r>
                    <w:rPr>
                      <w:color w:val="auto"/>
                      <w:szCs w:val="21"/>
                    </w:rPr>
                    <w:t>排气筒（DA00</w:t>
                  </w:r>
                  <w:r>
                    <w:rPr>
                      <w:rFonts w:hint="eastAsia"/>
                      <w:color w:val="auto"/>
                      <w:szCs w:val="21"/>
                      <w:lang w:val="en-US" w:eastAsia="zh-CN"/>
                    </w:rPr>
                    <w:t>1</w:t>
                  </w:r>
                  <w:r>
                    <w:rPr>
                      <w:color w:val="auto"/>
                      <w:szCs w:val="21"/>
                    </w:rPr>
                    <w:t>）排放</w:t>
                  </w:r>
                </w:p>
              </w:tc>
            </w:tr>
            <w:tr w14:paraId="1573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465" w:type="pct"/>
                  <w:vAlign w:val="center"/>
                </w:tcPr>
                <w:p w14:paraId="5F23BAE5">
                  <w:pPr>
                    <w:jc w:val="center"/>
                    <w:rPr>
                      <w:color w:val="auto"/>
                      <w:szCs w:val="21"/>
                    </w:rPr>
                  </w:pPr>
                  <w:r>
                    <w:rPr>
                      <w:rFonts w:hint="eastAsia" w:cs="Times New Roman"/>
                      <w:color w:val="auto"/>
                      <w:szCs w:val="21"/>
                      <w:lang w:val="en-US" w:eastAsia="zh-CN"/>
                    </w:rPr>
                    <w:t>燃烧</w:t>
                  </w:r>
                </w:p>
              </w:tc>
              <w:tc>
                <w:tcPr>
                  <w:tcW w:w="4534" w:type="pct"/>
                  <w:vAlign w:val="center"/>
                </w:tcPr>
                <w:p w14:paraId="05345A29">
                  <w:pPr>
                    <w:jc w:val="center"/>
                    <w:rPr>
                      <w:color w:val="auto"/>
                      <w:szCs w:val="21"/>
                    </w:rPr>
                  </w:pPr>
                  <w:r>
                    <w:rPr>
                      <w:color w:val="auto"/>
                      <w:szCs w:val="21"/>
                    </w:rPr>
                    <w:t>本项目</w:t>
                  </w:r>
                  <w:r>
                    <w:rPr>
                      <w:rFonts w:hint="eastAsia" w:cs="Times New Roman"/>
                      <w:color w:val="auto"/>
                      <w:szCs w:val="21"/>
                      <w:lang w:val="en-US" w:eastAsia="zh-CN"/>
                    </w:rPr>
                    <w:t>燃烧</w:t>
                  </w:r>
                  <w:r>
                    <w:rPr>
                      <w:rFonts w:hint="eastAsia"/>
                      <w:color w:val="auto"/>
                      <w:szCs w:val="21"/>
                    </w:rPr>
                    <w:t>工序</w:t>
                  </w:r>
                  <w:r>
                    <w:rPr>
                      <w:color w:val="auto"/>
                      <w:szCs w:val="21"/>
                    </w:rPr>
                    <w:t>产生的</w:t>
                  </w:r>
                  <w:r>
                    <w:rPr>
                      <w:rFonts w:hint="eastAsia"/>
                      <w:color w:val="auto"/>
                      <w:szCs w:val="21"/>
                    </w:rPr>
                    <w:t>废气</w:t>
                  </w:r>
                  <w:r>
                    <w:rPr>
                      <w:color w:val="auto"/>
                      <w:szCs w:val="21"/>
                    </w:rPr>
                    <w:t>经</w:t>
                  </w:r>
                  <w:r>
                    <w:rPr>
                      <w:rFonts w:hint="eastAsia"/>
                      <w:color w:val="auto"/>
                      <w:szCs w:val="21"/>
                    </w:rPr>
                    <w:t>收集后，通过布袋除尘器处理，处理效率为9</w:t>
                  </w:r>
                  <w:r>
                    <w:rPr>
                      <w:rFonts w:hint="eastAsia"/>
                      <w:color w:val="auto"/>
                      <w:szCs w:val="21"/>
                      <w:lang w:val="en-US" w:eastAsia="zh-CN"/>
                    </w:rPr>
                    <w:t>9</w:t>
                  </w:r>
                  <w:r>
                    <w:rPr>
                      <w:rFonts w:hint="eastAsia"/>
                      <w:color w:val="auto"/>
                      <w:szCs w:val="21"/>
                    </w:rPr>
                    <w:t>%，处理后由一根15m高的</w:t>
                  </w:r>
                  <w:r>
                    <w:rPr>
                      <w:color w:val="auto"/>
                      <w:szCs w:val="21"/>
                    </w:rPr>
                    <w:t>排气筒（DA00</w:t>
                  </w:r>
                  <w:r>
                    <w:rPr>
                      <w:rFonts w:hint="eastAsia"/>
                      <w:color w:val="auto"/>
                      <w:szCs w:val="21"/>
                      <w:lang w:val="en-US" w:eastAsia="zh-CN"/>
                    </w:rPr>
                    <w:t>2</w:t>
                  </w:r>
                  <w:r>
                    <w:rPr>
                      <w:color w:val="auto"/>
                      <w:szCs w:val="21"/>
                    </w:rPr>
                    <w:t>）排放</w:t>
                  </w:r>
                </w:p>
              </w:tc>
            </w:tr>
          </w:tbl>
          <w:p w14:paraId="2F0AE6C5">
            <w:pPr>
              <w:pStyle w:val="40"/>
              <w:keepNext w:val="0"/>
              <w:keepLines w:val="0"/>
              <w:pageBreakBefore w:val="0"/>
              <w:kinsoku/>
              <w:wordWrap/>
              <w:overflowPunct/>
              <w:topLinePunct w:val="0"/>
              <w:bidi w:val="0"/>
              <w:snapToGrid w:val="0"/>
              <w:spacing w:line="360" w:lineRule="auto"/>
              <w:ind w:firstLine="480" w:firstLineChars="200"/>
              <w:jc w:val="both"/>
              <w:textAlignment w:val="auto"/>
              <w:rPr>
                <w:rFonts w:ascii="Times New Roman" w:hAnsi="Times New Roman" w:eastAsia="宋体" w:cs="Times New Roman"/>
                <w:color w:val="auto"/>
                <w:kern w:val="2"/>
                <w:sz w:val="24"/>
                <w:szCs w:val="20"/>
                <w:lang w:val="en-US" w:eastAsia="zh-CN" w:bidi="ar-SA"/>
              </w:rPr>
            </w:pPr>
            <w:r>
              <w:rPr>
                <w:rFonts w:ascii="Times New Roman" w:hAnsi="Times New Roman" w:eastAsia="宋体" w:cs="Times New Roman"/>
                <w:color w:val="auto"/>
                <w:kern w:val="2"/>
                <w:sz w:val="24"/>
                <w:szCs w:val="20"/>
                <w:lang w:val="en-US" w:eastAsia="zh-CN" w:bidi="ar-SA"/>
              </w:rPr>
              <w:t>布袋除尘器原理：布袋除尘器是基于过滤原理的过滤式除尘设备，利用有机纤维或无机纤维过滤布将气体中的粉尘过滤出来。含尘气体由进气口进入中部箱体，从袋外进入布袋内，粉尘被阻挡在滤袋外的表面，净化的空气进入袋内，再由布袋上部进入上箱体，最后由排气管排出。</w:t>
            </w:r>
          </w:p>
          <w:p w14:paraId="1B941635">
            <w:pPr>
              <w:keepNext w:val="0"/>
              <w:keepLines w:val="0"/>
              <w:pageBreakBefore w:val="0"/>
              <w:kinsoku/>
              <w:wordWrap/>
              <w:overflowPunct/>
              <w:topLinePunct w:val="0"/>
              <w:bidi w:val="0"/>
              <w:spacing w:line="360" w:lineRule="auto"/>
              <w:ind w:firstLine="480" w:firstLineChars="200"/>
              <w:jc w:val="both"/>
              <w:textAlignment w:val="auto"/>
              <w:rPr>
                <w:color w:val="auto"/>
                <w:szCs w:val="20"/>
              </w:rPr>
            </w:pPr>
            <w:r>
              <w:rPr>
                <w:color w:val="auto"/>
                <w:sz w:val="24"/>
                <w:szCs w:val="20"/>
              </w:rPr>
              <w:t>布袋除尘器优点：①净化效率高。符合国家和地方所规定的排放标准。②且运行稳定。检修方便，检修人员在上箱体换滤袋可不与灰尘接触。③合理的利用空间，尽可能的占地面积小。④所收集的粉尘属干式，且集尘量大，清灰方便。⑤不会产生二次污染。⑥采用自动控制，是目前国内外各行各业首选的除尘设备。</w:t>
            </w:r>
          </w:p>
          <w:p w14:paraId="382C61B4">
            <w:pPr>
              <w:spacing w:line="360" w:lineRule="auto"/>
              <w:ind w:firstLine="480" w:firstLineChars="200"/>
              <w:rPr>
                <w:rFonts w:hAnsi="宋体"/>
                <w:color w:val="auto"/>
                <w:sz w:val="24"/>
                <w:szCs w:val="21"/>
              </w:rPr>
            </w:pPr>
            <w:r>
              <w:rPr>
                <w:rFonts w:hAnsi="宋体"/>
                <w:color w:val="auto"/>
                <w:sz w:val="24"/>
                <w:szCs w:val="21"/>
              </w:rPr>
              <w:t>本项</w:t>
            </w:r>
            <w:r>
              <w:rPr>
                <w:rFonts w:ascii="Times New Roman" w:hAnsi="宋体" w:eastAsia="宋体" w:cs="Times New Roman"/>
                <w:color w:val="auto"/>
                <w:sz w:val="24"/>
                <w:szCs w:val="21"/>
              </w:rPr>
              <w:t>目</w:t>
            </w:r>
            <w:r>
              <w:rPr>
                <w:rFonts w:hint="eastAsia" w:hAnsi="宋体" w:cs="Times New Roman"/>
                <w:color w:val="auto"/>
                <w:sz w:val="24"/>
                <w:szCs w:val="21"/>
                <w:lang w:val="en-US" w:eastAsia="zh-CN"/>
              </w:rPr>
              <w:t>废气经收集处理后均满足相关</w:t>
            </w:r>
            <w:r>
              <w:rPr>
                <w:rFonts w:hint="eastAsia"/>
                <w:color w:val="auto"/>
                <w:sz w:val="24"/>
                <w:szCs w:val="21"/>
                <w:lang w:bidi="ar"/>
              </w:rPr>
              <w:t>排放限值要求</w:t>
            </w:r>
            <w:r>
              <w:rPr>
                <w:rFonts w:hAnsi="宋体"/>
                <w:color w:val="auto"/>
                <w:sz w:val="24"/>
                <w:szCs w:val="21"/>
              </w:rPr>
              <w:t>。</w:t>
            </w:r>
          </w:p>
          <w:p w14:paraId="5FD63D02">
            <w:pPr>
              <w:adjustRightInd w:val="0"/>
              <w:snapToGrid w:val="0"/>
              <w:spacing w:line="360" w:lineRule="auto"/>
              <w:ind w:firstLine="442" w:firstLineChars="200"/>
              <w:rPr>
                <w:b/>
                <w:bCs/>
                <w:color w:val="auto"/>
                <w:spacing w:val="-10"/>
                <w:sz w:val="24"/>
              </w:rPr>
            </w:pPr>
            <w:r>
              <w:rPr>
                <w:rFonts w:hint="eastAsia"/>
                <w:b/>
                <w:bCs/>
                <w:color w:val="auto"/>
                <w:spacing w:val="-10"/>
                <w:sz w:val="24"/>
              </w:rPr>
              <w:t>6</w:t>
            </w:r>
            <w:r>
              <w:rPr>
                <w:b/>
                <w:bCs/>
                <w:color w:val="auto"/>
                <w:spacing w:val="-10"/>
                <w:sz w:val="24"/>
              </w:rPr>
              <w:t>、排气口设置情况及监测计划</w:t>
            </w:r>
          </w:p>
          <w:p w14:paraId="57490255">
            <w:pPr>
              <w:adjustRightInd w:val="0"/>
              <w:snapToGrid w:val="0"/>
              <w:spacing w:line="360" w:lineRule="auto"/>
              <w:ind w:firstLine="480" w:firstLineChars="200"/>
              <w:rPr>
                <w:b/>
                <w:color w:val="auto"/>
                <w:kern w:val="0"/>
                <w:sz w:val="24"/>
              </w:rPr>
            </w:pPr>
            <w:r>
              <w:rPr>
                <w:bCs/>
                <w:color w:val="auto"/>
                <w:sz w:val="24"/>
              </w:rPr>
              <w:t>本项目监测要求参照</w:t>
            </w:r>
            <w:r>
              <w:rPr>
                <w:rFonts w:hint="eastAsia" w:ascii="Times New Roman" w:hAnsi="Times New Roman" w:eastAsia="宋体" w:cs="Times New Roman"/>
                <w:color w:val="auto"/>
                <w:sz w:val="24"/>
                <w:szCs w:val="21"/>
                <w:lang w:bidi="ar"/>
              </w:rPr>
              <w:t>《排污单位自行监测技术指南 总则》（HJ819-2016）制定本项目大气监测计划如</w:t>
            </w:r>
            <w:r>
              <w:rPr>
                <w:bCs/>
                <w:color w:val="auto"/>
                <w:sz w:val="24"/>
              </w:rPr>
              <w:t>下：</w:t>
            </w:r>
          </w:p>
          <w:p w14:paraId="6DAA8F38">
            <w:pPr>
              <w:adjustRightInd w:val="0"/>
              <w:snapToGrid w:val="0"/>
              <w:spacing w:line="360" w:lineRule="auto"/>
              <w:jc w:val="center"/>
              <w:rPr>
                <w:b/>
                <w:color w:val="auto"/>
                <w:kern w:val="0"/>
                <w:sz w:val="24"/>
              </w:rPr>
            </w:pPr>
            <w:r>
              <w:rPr>
                <w:b/>
                <w:color w:val="auto"/>
                <w:kern w:val="0"/>
                <w:sz w:val="24"/>
              </w:rPr>
              <w:t>表4-</w:t>
            </w:r>
            <w:r>
              <w:rPr>
                <w:rFonts w:hint="eastAsia"/>
                <w:b/>
                <w:color w:val="auto"/>
                <w:kern w:val="0"/>
                <w:sz w:val="24"/>
              </w:rPr>
              <w:t>11</w:t>
            </w:r>
            <w:r>
              <w:rPr>
                <w:b/>
                <w:color w:val="auto"/>
                <w:kern w:val="0"/>
                <w:sz w:val="24"/>
              </w:rPr>
              <w:t>项目排气口设置及大气污染物监测计划</w:t>
            </w:r>
          </w:p>
          <w:tbl>
            <w:tblPr>
              <w:tblStyle w:val="30"/>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55"/>
              <w:gridCol w:w="796"/>
              <w:gridCol w:w="750"/>
              <w:gridCol w:w="819"/>
              <w:gridCol w:w="1212"/>
              <w:gridCol w:w="507"/>
              <w:gridCol w:w="1019"/>
              <w:gridCol w:w="653"/>
              <w:gridCol w:w="853"/>
              <w:gridCol w:w="639"/>
            </w:tblGrid>
            <w:tr w14:paraId="244F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55" w:type="dxa"/>
                  <w:vMerge w:val="restart"/>
                  <w:shd w:val="clear" w:color="000000" w:fill="FFFFFF"/>
                  <w:vAlign w:val="center"/>
                </w:tcPr>
                <w:p w14:paraId="3F46505F">
                  <w:pPr>
                    <w:widowControl/>
                    <w:adjustRightInd w:val="0"/>
                    <w:snapToGrid w:val="0"/>
                    <w:jc w:val="center"/>
                    <w:rPr>
                      <w:color w:val="auto"/>
                      <w:kern w:val="0"/>
                      <w:szCs w:val="21"/>
                    </w:rPr>
                  </w:pPr>
                  <w:r>
                    <w:rPr>
                      <w:color w:val="auto"/>
                      <w:kern w:val="0"/>
                      <w:szCs w:val="21"/>
                    </w:rPr>
                    <w:t>污染源类别</w:t>
                  </w:r>
                </w:p>
              </w:tc>
              <w:tc>
                <w:tcPr>
                  <w:tcW w:w="1055" w:type="dxa"/>
                  <w:vMerge w:val="restart"/>
                  <w:shd w:val="clear" w:color="000000" w:fill="FFFFFF"/>
                  <w:vAlign w:val="center"/>
                </w:tcPr>
                <w:p w14:paraId="76FB0A92">
                  <w:pPr>
                    <w:widowControl/>
                    <w:adjustRightInd w:val="0"/>
                    <w:snapToGrid w:val="0"/>
                    <w:jc w:val="center"/>
                    <w:rPr>
                      <w:color w:val="auto"/>
                      <w:kern w:val="0"/>
                      <w:szCs w:val="21"/>
                    </w:rPr>
                  </w:pPr>
                  <w:r>
                    <w:rPr>
                      <w:color w:val="auto"/>
                      <w:kern w:val="0"/>
                      <w:szCs w:val="21"/>
                    </w:rPr>
                    <w:t>排污口编号及名称</w:t>
                  </w:r>
                </w:p>
              </w:tc>
              <w:tc>
                <w:tcPr>
                  <w:tcW w:w="4084" w:type="dxa"/>
                  <w:gridSpan w:val="5"/>
                  <w:shd w:val="clear" w:color="000000" w:fill="FFFFFF"/>
                  <w:vAlign w:val="center"/>
                </w:tcPr>
                <w:p w14:paraId="048388CB">
                  <w:pPr>
                    <w:widowControl/>
                    <w:adjustRightInd w:val="0"/>
                    <w:snapToGrid w:val="0"/>
                    <w:jc w:val="center"/>
                    <w:rPr>
                      <w:color w:val="auto"/>
                      <w:kern w:val="0"/>
                      <w:szCs w:val="21"/>
                    </w:rPr>
                  </w:pPr>
                  <w:r>
                    <w:rPr>
                      <w:color w:val="auto"/>
                      <w:kern w:val="0"/>
                      <w:szCs w:val="21"/>
                    </w:rPr>
                    <w:t>排放口基本情况</w:t>
                  </w:r>
                </w:p>
              </w:tc>
              <w:tc>
                <w:tcPr>
                  <w:tcW w:w="1019" w:type="dxa"/>
                  <w:shd w:val="clear" w:color="000000" w:fill="FFFFFF"/>
                  <w:vAlign w:val="center"/>
                </w:tcPr>
                <w:p w14:paraId="68FD2F09">
                  <w:pPr>
                    <w:widowControl/>
                    <w:adjustRightInd w:val="0"/>
                    <w:snapToGrid w:val="0"/>
                    <w:jc w:val="center"/>
                    <w:rPr>
                      <w:color w:val="auto"/>
                      <w:kern w:val="0"/>
                      <w:szCs w:val="21"/>
                    </w:rPr>
                  </w:pPr>
                  <w:r>
                    <w:rPr>
                      <w:color w:val="auto"/>
                      <w:kern w:val="0"/>
                      <w:szCs w:val="21"/>
                    </w:rPr>
                    <w:t>排放标准</w:t>
                  </w:r>
                </w:p>
              </w:tc>
              <w:tc>
                <w:tcPr>
                  <w:tcW w:w="2145" w:type="dxa"/>
                  <w:gridSpan w:val="3"/>
                  <w:shd w:val="clear" w:color="000000" w:fill="FFFFFF"/>
                  <w:vAlign w:val="center"/>
                </w:tcPr>
                <w:p w14:paraId="4710DF88">
                  <w:pPr>
                    <w:widowControl/>
                    <w:adjustRightInd w:val="0"/>
                    <w:snapToGrid w:val="0"/>
                    <w:jc w:val="center"/>
                    <w:rPr>
                      <w:color w:val="auto"/>
                      <w:kern w:val="0"/>
                      <w:szCs w:val="21"/>
                    </w:rPr>
                  </w:pPr>
                  <w:r>
                    <w:rPr>
                      <w:color w:val="auto"/>
                      <w:kern w:val="0"/>
                      <w:szCs w:val="21"/>
                    </w:rPr>
                    <w:t>监测要求</w:t>
                  </w:r>
                </w:p>
              </w:tc>
            </w:tr>
            <w:tr w14:paraId="21EB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555" w:type="dxa"/>
                  <w:vMerge w:val="continue"/>
                  <w:shd w:val="clear" w:color="auto" w:fill="FFFFFF"/>
                  <w:vAlign w:val="center"/>
                </w:tcPr>
                <w:p w14:paraId="641413E4">
                  <w:pPr>
                    <w:widowControl/>
                    <w:adjustRightInd w:val="0"/>
                    <w:snapToGrid w:val="0"/>
                    <w:jc w:val="left"/>
                    <w:rPr>
                      <w:color w:val="auto"/>
                      <w:kern w:val="0"/>
                      <w:szCs w:val="21"/>
                    </w:rPr>
                  </w:pPr>
                </w:p>
              </w:tc>
              <w:tc>
                <w:tcPr>
                  <w:tcW w:w="1055" w:type="dxa"/>
                  <w:vMerge w:val="continue"/>
                  <w:shd w:val="clear" w:color="auto" w:fill="FFFFFF"/>
                  <w:vAlign w:val="center"/>
                </w:tcPr>
                <w:p w14:paraId="7F2E4D69">
                  <w:pPr>
                    <w:widowControl/>
                    <w:adjustRightInd w:val="0"/>
                    <w:snapToGrid w:val="0"/>
                    <w:jc w:val="left"/>
                    <w:rPr>
                      <w:color w:val="auto"/>
                      <w:kern w:val="0"/>
                      <w:szCs w:val="21"/>
                    </w:rPr>
                  </w:pPr>
                </w:p>
              </w:tc>
              <w:tc>
                <w:tcPr>
                  <w:tcW w:w="796" w:type="dxa"/>
                  <w:shd w:val="clear" w:color="000000" w:fill="FFFFFF"/>
                  <w:vAlign w:val="center"/>
                </w:tcPr>
                <w:p w14:paraId="41FE4E10">
                  <w:pPr>
                    <w:widowControl/>
                    <w:adjustRightInd w:val="0"/>
                    <w:snapToGrid w:val="0"/>
                    <w:jc w:val="center"/>
                    <w:rPr>
                      <w:color w:val="auto"/>
                      <w:kern w:val="0"/>
                      <w:szCs w:val="21"/>
                    </w:rPr>
                  </w:pPr>
                  <w:r>
                    <w:rPr>
                      <w:color w:val="auto"/>
                      <w:kern w:val="0"/>
                      <w:szCs w:val="21"/>
                    </w:rPr>
                    <w:t>高度（m）</w:t>
                  </w:r>
                </w:p>
              </w:tc>
              <w:tc>
                <w:tcPr>
                  <w:tcW w:w="750" w:type="dxa"/>
                  <w:shd w:val="clear" w:color="000000" w:fill="FFFFFF"/>
                  <w:vAlign w:val="center"/>
                </w:tcPr>
                <w:p w14:paraId="78733E9C">
                  <w:pPr>
                    <w:widowControl/>
                    <w:adjustRightInd w:val="0"/>
                    <w:snapToGrid w:val="0"/>
                    <w:jc w:val="center"/>
                    <w:rPr>
                      <w:color w:val="auto"/>
                      <w:kern w:val="0"/>
                      <w:szCs w:val="21"/>
                    </w:rPr>
                  </w:pPr>
                  <w:r>
                    <w:rPr>
                      <w:color w:val="auto"/>
                      <w:kern w:val="0"/>
                      <w:szCs w:val="21"/>
                    </w:rPr>
                    <w:t>内径（m）</w:t>
                  </w:r>
                </w:p>
              </w:tc>
              <w:tc>
                <w:tcPr>
                  <w:tcW w:w="819" w:type="dxa"/>
                  <w:shd w:val="clear" w:color="000000" w:fill="FFFFFF"/>
                  <w:vAlign w:val="center"/>
                </w:tcPr>
                <w:p w14:paraId="52DE7A52">
                  <w:pPr>
                    <w:widowControl/>
                    <w:adjustRightInd w:val="0"/>
                    <w:snapToGrid w:val="0"/>
                    <w:jc w:val="center"/>
                    <w:rPr>
                      <w:color w:val="auto"/>
                      <w:kern w:val="0"/>
                      <w:szCs w:val="21"/>
                    </w:rPr>
                  </w:pPr>
                  <w:r>
                    <w:rPr>
                      <w:color w:val="auto"/>
                      <w:kern w:val="0"/>
                      <w:szCs w:val="21"/>
                    </w:rPr>
                    <w:t>温度（℃）</w:t>
                  </w:r>
                </w:p>
              </w:tc>
              <w:tc>
                <w:tcPr>
                  <w:tcW w:w="1212" w:type="dxa"/>
                  <w:shd w:val="clear" w:color="000000" w:fill="FFFFFF"/>
                  <w:vAlign w:val="center"/>
                </w:tcPr>
                <w:p w14:paraId="460521EE">
                  <w:pPr>
                    <w:widowControl/>
                    <w:adjustRightInd w:val="0"/>
                    <w:snapToGrid w:val="0"/>
                    <w:jc w:val="center"/>
                    <w:rPr>
                      <w:color w:val="auto"/>
                      <w:kern w:val="0"/>
                      <w:szCs w:val="21"/>
                    </w:rPr>
                  </w:pPr>
                  <w:r>
                    <w:rPr>
                      <w:color w:val="auto"/>
                      <w:kern w:val="0"/>
                      <w:szCs w:val="21"/>
                    </w:rPr>
                    <w:t>坐标</w:t>
                  </w:r>
                </w:p>
              </w:tc>
              <w:tc>
                <w:tcPr>
                  <w:tcW w:w="507" w:type="dxa"/>
                  <w:shd w:val="clear" w:color="000000" w:fill="FFFFFF"/>
                  <w:vAlign w:val="center"/>
                </w:tcPr>
                <w:p w14:paraId="30AFEDAD">
                  <w:pPr>
                    <w:widowControl/>
                    <w:adjustRightInd w:val="0"/>
                    <w:snapToGrid w:val="0"/>
                    <w:jc w:val="center"/>
                    <w:rPr>
                      <w:color w:val="auto"/>
                      <w:kern w:val="0"/>
                      <w:szCs w:val="21"/>
                    </w:rPr>
                  </w:pPr>
                  <w:r>
                    <w:rPr>
                      <w:color w:val="auto"/>
                      <w:kern w:val="0"/>
                      <w:szCs w:val="21"/>
                    </w:rPr>
                    <w:t>类型</w:t>
                  </w:r>
                </w:p>
              </w:tc>
              <w:tc>
                <w:tcPr>
                  <w:tcW w:w="1019" w:type="dxa"/>
                  <w:shd w:val="clear" w:color="000000" w:fill="FFFFFF"/>
                  <w:vAlign w:val="center"/>
                </w:tcPr>
                <w:p w14:paraId="43412115">
                  <w:pPr>
                    <w:widowControl/>
                    <w:adjustRightInd w:val="0"/>
                    <w:snapToGrid w:val="0"/>
                    <w:jc w:val="center"/>
                    <w:rPr>
                      <w:color w:val="auto"/>
                      <w:kern w:val="0"/>
                      <w:szCs w:val="21"/>
                    </w:rPr>
                  </w:pPr>
                  <w:r>
                    <w:rPr>
                      <w:color w:val="auto"/>
                      <w:kern w:val="0"/>
                      <w:szCs w:val="21"/>
                    </w:rPr>
                    <w:t>浓度限值mg/m</w:t>
                  </w:r>
                  <w:r>
                    <w:rPr>
                      <w:color w:val="auto"/>
                      <w:kern w:val="0"/>
                      <w:szCs w:val="21"/>
                      <w:vertAlign w:val="superscript"/>
                    </w:rPr>
                    <w:t>3</w:t>
                  </w:r>
                </w:p>
              </w:tc>
              <w:tc>
                <w:tcPr>
                  <w:tcW w:w="653" w:type="dxa"/>
                  <w:shd w:val="clear" w:color="000000" w:fill="FFFFFF"/>
                  <w:vAlign w:val="center"/>
                </w:tcPr>
                <w:p w14:paraId="71CBA013">
                  <w:pPr>
                    <w:widowControl/>
                    <w:adjustRightInd w:val="0"/>
                    <w:snapToGrid w:val="0"/>
                    <w:jc w:val="center"/>
                    <w:rPr>
                      <w:color w:val="auto"/>
                      <w:kern w:val="0"/>
                      <w:szCs w:val="21"/>
                    </w:rPr>
                  </w:pPr>
                  <w:r>
                    <w:rPr>
                      <w:color w:val="auto"/>
                      <w:kern w:val="0"/>
                      <w:szCs w:val="21"/>
                    </w:rPr>
                    <w:t>监测点位</w:t>
                  </w:r>
                </w:p>
              </w:tc>
              <w:tc>
                <w:tcPr>
                  <w:tcW w:w="853" w:type="dxa"/>
                  <w:shd w:val="clear" w:color="000000" w:fill="FFFFFF"/>
                  <w:vAlign w:val="center"/>
                </w:tcPr>
                <w:p w14:paraId="21EEAB9C">
                  <w:pPr>
                    <w:widowControl/>
                    <w:adjustRightInd w:val="0"/>
                    <w:snapToGrid w:val="0"/>
                    <w:jc w:val="center"/>
                    <w:rPr>
                      <w:color w:val="auto"/>
                      <w:kern w:val="0"/>
                      <w:szCs w:val="21"/>
                    </w:rPr>
                  </w:pPr>
                  <w:r>
                    <w:rPr>
                      <w:color w:val="auto"/>
                      <w:kern w:val="0"/>
                      <w:szCs w:val="21"/>
                    </w:rPr>
                    <w:t>监测因子</w:t>
                  </w:r>
                </w:p>
              </w:tc>
              <w:tc>
                <w:tcPr>
                  <w:tcW w:w="639" w:type="dxa"/>
                  <w:shd w:val="clear" w:color="000000" w:fill="FFFFFF"/>
                  <w:vAlign w:val="center"/>
                </w:tcPr>
                <w:p w14:paraId="6D76F7CA">
                  <w:pPr>
                    <w:widowControl/>
                    <w:adjustRightInd w:val="0"/>
                    <w:snapToGrid w:val="0"/>
                    <w:jc w:val="center"/>
                    <w:rPr>
                      <w:color w:val="auto"/>
                      <w:kern w:val="0"/>
                      <w:szCs w:val="21"/>
                    </w:rPr>
                  </w:pPr>
                  <w:r>
                    <w:rPr>
                      <w:color w:val="auto"/>
                      <w:kern w:val="0"/>
                      <w:szCs w:val="21"/>
                    </w:rPr>
                    <w:t>监测频次</w:t>
                  </w:r>
                </w:p>
              </w:tc>
            </w:tr>
            <w:tr w14:paraId="65DA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5" w:type="dxa"/>
                  <w:vMerge w:val="restart"/>
                  <w:shd w:val="clear" w:color="auto" w:fill="FFFFFF"/>
                  <w:vAlign w:val="center"/>
                </w:tcPr>
                <w:p w14:paraId="0C91116E">
                  <w:pPr>
                    <w:widowControl/>
                    <w:adjustRightInd w:val="0"/>
                    <w:snapToGrid w:val="0"/>
                    <w:jc w:val="center"/>
                    <w:rPr>
                      <w:color w:val="FF0000"/>
                      <w:kern w:val="0"/>
                      <w:szCs w:val="21"/>
                    </w:rPr>
                  </w:pPr>
                  <w:r>
                    <w:rPr>
                      <w:color w:val="auto"/>
                      <w:kern w:val="0"/>
                      <w:szCs w:val="21"/>
                    </w:rPr>
                    <w:t>有组织</w:t>
                  </w:r>
                </w:p>
              </w:tc>
              <w:tc>
                <w:tcPr>
                  <w:tcW w:w="1055" w:type="dxa"/>
                  <w:shd w:val="clear" w:color="auto" w:fill="FFFFFF"/>
                  <w:vAlign w:val="center"/>
                </w:tcPr>
                <w:p w14:paraId="3E4DB081">
                  <w:pPr>
                    <w:widowControl/>
                    <w:adjustRightInd w:val="0"/>
                    <w:snapToGrid w:val="0"/>
                    <w:jc w:val="center"/>
                    <w:rPr>
                      <w:color w:val="FF0000"/>
                      <w:kern w:val="0"/>
                      <w:szCs w:val="21"/>
                    </w:rPr>
                  </w:pPr>
                  <w:r>
                    <w:rPr>
                      <w:rFonts w:hint="eastAsia"/>
                      <w:color w:val="auto"/>
                      <w:szCs w:val="21"/>
                      <w:lang w:val="en-US" w:eastAsia="zh-CN"/>
                    </w:rPr>
                    <w:t>破</w:t>
                  </w:r>
                  <w:r>
                    <w:rPr>
                      <w:rFonts w:hint="eastAsia"/>
                      <w:color w:val="auto"/>
                      <w:szCs w:val="21"/>
                      <w:lang w:eastAsia="zh-CN"/>
                    </w:rPr>
                    <w:t>碎、</w:t>
                  </w:r>
                  <w:r>
                    <w:rPr>
                      <w:rFonts w:hint="eastAsia"/>
                      <w:color w:val="auto"/>
                      <w:szCs w:val="21"/>
                      <w:lang w:val="en-US" w:eastAsia="zh-CN"/>
                    </w:rPr>
                    <w:t>造粒</w:t>
                  </w:r>
                  <w:r>
                    <w:rPr>
                      <w:rFonts w:hint="eastAsia"/>
                      <w:color w:val="000000" w:themeColor="text1"/>
                      <w:kern w:val="0"/>
                      <w:szCs w:val="21"/>
                      <w14:textFill>
                        <w14:solidFill>
                          <w14:schemeClr w14:val="tx1"/>
                        </w14:solidFill>
                      </w14:textFill>
                    </w:rPr>
                    <w:t>废气</w:t>
                  </w:r>
                </w:p>
              </w:tc>
              <w:tc>
                <w:tcPr>
                  <w:tcW w:w="796" w:type="dxa"/>
                  <w:shd w:val="clear" w:color="auto" w:fill="FFFFFF"/>
                  <w:vAlign w:val="center"/>
                </w:tcPr>
                <w:p w14:paraId="5DE78CD8">
                  <w:pPr>
                    <w:widowControl/>
                    <w:adjustRightInd w:val="0"/>
                    <w:snapToGrid w:val="0"/>
                    <w:jc w:val="center"/>
                    <w:rPr>
                      <w:color w:val="auto"/>
                      <w:kern w:val="0"/>
                      <w:szCs w:val="21"/>
                    </w:rPr>
                  </w:pPr>
                  <w:r>
                    <w:rPr>
                      <w:rFonts w:hint="eastAsia"/>
                      <w:color w:val="auto"/>
                      <w:kern w:val="0"/>
                      <w:szCs w:val="21"/>
                    </w:rPr>
                    <w:t>15</w:t>
                  </w:r>
                </w:p>
              </w:tc>
              <w:tc>
                <w:tcPr>
                  <w:tcW w:w="750" w:type="dxa"/>
                  <w:shd w:val="clear" w:color="auto" w:fill="FFFFFF"/>
                  <w:vAlign w:val="center"/>
                </w:tcPr>
                <w:p w14:paraId="64683775">
                  <w:pPr>
                    <w:widowControl/>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0.7</w:t>
                  </w:r>
                </w:p>
              </w:tc>
              <w:tc>
                <w:tcPr>
                  <w:tcW w:w="819" w:type="dxa"/>
                  <w:shd w:val="clear" w:color="auto" w:fill="FFFFFF"/>
                  <w:vAlign w:val="center"/>
                </w:tcPr>
                <w:p w14:paraId="4D62A781">
                  <w:pPr>
                    <w:widowControl/>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100</w:t>
                  </w:r>
                </w:p>
              </w:tc>
              <w:tc>
                <w:tcPr>
                  <w:tcW w:w="1212" w:type="dxa"/>
                  <w:shd w:val="clear" w:color="auto" w:fill="FFFFFF"/>
                  <w:vAlign w:val="center"/>
                </w:tcPr>
                <w:p w14:paraId="59855E25">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115.96360</w:t>
                  </w:r>
                </w:p>
                <w:p w14:paraId="597CBA87">
                  <w:pPr>
                    <w:jc w:val="center"/>
                    <w:rPr>
                      <w:rFonts w:hint="eastAsia" w:ascii="Times New Roman" w:hAnsi="Times New Roman" w:eastAsia="宋体" w:cs="Times New Roman"/>
                      <w:color w:val="FF0000"/>
                      <w:kern w:val="2"/>
                      <w:sz w:val="21"/>
                      <w:szCs w:val="21"/>
                      <w:lang w:val="en-US" w:eastAsia="zh-CN" w:bidi="ar-SA"/>
                    </w:rPr>
                  </w:pPr>
                  <w:r>
                    <w:rPr>
                      <w:rFonts w:hint="eastAsia"/>
                      <w:color w:val="000000" w:themeColor="text1"/>
                      <w:kern w:val="0"/>
                      <w:szCs w:val="21"/>
                      <w14:textFill>
                        <w14:solidFill>
                          <w14:schemeClr w14:val="tx1"/>
                        </w14:solidFill>
                      </w14:textFill>
                    </w:rPr>
                    <w:t>31.666735</w:t>
                  </w:r>
                </w:p>
              </w:tc>
              <w:tc>
                <w:tcPr>
                  <w:tcW w:w="507" w:type="dxa"/>
                  <w:vMerge w:val="restart"/>
                  <w:shd w:val="clear" w:color="auto" w:fill="FFFFFF"/>
                  <w:vAlign w:val="center"/>
                </w:tcPr>
                <w:p w14:paraId="267B38CB">
                  <w:pPr>
                    <w:widowControl/>
                    <w:adjustRightInd w:val="0"/>
                    <w:snapToGrid w:val="0"/>
                    <w:jc w:val="center"/>
                    <w:rPr>
                      <w:color w:val="auto"/>
                      <w:kern w:val="0"/>
                      <w:szCs w:val="21"/>
                    </w:rPr>
                  </w:pPr>
                  <w:r>
                    <w:rPr>
                      <w:color w:val="auto"/>
                      <w:kern w:val="0"/>
                      <w:szCs w:val="21"/>
                    </w:rPr>
                    <w:t>一般排放口</w:t>
                  </w:r>
                </w:p>
              </w:tc>
              <w:tc>
                <w:tcPr>
                  <w:tcW w:w="1019" w:type="dxa"/>
                  <w:shd w:val="clear" w:color="auto" w:fill="FFFFFF"/>
                  <w:noWrap/>
                  <w:vAlign w:val="center"/>
                </w:tcPr>
                <w:p w14:paraId="317BAD48">
                  <w:pPr>
                    <w:widowControl/>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120</w:t>
                  </w:r>
                </w:p>
              </w:tc>
              <w:tc>
                <w:tcPr>
                  <w:tcW w:w="653" w:type="dxa"/>
                  <w:shd w:val="clear" w:color="auto" w:fill="FFFFFF"/>
                  <w:vAlign w:val="center"/>
                </w:tcPr>
                <w:p w14:paraId="6E99A0CD">
                  <w:pPr>
                    <w:widowControl/>
                    <w:adjustRightInd w:val="0"/>
                    <w:snapToGrid w:val="0"/>
                    <w:jc w:val="center"/>
                    <w:rPr>
                      <w:rFonts w:hint="eastAsia" w:eastAsia="宋体"/>
                      <w:color w:val="auto"/>
                      <w:kern w:val="0"/>
                      <w:szCs w:val="21"/>
                      <w:lang w:eastAsia="zh-CN"/>
                    </w:rPr>
                  </w:pPr>
                  <w:r>
                    <w:rPr>
                      <w:rFonts w:hint="eastAsia"/>
                      <w:color w:val="auto"/>
                      <w:kern w:val="0"/>
                      <w:szCs w:val="21"/>
                    </w:rPr>
                    <w:t>DA00</w:t>
                  </w:r>
                  <w:r>
                    <w:rPr>
                      <w:rFonts w:hint="eastAsia"/>
                      <w:color w:val="auto"/>
                      <w:kern w:val="0"/>
                      <w:szCs w:val="21"/>
                      <w:lang w:val="en-US" w:eastAsia="zh-CN"/>
                    </w:rPr>
                    <w:t>1</w:t>
                  </w:r>
                </w:p>
              </w:tc>
              <w:tc>
                <w:tcPr>
                  <w:tcW w:w="853" w:type="dxa"/>
                  <w:shd w:val="clear" w:color="auto" w:fill="FFFFFF"/>
                  <w:vAlign w:val="center"/>
                </w:tcPr>
                <w:p w14:paraId="13B510ED">
                  <w:pPr>
                    <w:widowControl/>
                    <w:adjustRightInd w:val="0"/>
                    <w:snapToGrid w:val="0"/>
                    <w:jc w:val="center"/>
                    <w:rPr>
                      <w:color w:val="auto"/>
                      <w:kern w:val="0"/>
                      <w:szCs w:val="21"/>
                    </w:rPr>
                  </w:pPr>
                  <w:r>
                    <w:rPr>
                      <w:rFonts w:hint="eastAsia"/>
                      <w:color w:val="auto"/>
                      <w:kern w:val="0"/>
                      <w:szCs w:val="21"/>
                    </w:rPr>
                    <w:t>颗粒物</w:t>
                  </w:r>
                </w:p>
              </w:tc>
              <w:tc>
                <w:tcPr>
                  <w:tcW w:w="639" w:type="dxa"/>
                  <w:vMerge w:val="restart"/>
                  <w:shd w:val="clear" w:color="auto" w:fill="FFFFFF"/>
                  <w:vAlign w:val="center"/>
                </w:tcPr>
                <w:p w14:paraId="4BEEEDA6">
                  <w:pPr>
                    <w:widowControl/>
                    <w:adjustRightInd w:val="0"/>
                    <w:snapToGrid w:val="0"/>
                    <w:jc w:val="center"/>
                    <w:rPr>
                      <w:color w:val="auto"/>
                      <w:kern w:val="0"/>
                      <w:szCs w:val="21"/>
                    </w:rPr>
                  </w:pPr>
                  <w:r>
                    <w:rPr>
                      <w:color w:val="auto"/>
                      <w:kern w:val="0"/>
                      <w:szCs w:val="21"/>
                    </w:rPr>
                    <w:t>1次/</w:t>
                  </w:r>
                  <w:r>
                    <w:rPr>
                      <w:rFonts w:hint="eastAsia"/>
                      <w:color w:val="auto"/>
                      <w:kern w:val="0"/>
                      <w:szCs w:val="21"/>
                      <w:lang w:val="en-US" w:eastAsia="zh-CN"/>
                    </w:rPr>
                    <w:t>半</w:t>
                  </w:r>
                  <w:r>
                    <w:rPr>
                      <w:rFonts w:hint="eastAsia"/>
                      <w:color w:val="auto"/>
                      <w:kern w:val="0"/>
                      <w:szCs w:val="21"/>
                    </w:rPr>
                    <w:t>年</w:t>
                  </w:r>
                </w:p>
              </w:tc>
            </w:tr>
            <w:tr w14:paraId="5B54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5" w:type="dxa"/>
                  <w:vMerge w:val="continue"/>
                  <w:shd w:val="clear" w:color="auto" w:fill="FFFFFF"/>
                  <w:vAlign w:val="center"/>
                </w:tcPr>
                <w:p w14:paraId="2144AE6F">
                  <w:pPr>
                    <w:widowControl/>
                    <w:adjustRightInd w:val="0"/>
                    <w:snapToGrid w:val="0"/>
                    <w:jc w:val="center"/>
                    <w:rPr>
                      <w:color w:val="FF0000"/>
                      <w:kern w:val="0"/>
                      <w:szCs w:val="21"/>
                    </w:rPr>
                  </w:pPr>
                </w:p>
              </w:tc>
              <w:tc>
                <w:tcPr>
                  <w:tcW w:w="1055" w:type="dxa"/>
                  <w:vMerge w:val="restart"/>
                  <w:shd w:val="clear" w:color="auto" w:fill="FFFFFF"/>
                  <w:vAlign w:val="center"/>
                </w:tcPr>
                <w:p w14:paraId="62FE0F2E">
                  <w:pPr>
                    <w:widowControl/>
                    <w:adjustRightInd w:val="0"/>
                    <w:snapToGrid w:val="0"/>
                    <w:jc w:val="center"/>
                    <w:rPr>
                      <w:color w:val="auto"/>
                    </w:rPr>
                  </w:pPr>
                  <w:r>
                    <w:rPr>
                      <w:rFonts w:hint="eastAsia" w:cs="Times New Roman"/>
                      <w:color w:val="auto"/>
                      <w:szCs w:val="21"/>
                      <w:lang w:val="en-US" w:eastAsia="zh-CN"/>
                    </w:rPr>
                    <w:t>燃烧</w:t>
                  </w:r>
                  <w:r>
                    <w:rPr>
                      <w:rFonts w:hint="eastAsia"/>
                      <w:color w:val="auto"/>
                    </w:rPr>
                    <w:t>废气</w:t>
                  </w:r>
                </w:p>
              </w:tc>
              <w:tc>
                <w:tcPr>
                  <w:tcW w:w="796" w:type="dxa"/>
                  <w:vMerge w:val="restart"/>
                  <w:shd w:val="clear" w:color="auto" w:fill="FFFFFF"/>
                  <w:vAlign w:val="center"/>
                </w:tcPr>
                <w:p w14:paraId="4790AE56">
                  <w:pPr>
                    <w:widowControl/>
                    <w:adjustRightInd w:val="0"/>
                    <w:snapToGrid w:val="0"/>
                    <w:jc w:val="center"/>
                    <w:rPr>
                      <w:color w:val="auto"/>
                      <w:kern w:val="0"/>
                      <w:szCs w:val="21"/>
                    </w:rPr>
                  </w:pPr>
                  <w:r>
                    <w:rPr>
                      <w:rFonts w:hint="eastAsia"/>
                      <w:color w:val="auto"/>
                      <w:kern w:val="0"/>
                      <w:szCs w:val="21"/>
                    </w:rPr>
                    <w:t>15</w:t>
                  </w:r>
                </w:p>
              </w:tc>
              <w:tc>
                <w:tcPr>
                  <w:tcW w:w="750" w:type="dxa"/>
                  <w:vMerge w:val="restart"/>
                  <w:shd w:val="clear" w:color="auto" w:fill="FFFFFF"/>
                  <w:vAlign w:val="center"/>
                </w:tcPr>
                <w:p w14:paraId="01DCA074">
                  <w:pPr>
                    <w:widowControl/>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0.4</w:t>
                  </w:r>
                </w:p>
              </w:tc>
              <w:tc>
                <w:tcPr>
                  <w:tcW w:w="819" w:type="dxa"/>
                  <w:vMerge w:val="restart"/>
                  <w:shd w:val="clear" w:color="auto" w:fill="FFFFFF"/>
                  <w:vAlign w:val="center"/>
                </w:tcPr>
                <w:p w14:paraId="72123BE6">
                  <w:pPr>
                    <w:widowControl/>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100</w:t>
                  </w:r>
                </w:p>
              </w:tc>
              <w:tc>
                <w:tcPr>
                  <w:tcW w:w="1212" w:type="dxa"/>
                  <w:vMerge w:val="restart"/>
                  <w:shd w:val="clear" w:color="auto" w:fill="FFFFFF"/>
                  <w:vAlign w:val="center"/>
                </w:tcPr>
                <w:p w14:paraId="659BE7D3">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115.96392</w:t>
                  </w:r>
                </w:p>
                <w:p w14:paraId="3E3414B2">
                  <w:pPr>
                    <w:jc w:val="center"/>
                    <w:rPr>
                      <w:rFonts w:ascii="Times New Roman" w:hAnsi="Times New Roman" w:eastAsia="宋体" w:cs="Times New Roman"/>
                      <w:color w:val="FF0000"/>
                      <w:kern w:val="2"/>
                      <w:sz w:val="21"/>
                      <w:szCs w:val="21"/>
                      <w:lang w:val="en-US" w:eastAsia="zh-CN" w:bidi="ar-SA"/>
                    </w:rPr>
                  </w:pPr>
                  <w:r>
                    <w:rPr>
                      <w:rFonts w:hint="eastAsia"/>
                      <w:color w:val="000000" w:themeColor="text1"/>
                      <w:kern w:val="0"/>
                      <w:szCs w:val="21"/>
                      <w14:textFill>
                        <w14:solidFill>
                          <w14:schemeClr w14:val="tx1"/>
                        </w14:solidFill>
                      </w14:textFill>
                    </w:rPr>
                    <w:t>31.666541</w:t>
                  </w:r>
                </w:p>
              </w:tc>
              <w:tc>
                <w:tcPr>
                  <w:tcW w:w="507" w:type="dxa"/>
                  <w:vMerge w:val="continue"/>
                  <w:shd w:val="clear" w:color="auto" w:fill="FFFFFF"/>
                  <w:vAlign w:val="center"/>
                </w:tcPr>
                <w:p w14:paraId="4BF31BF9">
                  <w:pPr>
                    <w:widowControl/>
                    <w:adjustRightInd w:val="0"/>
                    <w:snapToGrid w:val="0"/>
                    <w:jc w:val="center"/>
                    <w:rPr>
                      <w:color w:val="FF0000"/>
                      <w:kern w:val="0"/>
                      <w:szCs w:val="21"/>
                    </w:rPr>
                  </w:pPr>
                </w:p>
              </w:tc>
              <w:tc>
                <w:tcPr>
                  <w:tcW w:w="1019" w:type="dxa"/>
                  <w:shd w:val="clear" w:color="auto" w:fill="FFFFFF"/>
                  <w:noWrap/>
                  <w:vAlign w:val="center"/>
                </w:tcPr>
                <w:p w14:paraId="3B35A964">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p>
              </w:tc>
              <w:tc>
                <w:tcPr>
                  <w:tcW w:w="653" w:type="dxa"/>
                  <w:vMerge w:val="restart"/>
                  <w:shd w:val="clear" w:color="auto" w:fill="FFFFFF"/>
                  <w:vAlign w:val="center"/>
                </w:tcPr>
                <w:p w14:paraId="327018F5">
                  <w:pPr>
                    <w:widowControl/>
                    <w:adjustRightInd w:val="0"/>
                    <w:snapToGrid w:val="0"/>
                    <w:jc w:val="center"/>
                    <w:rPr>
                      <w:rFonts w:hint="eastAsia" w:eastAsia="宋体"/>
                      <w:color w:val="auto"/>
                      <w:lang w:eastAsia="zh-CN"/>
                    </w:rPr>
                  </w:pPr>
                  <w:r>
                    <w:rPr>
                      <w:rFonts w:hint="eastAsia"/>
                      <w:color w:val="auto"/>
                      <w:kern w:val="0"/>
                      <w:szCs w:val="21"/>
                    </w:rPr>
                    <w:t>DA00</w:t>
                  </w:r>
                  <w:r>
                    <w:rPr>
                      <w:rFonts w:hint="eastAsia"/>
                      <w:color w:val="auto"/>
                      <w:kern w:val="0"/>
                      <w:szCs w:val="21"/>
                      <w:lang w:val="en-US" w:eastAsia="zh-CN"/>
                    </w:rPr>
                    <w:t>2</w:t>
                  </w:r>
                </w:p>
              </w:tc>
              <w:tc>
                <w:tcPr>
                  <w:tcW w:w="853" w:type="dxa"/>
                  <w:shd w:val="clear" w:color="auto" w:fill="FFFFFF"/>
                  <w:vAlign w:val="center"/>
                </w:tcPr>
                <w:p w14:paraId="319921B0">
                  <w:pPr>
                    <w:widowControl/>
                    <w:adjustRightInd w:val="0"/>
                    <w:snapToGrid w:val="0"/>
                    <w:jc w:val="center"/>
                    <w:rPr>
                      <w:color w:val="auto"/>
                      <w:kern w:val="0"/>
                      <w:szCs w:val="21"/>
                    </w:rPr>
                  </w:pPr>
                  <w:r>
                    <w:rPr>
                      <w:rFonts w:hint="eastAsia"/>
                      <w:color w:val="auto"/>
                      <w:kern w:val="0"/>
                      <w:szCs w:val="21"/>
                    </w:rPr>
                    <w:t>颗粒物</w:t>
                  </w:r>
                </w:p>
              </w:tc>
              <w:tc>
                <w:tcPr>
                  <w:tcW w:w="639" w:type="dxa"/>
                  <w:vMerge w:val="continue"/>
                  <w:shd w:val="clear" w:color="auto" w:fill="FFFFFF"/>
                  <w:vAlign w:val="center"/>
                </w:tcPr>
                <w:p w14:paraId="48583FF0">
                  <w:pPr>
                    <w:widowControl/>
                    <w:adjustRightInd w:val="0"/>
                    <w:snapToGrid w:val="0"/>
                    <w:jc w:val="center"/>
                    <w:rPr>
                      <w:color w:val="FF0000"/>
                      <w:kern w:val="0"/>
                      <w:szCs w:val="21"/>
                    </w:rPr>
                  </w:pPr>
                </w:p>
              </w:tc>
            </w:tr>
            <w:tr w14:paraId="7C56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5" w:type="dxa"/>
                  <w:vMerge w:val="continue"/>
                  <w:shd w:val="clear" w:color="auto" w:fill="FFFFFF"/>
                  <w:vAlign w:val="center"/>
                </w:tcPr>
                <w:p w14:paraId="3C03DC20">
                  <w:pPr>
                    <w:widowControl/>
                    <w:adjustRightInd w:val="0"/>
                    <w:snapToGrid w:val="0"/>
                    <w:jc w:val="center"/>
                    <w:rPr>
                      <w:color w:val="FF0000"/>
                    </w:rPr>
                  </w:pPr>
                </w:p>
              </w:tc>
              <w:tc>
                <w:tcPr>
                  <w:tcW w:w="1055" w:type="dxa"/>
                  <w:vMerge w:val="continue"/>
                  <w:shd w:val="clear" w:color="auto" w:fill="FFFFFF"/>
                  <w:vAlign w:val="center"/>
                </w:tcPr>
                <w:p w14:paraId="05E341FB">
                  <w:pPr>
                    <w:widowControl/>
                    <w:adjustRightInd w:val="0"/>
                    <w:snapToGrid w:val="0"/>
                    <w:jc w:val="center"/>
                    <w:rPr>
                      <w:color w:val="FF0000"/>
                    </w:rPr>
                  </w:pPr>
                </w:p>
              </w:tc>
              <w:tc>
                <w:tcPr>
                  <w:tcW w:w="796" w:type="dxa"/>
                  <w:vMerge w:val="continue"/>
                  <w:shd w:val="clear" w:color="auto" w:fill="FFFFFF"/>
                  <w:vAlign w:val="center"/>
                </w:tcPr>
                <w:p w14:paraId="1534FEA2">
                  <w:pPr>
                    <w:widowControl/>
                    <w:adjustRightInd w:val="0"/>
                    <w:snapToGrid w:val="0"/>
                    <w:jc w:val="center"/>
                    <w:rPr>
                      <w:color w:val="FF0000"/>
                    </w:rPr>
                  </w:pPr>
                </w:p>
              </w:tc>
              <w:tc>
                <w:tcPr>
                  <w:tcW w:w="750" w:type="dxa"/>
                  <w:vMerge w:val="continue"/>
                  <w:shd w:val="clear" w:color="auto" w:fill="FFFFFF"/>
                  <w:vAlign w:val="center"/>
                </w:tcPr>
                <w:p w14:paraId="23C61250">
                  <w:pPr>
                    <w:widowControl/>
                    <w:adjustRightInd w:val="0"/>
                    <w:snapToGrid w:val="0"/>
                    <w:jc w:val="center"/>
                    <w:rPr>
                      <w:color w:val="FF0000"/>
                    </w:rPr>
                  </w:pPr>
                </w:p>
              </w:tc>
              <w:tc>
                <w:tcPr>
                  <w:tcW w:w="819" w:type="dxa"/>
                  <w:vMerge w:val="continue"/>
                  <w:shd w:val="clear" w:color="auto" w:fill="FFFFFF"/>
                  <w:vAlign w:val="center"/>
                </w:tcPr>
                <w:p w14:paraId="0C945B12">
                  <w:pPr>
                    <w:widowControl/>
                    <w:adjustRightInd w:val="0"/>
                    <w:snapToGrid w:val="0"/>
                    <w:jc w:val="center"/>
                    <w:rPr>
                      <w:color w:val="FF0000"/>
                    </w:rPr>
                  </w:pPr>
                </w:p>
              </w:tc>
              <w:tc>
                <w:tcPr>
                  <w:tcW w:w="1212" w:type="dxa"/>
                  <w:vMerge w:val="continue"/>
                  <w:shd w:val="clear" w:color="auto" w:fill="FFFFFF"/>
                  <w:vAlign w:val="center"/>
                </w:tcPr>
                <w:p w14:paraId="0551E3D0">
                  <w:pPr>
                    <w:widowControl/>
                    <w:adjustRightInd w:val="0"/>
                    <w:snapToGrid w:val="0"/>
                    <w:jc w:val="center"/>
                    <w:rPr>
                      <w:color w:val="FF0000"/>
                    </w:rPr>
                  </w:pPr>
                </w:p>
              </w:tc>
              <w:tc>
                <w:tcPr>
                  <w:tcW w:w="507" w:type="dxa"/>
                  <w:vMerge w:val="continue"/>
                  <w:shd w:val="clear" w:color="auto" w:fill="FFFFFF"/>
                  <w:vAlign w:val="center"/>
                </w:tcPr>
                <w:p w14:paraId="19193DA3">
                  <w:pPr>
                    <w:widowControl/>
                    <w:adjustRightInd w:val="0"/>
                    <w:snapToGrid w:val="0"/>
                    <w:jc w:val="center"/>
                    <w:rPr>
                      <w:color w:val="FF0000"/>
                    </w:rPr>
                  </w:pPr>
                </w:p>
              </w:tc>
              <w:tc>
                <w:tcPr>
                  <w:tcW w:w="1019" w:type="dxa"/>
                  <w:shd w:val="clear" w:color="auto" w:fill="FFFFFF"/>
                  <w:noWrap/>
                  <w:vAlign w:val="center"/>
                </w:tcPr>
                <w:p w14:paraId="64AD4EB5">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300</w:t>
                  </w:r>
                </w:p>
              </w:tc>
              <w:tc>
                <w:tcPr>
                  <w:tcW w:w="653" w:type="dxa"/>
                  <w:vMerge w:val="continue"/>
                  <w:shd w:val="clear" w:color="auto" w:fill="FFFFFF"/>
                  <w:vAlign w:val="center"/>
                </w:tcPr>
                <w:p w14:paraId="1411A473">
                  <w:pPr>
                    <w:widowControl/>
                    <w:adjustRightInd w:val="0"/>
                    <w:snapToGrid w:val="0"/>
                    <w:jc w:val="center"/>
                    <w:rPr>
                      <w:color w:val="auto"/>
                    </w:rPr>
                  </w:pPr>
                </w:p>
              </w:tc>
              <w:tc>
                <w:tcPr>
                  <w:tcW w:w="853" w:type="dxa"/>
                  <w:shd w:val="clear" w:color="auto" w:fill="FFFFFF"/>
                  <w:vAlign w:val="center"/>
                </w:tcPr>
                <w:p w14:paraId="3EE9AF3B">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SO</w:t>
                  </w:r>
                  <w:r>
                    <w:rPr>
                      <w:rFonts w:hint="eastAsia" w:cs="Times New Roman"/>
                      <w:color w:val="auto"/>
                      <w:szCs w:val="21"/>
                      <w:vertAlign w:val="subscript"/>
                      <w:lang w:val="en-US" w:eastAsia="zh-CN"/>
                    </w:rPr>
                    <w:t>2</w:t>
                  </w:r>
                </w:p>
              </w:tc>
              <w:tc>
                <w:tcPr>
                  <w:tcW w:w="639" w:type="dxa"/>
                  <w:vMerge w:val="continue"/>
                  <w:shd w:val="clear" w:color="auto" w:fill="FFFFFF"/>
                  <w:vAlign w:val="center"/>
                </w:tcPr>
                <w:p w14:paraId="6C05A155">
                  <w:pPr>
                    <w:widowControl/>
                    <w:adjustRightInd w:val="0"/>
                    <w:snapToGrid w:val="0"/>
                    <w:jc w:val="center"/>
                    <w:rPr>
                      <w:rFonts w:hint="eastAsia"/>
                      <w:color w:val="FF0000"/>
                      <w:kern w:val="0"/>
                      <w:szCs w:val="21"/>
                    </w:rPr>
                  </w:pPr>
                </w:p>
              </w:tc>
            </w:tr>
            <w:tr w14:paraId="3D45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5" w:type="dxa"/>
                  <w:vMerge w:val="continue"/>
                  <w:shd w:val="clear" w:color="auto" w:fill="FFFFFF"/>
                  <w:vAlign w:val="center"/>
                </w:tcPr>
                <w:p w14:paraId="0327328F">
                  <w:pPr>
                    <w:widowControl/>
                    <w:adjustRightInd w:val="0"/>
                    <w:snapToGrid w:val="0"/>
                    <w:jc w:val="center"/>
                    <w:rPr>
                      <w:rFonts w:hint="eastAsia"/>
                      <w:color w:val="FF0000"/>
                      <w:kern w:val="0"/>
                      <w:szCs w:val="21"/>
                    </w:rPr>
                  </w:pPr>
                </w:p>
              </w:tc>
              <w:tc>
                <w:tcPr>
                  <w:tcW w:w="1055" w:type="dxa"/>
                  <w:vMerge w:val="continue"/>
                  <w:shd w:val="clear" w:color="auto" w:fill="FFFFFF"/>
                  <w:vAlign w:val="center"/>
                </w:tcPr>
                <w:p w14:paraId="253B5288">
                  <w:pPr>
                    <w:widowControl/>
                    <w:adjustRightInd w:val="0"/>
                    <w:snapToGrid w:val="0"/>
                    <w:jc w:val="center"/>
                    <w:rPr>
                      <w:rFonts w:hint="eastAsia"/>
                      <w:color w:val="FF0000"/>
                      <w:kern w:val="0"/>
                      <w:szCs w:val="21"/>
                    </w:rPr>
                  </w:pPr>
                </w:p>
              </w:tc>
              <w:tc>
                <w:tcPr>
                  <w:tcW w:w="796" w:type="dxa"/>
                  <w:vMerge w:val="continue"/>
                  <w:shd w:val="clear" w:color="auto" w:fill="FFFFFF"/>
                  <w:vAlign w:val="center"/>
                </w:tcPr>
                <w:p w14:paraId="6CE6CCC7">
                  <w:pPr>
                    <w:widowControl/>
                    <w:adjustRightInd w:val="0"/>
                    <w:snapToGrid w:val="0"/>
                    <w:jc w:val="center"/>
                    <w:rPr>
                      <w:rFonts w:hint="eastAsia"/>
                      <w:color w:val="FF0000"/>
                      <w:kern w:val="0"/>
                      <w:szCs w:val="21"/>
                    </w:rPr>
                  </w:pPr>
                </w:p>
              </w:tc>
              <w:tc>
                <w:tcPr>
                  <w:tcW w:w="750" w:type="dxa"/>
                  <w:vMerge w:val="continue"/>
                  <w:shd w:val="clear" w:color="auto" w:fill="FFFFFF"/>
                  <w:vAlign w:val="center"/>
                </w:tcPr>
                <w:p w14:paraId="007BD7B1">
                  <w:pPr>
                    <w:widowControl/>
                    <w:adjustRightInd w:val="0"/>
                    <w:snapToGrid w:val="0"/>
                    <w:jc w:val="center"/>
                    <w:rPr>
                      <w:rFonts w:hint="eastAsia"/>
                      <w:color w:val="FF0000"/>
                      <w:kern w:val="0"/>
                      <w:szCs w:val="21"/>
                    </w:rPr>
                  </w:pPr>
                </w:p>
              </w:tc>
              <w:tc>
                <w:tcPr>
                  <w:tcW w:w="819" w:type="dxa"/>
                  <w:vMerge w:val="continue"/>
                  <w:shd w:val="clear" w:color="auto" w:fill="FFFFFF"/>
                  <w:vAlign w:val="center"/>
                </w:tcPr>
                <w:p w14:paraId="2C25B37E">
                  <w:pPr>
                    <w:widowControl/>
                    <w:adjustRightInd w:val="0"/>
                    <w:snapToGrid w:val="0"/>
                    <w:jc w:val="center"/>
                    <w:rPr>
                      <w:rFonts w:hint="eastAsia"/>
                      <w:color w:val="FF0000"/>
                      <w:kern w:val="0"/>
                      <w:szCs w:val="21"/>
                    </w:rPr>
                  </w:pPr>
                </w:p>
              </w:tc>
              <w:tc>
                <w:tcPr>
                  <w:tcW w:w="1212" w:type="dxa"/>
                  <w:vMerge w:val="continue"/>
                  <w:shd w:val="clear" w:color="auto" w:fill="FFFFFF"/>
                  <w:vAlign w:val="center"/>
                </w:tcPr>
                <w:p w14:paraId="2CD7C1A0">
                  <w:pPr>
                    <w:widowControl/>
                    <w:adjustRightInd w:val="0"/>
                    <w:snapToGrid w:val="0"/>
                    <w:jc w:val="center"/>
                    <w:rPr>
                      <w:rFonts w:hint="eastAsia"/>
                      <w:color w:val="FF0000"/>
                      <w:kern w:val="0"/>
                      <w:szCs w:val="21"/>
                    </w:rPr>
                  </w:pPr>
                </w:p>
              </w:tc>
              <w:tc>
                <w:tcPr>
                  <w:tcW w:w="507" w:type="dxa"/>
                  <w:vMerge w:val="continue"/>
                  <w:shd w:val="clear" w:color="auto" w:fill="FFFFFF"/>
                  <w:vAlign w:val="center"/>
                </w:tcPr>
                <w:p w14:paraId="1F0A484E">
                  <w:pPr>
                    <w:widowControl/>
                    <w:adjustRightInd w:val="0"/>
                    <w:snapToGrid w:val="0"/>
                    <w:jc w:val="center"/>
                    <w:rPr>
                      <w:rFonts w:hint="eastAsia"/>
                      <w:color w:val="FF0000"/>
                      <w:kern w:val="0"/>
                      <w:szCs w:val="21"/>
                    </w:rPr>
                  </w:pPr>
                </w:p>
              </w:tc>
              <w:tc>
                <w:tcPr>
                  <w:tcW w:w="1019" w:type="dxa"/>
                  <w:shd w:val="clear" w:color="auto" w:fill="FFFFFF"/>
                  <w:noWrap/>
                  <w:vAlign w:val="center"/>
                </w:tcPr>
                <w:p w14:paraId="0C655B33">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300</w:t>
                  </w:r>
                </w:p>
              </w:tc>
              <w:tc>
                <w:tcPr>
                  <w:tcW w:w="653" w:type="dxa"/>
                  <w:vMerge w:val="continue"/>
                  <w:shd w:val="clear" w:color="auto" w:fill="FFFFFF"/>
                  <w:vAlign w:val="center"/>
                </w:tcPr>
                <w:p w14:paraId="052EFB5A">
                  <w:pPr>
                    <w:widowControl/>
                    <w:adjustRightInd w:val="0"/>
                    <w:snapToGrid w:val="0"/>
                    <w:jc w:val="center"/>
                    <w:rPr>
                      <w:rFonts w:hint="eastAsia"/>
                      <w:color w:val="auto"/>
                      <w:kern w:val="0"/>
                      <w:szCs w:val="21"/>
                    </w:rPr>
                  </w:pPr>
                </w:p>
              </w:tc>
              <w:tc>
                <w:tcPr>
                  <w:tcW w:w="853" w:type="dxa"/>
                  <w:shd w:val="clear" w:color="auto" w:fill="FFFFFF"/>
                  <w:vAlign w:val="center"/>
                </w:tcPr>
                <w:p w14:paraId="21818E3B">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NOx</w:t>
                  </w:r>
                </w:p>
              </w:tc>
              <w:tc>
                <w:tcPr>
                  <w:tcW w:w="639" w:type="dxa"/>
                  <w:vMerge w:val="continue"/>
                  <w:shd w:val="clear" w:color="auto" w:fill="FFFFFF"/>
                  <w:vAlign w:val="center"/>
                </w:tcPr>
                <w:p w14:paraId="27B04AEB">
                  <w:pPr>
                    <w:widowControl/>
                    <w:adjustRightInd w:val="0"/>
                    <w:snapToGrid w:val="0"/>
                    <w:jc w:val="center"/>
                    <w:rPr>
                      <w:rFonts w:hint="eastAsia"/>
                      <w:color w:val="FF0000"/>
                      <w:kern w:val="0"/>
                      <w:szCs w:val="21"/>
                    </w:rPr>
                  </w:pPr>
                </w:p>
              </w:tc>
            </w:tr>
            <w:tr w14:paraId="5A29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55" w:type="dxa"/>
                  <w:shd w:val="clear" w:color="auto" w:fill="FFFFFF"/>
                  <w:vAlign w:val="center"/>
                </w:tcPr>
                <w:p w14:paraId="4D0C74DE">
                  <w:pPr>
                    <w:widowControl/>
                    <w:adjustRightInd w:val="0"/>
                    <w:snapToGrid w:val="0"/>
                    <w:jc w:val="center"/>
                    <w:rPr>
                      <w:color w:val="auto"/>
                      <w:kern w:val="0"/>
                      <w:szCs w:val="21"/>
                    </w:rPr>
                  </w:pPr>
                  <w:r>
                    <w:rPr>
                      <w:color w:val="auto"/>
                      <w:kern w:val="0"/>
                      <w:szCs w:val="21"/>
                    </w:rPr>
                    <w:t>无组织</w:t>
                  </w:r>
                </w:p>
              </w:tc>
              <w:tc>
                <w:tcPr>
                  <w:tcW w:w="1055" w:type="dxa"/>
                  <w:shd w:val="clear" w:color="auto" w:fill="FFFFFF"/>
                  <w:vAlign w:val="center"/>
                </w:tcPr>
                <w:p w14:paraId="1D1448C9">
                  <w:pPr>
                    <w:widowControl/>
                    <w:adjustRightInd w:val="0"/>
                    <w:snapToGrid w:val="0"/>
                    <w:jc w:val="center"/>
                    <w:rPr>
                      <w:color w:val="auto"/>
                      <w:kern w:val="0"/>
                      <w:szCs w:val="21"/>
                    </w:rPr>
                  </w:pPr>
                  <w:r>
                    <w:rPr>
                      <w:rFonts w:hint="eastAsia"/>
                      <w:color w:val="auto"/>
                    </w:rPr>
                    <w:t>厂房</w:t>
                  </w:r>
                  <w:r>
                    <w:rPr>
                      <w:rFonts w:hint="eastAsia"/>
                      <w:color w:val="auto"/>
                      <w:kern w:val="0"/>
                      <w:szCs w:val="21"/>
                    </w:rPr>
                    <w:t>四周</w:t>
                  </w:r>
                </w:p>
              </w:tc>
              <w:tc>
                <w:tcPr>
                  <w:tcW w:w="796" w:type="dxa"/>
                  <w:shd w:val="clear" w:color="auto" w:fill="FFFFFF"/>
                  <w:vAlign w:val="center"/>
                </w:tcPr>
                <w:p w14:paraId="6B64BF0F">
                  <w:pPr>
                    <w:widowControl/>
                    <w:adjustRightInd w:val="0"/>
                    <w:snapToGrid w:val="0"/>
                    <w:jc w:val="center"/>
                    <w:rPr>
                      <w:color w:val="auto"/>
                      <w:kern w:val="0"/>
                      <w:szCs w:val="21"/>
                    </w:rPr>
                  </w:pPr>
                  <w:r>
                    <w:rPr>
                      <w:color w:val="auto"/>
                      <w:kern w:val="0"/>
                      <w:szCs w:val="21"/>
                    </w:rPr>
                    <w:t>/</w:t>
                  </w:r>
                </w:p>
              </w:tc>
              <w:tc>
                <w:tcPr>
                  <w:tcW w:w="750" w:type="dxa"/>
                  <w:shd w:val="clear" w:color="auto" w:fill="FFFFFF"/>
                  <w:vAlign w:val="center"/>
                </w:tcPr>
                <w:p w14:paraId="77ECE419">
                  <w:pPr>
                    <w:widowControl/>
                    <w:adjustRightInd w:val="0"/>
                    <w:snapToGrid w:val="0"/>
                    <w:jc w:val="center"/>
                    <w:rPr>
                      <w:color w:val="auto"/>
                      <w:kern w:val="0"/>
                      <w:szCs w:val="21"/>
                    </w:rPr>
                  </w:pPr>
                  <w:r>
                    <w:rPr>
                      <w:color w:val="auto"/>
                      <w:kern w:val="0"/>
                      <w:szCs w:val="21"/>
                    </w:rPr>
                    <w:t>/</w:t>
                  </w:r>
                </w:p>
              </w:tc>
              <w:tc>
                <w:tcPr>
                  <w:tcW w:w="819" w:type="dxa"/>
                  <w:shd w:val="clear" w:color="auto" w:fill="FFFFFF"/>
                  <w:vAlign w:val="center"/>
                </w:tcPr>
                <w:p w14:paraId="67B411B2">
                  <w:pPr>
                    <w:widowControl/>
                    <w:adjustRightInd w:val="0"/>
                    <w:snapToGrid w:val="0"/>
                    <w:jc w:val="center"/>
                    <w:rPr>
                      <w:color w:val="auto"/>
                      <w:kern w:val="0"/>
                      <w:szCs w:val="21"/>
                    </w:rPr>
                  </w:pPr>
                  <w:r>
                    <w:rPr>
                      <w:color w:val="auto"/>
                      <w:kern w:val="0"/>
                      <w:szCs w:val="21"/>
                    </w:rPr>
                    <w:t>/</w:t>
                  </w:r>
                </w:p>
              </w:tc>
              <w:tc>
                <w:tcPr>
                  <w:tcW w:w="1212" w:type="dxa"/>
                  <w:shd w:val="clear" w:color="auto" w:fill="FFFFFF"/>
                  <w:vAlign w:val="center"/>
                </w:tcPr>
                <w:p w14:paraId="561072F8">
                  <w:pPr>
                    <w:widowControl/>
                    <w:adjustRightInd w:val="0"/>
                    <w:snapToGrid w:val="0"/>
                    <w:jc w:val="center"/>
                    <w:rPr>
                      <w:color w:val="auto"/>
                      <w:kern w:val="0"/>
                      <w:szCs w:val="21"/>
                    </w:rPr>
                  </w:pPr>
                  <w:r>
                    <w:rPr>
                      <w:color w:val="auto"/>
                      <w:kern w:val="0"/>
                      <w:szCs w:val="21"/>
                    </w:rPr>
                    <w:t>/</w:t>
                  </w:r>
                </w:p>
              </w:tc>
              <w:tc>
                <w:tcPr>
                  <w:tcW w:w="507" w:type="dxa"/>
                  <w:shd w:val="clear" w:color="auto" w:fill="FFFFFF"/>
                  <w:vAlign w:val="center"/>
                </w:tcPr>
                <w:p w14:paraId="69D36A3E">
                  <w:pPr>
                    <w:widowControl/>
                    <w:adjustRightInd w:val="0"/>
                    <w:snapToGrid w:val="0"/>
                    <w:jc w:val="center"/>
                    <w:rPr>
                      <w:color w:val="auto"/>
                      <w:kern w:val="0"/>
                      <w:szCs w:val="21"/>
                    </w:rPr>
                  </w:pPr>
                  <w:r>
                    <w:rPr>
                      <w:color w:val="auto"/>
                      <w:kern w:val="0"/>
                      <w:szCs w:val="21"/>
                    </w:rPr>
                    <w:t>/</w:t>
                  </w:r>
                </w:p>
              </w:tc>
              <w:tc>
                <w:tcPr>
                  <w:tcW w:w="1019" w:type="dxa"/>
                  <w:shd w:val="clear" w:color="auto" w:fill="FFFFFF"/>
                  <w:noWrap/>
                  <w:vAlign w:val="center"/>
                </w:tcPr>
                <w:p w14:paraId="4FF69279">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p>
              </w:tc>
              <w:tc>
                <w:tcPr>
                  <w:tcW w:w="653" w:type="dxa"/>
                  <w:shd w:val="clear" w:color="auto" w:fill="FFFFFF"/>
                  <w:vAlign w:val="center"/>
                </w:tcPr>
                <w:p w14:paraId="0DB96DDE">
                  <w:pPr>
                    <w:widowControl/>
                    <w:adjustRightInd w:val="0"/>
                    <w:snapToGrid w:val="0"/>
                    <w:jc w:val="center"/>
                    <w:rPr>
                      <w:color w:val="auto"/>
                      <w:kern w:val="0"/>
                      <w:szCs w:val="21"/>
                    </w:rPr>
                  </w:pPr>
                  <w:r>
                    <w:rPr>
                      <w:color w:val="auto"/>
                      <w:kern w:val="0"/>
                      <w:szCs w:val="21"/>
                    </w:rPr>
                    <w:t>厂</w:t>
                  </w:r>
                  <w:r>
                    <w:rPr>
                      <w:rFonts w:hint="eastAsia"/>
                      <w:color w:val="auto"/>
                      <w:kern w:val="0"/>
                      <w:szCs w:val="21"/>
                    </w:rPr>
                    <w:t>房四周设置监控点</w:t>
                  </w:r>
                </w:p>
              </w:tc>
              <w:tc>
                <w:tcPr>
                  <w:tcW w:w="853" w:type="dxa"/>
                  <w:shd w:val="clear" w:color="auto" w:fill="FFFFFF"/>
                  <w:vAlign w:val="center"/>
                </w:tcPr>
                <w:p w14:paraId="2191A9AF">
                  <w:pPr>
                    <w:widowControl/>
                    <w:adjustRightInd w:val="0"/>
                    <w:snapToGrid w:val="0"/>
                    <w:jc w:val="center"/>
                    <w:rPr>
                      <w:color w:val="auto"/>
                      <w:kern w:val="0"/>
                      <w:szCs w:val="21"/>
                    </w:rPr>
                  </w:pPr>
                  <w:r>
                    <w:rPr>
                      <w:color w:val="auto"/>
                      <w:kern w:val="0"/>
                      <w:szCs w:val="21"/>
                    </w:rPr>
                    <w:t>颗粒物</w:t>
                  </w:r>
                </w:p>
              </w:tc>
              <w:tc>
                <w:tcPr>
                  <w:tcW w:w="639" w:type="dxa"/>
                  <w:shd w:val="clear" w:color="auto" w:fill="FFFFFF"/>
                  <w:vAlign w:val="center"/>
                </w:tcPr>
                <w:p w14:paraId="39A595BF">
                  <w:pPr>
                    <w:widowControl/>
                    <w:adjustRightInd w:val="0"/>
                    <w:snapToGrid w:val="0"/>
                    <w:jc w:val="center"/>
                    <w:rPr>
                      <w:color w:val="auto"/>
                      <w:kern w:val="0"/>
                      <w:szCs w:val="21"/>
                    </w:rPr>
                  </w:pPr>
                  <w:r>
                    <w:rPr>
                      <w:color w:val="auto"/>
                      <w:kern w:val="0"/>
                      <w:szCs w:val="21"/>
                    </w:rPr>
                    <w:t>1次/</w:t>
                  </w:r>
                  <w:r>
                    <w:rPr>
                      <w:rFonts w:hint="eastAsia"/>
                      <w:color w:val="auto"/>
                      <w:kern w:val="0"/>
                      <w:szCs w:val="21"/>
                      <w:lang w:val="en-US" w:eastAsia="zh-CN"/>
                    </w:rPr>
                    <w:t>半</w:t>
                  </w:r>
                  <w:r>
                    <w:rPr>
                      <w:rFonts w:hint="eastAsia"/>
                      <w:color w:val="auto"/>
                      <w:kern w:val="0"/>
                      <w:szCs w:val="21"/>
                    </w:rPr>
                    <w:t>年</w:t>
                  </w:r>
                </w:p>
              </w:tc>
            </w:tr>
          </w:tbl>
          <w:p w14:paraId="34BBA91E">
            <w:pPr>
              <w:adjustRightInd w:val="0"/>
              <w:snapToGrid w:val="0"/>
              <w:spacing w:line="360" w:lineRule="auto"/>
              <w:ind w:firstLine="482" w:firstLineChars="200"/>
              <w:rPr>
                <w:b/>
                <w:bCs/>
                <w:color w:val="auto"/>
                <w:kern w:val="0"/>
                <w:sz w:val="24"/>
              </w:rPr>
            </w:pPr>
            <w:r>
              <w:rPr>
                <w:b/>
                <w:bCs/>
                <w:color w:val="auto"/>
                <w:kern w:val="0"/>
                <w:sz w:val="24"/>
              </w:rPr>
              <w:t>二、废水</w:t>
            </w:r>
          </w:p>
          <w:p w14:paraId="12681C0A">
            <w:pPr>
              <w:pStyle w:val="67"/>
              <w:tabs>
                <w:tab w:val="left" w:pos="1421"/>
              </w:tabs>
              <w:spacing w:line="360" w:lineRule="auto"/>
              <w:ind w:left="420" w:leftChars="200" w:firstLine="0"/>
              <w:rPr>
                <w:rFonts w:ascii="Times New Roman" w:hAnsi="Times New Roman" w:cs="Times New Roman"/>
                <w:b/>
                <w:bCs/>
                <w:color w:val="auto"/>
                <w:sz w:val="24"/>
                <w:lang w:val="en-US"/>
              </w:rPr>
            </w:pPr>
            <w:r>
              <w:rPr>
                <w:rFonts w:ascii="Times New Roman" w:hAnsi="Times New Roman" w:cs="Times New Roman"/>
                <w:b/>
                <w:bCs/>
                <w:color w:val="auto"/>
                <w:sz w:val="24"/>
                <w:lang w:val="en-US"/>
              </w:rPr>
              <w:t>1、废水源强</w:t>
            </w:r>
          </w:p>
          <w:p w14:paraId="0A5F3760">
            <w:pPr>
              <w:adjustRightInd w:val="0"/>
              <w:snapToGrid w:val="0"/>
              <w:spacing w:line="360" w:lineRule="auto"/>
              <w:ind w:firstLine="480" w:firstLineChars="200"/>
              <w:rPr>
                <w:color w:val="auto"/>
                <w:kern w:val="0"/>
                <w:sz w:val="24"/>
              </w:rPr>
            </w:pPr>
            <w:r>
              <w:rPr>
                <w:rFonts w:hint="eastAsia"/>
                <w:color w:val="auto"/>
                <w:kern w:val="0"/>
                <w:sz w:val="24"/>
              </w:rPr>
              <w:t>①生活用水</w:t>
            </w:r>
          </w:p>
          <w:p w14:paraId="5C9FF26F">
            <w:pPr>
              <w:adjustRightInd w:val="0"/>
              <w:snapToGrid w:val="0"/>
              <w:spacing w:line="360" w:lineRule="auto"/>
              <w:ind w:firstLine="480" w:firstLineChars="200"/>
              <w:rPr>
                <w:color w:val="auto"/>
                <w:kern w:val="0"/>
                <w:sz w:val="24"/>
              </w:rPr>
            </w:pPr>
            <w:r>
              <w:rPr>
                <w:color w:val="auto"/>
                <w:kern w:val="0"/>
                <w:sz w:val="24"/>
              </w:rPr>
              <w:t>本项目职工</w:t>
            </w:r>
            <w:r>
              <w:rPr>
                <w:rFonts w:hint="eastAsia"/>
                <w:color w:val="auto"/>
                <w:kern w:val="0"/>
                <w:sz w:val="24"/>
                <w:lang w:val="en-US" w:eastAsia="zh-CN"/>
              </w:rPr>
              <w:t>1</w:t>
            </w:r>
            <w:r>
              <w:rPr>
                <w:rFonts w:hint="eastAsia"/>
                <w:color w:val="auto"/>
                <w:kern w:val="0"/>
                <w:sz w:val="24"/>
              </w:rPr>
              <w:t>0</w:t>
            </w:r>
            <w:r>
              <w:rPr>
                <w:color w:val="auto"/>
                <w:kern w:val="0"/>
                <w:sz w:val="24"/>
              </w:rPr>
              <w:t>人，员工人均生活用水量按</w:t>
            </w:r>
            <w:r>
              <w:rPr>
                <w:rFonts w:hint="eastAsia"/>
                <w:color w:val="auto"/>
                <w:kern w:val="0"/>
                <w:sz w:val="24"/>
              </w:rPr>
              <w:t>6</w:t>
            </w:r>
            <w:r>
              <w:rPr>
                <w:color w:val="auto"/>
                <w:kern w:val="0"/>
                <w:sz w:val="24"/>
              </w:rPr>
              <w:t>0L/d定额计，</w:t>
            </w:r>
            <w:r>
              <w:rPr>
                <w:rFonts w:hint="eastAsia"/>
                <w:color w:val="auto"/>
                <w:kern w:val="0"/>
                <w:sz w:val="24"/>
              </w:rPr>
              <w:t>年工作300天，</w:t>
            </w:r>
            <w:r>
              <w:rPr>
                <w:color w:val="auto"/>
                <w:kern w:val="0"/>
                <w:sz w:val="24"/>
              </w:rPr>
              <w:t>则用水量为</w:t>
            </w:r>
            <w:r>
              <w:rPr>
                <w:rFonts w:hint="eastAsia"/>
                <w:color w:val="auto"/>
                <w:kern w:val="0"/>
                <w:sz w:val="24"/>
                <w:lang w:val="en-US" w:eastAsia="zh-CN"/>
              </w:rPr>
              <w:t>180</w:t>
            </w:r>
            <w:r>
              <w:rPr>
                <w:rFonts w:hint="eastAsia"/>
                <w:color w:val="auto"/>
                <w:kern w:val="0"/>
                <w:sz w:val="24"/>
              </w:rPr>
              <w:t>t/a</w:t>
            </w:r>
            <w:r>
              <w:rPr>
                <w:color w:val="auto"/>
                <w:kern w:val="0"/>
                <w:sz w:val="24"/>
              </w:rPr>
              <w:t>（</w:t>
            </w:r>
            <w:r>
              <w:rPr>
                <w:rFonts w:hint="eastAsia"/>
                <w:color w:val="auto"/>
                <w:kern w:val="0"/>
                <w:sz w:val="24"/>
                <w:lang w:val="en-US" w:eastAsia="zh-CN"/>
              </w:rPr>
              <w:t>0.6</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w:t>
            </w:r>
            <w:r>
              <w:rPr>
                <w:rFonts w:hint="eastAsia"/>
                <w:color w:val="auto"/>
                <w:kern w:val="0"/>
                <w:sz w:val="24"/>
              </w:rPr>
              <w:t>，则</w:t>
            </w:r>
            <w:r>
              <w:rPr>
                <w:color w:val="auto"/>
                <w:kern w:val="0"/>
                <w:sz w:val="24"/>
              </w:rPr>
              <w:t>生活</w:t>
            </w:r>
            <w:r>
              <w:rPr>
                <w:rFonts w:hint="eastAsia"/>
                <w:color w:val="auto"/>
                <w:kern w:val="0"/>
                <w:sz w:val="24"/>
              </w:rPr>
              <w:t>用水量为</w:t>
            </w:r>
            <w:r>
              <w:rPr>
                <w:rFonts w:hint="eastAsia"/>
                <w:color w:val="auto"/>
                <w:kern w:val="0"/>
                <w:sz w:val="24"/>
                <w:lang w:val="en-US" w:eastAsia="zh-CN"/>
              </w:rPr>
              <w:t>180</w:t>
            </w:r>
            <w:r>
              <w:rPr>
                <w:rFonts w:hint="eastAsia"/>
                <w:color w:val="auto"/>
                <w:kern w:val="0"/>
                <w:sz w:val="24"/>
              </w:rPr>
              <w:t>t/a</w:t>
            </w:r>
            <w:r>
              <w:rPr>
                <w:color w:val="auto"/>
                <w:kern w:val="0"/>
                <w:sz w:val="24"/>
              </w:rPr>
              <w:t>（</w:t>
            </w:r>
            <w:r>
              <w:rPr>
                <w:rFonts w:hint="eastAsia"/>
                <w:color w:val="auto"/>
                <w:kern w:val="0"/>
                <w:sz w:val="24"/>
                <w:lang w:val="en-US" w:eastAsia="zh-CN"/>
              </w:rPr>
              <w:t>0.6</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），污水排放量按用水量的80%计，则本项目</w:t>
            </w:r>
            <w:r>
              <w:rPr>
                <w:rFonts w:hint="eastAsia"/>
                <w:color w:val="auto"/>
                <w:kern w:val="0"/>
                <w:sz w:val="24"/>
              </w:rPr>
              <w:t>新增</w:t>
            </w:r>
            <w:r>
              <w:rPr>
                <w:color w:val="auto"/>
                <w:kern w:val="0"/>
                <w:sz w:val="24"/>
              </w:rPr>
              <w:t>生活污水排放总量为</w:t>
            </w:r>
            <w:r>
              <w:rPr>
                <w:rFonts w:hint="eastAsia"/>
                <w:color w:val="auto"/>
                <w:kern w:val="0"/>
                <w:sz w:val="24"/>
                <w:lang w:val="en-US" w:eastAsia="zh-CN"/>
              </w:rPr>
              <w:t>144</w:t>
            </w:r>
            <w:r>
              <w:rPr>
                <w:rFonts w:hint="eastAsia"/>
                <w:color w:val="auto"/>
                <w:kern w:val="0"/>
                <w:sz w:val="24"/>
              </w:rPr>
              <w:t>t/a</w:t>
            </w:r>
            <w:r>
              <w:rPr>
                <w:color w:val="auto"/>
                <w:kern w:val="0"/>
                <w:sz w:val="24"/>
              </w:rPr>
              <w:t>（</w:t>
            </w:r>
            <w:r>
              <w:rPr>
                <w:rFonts w:hint="eastAsia"/>
                <w:color w:val="auto"/>
                <w:kern w:val="0"/>
                <w:sz w:val="24"/>
                <w:lang w:val="en-US" w:eastAsia="zh-CN"/>
              </w:rPr>
              <w:t>0.48</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w:t>
            </w:r>
            <w:r>
              <w:rPr>
                <w:rFonts w:hint="eastAsia"/>
                <w:color w:val="auto"/>
                <w:kern w:val="0"/>
                <w:sz w:val="24"/>
              </w:rPr>
              <w:t>生活污水经化粪池处理后，通过地埋式污水处理</w:t>
            </w:r>
            <w:r>
              <w:rPr>
                <w:rFonts w:hint="eastAsia"/>
                <w:color w:val="auto"/>
                <w:kern w:val="0"/>
                <w:sz w:val="24"/>
                <w:lang w:val="en-US" w:eastAsia="zh-CN"/>
              </w:rPr>
              <w:t>设施</w:t>
            </w:r>
            <w:r>
              <w:rPr>
                <w:rFonts w:hint="eastAsia"/>
                <w:color w:val="auto"/>
                <w:kern w:val="0"/>
                <w:sz w:val="24"/>
              </w:rPr>
              <w:t>处理，处理后的废水用于厂区绿化灌溉。</w:t>
            </w:r>
          </w:p>
          <w:p w14:paraId="3788EA57">
            <w:pPr>
              <w:adjustRightInd w:val="0"/>
              <w:snapToGrid w:val="0"/>
              <w:spacing w:line="360" w:lineRule="auto"/>
              <w:ind w:firstLine="480" w:firstLineChars="200"/>
              <w:rPr>
                <w:rFonts w:hint="eastAsia"/>
                <w:color w:val="auto"/>
                <w:kern w:val="0"/>
                <w:sz w:val="24"/>
              </w:rPr>
            </w:pPr>
            <w:r>
              <w:rPr>
                <w:rFonts w:hint="eastAsia"/>
                <w:color w:val="auto"/>
                <w:kern w:val="0"/>
                <w:sz w:val="24"/>
                <w:lang w:val="en-US" w:eastAsia="zh-CN"/>
              </w:rPr>
              <w:t>②锅炉</w:t>
            </w:r>
            <w:r>
              <w:rPr>
                <w:rFonts w:hint="eastAsia"/>
                <w:color w:val="auto"/>
                <w:kern w:val="0"/>
                <w:sz w:val="24"/>
              </w:rPr>
              <w:t>用水</w:t>
            </w:r>
          </w:p>
          <w:p w14:paraId="4911FD4B">
            <w:pPr>
              <w:adjustRightInd w:val="0"/>
              <w:snapToGrid w:val="0"/>
              <w:spacing w:line="360" w:lineRule="auto"/>
              <w:ind w:firstLine="480" w:firstLineChars="200"/>
              <w:rPr>
                <w:color w:val="auto"/>
              </w:rPr>
            </w:pPr>
            <w:r>
              <w:rPr>
                <w:rFonts w:hint="eastAsia"/>
                <w:color w:val="auto"/>
                <w:kern w:val="0"/>
                <w:sz w:val="24"/>
              </w:rPr>
              <w:t>本项目锅炉全年满负荷运营时间为</w:t>
            </w:r>
            <w:r>
              <w:rPr>
                <w:rFonts w:hint="eastAsia"/>
                <w:color w:val="auto"/>
                <w:kern w:val="0"/>
                <w:sz w:val="24"/>
                <w:lang w:val="en-US" w:eastAsia="zh-CN"/>
              </w:rPr>
              <w:t>1200h</w:t>
            </w:r>
            <w:r>
              <w:rPr>
                <w:rFonts w:hint="eastAsia"/>
                <w:color w:val="auto"/>
                <w:kern w:val="0"/>
                <w:sz w:val="24"/>
              </w:rPr>
              <w:t>，则本项目总蒸汽产生量为</w:t>
            </w:r>
            <w:r>
              <w:rPr>
                <w:rFonts w:hint="eastAsia"/>
                <w:color w:val="auto"/>
                <w:kern w:val="0"/>
                <w:sz w:val="24"/>
                <w:lang w:val="en-US" w:eastAsia="zh-CN"/>
              </w:rPr>
              <w:t>24</w:t>
            </w:r>
            <w:r>
              <w:rPr>
                <w:rFonts w:hint="eastAsia"/>
                <w:color w:val="auto"/>
                <w:kern w:val="0"/>
                <w:sz w:val="24"/>
              </w:rPr>
              <w:t>t/d、</w:t>
            </w:r>
            <w:r>
              <w:rPr>
                <w:rFonts w:hint="eastAsia"/>
                <w:color w:val="auto"/>
                <w:kern w:val="0"/>
                <w:sz w:val="24"/>
                <w:lang w:val="en-US" w:eastAsia="zh-CN"/>
              </w:rPr>
              <w:t>7200</w:t>
            </w:r>
            <w:r>
              <w:rPr>
                <w:rFonts w:hint="eastAsia"/>
                <w:color w:val="auto"/>
                <w:kern w:val="0"/>
                <w:sz w:val="24"/>
              </w:rPr>
              <w:t>t/a。锅炉新鲜用水量主要包括锅炉蒸汽损失、锅炉排污损耗、管道汽水损耗。管道汽水损耗系数按蒸汽产生量的3%计，则管道汽水损耗量为0.</w:t>
            </w:r>
            <w:r>
              <w:rPr>
                <w:rFonts w:hint="eastAsia"/>
                <w:color w:val="auto"/>
                <w:kern w:val="0"/>
                <w:sz w:val="24"/>
                <w:lang w:val="en-US" w:eastAsia="zh-CN"/>
              </w:rPr>
              <w:t>72</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216</w:t>
            </w:r>
            <w:r>
              <w:rPr>
                <w:rFonts w:hint="eastAsia"/>
                <w:color w:val="auto"/>
                <w:kern w:val="0"/>
                <w:sz w:val="24"/>
              </w:rPr>
              <w:t>m</w:t>
            </w:r>
            <w:r>
              <w:rPr>
                <w:rFonts w:hint="eastAsia"/>
                <w:color w:val="auto"/>
                <w:kern w:val="0"/>
                <w:sz w:val="24"/>
                <w:vertAlign w:val="superscript"/>
              </w:rPr>
              <w:t>3</w:t>
            </w:r>
            <w:r>
              <w:rPr>
                <w:rFonts w:hint="eastAsia"/>
                <w:color w:val="auto"/>
                <w:kern w:val="0"/>
                <w:sz w:val="24"/>
              </w:rPr>
              <w:t>/a；锅炉排污损耗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）根据《排放源统计调查产排污核算方法和系数手册》中的4430锅炉产排污量核算系数手册</w:t>
            </w:r>
            <w:r>
              <w:rPr>
                <w:rFonts w:hint="eastAsia"/>
                <w:color w:val="auto"/>
                <w:kern w:val="0"/>
                <w:sz w:val="24"/>
                <w:lang w:val="en-US" w:eastAsia="zh-CN"/>
              </w:rPr>
              <w:t>生物质</w:t>
            </w:r>
            <w:r>
              <w:rPr>
                <w:rFonts w:hint="eastAsia"/>
                <w:color w:val="auto"/>
                <w:kern w:val="0"/>
                <w:sz w:val="24"/>
              </w:rPr>
              <w:t>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w:t>
            </w:r>
            <w:r>
              <w:rPr>
                <w:rFonts w:hint="eastAsia"/>
                <w:color w:val="auto"/>
                <w:kern w:val="0"/>
                <w:sz w:val="24"/>
                <w:lang w:val="en-US" w:eastAsia="zh-CN"/>
              </w:rPr>
              <w:t>系数为0.356t/t原料，项目生物质用量约1236t/a，</w:t>
            </w:r>
            <w:r>
              <w:rPr>
                <w:rFonts w:hint="eastAsia"/>
                <w:color w:val="auto"/>
                <w:kern w:val="0"/>
                <w:sz w:val="24"/>
              </w:rPr>
              <w:t>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w:t>
            </w:r>
            <w:r>
              <w:rPr>
                <w:rFonts w:hint="eastAsia"/>
                <w:color w:val="auto"/>
                <w:kern w:val="0"/>
                <w:sz w:val="24"/>
                <w:lang w:val="en-US" w:eastAsia="zh-CN"/>
              </w:rPr>
              <w:t>量</w:t>
            </w:r>
            <w:r>
              <w:rPr>
                <w:rFonts w:hint="eastAsia"/>
                <w:color w:val="auto"/>
                <w:kern w:val="0"/>
                <w:sz w:val="24"/>
              </w:rPr>
              <w:t>为</w:t>
            </w:r>
            <w:r>
              <w:rPr>
                <w:rFonts w:hint="eastAsia"/>
                <w:color w:val="auto"/>
                <w:kern w:val="0"/>
                <w:sz w:val="24"/>
                <w:lang w:val="en-US" w:eastAsia="zh-CN"/>
              </w:rPr>
              <w:t>1.4667</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440.01</w:t>
            </w:r>
            <w:r>
              <w:rPr>
                <w:rFonts w:hint="eastAsia"/>
                <w:color w:val="auto"/>
                <w:kern w:val="0"/>
                <w:sz w:val="24"/>
              </w:rPr>
              <w:t>m</w:t>
            </w:r>
            <w:r>
              <w:rPr>
                <w:rFonts w:hint="eastAsia"/>
                <w:color w:val="auto"/>
                <w:kern w:val="0"/>
                <w:sz w:val="24"/>
                <w:vertAlign w:val="superscript"/>
              </w:rPr>
              <w:t>3</w:t>
            </w:r>
            <w:r>
              <w:rPr>
                <w:rFonts w:hint="eastAsia"/>
                <w:color w:val="auto"/>
                <w:kern w:val="0"/>
                <w:sz w:val="24"/>
              </w:rPr>
              <w:t>/a。本项目生物质锅炉配备了封闭式蒸汽回收系统，通过加压装置将废蒸汽和高温冷凝水进行压缩，</w:t>
            </w:r>
            <w:r>
              <w:rPr>
                <w:rFonts w:hint="eastAsia"/>
                <w:color w:val="auto"/>
                <w:kern w:val="0"/>
                <w:sz w:val="24"/>
                <w:lang w:val="en-US" w:eastAsia="zh-CN"/>
              </w:rPr>
              <w:t>回到锅炉，</w:t>
            </w:r>
            <w:r>
              <w:rPr>
                <w:rFonts w:hint="eastAsia"/>
                <w:color w:val="auto"/>
                <w:kern w:val="0"/>
                <w:sz w:val="24"/>
              </w:rPr>
              <w:t>最终形成二次蒸汽再进行利用，如此循环。蒸汽损失约10%，即</w:t>
            </w:r>
            <w:r>
              <w:rPr>
                <w:rFonts w:hint="eastAsia"/>
                <w:color w:val="auto"/>
                <w:kern w:val="0"/>
                <w:sz w:val="24"/>
                <w:lang w:val="en-US" w:eastAsia="zh-CN"/>
              </w:rPr>
              <w:t>2.4</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720</w:t>
            </w:r>
            <w:r>
              <w:rPr>
                <w:rFonts w:hint="eastAsia"/>
                <w:color w:val="auto"/>
                <w:kern w:val="0"/>
                <w:sz w:val="24"/>
              </w:rPr>
              <w:t>m</w:t>
            </w:r>
            <w:r>
              <w:rPr>
                <w:rFonts w:hint="eastAsia"/>
                <w:color w:val="auto"/>
                <w:kern w:val="0"/>
                <w:sz w:val="24"/>
                <w:vertAlign w:val="superscript"/>
              </w:rPr>
              <w:t>3</w:t>
            </w:r>
            <w:r>
              <w:rPr>
                <w:rFonts w:hint="eastAsia"/>
                <w:color w:val="auto"/>
                <w:kern w:val="0"/>
                <w:sz w:val="24"/>
              </w:rPr>
              <w:t>/a。综上，项目锅炉新鲜用水量为</w:t>
            </w:r>
            <w:r>
              <w:rPr>
                <w:rFonts w:hint="eastAsia"/>
                <w:color w:val="auto"/>
                <w:kern w:val="0"/>
                <w:sz w:val="24"/>
                <w:lang w:val="en-US" w:eastAsia="zh-CN"/>
              </w:rPr>
              <w:t>4.5867</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1376.01</w:t>
            </w:r>
            <w:r>
              <w:rPr>
                <w:rFonts w:hint="eastAsia"/>
                <w:color w:val="auto"/>
                <w:kern w:val="0"/>
                <w:sz w:val="24"/>
              </w:rPr>
              <w:t>m</w:t>
            </w:r>
            <w:r>
              <w:rPr>
                <w:rFonts w:hint="eastAsia"/>
                <w:color w:val="auto"/>
                <w:kern w:val="0"/>
                <w:sz w:val="24"/>
                <w:vertAlign w:val="superscript"/>
              </w:rPr>
              <w:t>3</w:t>
            </w:r>
            <w:r>
              <w:rPr>
                <w:rFonts w:hint="eastAsia"/>
                <w:color w:val="auto"/>
                <w:kern w:val="0"/>
                <w:sz w:val="24"/>
              </w:rPr>
              <w:t>/a。</w:t>
            </w:r>
          </w:p>
          <w:p w14:paraId="56F0A16A">
            <w:pPr>
              <w:pStyle w:val="13"/>
              <w:spacing w:before="0" w:after="0" w:line="360" w:lineRule="auto"/>
              <w:ind w:right="0" w:firstLine="480" w:firstLineChars="200"/>
              <w:rPr>
                <w:color w:val="FF0000"/>
              </w:rPr>
            </w:pPr>
            <w:r>
              <w:rPr>
                <w:color w:val="auto"/>
                <w:sz w:val="24"/>
                <w:szCs w:val="24"/>
              </w:rPr>
              <w:t>本项目废水产生及排放排放情况见下表：</w:t>
            </w:r>
          </w:p>
        </w:tc>
      </w:tr>
    </w:tbl>
    <w:p w14:paraId="516F3822">
      <w:pPr>
        <w:pStyle w:val="16"/>
        <w:ind w:left="0" w:leftChars="0" w:firstLine="0" w:firstLineChars="0"/>
        <w:rPr>
          <w:color w:val="FF0000"/>
        </w:rPr>
        <w:sectPr>
          <w:pgSz w:w="11905" w:h="16838"/>
          <w:pgMar w:top="1417" w:right="1417" w:bottom="1417" w:left="1417" w:header="851" w:footer="850" w:gutter="0"/>
          <w:cols w:space="0" w:num="1"/>
          <w:docGrid w:linePitch="312" w:charSpace="0"/>
        </w:sectPr>
      </w:pPr>
    </w:p>
    <w:p w14:paraId="367CD897">
      <w:pPr>
        <w:rPr>
          <w:color w:val="FF0000"/>
        </w:rPr>
      </w:pPr>
    </w:p>
    <w:tbl>
      <w:tblPr>
        <w:tblStyle w:val="31"/>
        <w:tblW w:w="13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479"/>
      </w:tblGrid>
      <w:tr w14:paraId="5C46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4" w:hRule="atLeast"/>
          <w:jc w:val="center"/>
        </w:trPr>
        <w:tc>
          <w:tcPr>
            <w:tcW w:w="392" w:type="dxa"/>
            <w:vAlign w:val="center"/>
          </w:tcPr>
          <w:p w14:paraId="7E4AA695">
            <w:pPr>
              <w:jc w:val="center"/>
              <w:rPr>
                <w:color w:val="FF0000"/>
              </w:rPr>
            </w:pPr>
            <w:r>
              <w:rPr>
                <w:b/>
                <w:bCs/>
                <w:color w:val="auto"/>
                <w:sz w:val="24"/>
                <w:szCs w:val="32"/>
              </w:rPr>
              <w:t>运营期环境影响和保护措施</w:t>
            </w:r>
          </w:p>
        </w:tc>
        <w:tc>
          <w:tcPr>
            <w:tcW w:w="13479" w:type="dxa"/>
            <w:vAlign w:val="center"/>
          </w:tcPr>
          <w:p w14:paraId="292F8064">
            <w:pPr>
              <w:widowControl/>
              <w:adjustRightInd w:val="0"/>
              <w:snapToGrid w:val="0"/>
              <w:spacing w:line="360" w:lineRule="auto"/>
              <w:jc w:val="center"/>
              <w:rPr>
                <w:b/>
                <w:color w:val="auto"/>
                <w:kern w:val="0"/>
                <w:sz w:val="24"/>
              </w:rPr>
            </w:pPr>
            <w:r>
              <w:rPr>
                <w:b/>
                <w:color w:val="auto"/>
                <w:kern w:val="0"/>
                <w:sz w:val="24"/>
              </w:rPr>
              <w:t>表4-</w:t>
            </w:r>
            <w:r>
              <w:rPr>
                <w:rFonts w:hint="eastAsia"/>
                <w:b/>
                <w:color w:val="auto"/>
                <w:kern w:val="0"/>
                <w:sz w:val="24"/>
              </w:rPr>
              <w:t>12</w:t>
            </w:r>
            <w:r>
              <w:rPr>
                <w:b/>
                <w:color w:val="auto"/>
                <w:kern w:val="0"/>
                <w:sz w:val="24"/>
              </w:rPr>
              <w:t xml:space="preserve"> 本项目</w:t>
            </w:r>
            <w:r>
              <w:rPr>
                <w:rFonts w:hint="eastAsia"/>
                <w:b/>
                <w:color w:val="auto"/>
                <w:kern w:val="0"/>
                <w:sz w:val="24"/>
              </w:rPr>
              <w:t>外排</w:t>
            </w:r>
            <w:r>
              <w:rPr>
                <w:b/>
                <w:color w:val="auto"/>
                <w:kern w:val="0"/>
                <w:sz w:val="24"/>
              </w:rPr>
              <w:t>废水处理水质情况一览表</w:t>
            </w:r>
          </w:p>
          <w:tbl>
            <w:tblPr>
              <w:tblStyle w:val="3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724"/>
              <w:gridCol w:w="1176"/>
              <w:gridCol w:w="792"/>
              <w:gridCol w:w="877"/>
              <w:gridCol w:w="912"/>
              <w:gridCol w:w="670"/>
              <w:gridCol w:w="755"/>
              <w:gridCol w:w="744"/>
              <w:gridCol w:w="967"/>
              <w:gridCol w:w="834"/>
              <w:gridCol w:w="861"/>
              <w:gridCol w:w="960"/>
              <w:gridCol w:w="905"/>
              <w:gridCol w:w="979"/>
            </w:tblGrid>
            <w:tr w14:paraId="7417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Merge w:val="restart"/>
                  <w:shd w:val="clear" w:color="000000" w:fill="FFFFFF"/>
                  <w:noWrap w:val="0"/>
                  <w:vAlign w:val="center"/>
                </w:tcPr>
                <w:p w14:paraId="3E952CE4">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产污环节</w:t>
                  </w:r>
                </w:p>
              </w:tc>
              <w:tc>
                <w:tcPr>
                  <w:tcW w:w="273" w:type="pct"/>
                  <w:vMerge w:val="restart"/>
                  <w:shd w:val="clear" w:color="000000" w:fill="FFFFFF"/>
                  <w:noWrap w:val="0"/>
                  <w:vAlign w:val="center"/>
                </w:tcPr>
                <w:p w14:paraId="1E57B87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类别</w:t>
                  </w:r>
                </w:p>
              </w:tc>
              <w:tc>
                <w:tcPr>
                  <w:tcW w:w="444" w:type="pct"/>
                  <w:vMerge w:val="restart"/>
                  <w:shd w:val="clear" w:color="000000" w:fill="FFFFFF"/>
                  <w:noWrap w:val="0"/>
                  <w:vAlign w:val="center"/>
                </w:tcPr>
                <w:p w14:paraId="3F991A29">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污染物种类</w:t>
                  </w:r>
                </w:p>
              </w:tc>
              <w:tc>
                <w:tcPr>
                  <w:tcW w:w="974" w:type="pct"/>
                  <w:gridSpan w:val="3"/>
                  <w:shd w:val="clear" w:color="000000" w:fill="FFFFFF"/>
                  <w:noWrap w:val="0"/>
                  <w:vAlign w:val="center"/>
                </w:tcPr>
                <w:p w14:paraId="41A27C2E">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污染物产生情况</w:t>
                  </w:r>
                </w:p>
              </w:tc>
              <w:tc>
                <w:tcPr>
                  <w:tcW w:w="1184" w:type="pct"/>
                  <w:gridSpan w:val="4"/>
                  <w:shd w:val="clear" w:color="000000" w:fill="FFFFFF"/>
                  <w:noWrap w:val="0"/>
                  <w:vAlign w:val="center"/>
                </w:tcPr>
                <w:p w14:paraId="38D650B9">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主要污染治理设施</w:t>
                  </w:r>
                </w:p>
              </w:tc>
              <w:tc>
                <w:tcPr>
                  <w:tcW w:w="1002" w:type="pct"/>
                  <w:gridSpan w:val="3"/>
                  <w:shd w:val="clear" w:color="000000" w:fill="FFFFFF"/>
                  <w:noWrap w:val="0"/>
                  <w:vAlign w:val="center"/>
                </w:tcPr>
                <w:p w14:paraId="22A79A4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污染物排放情况</w:t>
                  </w:r>
                </w:p>
              </w:tc>
              <w:tc>
                <w:tcPr>
                  <w:tcW w:w="341" w:type="pct"/>
                  <w:vMerge w:val="restart"/>
                  <w:shd w:val="clear" w:color="000000" w:fill="FFFFFF"/>
                  <w:noWrap w:val="0"/>
                  <w:vAlign w:val="center"/>
                </w:tcPr>
                <w:p w14:paraId="654CACD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排放口编号</w:t>
                  </w:r>
                </w:p>
              </w:tc>
              <w:tc>
                <w:tcPr>
                  <w:tcW w:w="369" w:type="pct"/>
                  <w:shd w:val="clear" w:color="000000" w:fill="FFFFFF"/>
                  <w:noWrap w:val="0"/>
                  <w:vAlign w:val="center"/>
                </w:tcPr>
                <w:p w14:paraId="52DCE8A6">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排放标准</w:t>
                  </w:r>
                </w:p>
              </w:tc>
            </w:tr>
            <w:tr w14:paraId="5B34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Merge w:val="continue"/>
                  <w:shd w:val="clear" w:color="auto" w:fill="FFFFFF"/>
                  <w:noWrap w:val="0"/>
                  <w:vAlign w:val="center"/>
                </w:tcPr>
                <w:p w14:paraId="2D4B32C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273" w:type="pct"/>
                  <w:vMerge w:val="continue"/>
                  <w:shd w:val="clear" w:color="auto" w:fill="FFFFFF"/>
                  <w:noWrap w:val="0"/>
                  <w:vAlign w:val="center"/>
                </w:tcPr>
                <w:p w14:paraId="033ED9DD">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444" w:type="pct"/>
                  <w:vMerge w:val="continue"/>
                  <w:shd w:val="clear" w:color="auto" w:fill="FFFFFF"/>
                  <w:noWrap w:val="0"/>
                  <w:vAlign w:val="center"/>
                </w:tcPr>
                <w:p w14:paraId="060E6B29">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299" w:type="pct"/>
                  <w:shd w:val="clear" w:color="000000" w:fill="FFFFFF"/>
                  <w:noWrap w:val="0"/>
                  <w:vAlign w:val="center"/>
                </w:tcPr>
                <w:p w14:paraId="74E9E4C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废水产生量</w:t>
                  </w:r>
                  <w:r>
                    <w:rPr>
                      <w:rFonts w:hint="eastAsia" w:cs="Times New Roman"/>
                      <w:color w:val="auto"/>
                      <w:kern w:val="0"/>
                      <w:szCs w:val="21"/>
                      <w:lang w:val="en-US" w:eastAsia="zh-CN"/>
                    </w:rPr>
                    <w:t>t</w:t>
                  </w:r>
                  <w:r>
                    <w:rPr>
                      <w:rFonts w:hint="default" w:ascii="Times New Roman" w:hAnsi="Times New Roman" w:cs="Times New Roman"/>
                      <w:color w:val="auto"/>
                      <w:kern w:val="0"/>
                      <w:szCs w:val="21"/>
                    </w:rPr>
                    <w:t>/a</w:t>
                  </w:r>
                </w:p>
              </w:tc>
              <w:tc>
                <w:tcPr>
                  <w:tcW w:w="331" w:type="pct"/>
                  <w:shd w:val="clear" w:color="000000" w:fill="FFFFFF"/>
                  <w:noWrap w:val="0"/>
                  <w:vAlign w:val="center"/>
                </w:tcPr>
                <w:p w14:paraId="65004BDB">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产生浓度mg/L</w:t>
                  </w:r>
                </w:p>
              </w:tc>
              <w:tc>
                <w:tcPr>
                  <w:tcW w:w="344" w:type="pct"/>
                  <w:shd w:val="clear" w:color="000000" w:fill="FFFFFF"/>
                  <w:noWrap w:val="0"/>
                  <w:vAlign w:val="center"/>
                </w:tcPr>
                <w:p w14:paraId="7ADF6AE6">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产生量t/a</w:t>
                  </w:r>
                </w:p>
              </w:tc>
              <w:tc>
                <w:tcPr>
                  <w:tcW w:w="253" w:type="pct"/>
                  <w:shd w:val="clear" w:color="000000" w:fill="FFFFFF"/>
                  <w:noWrap w:val="0"/>
                  <w:vAlign w:val="center"/>
                </w:tcPr>
                <w:p w14:paraId="64D0271C">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处理工艺</w:t>
                  </w:r>
                </w:p>
              </w:tc>
              <w:tc>
                <w:tcPr>
                  <w:tcW w:w="285" w:type="pct"/>
                  <w:shd w:val="clear" w:color="000000" w:fill="FFFFFF"/>
                  <w:noWrap w:val="0"/>
                  <w:vAlign w:val="center"/>
                </w:tcPr>
                <w:p w14:paraId="312CDA4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处理能力</w:t>
                  </w:r>
                  <w:r>
                    <w:rPr>
                      <w:rFonts w:hint="eastAsia" w:cs="Times New Roman"/>
                      <w:color w:val="auto"/>
                      <w:kern w:val="0"/>
                      <w:szCs w:val="21"/>
                      <w:lang w:val="en-US" w:eastAsia="zh-CN"/>
                    </w:rPr>
                    <w:t>t</w:t>
                  </w:r>
                  <w:r>
                    <w:rPr>
                      <w:rFonts w:hint="default" w:ascii="Times New Roman" w:hAnsi="Times New Roman" w:cs="Times New Roman"/>
                      <w:color w:val="auto"/>
                      <w:kern w:val="0"/>
                      <w:szCs w:val="21"/>
                    </w:rPr>
                    <w:t>/d</w:t>
                  </w:r>
                </w:p>
              </w:tc>
              <w:tc>
                <w:tcPr>
                  <w:tcW w:w="280" w:type="pct"/>
                  <w:shd w:val="clear" w:color="000000" w:fill="FFFFFF"/>
                  <w:noWrap w:val="0"/>
                  <w:vAlign w:val="center"/>
                </w:tcPr>
                <w:p w14:paraId="3F813CFA">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治理效率%</w:t>
                  </w:r>
                </w:p>
              </w:tc>
              <w:tc>
                <w:tcPr>
                  <w:tcW w:w="365" w:type="pct"/>
                  <w:shd w:val="clear" w:color="000000" w:fill="FFFFFF"/>
                  <w:noWrap w:val="0"/>
                  <w:vAlign w:val="center"/>
                </w:tcPr>
                <w:p w14:paraId="31DB3A7A">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是否为可行技术</w:t>
                  </w:r>
                </w:p>
              </w:tc>
              <w:tc>
                <w:tcPr>
                  <w:tcW w:w="314" w:type="pct"/>
                  <w:shd w:val="clear" w:color="000000" w:fill="FFFFFF"/>
                  <w:noWrap w:val="0"/>
                  <w:vAlign w:val="center"/>
                </w:tcPr>
                <w:p w14:paraId="5DC9A34A">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废水排放量</w:t>
                  </w:r>
                  <w:r>
                    <w:rPr>
                      <w:rFonts w:hint="eastAsia" w:cs="Times New Roman"/>
                      <w:color w:val="auto"/>
                      <w:kern w:val="0"/>
                      <w:szCs w:val="21"/>
                      <w:lang w:val="en-US" w:eastAsia="zh-CN"/>
                    </w:rPr>
                    <w:t>t</w:t>
                  </w:r>
                  <w:r>
                    <w:rPr>
                      <w:rFonts w:hint="default" w:ascii="Times New Roman" w:hAnsi="Times New Roman" w:cs="Times New Roman"/>
                      <w:color w:val="auto"/>
                      <w:kern w:val="0"/>
                      <w:szCs w:val="21"/>
                    </w:rPr>
                    <w:t>/a</w:t>
                  </w:r>
                </w:p>
              </w:tc>
              <w:tc>
                <w:tcPr>
                  <w:tcW w:w="325" w:type="pct"/>
                  <w:shd w:val="clear" w:color="000000" w:fill="FFFFFF"/>
                  <w:noWrap w:val="0"/>
                  <w:vAlign w:val="center"/>
                </w:tcPr>
                <w:p w14:paraId="5CB4361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排放浓度mg/</w:t>
                  </w:r>
                  <w:r>
                    <w:rPr>
                      <w:rFonts w:hint="default" w:ascii="Times New Roman" w:hAnsi="Times New Roman" w:cs="Times New Roman"/>
                      <w:color w:val="auto"/>
                      <w:kern w:val="0"/>
                      <w:szCs w:val="21"/>
                      <w:lang w:val="en-US" w:eastAsia="zh-CN"/>
                    </w:rPr>
                    <w:t>L</w:t>
                  </w:r>
                </w:p>
              </w:tc>
              <w:tc>
                <w:tcPr>
                  <w:tcW w:w="362" w:type="pct"/>
                  <w:shd w:val="clear" w:color="000000" w:fill="FFFFFF"/>
                  <w:noWrap w:val="0"/>
                  <w:vAlign w:val="center"/>
                </w:tcPr>
                <w:p w14:paraId="2568F1DE">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排放量t/a</w:t>
                  </w:r>
                </w:p>
              </w:tc>
              <w:tc>
                <w:tcPr>
                  <w:tcW w:w="341" w:type="pct"/>
                  <w:vMerge w:val="continue"/>
                  <w:shd w:val="clear" w:color="auto" w:fill="FFFFFF"/>
                  <w:noWrap w:val="0"/>
                  <w:vAlign w:val="center"/>
                </w:tcPr>
                <w:p w14:paraId="2C50224A">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369" w:type="pct"/>
                  <w:shd w:val="clear" w:color="000000" w:fill="FFFFFF"/>
                  <w:noWrap w:val="0"/>
                  <w:vAlign w:val="center"/>
                </w:tcPr>
                <w:p w14:paraId="7DBE9629">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浓度限值mg/L</w:t>
                  </w:r>
                </w:p>
              </w:tc>
            </w:tr>
            <w:tr w14:paraId="44A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09" w:type="pct"/>
                  <w:vMerge w:val="restart"/>
                  <w:shd w:val="clear" w:color="auto" w:fill="FFFFFF"/>
                  <w:noWrap/>
                  <w:vAlign w:val="center"/>
                </w:tcPr>
                <w:p w14:paraId="1FD3DC3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办公生活</w:t>
                  </w:r>
                </w:p>
              </w:tc>
              <w:tc>
                <w:tcPr>
                  <w:tcW w:w="273" w:type="pct"/>
                  <w:vMerge w:val="restart"/>
                  <w:shd w:val="clear" w:color="auto" w:fill="FFFFFF"/>
                  <w:noWrap/>
                  <w:vAlign w:val="center"/>
                </w:tcPr>
                <w:p w14:paraId="6E2A9C3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cs="Times New Roman"/>
                      <w:color w:val="auto"/>
                      <w:kern w:val="0"/>
                      <w:sz w:val="22"/>
                      <w:szCs w:val="22"/>
                    </w:rPr>
                    <w:t>生活污水</w:t>
                  </w:r>
                </w:p>
              </w:tc>
              <w:tc>
                <w:tcPr>
                  <w:tcW w:w="444" w:type="pct"/>
                  <w:shd w:val="clear" w:color="auto" w:fill="FFFFFF"/>
                  <w:noWrap w:val="0"/>
                  <w:vAlign w:val="center"/>
                </w:tcPr>
                <w:p w14:paraId="3772C80E">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COD</w:t>
                  </w:r>
                </w:p>
              </w:tc>
              <w:tc>
                <w:tcPr>
                  <w:tcW w:w="299" w:type="pct"/>
                  <w:vMerge w:val="restart"/>
                  <w:shd w:val="clear" w:color="auto" w:fill="FFFFFF"/>
                  <w:noWrap w:val="0"/>
                  <w:vAlign w:val="center"/>
                </w:tcPr>
                <w:p w14:paraId="1EF0196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144</w:t>
                  </w:r>
                </w:p>
              </w:tc>
              <w:tc>
                <w:tcPr>
                  <w:tcW w:w="331" w:type="pct"/>
                  <w:shd w:val="clear" w:color="auto" w:fill="FFFFFF"/>
                  <w:noWrap w:val="0"/>
                  <w:vAlign w:val="center"/>
                </w:tcPr>
                <w:p w14:paraId="6D89388A">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300</w:t>
                  </w:r>
                </w:p>
              </w:tc>
              <w:tc>
                <w:tcPr>
                  <w:tcW w:w="344" w:type="pct"/>
                  <w:shd w:val="clear" w:color="auto" w:fill="FFFFFF"/>
                  <w:noWrap/>
                  <w:vAlign w:val="center"/>
                </w:tcPr>
                <w:p w14:paraId="292B9D33">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eastAsia="等线" w:cs="Times New Roman"/>
                      <w:i w:val="0"/>
                      <w:color w:val="auto"/>
                      <w:kern w:val="0"/>
                      <w:sz w:val="21"/>
                      <w:szCs w:val="21"/>
                      <w:u w:val="none"/>
                      <w:lang w:val="en-US" w:eastAsia="zh-CN" w:bidi="ar"/>
                    </w:rPr>
                    <w:t>0.0432</w:t>
                  </w:r>
                </w:p>
              </w:tc>
              <w:tc>
                <w:tcPr>
                  <w:tcW w:w="253" w:type="pct"/>
                  <w:vMerge w:val="restart"/>
                  <w:shd w:val="clear" w:color="auto" w:fill="FFFFFF"/>
                  <w:noWrap w:val="0"/>
                  <w:vAlign w:val="center"/>
                </w:tcPr>
                <w:p w14:paraId="4FBC056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cs="Times New Roman"/>
                      <w:color w:val="auto"/>
                      <w:kern w:val="0"/>
                      <w:sz w:val="22"/>
                      <w:szCs w:val="22"/>
                    </w:rPr>
                    <w:t>化粪池</w:t>
                  </w:r>
                  <w:r>
                    <w:rPr>
                      <w:rFonts w:hint="eastAsia" w:cs="Times New Roman"/>
                      <w:color w:val="auto"/>
                      <w:kern w:val="0"/>
                      <w:sz w:val="22"/>
                      <w:szCs w:val="22"/>
                      <w:lang w:val="en-US" w:eastAsia="zh-CN"/>
                    </w:rPr>
                    <w:t>+地埋式污水处理设施</w:t>
                  </w:r>
                </w:p>
              </w:tc>
              <w:tc>
                <w:tcPr>
                  <w:tcW w:w="285" w:type="pct"/>
                  <w:vMerge w:val="restart"/>
                  <w:shd w:val="clear" w:color="auto" w:fill="FFFFFF"/>
                  <w:noWrap/>
                  <w:vAlign w:val="center"/>
                </w:tcPr>
                <w:p w14:paraId="1A7EB75E">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2</w:t>
                  </w:r>
                </w:p>
              </w:tc>
              <w:tc>
                <w:tcPr>
                  <w:tcW w:w="280" w:type="pct"/>
                  <w:shd w:val="clear" w:color="auto" w:fill="FFFFFF"/>
                  <w:noWrap/>
                  <w:vAlign w:val="center"/>
                </w:tcPr>
                <w:p w14:paraId="7EF3E30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w:t>
                  </w:r>
                </w:p>
              </w:tc>
              <w:tc>
                <w:tcPr>
                  <w:tcW w:w="365" w:type="pct"/>
                  <w:vMerge w:val="restart"/>
                  <w:shd w:val="clear" w:color="auto" w:fill="FFFFFF"/>
                  <w:noWrap/>
                  <w:vAlign w:val="center"/>
                </w:tcPr>
                <w:p w14:paraId="0C1A94A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w:t>
                  </w:r>
                </w:p>
              </w:tc>
              <w:tc>
                <w:tcPr>
                  <w:tcW w:w="314" w:type="pct"/>
                  <w:vMerge w:val="restart"/>
                  <w:shd w:val="clear" w:color="auto" w:fill="FFFFFF"/>
                  <w:noWrap/>
                  <w:vAlign w:val="center"/>
                </w:tcPr>
                <w:p w14:paraId="3436CADB">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0</w:t>
                  </w:r>
                </w:p>
              </w:tc>
              <w:tc>
                <w:tcPr>
                  <w:tcW w:w="325" w:type="pct"/>
                  <w:shd w:val="clear" w:color="auto" w:fill="FFFFFF"/>
                  <w:noWrap/>
                  <w:vAlign w:val="center"/>
                </w:tcPr>
                <w:p w14:paraId="620FCE13">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62" w:type="pct"/>
                  <w:shd w:val="clear" w:color="auto" w:fill="FFFFFF"/>
                  <w:noWrap/>
                  <w:vAlign w:val="center"/>
                </w:tcPr>
                <w:p w14:paraId="44A27F22">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41" w:type="pct"/>
                  <w:vMerge w:val="restart"/>
                  <w:shd w:val="clear" w:color="auto" w:fill="FFFFFF"/>
                  <w:noWrap/>
                  <w:vAlign w:val="center"/>
                </w:tcPr>
                <w:p w14:paraId="1E4196D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w:t>
                  </w:r>
                </w:p>
              </w:tc>
              <w:tc>
                <w:tcPr>
                  <w:tcW w:w="369" w:type="pct"/>
                  <w:shd w:val="clear" w:color="auto" w:fill="FFFFFF"/>
                  <w:noWrap/>
                  <w:vAlign w:val="center"/>
                </w:tcPr>
                <w:p w14:paraId="190DF8B7">
                  <w:pPr>
                    <w:widowControl/>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14:paraId="26CC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09" w:type="pct"/>
                  <w:vMerge w:val="continue"/>
                  <w:shd w:val="clear" w:color="auto" w:fill="FFFFFF"/>
                  <w:noWrap w:val="0"/>
                  <w:vAlign w:val="center"/>
                </w:tcPr>
                <w:p w14:paraId="1A1C9C6C">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73" w:type="pct"/>
                  <w:vMerge w:val="continue"/>
                  <w:shd w:val="clear" w:color="auto" w:fill="FFFFFF"/>
                  <w:noWrap w:val="0"/>
                  <w:vAlign w:val="center"/>
                </w:tcPr>
                <w:p w14:paraId="181E4E56">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444" w:type="pct"/>
                  <w:shd w:val="clear" w:color="auto" w:fill="FFFFFF"/>
                  <w:noWrap w:val="0"/>
                  <w:vAlign w:val="center"/>
                </w:tcPr>
                <w:p w14:paraId="17B6393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BOD</w:t>
                  </w:r>
                  <w:r>
                    <w:rPr>
                      <w:rFonts w:hint="default" w:ascii="Times New Roman" w:hAnsi="Times New Roman" w:cs="Times New Roman"/>
                      <w:color w:val="auto"/>
                      <w:kern w:val="0"/>
                      <w:szCs w:val="21"/>
                      <w:vertAlign w:val="subscript"/>
                    </w:rPr>
                    <w:t>5</w:t>
                  </w:r>
                </w:p>
              </w:tc>
              <w:tc>
                <w:tcPr>
                  <w:tcW w:w="299" w:type="pct"/>
                  <w:vMerge w:val="continue"/>
                  <w:shd w:val="clear" w:color="auto" w:fill="FFFFFF"/>
                  <w:noWrap w:val="0"/>
                  <w:vAlign w:val="center"/>
                </w:tcPr>
                <w:p w14:paraId="6E0B2BD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331" w:type="pct"/>
                  <w:shd w:val="clear" w:color="auto" w:fill="FFFFFF"/>
                  <w:noWrap w:val="0"/>
                  <w:vAlign w:val="center"/>
                </w:tcPr>
                <w:p w14:paraId="13DEC944">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135</w:t>
                  </w:r>
                </w:p>
              </w:tc>
              <w:tc>
                <w:tcPr>
                  <w:tcW w:w="344" w:type="pct"/>
                  <w:shd w:val="clear" w:color="auto" w:fill="FFFFFF"/>
                  <w:noWrap/>
                  <w:vAlign w:val="center"/>
                </w:tcPr>
                <w:p w14:paraId="6C31EE9C">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eastAsia="等线" w:cs="Times New Roman"/>
                      <w:i w:val="0"/>
                      <w:color w:val="auto"/>
                      <w:kern w:val="0"/>
                      <w:sz w:val="21"/>
                      <w:szCs w:val="21"/>
                      <w:u w:val="none"/>
                      <w:lang w:val="en-US" w:eastAsia="zh-CN" w:bidi="ar"/>
                    </w:rPr>
                    <w:t>0.0194</w:t>
                  </w:r>
                </w:p>
              </w:tc>
              <w:tc>
                <w:tcPr>
                  <w:tcW w:w="253" w:type="pct"/>
                  <w:vMerge w:val="continue"/>
                  <w:shd w:val="clear" w:color="auto" w:fill="FFFFFF"/>
                  <w:noWrap w:val="0"/>
                  <w:vAlign w:val="center"/>
                </w:tcPr>
                <w:p w14:paraId="2965B8B5">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5" w:type="pct"/>
                  <w:vMerge w:val="continue"/>
                  <w:shd w:val="clear" w:color="auto" w:fill="FFFFFF"/>
                  <w:noWrap w:val="0"/>
                  <w:vAlign w:val="center"/>
                </w:tcPr>
                <w:p w14:paraId="18F4B2F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0" w:type="pct"/>
                  <w:shd w:val="clear" w:color="auto" w:fill="FFFFFF"/>
                  <w:noWrap/>
                  <w:vAlign w:val="center"/>
                </w:tcPr>
                <w:p w14:paraId="5869EF3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w:t>
                  </w:r>
                </w:p>
              </w:tc>
              <w:tc>
                <w:tcPr>
                  <w:tcW w:w="365" w:type="pct"/>
                  <w:vMerge w:val="continue"/>
                  <w:shd w:val="clear" w:color="auto" w:fill="FFFFFF"/>
                  <w:noWrap w:val="0"/>
                  <w:vAlign w:val="center"/>
                </w:tcPr>
                <w:p w14:paraId="100E07D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14" w:type="pct"/>
                  <w:vMerge w:val="continue"/>
                  <w:shd w:val="clear" w:color="auto" w:fill="FFFFFF"/>
                  <w:noWrap w:val="0"/>
                  <w:vAlign w:val="center"/>
                </w:tcPr>
                <w:p w14:paraId="41590E8D">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25" w:type="pct"/>
                  <w:shd w:val="clear" w:color="auto" w:fill="FFFFFF"/>
                  <w:noWrap/>
                  <w:vAlign w:val="center"/>
                </w:tcPr>
                <w:p w14:paraId="7C53BEC6">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62" w:type="pct"/>
                  <w:shd w:val="clear" w:color="auto" w:fill="FFFFFF"/>
                  <w:noWrap/>
                  <w:vAlign w:val="center"/>
                </w:tcPr>
                <w:p w14:paraId="4147198D">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41" w:type="pct"/>
                  <w:vMerge w:val="continue"/>
                  <w:shd w:val="clear" w:color="auto" w:fill="FFFFFF"/>
                  <w:noWrap/>
                  <w:vAlign w:val="center"/>
                </w:tcPr>
                <w:p w14:paraId="5554D76F">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69" w:type="pct"/>
                  <w:shd w:val="clear" w:color="auto" w:fill="FFFFFF"/>
                  <w:noWrap/>
                  <w:vAlign w:val="center"/>
                </w:tcPr>
                <w:p w14:paraId="317C42DC">
                  <w:pPr>
                    <w:widowControl/>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14:paraId="10A2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shd w:val="clear" w:color="auto" w:fill="FFFFFF"/>
                  <w:noWrap w:val="0"/>
                  <w:vAlign w:val="center"/>
                </w:tcPr>
                <w:p w14:paraId="441345A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73" w:type="pct"/>
                  <w:vMerge w:val="continue"/>
                  <w:shd w:val="clear" w:color="auto" w:fill="FFFFFF"/>
                  <w:noWrap w:val="0"/>
                  <w:vAlign w:val="center"/>
                </w:tcPr>
                <w:p w14:paraId="6FBA0BE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444" w:type="pct"/>
                  <w:shd w:val="clear" w:color="auto" w:fill="FFFFFF"/>
                  <w:noWrap w:val="0"/>
                  <w:vAlign w:val="center"/>
                </w:tcPr>
                <w:p w14:paraId="5B3E863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SS</w:t>
                  </w:r>
                </w:p>
              </w:tc>
              <w:tc>
                <w:tcPr>
                  <w:tcW w:w="299" w:type="pct"/>
                  <w:vMerge w:val="continue"/>
                  <w:shd w:val="clear" w:color="auto" w:fill="FFFFFF"/>
                  <w:noWrap w:val="0"/>
                  <w:vAlign w:val="center"/>
                </w:tcPr>
                <w:p w14:paraId="1015B92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331" w:type="pct"/>
                  <w:shd w:val="clear" w:color="auto" w:fill="FFFFFF"/>
                  <w:noWrap w:val="0"/>
                  <w:vAlign w:val="center"/>
                </w:tcPr>
                <w:p w14:paraId="7EE95A42">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cs="Times New Roman"/>
                      <w:color w:val="auto"/>
                      <w:szCs w:val="21"/>
                      <w:lang w:val="en-US"/>
                    </w:rPr>
                  </w:pPr>
                  <w:r>
                    <w:rPr>
                      <w:rFonts w:hint="eastAsia" w:cs="Times New Roman"/>
                      <w:color w:val="auto"/>
                      <w:szCs w:val="21"/>
                      <w:lang w:val="en-US" w:eastAsia="zh-CN"/>
                    </w:rPr>
                    <w:t>200</w:t>
                  </w:r>
                </w:p>
              </w:tc>
              <w:tc>
                <w:tcPr>
                  <w:tcW w:w="344" w:type="pct"/>
                  <w:shd w:val="clear" w:color="auto" w:fill="FFFFFF"/>
                  <w:noWrap/>
                  <w:vAlign w:val="center"/>
                </w:tcPr>
                <w:p w14:paraId="2AFFA277">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eastAsia="等线" w:cs="Times New Roman"/>
                      <w:i w:val="0"/>
                      <w:color w:val="auto"/>
                      <w:kern w:val="0"/>
                      <w:sz w:val="21"/>
                      <w:szCs w:val="21"/>
                      <w:u w:val="none"/>
                      <w:lang w:val="en-US" w:eastAsia="zh-CN" w:bidi="ar"/>
                    </w:rPr>
                    <w:t>0.0288</w:t>
                  </w:r>
                </w:p>
              </w:tc>
              <w:tc>
                <w:tcPr>
                  <w:tcW w:w="253" w:type="pct"/>
                  <w:vMerge w:val="continue"/>
                  <w:shd w:val="clear" w:color="auto" w:fill="FFFFFF"/>
                  <w:noWrap w:val="0"/>
                  <w:vAlign w:val="center"/>
                </w:tcPr>
                <w:p w14:paraId="134FFE42">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5" w:type="pct"/>
                  <w:vMerge w:val="continue"/>
                  <w:shd w:val="clear" w:color="auto" w:fill="FFFFFF"/>
                  <w:noWrap w:val="0"/>
                  <w:vAlign w:val="center"/>
                </w:tcPr>
                <w:p w14:paraId="08D9D57A">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0" w:type="pct"/>
                  <w:shd w:val="clear" w:color="auto" w:fill="FFFFFF"/>
                  <w:noWrap/>
                  <w:vAlign w:val="center"/>
                </w:tcPr>
                <w:p w14:paraId="721A091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30</w:t>
                  </w:r>
                </w:p>
              </w:tc>
              <w:tc>
                <w:tcPr>
                  <w:tcW w:w="365" w:type="pct"/>
                  <w:vMerge w:val="continue"/>
                  <w:shd w:val="clear" w:color="auto" w:fill="FFFFFF"/>
                  <w:noWrap w:val="0"/>
                  <w:vAlign w:val="center"/>
                </w:tcPr>
                <w:p w14:paraId="56B82D1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14" w:type="pct"/>
                  <w:vMerge w:val="continue"/>
                  <w:shd w:val="clear" w:color="auto" w:fill="FFFFFF"/>
                  <w:noWrap w:val="0"/>
                  <w:vAlign w:val="center"/>
                </w:tcPr>
                <w:p w14:paraId="531741AB">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25" w:type="pct"/>
                  <w:shd w:val="clear" w:color="auto" w:fill="FFFFFF"/>
                  <w:noWrap/>
                  <w:vAlign w:val="center"/>
                </w:tcPr>
                <w:p w14:paraId="303A4FBD">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62" w:type="pct"/>
                  <w:shd w:val="clear" w:color="auto" w:fill="FFFFFF"/>
                  <w:noWrap/>
                  <w:vAlign w:val="center"/>
                </w:tcPr>
                <w:p w14:paraId="11430815">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41" w:type="pct"/>
                  <w:vMerge w:val="continue"/>
                  <w:shd w:val="clear" w:color="auto" w:fill="FFFFFF"/>
                  <w:noWrap/>
                  <w:vAlign w:val="center"/>
                </w:tcPr>
                <w:p w14:paraId="14854F14">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69" w:type="pct"/>
                  <w:shd w:val="clear" w:color="auto" w:fill="FFFFFF"/>
                  <w:noWrap/>
                  <w:vAlign w:val="center"/>
                </w:tcPr>
                <w:p w14:paraId="61486378">
                  <w:pPr>
                    <w:widowControl/>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14:paraId="7762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Merge w:val="continue"/>
                  <w:shd w:val="clear" w:color="auto" w:fill="FFFFFF"/>
                  <w:noWrap w:val="0"/>
                  <w:vAlign w:val="center"/>
                </w:tcPr>
                <w:p w14:paraId="4D1EA6D4">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73" w:type="pct"/>
                  <w:vMerge w:val="continue"/>
                  <w:shd w:val="clear" w:color="auto" w:fill="FFFFFF"/>
                  <w:noWrap w:val="0"/>
                  <w:vAlign w:val="center"/>
                </w:tcPr>
                <w:p w14:paraId="4E3FBD1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444" w:type="pct"/>
                  <w:shd w:val="clear" w:color="auto" w:fill="FFFFFF"/>
                  <w:noWrap w:val="0"/>
                  <w:vAlign w:val="center"/>
                </w:tcPr>
                <w:p w14:paraId="49FBD1DB">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氨氮</w:t>
                  </w:r>
                </w:p>
              </w:tc>
              <w:tc>
                <w:tcPr>
                  <w:tcW w:w="299" w:type="pct"/>
                  <w:vMerge w:val="continue"/>
                  <w:shd w:val="clear" w:color="auto" w:fill="FFFFFF"/>
                  <w:noWrap w:val="0"/>
                  <w:vAlign w:val="center"/>
                </w:tcPr>
                <w:p w14:paraId="62A142A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331" w:type="pct"/>
                  <w:shd w:val="clear" w:color="auto" w:fill="FFFFFF"/>
                  <w:noWrap w:val="0"/>
                  <w:vAlign w:val="center"/>
                </w:tcPr>
                <w:p w14:paraId="262C3517">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35</w:t>
                  </w:r>
                </w:p>
              </w:tc>
              <w:tc>
                <w:tcPr>
                  <w:tcW w:w="344" w:type="pct"/>
                  <w:shd w:val="clear" w:color="auto" w:fill="FFFFFF"/>
                  <w:noWrap/>
                  <w:vAlign w:val="center"/>
                </w:tcPr>
                <w:p w14:paraId="7EFC70A5">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eastAsia="等线" w:cs="Times New Roman"/>
                      <w:i w:val="0"/>
                      <w:color w:val="auto"/>
                      <w:kern w:val="0"/>
                      <w:sz w:val="21"/>
                      <w:szCs w:val="21"/>
                      <w:u w:val="none"/>
                      <w:lang w:val="en-US" w:eastAsia="zh-CN" w:bidi="ar"/>
                    </w:rPr>
                    <w:t>0.00504</w:t>
                  </w:r>
                </w:p>
              </w:tc>
              <w:tc>
                <w:tcPr>
                  <w:tcW w:w="253" w:type="pct"/>
                  <w:vMerge w:val="continue"/>
                  <w:shd w:val="clear" w:color="auto" w:fill="FFFFFF"/>
                  <w:noWrap w:val="0"/>
                  <w:vAlign w:val="center"/>
                </w:tcPr>
                <w:p w14:paraId="60EC8CA5">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5" w:type="pct"/>
                  <w:vMerge w:val="continue"/>
                  <w:shd w:val="clear" w:color="auto" w:fill="FFFFFF"/>
                  <w:noWrap w:val="0"/>
                  <w:vAlign w:val="center"/>
                </w:tcPr>
                <w:p w14:paraId="17FBDEED">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0" w:type="pct"/>
                  <w:shd w:val="clear" w:color="auto" w:fill="FFFFFF"/>
                  <w:noWrap/>
                  <w:vAlign w:val="center"/>
                </w:tcPr>
                <w:p w14:paraId="67DDCC43">
                  <w:pPr>
                    <w:keepNext w:val="0"/>
                    <w:keepLines w:val="0"/>
                    <w:pageBreakBefore w:val="0"/>
                    <w:widowControl/>
                    <w:kinsoku/>
                    <w:wordWrap/>
                    <w:overflowPunct/>
                    <w:topLinePunct w:val="0"/>
                    <w:autoSpaceDE/>
                    <w:autoSpaceDN/>
                    <w:bidi w:val="0"/>
                    <w:ind w:left="0" w:leftChars="0" w:right="0" w:rightChars="0"/>
                    <w:jc w:val="center"/>
                    <w:rPr>
                      <w:rFonts w:hint="eastAsia" w:ascii="Times New Roman" w:hAnsi="Times New Roman" w:eastAsia="宋体" w:cs="Times New Roman"/>
                      <w:color w:val="auto"/>
                      <w:kern w:val="0"/>
                      <w:sz w:val="22"/>
                      <w:szCs w:val="22"/>
                      <w:lang w:eastAsia="zh-CN"/>
                    </w:rPr>
                  </w:pPr>
                  <w:r>
                    <w:rPr>
                      <w:rFonts w:hint="eastAsia" w:cs="Times New Roman"/>
                      <w:color w:val="auto"/>
                      <w:kern w:val="0"/>
                      <w:sz w:val="22"/>
                      <w:szCs w:val="22"/>
                      <w:lang w:val="en-US" w:eastAsia="zh-CN"/>
                    </w:rPr>
                    <w:t>5</w:t>
                  </w:r>
                </w:p>
              </w:tc>
              <w:tc>
                <w:tcPr>
                  <w:tcW w:w="365" w:type="pct"/>
                  <w:vMerge w:val="continue"/>
                  <w:shd w:val="clear" w:color="auto" w:fill="FFFFFF"/>
                  <w:noWrap w:val="0"/>
                  <w:vAlign w:val="center"/>
                </w:tcPr>
                <w:p w14:paraId="082E9E8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14" w:type="pct"/>
                  <w:vMerge w:val="continue"/>
                  <w:shd w:val="clear" w:color="auto" w:fill="FFFFFF"/>
                  <w:noWrap w:val="0"/>
                  <w:vAlign w:val="center"/>
                </w:tcPr>
                <w:p w14:paraId="5D0A8E7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25" w:type="pct"/>
                  <w:shd w:val="clear" w:color="auto" w:fill="FFFFFF"/>
                  <w:noWrap/>
                  <w:vAlign w:val="center"/>
                </w:tcPr>
                <w:p w14:paraId="26097F4C">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62" w:type="pct"/>
                  <w:shd w:val="clear" w:color="auto" w:fill="FFFFFF"/>
                  <w:noWrap/>
                  <w:vAlign w:val="center"/>
                </w:tcPr>
                <w:p w14:paraId="4A0FEDD7">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41" w:type="pct"/>
                  <w:vMerge w:val="continue"/>
                  <w:shd w:val="clear" w:color="auto" w:fill="FFFFFF"/>
                  <w:noWrap/>
                  <w:vAlign w:val="center"/>
                </w:tcPr>
                <w:p w14:paraId="09B7DA96">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69" w:type="pct"/>
                  <w:shd w:val="clear" w:color="auto" w:fill="FFFFFF"/>
                  <w:noWrap/>
                  <w:vAlign w:val="center"/>
                </w:tcPr>
                <w:p w14:paraId="676968AD">
                  <w:pPr>
                    <w:widowControl/>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14:paraId="4741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Merge w:val="restart"/>
                  <w:shd w:val="clear" w:color="auto" w:fill="FFFFFF"/>
                  <w:noWrap w:val="0"/>
                  <w:vAlign w:val="center"/>
                </w:tcPr>
                <w:p w14:paraId="4D7D3C0C">
                  <w:pPr>
                    <w:keepNext w:val="0"/>
                    <w:keepLines w:val="0"/>
                    <w:pageBreakBefore w:val="0"/>
                    <w:widowControl/>
                    <w:kinsoku/>
                    <w:wordWrap/>
                    <w:overflowPunct/>
                    <w:topLinePunct w:val="0"/>
                    <w:autoSpaceDE/>
                    <w:autoSpaceDN/>
                    <w:bidi w:val="0"/>
                    <w:ind w:left="0" w:leftChars="0" w:right="0" w:rightChars="0"/>
                    <w:jc w:val="center"/>
                    <w:rPr>
                      <w:rFonts w:hint="eastAsia"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烘干</w:t>
                  </w:r>
                </w:p>
              </w:tc>
              <w:tc>
                <w:tcPr>
                  <w:tcW w:w="273" w:type="pct"/>
                  <w:vMerge w:val="restart"/>
                  <w:shd w:val="clear" w:color="auto" w:fill="FFFFFF"/>
                  <w:noWrap w:val="0"/>
                  <w:vAlign w:val="center"/>
                </w:tcPr>
                <w:p w14:paraId="0C474CB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锅炉废水</w:t>
                  </w:r>
                </w:p>
              </w:tc>
              <w:tc>
                <w:tcPr>
                  <w:tcW w:w="444" w:type="pct"/>
                  <w:shd w:val="clear" w:color="auto" w:fill="FFFFFF"/>
                  <w:noWrap w:val="0"/>
                  <w:vAlign w:val="center"/>
                </w:tcPr>
                <w:p w14:paraId="0ECFAF65">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COD</w:t>
                  </w:r>
                </w:p>
              </w:tc>
              <w:tc>
                <w:tcPr>
                  <w:tcW w:w="299" w:type="pct"/>
                  <w:vMerge w:val="restart"/>
                  <w:shd w:val="clear" w:color="auto" w:fill="FFFFFF"/>
                  <w:noWrap w:val="0"/>
                  <w:vAlign w:val="center"/>
                </w:tcPr>
                <w:p w14:paraId="789CC97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440.01</w:t>
                  </w:r>
                </w:p>
              </w:tc>
              <w:tc>
                <w:tcPr>
                  <w:tcW w:w="331" w:type="pct"/>
                  <w:shd w:val="clear" w:color="auto" w:fill="FFFFFF"/>
                  <w:noWrap w:val="0"/>
                  <w:vAlign w:val="center"/>
                </w:tcPr>
                <w:p w14:paraId="50D45E4F">
                  <w:pPr>
                    <w:keepNext w:val="0"/>
                    <w:keepLines w:val="0"/>
                    <w:pageBreakBefore w:val="0"/>
                    <w:kinsoku/>
                    <w:wordWrap/>
                    <w:overflowPunct/>
                    <w:topLinePunct w:val="0"/>
                    <w:autoSpaceDE/>
                    <w:autoSpaceDN/>
                    <w:bidi w:val="0"/>
                    <w:ind w:left="0" w:leftChars="0" w:right="0" w:rightChars="0"/>
                    <w:jc w:val="center"/>
                    <w:rPr>
                      <w:rFonts w:hint="default" w:cs="Times New Roman"/>
                      <w:color w:val="auto"/>
                      <w:szCs w:val="21"/>
                      <w:lang w:val="en-US" w:eastAsia="zh-CN"/>
                    </w:rPr>
                  </w:pPr>
                  <w:r>
                    <w:rPr>
                      <w:rFonts w:hint="eastAsia" w:cs="Times New Roman"/>
                      <w:color w:val="auto"/>
                      <w:szCs w:val="21"/>
                      <w:lang w:val="en-US" w:eastAsia="zh-CN"/>
                    </w:rPr>
                    <w:t>85</w:t>
                  </w:r>
                </w:p>
              </w:tc>
              <w:tc>
                <w:tcPr>
                  <w:tcW w:w="344" w:type="pct"/>
                  <w:shd w:val="clear" w:color="auto" w:fill="FFFFFF"/>
                  <w:noWrap/>
                  <w:vAlign w:val="center"/>
                </w:tcPr>
                <w:p w14:paraId="4C5275D3">
                  <w:pPr>
                    <w:keepNext w:val="0"/>
                    <w:keepLines w:val="0"/>
                    <w:widowControl/>
                    <w:suppressLineNumbers w:val="0"/>
                    <w:jc w:val="center"/>
                    <w:textAlignment w:val="center"/>
                    <w:rPr>
                      <w:rFonts w:hint="default" w:eastAsia="等线" w:cs="Times New Roman"/>
                      <w:i w:val="0"/>
                      <w:color w:val="auto"/>
                      <w:kern w:val="0"/>
                      <w:sz w:val="21"/>
                      <w:szCs w:val="21"/>
                      <w:u w:val="none"/>
                      <w:lang w:val="en-US" w:eastAsia="zh-CN" w:bidi="ar"/>
                    </w:rPr>
                  </w:pPr>
                  <w:r>
                    <w:rPr>
                      <w:rFonts w:hint="eastAsia" w:eastAsia="等线" w:cs="Times New Roman"/>
                      <w:i w:val="0"/>
                      <w:color w:val="auto"/>
                      <w:kern w:val="0"/>
                      <w:sz w:val="21"/>
                      <w:szCs w:val="21"/>
                      <w:u w:val="none"/>
                      <w:lang w:val="en-US" w:eastAsia="zh-CN" w:bidi="ar"/>
                    </w:rPr>
                    <w:t>0.0374</w:t>
                  </w:r>
                </w:p>
              </w:tc>
              <w:tc>
                <w:tcPr>
                  <w:tcW w:w="253" w:type="pct"/>
                  <w:vMerge w:val="restart"/>
                  <w:shd w:val="clear" w:color="auto" w:fill="FFFFFF"/>
                  <w:noWrap w:val="0"/>
                  <w:vAlign w:val="center"/>
                </w:tcPr>
                <w:p w14:paraId="3DAB46C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r>
                    <w:rPr>
                      <w:rFonts w:hint="eastAsia" w:cs="Times New Roman"/>
                      <w:color w:val="auto"/>
                      <w:kern w:val="0"/>
                      <w:sz w:val="22"/>
                      <w:szCs w:val="22"/>
                      <w:lang w:val="en-US" w:eastAsia="zh-CN"/>
                    </w:rPr>
                    <w:t>地埋式污水处理设施</w:t>
                  </w:r>
                </w:p>
              </w:tc>
              <w:tc>
                <w:tcPr>
                  <w:tcW w:w="285" w:type="pct"/>
                  <w:vMerge w:val="continue"/>
                  <w:shd w:val="clear" w:color="auto" w:fill="FFFFFF"/>
                  <w:noWrap w:val="0"/>
                  <w:vAlign w:val="center"/>
                </w:tcPr>
                <w:p w14:paraId="0B5B517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0" w:type="pct"/>
                  <w:shd w:val="clear" w:color="auto" w:fill="FFFFFF"/>
                  <w:noWrap/>
                  <w:vAlign w:val="center"/>
                </w:tcPr>
                <w:p w14:paraId="7B3A19B7">
                  <w:pPr>
                    <w:keepNext w:val="0"/>
                    <w:keepLines w:val="0"/>
                    <w:pageBreakBefore w:val="0"/>
                    <w:widowControl/>
                    <w:kinsoku/>
                    <w:wordWrap/>
                    <w:overflowPunct/>
                    <w:topLinePunct w:val="0"/>
                    <w:autoSpaceDE/>
                    <w:autoSpaceDN/>
                    <w:bidi w:val="0"/>
                    <w:ind w:left="0" w:leftChars="0" w:right="0" w:rightChars="0"/>
                    <w:jc w:val="center"/>
                    <w:rPr>
                      <w:rFonts w:hint="eastAsia" w:cs="Times New Roman"/>
                      <w:color w:val="auto"/>
                      <w:kern w:val="0"/>
                      <w:sz w:val="22"/>
                      <w:szCs w:val="22"/>
                      <w:lang w:val="en-US" w:eastAsia="zh-CN"/>
                    </w:rPr>
                  </w:pPr>
                  <w:r>
                    <w:rPr>
                      <w:rFonts w:hint="default" w:ascii="Times New Roman" w:hAnsi="Times New Roman" w:cs="Times New Roman"/>
                      <w:color w:val="auto"/>
                      <w:kern w:val="0"/>
                      <w:sz w:val="22"/>
                      <w:szCs w:val="22"/>
                    </w:rPr>
                    <w:t>20</w:t>
                  </w:r>
                </w:p>
              </w:tc>
              <w:tc>
                <w:tcPr>
                  <w:tcW w:w="365" w:type="pct"/>
                  <w:vMerge w:val="continue"/>
                  <w:shd w:val="clear" w:color="auto" w:fill="FFFFFF"/>
                  <w:noWrap w:val="0"/>
                  <w:vAlign w:val="center"/>
                </w:tcPr>
                <w:p w14:paraId="3B51937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14" w:type="pct"/>
                  <w:vMerge w:val="continue"/>
                  <w:shd w:val="clear" w:color="auto" w:fill="FFFFFF"/>
                  <w:noWrap w:val="0"/>
                  <w:vAlign w:val="center"/>
                </w:tcPr>
                <w:p w14:paraId="1AF08078">
                  <w:pPr>
                    <w:keepNext w:val="0"/>
                    <w:keepLines w:val="0"/>
                    <w:pageBreakBefore w:val="0"/>
                    <w:widowControl/>
                    <w:kinsoku/>
                    <w:wordWrap/>
                    <w:overflowPunct/>
                    <w:topLinePunct w:val="0"/>
                    <w:autoSpaceDE/>
                    <w:autoSpaceDN/>
                    <w:bidi w:val="0"/>
                    <w:ind w:left="0" w:leftChars="0" w:right="0" w:rightChars="0"/>
                    <w:jc w:val="center"/>
                    <w:rPr>
                      <w:rFonts w:hint="eastAsia" w:ascii="Times New Roman" w:hAnsi="Times New Roman" w:eastAsia="宋体" w:cs="Times New Roman"/>
                      <w:color w:val="auto"/>
                      <w:kern w:val="0"/>
                      <w:sz w:val="22"/>
                      <w:szCs w:val="22"/>
                      <w:lang w:val="en-US" w:eastAsia="zh-CN"/>
                    </w:rPr>
                  </w:pPr>
                </w:p>
              </w:tc>
              <w:tc>
                <w:tcPr>
                  <w:tcW w:w="325" w:type="pct"/>
                  <w:shd w:val="clear" w:color="auto" w:fill="FFFFFF"/>
                  <w:noWrap/>
                  <w:vAlign w:val="center"/>
                </w:tcPr>
                <w:p w14:paraId="4ECC16F6">
                  <w:pPr>
                    <w:keepNext w:val="0"/>
                    <w:keepLines w:val="0"/>
                    <w:widowControl/>
                    <w:suppressLineNumbers w:val="0"/>
                    <w:jc w:val="center"/>
                    <w:textAlignment w:val="center"/>
                    <w:rPr>
                      <w:rFonts w:hint="eastAsia" w:cs="Times New Roman"/>
                      <w:color w:val="auto"/>
                      <w:kern w:val="0"/>
                      <w:sz w:val="22"/>
                      <w:szCs w:val="22"/>
                      <w:lang w:val="en-US" w:eastAsia="zh-CN"/>
                    </w:rPr>
                  </w:pPr>
                  <w:r>
                    <w:rPr>
                      <w:rFonts w:hint="eastAsia" w:cs="Times New Roman"/>
                      <w:color w:val="auto"/>
                      <w:kern w:val="0"/>
                      <w:sz w:val="22"/>
                      <w:szCs w:val="22"/>
                      <w:lang w:val="en-US" w:eastAsia="zh-CN"/>
                    </w:rPr>
                    <w:t>/</w:t>
                  </w:r>
                </w:p>
              </w:tc>
              <w:tc>
                <w:tcPr>
                  <w:tcW w:w="362" w:type="pct"/>
                  <w:shd w:val="clear" w:color="auto" w:fill="FFFFFF"/>
                  <w:noWrap/>
                  <w:vAlign w:val="center"/>
                </w:tcPr>
                <w:p w14:paraId="36056E20">
                  <w:pPr>
                    <w:keepNext w:val="0"/>
                    <w:keepLines w:val="0"/>
                    <w:widowControl/>
                    <w:suppressLineNumbers w:val="0"/>
                    <w:jc w:val="center"/>
                    <w:textAlignment w:val="center"/>
                    <w:rPr>
                      <w:rFonts w:hint="eastAsia" w:cs="Times New Roman"/>
                      <w:color w:val="auto"/>
                      <w:kern w:val="0"/>
                      <w:sz w:val="22"/>
                      <w:szCs w:val="22"/>
                      <w:lang w:val="en-US" w:eastAsia="zh-CN"/>
                    </w:rPr>
                  </w:pPr>
                  <w:r>
                    <w:rPr>
                      <w:rFonts w:hint="eastAsia" w:cs="Times New Roman"/>
                      <w:color w:val="auto"/>
                      <w:kern w:val="0"/>
                      <w:sz w:val="22"/>
                      <w:szCs w:val="22"/>
                      <w:lang w:val="en-US" w:eastAsia="zh-CN"/>
                    </w:rPr>
                    <w:t>/</w:t>
                  </w:r>
                </w:p>
              </w:tc>
              <w:tc>
                <w:tcPr>
                  <w:tcW w:w="341" w:type="pct"/>
                  <w:vMerge w:val="continue"/>
                  <w:shd w:val="clear" w:color="auto" w:fill="FFFFFF"/>
                  <w:noWrap/>
                  <w:vAlign w:val="center"/>
                </w:tcPr>
                <w:p w14:paraId="74B5F2BA">
                  <w:pPr>
                    <w:keepNext w:val="0"/>
                    <w:keepLines w:val="0"/>
                    <w:widowControl/>
                    <w:suppressLineNumbers w:val="0"/>
                    <w:jc w:val="center"/>
                    <w:textAlignment w:val="center"/>
                    <w:rPr>
                      <w:rFonts w:hint="default" w:ascii="Times New Roman" w:hAnsi="Times New Roman" w:cs="Times New Roman"/>
                      <w:color w:val="auto"/>
                      <w:kern w:val="0"/>
                      <w:sz w:val="22"/>
                      <w:szCs w:val="22"/>
                    </w:rPr>
                  </w:pPr>
                </w:p>
              </w:tc>
              <w:tc>
                <w:tcPr>
                  <w:tcW w:w="979" w:type="dxa"/>
                  <w:shd w:val="clear" w:color="auto" w:fill="FFFFFF"/>
                  <w:noWrap/>
                  <w:vAlign w:val="center"/>
                </w:tcPr>
                <w:p w14:paraId="2C741366">
                  <w:pPr>
                    <w:widowControl/>
                    <w:spacing w:line="240" w:lineRule="atLeast"/>
                    <w:jc w:val="center"/>
                    <w:rPr>
                      <w:rFonts w:hint="eastAsia"/>
                      <w:color w:val="auto"/>
                      <w:szCs w:val="21"/>
                    </w:rPr>
                  </w:pPr>
                  <w:r>
                    <w:rPr>
                      <w:rFonts w:hint="eastAsia"/>
                      <w:color w:val="auto"/>
                      <w:szCs w:val="21"/>
                    </w:rPr>
                    <w:t>—</w:t>
                  </w:r>
                </w:p>
              </w:tc>
            </w:tr>
            <w:tr w14:paraId="7FD1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Merge w:val="continue"/>
                  <w:shd w:val="clear" w:color="auto" w:fill="FFFFFF"/>
                  <w:noWrap w:val="0"/>
                  <w:vAlign w:val="center"/>
                </w:tcPr>
                <w:p w14:paraId="181D942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73" w:type="pct"/>
                  <w:vMerge w:val="continue"/>
                  <w:shd w:val="clear" w:color="auto" w:fill="FFFFFF"/>
                  <w:noWrap w:val="0"/>
                  <w:vAlign w:val="center"/>
                </w:tcPr>
                <w:p w14:paraId="55C8C87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444" w:type="pct"/>
                  <w:shd w:val="clear" w:color="auto" w:fill="FFFFFF"/>
                  <w:noWrap w:val="0"/>
                  <w:vAlign w:val="center"/>
                </w:tcPr>
                <w:p w14:paraId="467039F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SS</w:t>
                  </w:r>
                </w:p>
              </w:tc>
              <w:tc>
                <w:tcPr>
                  <w:tcW w:w="299" w:type="pct"/>
                  <w:vMerge w:val="continue"/>
                  <w:shd w:val="clear" w:color="auto" w:fill="FFFFFF"/>
                  <w:noWrap w:val="0"/>
                  <w:vAlign w:val="center"/>
                </w:tcPr>
                <w:p w14:paraId="07CBDEC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331" w:type="pct"/>
                  <w:shd w:val="clear" w:color="auto" w:fill="FFFFFF"/>
                  <w:noWrap w:val="0"/>
                  <w:vAlign w:val="center"/>
                </w:tcPr>
                <w:p w14:paraId="51B2FE5F">
                  <w:pPr>
                    <w:keepNext w:val="0"/>
                    <w:keepLines w:val="0"/>
                    <w:pageBreakBefore w:val="0"/>
                    <w:kinsoku/>
                    <w:wordWrap/>
                    <w:overflowPunct/>
                    <w:topLinePunct w:val="0"/>
                    <w:autoSpaceDE/>
                    <w:autoSpaceDN/>
                    <w:bidi w:val="0"/>
                    <w:ind w:left="0" w:leftChars="0" w:right="0" w:rightChars="0"/>
                    <w:jc w:val="center"/>
                    <w:rPr>
                      <w:rFonts w:hint="default" w:cs="Times New Roman"/>
                      <w:color w:val="auto"/>
                      <w:szCs w:val="21"/>
                      <w:lang w:val="en-US" w:eastAsia="zh-CN"/>
                    </w:rPr>
                  </w:pPr>
                  <w:r>
                    <w:rPr>
                      <w:rFonts w:hint="eastAsia" w:cs="Times New Roman"/>
                      <w:color w:val="auto"/>
                      <w:szCs w:val="21"/>
                      <w:lang w:val="en-US" w:eastAsia="zh-CN"/>
                    </w:rPr>
                    <w:t>50</w:t>
                  </w:r>
                </w:p>
              </w:tc>
              <w:tc>
                <w:tcPr>
                  <w:tcW w:w="344" w:type="pct"/>
                  <w:shd w:val="clear" w:color="auto" w:fill="FFFFFF"/>
                  <w:noWrap/>
                  <w:vAlign w:val="center"/>
                </w:tcPr>
                <w:p w14:paraId="185B1787">
                  <w:pPr>
                    <w:keepNext w:val="0"/>
                    <w:keepLines w:val="0"/>
                    <w:widowControl/>
                    <w:suppressLineNumbers w:val="0"/>
                    <w:jc w:val="center"/>
                    <w:textAlignment w:val="center"/>
                    <w:rPr>
                      <w:rFonts w:hint="default" w:eastAsia="等线" w:cs="Times New Roman"/>
                      <w:i w:val="0"/>
                      <w:color w:val="auto"/>
                      <w:kern w:val="0"/>
                      <w:sz w:val="21"/>
                      <w:szCs w:val="21"/>
                      <w:u w:val="none"/>
                      <w:lang w:val="en-US" w:eastAsia="zh-CN" w:bidi="ar"/>
                    </w:rPr>
                  </w:pPr>
                  <w:r>
                    <w:rPr>
                      <w:rFonts w:hint="eastAsia" w:eastAsia="等线" w:cs="Times New Roman"/>
                      <w:i w:val="0"/>
                      <w:color w:val="auto"/>
                      <w:kern w:val="0"/>
                      <w:sz w:val="21"/>
                      <w:szCs w:val="21"/>
                      <w:u w:val="none"/>
                      <w:lang w:val="en-US" w:eastAsia="zh-CN" w:bidi="ar"/>
                    </w:rPr>
                    <w:t>0.022</w:t>
                  </w:r>
                </w:p>
              </w:tc>
              <w:tc>
                <w:tcPr>
                  <w:tcW w:w="253" w:type="pct"/>
                  <w:vMerge w:val="continue"/>
                  <w:shd w:val="clear" w:color="auto" w:fill="FFFFFF"/>
                  <w:noWrap w:val="0"/>
                  <w:vAlign w:val="center"/>
                </w:tcPr>
                <w:p w14:paraId="78906C04">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5" w:type="pct"/>
                  <w:vMerge w:val="continue"/>
                  <w:shd w:val="clear" w:color="auto" w:fill="FFFFFF"/>
                  <w:noWrap w:val="0"/>
                  <w:vAlign w:val="center"/>
                </w:tcPr>
                <w:p w14:paraId="1DC0A1B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0" w:type="pct"/>
                  <w:shd w:val="clear" w:color="auto" w:fill="FFFFFF"/>
                  <w:noWrap/>
                  <w:vAlign w:val="center"/>
                </w:tcPr>
                <w:p w14:paraId="770A827C">
                  <w:pPr>
                    <w:keepNext w:val="0"/>
                    <w:keepLines w:val="0"/>
                    <w:pageBreakBefore w:val="0"/>
                    <w:widowControl/>
                    <w:kinsoku/>
                    <w:wordWrap/>
                    <w:overflowPunct/>
                    <w:topLinePunct w:val="0"/>
                    <w:autoSpaceDE/>
                    <w:autoSpaceDN/>
                    <w:bidi w:val="0"/>
                    <w:ind w:left="0" w:leftChars="0" w:right="0" w:rightChars="0"/>
                    <w:jc w:val="center"/>
                    <w:rPr>
                      <w:rFonts w:hint="eastAsia" w:cs="Times New Roman"/>
                      <w:color w:val="auto"/>
                      <w:kern w:val="0"/>
                      <w:sz w:val="22"/>
                      <w:szCs w:val="22"/>
                      <w:lang w:val="en-US" w:eastAsia="zh-CN"/>
                    </w:rPr>
                  </w:pPr>
                  <w:r>
                    <w:rPr>
                      <w:rFonts w:hint="eastAsia" w:cs="Times New Roman"/>
                      <w:color w:val="auto"/>
                      <w:kern w:val="0"/>
                      <w:sz w:val="22"/>
                      <w:szCs w:val="22"/>
                      <w:lang w:val="en-US" w:eastAsia="zh-CN"/>
                    </w:rPr>
                    <w:t>30</w:t>
                  </w:r>
                </w:p>
              </w:tc>
              <w:tc>
                <w:tcPr>
                  <w:tcW w:w="365" w:type="pct"/>
                  <w:vMerge w:val="continue"/>
                  <w:shd w:val="clear" w:color="auto" w:fill="FFFFFF"/>
                  <w:noWrap w:val="0"/>
                  <w:vAlign w:val="center"/>
                </w:tcPr>
                <w:p w14:paraId="219FC13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14" w:type="pct"/>
                  <w:vMerge w:val="continue"/>
                  <w:shd w:val="clear" w:color="auto" w:fill="FFFFFF"/>
                  <w:noWrap w:val="0"/>
                  <w:vAlign w:val="center"/>
                </w:tcPr>
                <w:p w14:paraId="6C1ED5C6">
                  <w:pPr>
                    <w:keepNext w:val="0"/>
                    <w:keepLines w:val="0"/>
                    <w:pageBreakBefore w:val="0"/>
                    <w:widowControl/>
                    <w:kinsoku/>
                    <w:wordWrap/>
                    <w:overflowPunct/>
                    <w:topLinePunct w:val="0"/>
                    <w:autoSpaceDE/>
                    <w:autoSpaceDN/>
                    <w:bidi w:val="0"/>
                    <w:ind w:left="0" w:leftChars="0" w:right="0" w:rightChars="0"/>
                    <w:jc w:val="center"/>
                    <w:rPr>
                      <w:rFonts w:hint="eastAsia" w:ascii="Times New Roman" w:hAnsi="Times New Roman" w:eastAsia="宋体" w:cs="Times New Roman"/>
                      <w:color w:val="auto"/>
                      <w:kern w:val="0"/>
                      <w:sz w:val="22"/>
                      <w:szCs w:val="22"/>
                      <w:lang w:val="en-US" w:eastAsia="zh-CN"/>
                    </w:rPr>
                  </w:pPr>
                </w:p>
              </w:tc>
              <w:tc>
                <w:tcPr>
                  <w:tcW w:w="325" w:type="pct"/>
                  <w:shd w:val="clear" w:color="auto" w:fill="FFFFFF"/>
                  <w:noWrap/>
                  <w:vAlign w:val="center"/>
                </w:tcPr>
                <w:p w14:paraId="7C17623F">
                  <w:pPr>
                    <w:keepNext w:val="0"/>
                    <w:keepLines w:val="0"/>
                    <w:widowControl/>
                    <w:suppressLineNumbers w:val="0"/>
                    <w:jc w:val="center"/>
                    <w:textAlignment w:val="center"/>
                    <w:rPr>
                      <w:rFonts w:hint="eastAsia" w:cs="Times New Roman"/>
                      <w:color w:val="auto"/>
                      <w:kern w:val="0"/>
                      <w:sz w:val="22"/>
                      <w:szCs w:val="22"/>
                      <w:lang w:val="en-US" w:eastAsia="zh-CN"/>
                    </w:rPr>
                  </w:pPr>
                  <w:r>
                    <w:rPr>
                      <w:rFonts w:hint="eastAsia" w:cs="Times New Roman"/>
                      <w:color w:val="auto"/>
                      <w:kern w:val="0"/>
                      <w:sz w:val="22"/>
                      <w:szCs w:val="22"/>
                      <w:lang w:val="en-US" w:eastAsia="zh-CN"/>
                    </w:rPr>
                    <w:t>/</w:t>
                  </w:r>
                </w:p>
              </w:tc>
              <w:tc>
                <w:tcPr>
                  <w:tcW w:w="362" w:type="pct"/>
                  <w:shd w:val="clear" w:color="auto" w:fill="FFFFFF"/>
                  <w:noWrap/>
                  <w:vAlign w:val="center"/>
                </w:tcPr>
                <w:p w14:paraId="6A6533B9">
                  <w:pPr>
                    <w:keepNext w:val="0"/>
                    <w:keepLines w:val="0"/>
                    <w:widowControl/>
                    <w:suppressLineNumbers w:val="0"/>
                    <w:jc w:val="center"/>
                    <w:textAlignment w:val="center"/>
                    <w:rPr>
                      <w:rFonts w:hint="eastAsia" w:cs="Times New Roman"/>
                      <w:color w:val="auto"/>
                      <w:kern w:val="0"/>
                      <w:sz w:val="22"/>
                      <w:szCs w:val="22"/>
                      <w:lang w:val="en-US" w:eastAsia="zh-CN"/>
                    </w:rPr>
                  </w:pPr>
                  <w:r>
                    <w:rPr>
                      <w:rFonts w:hint="eastAsia" w:cs="Times New Roman"/>
                      <w:color w:val="auto"/>
                      <w:kern w:val="0"/>
                      <w:sz w:val="22"/>
                      <w:szCs w:val="22"/>
                      <w:lang w:val="en-US" w:eastAsia="zh-CN"/>
                    </w:rPr>
                    <w:t>/</w:t>
                  </w:r>
                </w:p>
              </w:tc>
              <w:tc>
                <w:tcPr>
                  <w:tcW w:w="341" w:type="pct"/>
                  <w:vMerge w:val="continue"/>
                  <w:shd w:val="clear" w:color="auto" w:fill="FFFFFF"/>
                  <w:noWrap/>
                  <w:vAlign w:val="center"/>
                </w:tcPr>
                <w:p w14:paraId="77B4A0B0">
                  <w:pPr>
                    <w:keepNext w:val="0"/>
                    <w:keepLines w:val="0"/>
                    <w:widowControl/>
                    <w:suppressLineNumbers w:val="0"/>
                    <w:jc w:val="center"/>
                    <w:textAlignment w:val="center"/>
                    <w:rPr>
                      <w:rFonts w:hint="default" w:ascii="Times New Roman" w:hAnsi="Times New Roman" w:cs="Times New Roman"/>
                      <w:color w:val="auto"/>
                      <w:kern w:val="0"/>
                      <w:sz w:val="22"/>
                      <w:szCs w:val="22"/>
                    </w:rPr>
                  </w:pPr>
                </w:p>
              </w:tc>
              <w:tc>
                <w:tcPr>
                  <w:tcW w:w="979" w:type="dxa"/>
                  <w:shd w:val="clear" w:color="auto" w:fill="FFFFFF"/>
                  <w:noWrap/>
                  <w:vAlign w:val="center"/>
                </w:tcPr>
                <w:p w14:paraId="5823E9F5">
                  <w:pPr>
                    <w:widowControl/>
                    <w:spacing w:line="240" w:lineRule="atLeast"/>
                    <w:jc w:val="center"/>
                    <w:rPr>
                      <w:rFonts w:hint="eastAsia"/>
                      <w:color w:val="auto"/>
                      <w:szCs w:val="21"/>
                    </w:rPr>
                  </w:pPr>
                  <w:r>
                    <w:rPr>
                      <w:rFonts w:hint="eastAsia"/>
                      <w:color w:val="auto"/>
                      <w:szCs w:val="21"/>
                    </w:rPr>
                    <w:t>—</w:t>
                  </w:r>
                </w:p>
              </w:tc>
            </w:tr>
          </w:tbl>
          <w:p w14:paraId="0347ADB8">
            <w:pPr>
              <w:jc w:val="center"/>
              <w:rPr>
                <w:color w:val="FF0000"/>
              </w:rPr>
            </w:pPr>
          </w:p>
        </w:tc>
      </w:tr>
    </w:tbl>
    <w:p w14:paraId="28763269">
      <w:pPr>
        <w:rPr>
          <w:color w:val="FF0000"/>
        </w:rPr>
        <w:sectPr>
          <w:pgSz w:w="16838" w:h="11905" w:orient="landscape"/>
          <w:pgMar w:top="1417" w:right="1417" w:bottom="1417" w:left="1417" w:header="851" w:footer="850" w:gutter="0"/>
          <w:cols w:space="0" w:num="1"/>
          <w:docGrid w:linePitch="312" w:charSpace="0"/>
        </w:sectPr>
      </w:pPr>
    </w:p>
    <w:tbl>
      <w:tblPr>
        <w:tblStyle w:val="31"/>
        <w:tblpPr w:leftFromText="180" w:rightFromText="180" w:vertAnchor="text" w:horzAnchor="page" w:tblpX="1413"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9047"/>
      </w:tblGrid>
      <w:tr w14:paraId="01837F3D">
        <w:tblPrEx>
          <w:tblCellMar>
            <w:top w:w="0" w:type="dxa"/>
            <w:left w:w="108" w:type="dxa"/>
            <w:bottom w:w="0" w:type="dxa"/>
            <w:right w:w="108" w:type="dxa"/>
          </w:tblCellMar>
        </w:tblPrEx>
        <w:trPr>
          <w:trHeight w:val="13534" w:hRule="atLeast"/>
        </w:trPr>
        <w:tc>
          <w:tcPr>
            <w:tcW w:w="240" w:type="dxa"/>
          </w:tcPr>
          <w:p w14:paraId="2F37FEB6">
            <w:pPr>
              <w:pStyle w:val="16"/>
              <w:ind w:firstLine="480"/>
              <w:rPr>
                <w:color w:val="FF0000"/>
              </w:rPr>
            </w:pPr>
          </w:p>
        </w:tc>
        <w:tc>
          <w:tcPr>
            <w:tcW w:w="9047" w:type="dxa"/>
          </w:tcPr>
          <w:p w14:paraId="32C0E0EF">
            <w:pPr>
              <w:numPr>
                <w:ilvl w:val="0"/>
                <w:numId w:val="3"/>
              </w:numPr>
              <w:adjustRightInd w:val="0"/>
              <w:snapToGrid w:val="0"/>
              <w:spacing w:line="360" w:lineRule="auto"/>
              <w:ind w:firstLine="482" w:firstLineChars="200"/>
              <w:rPr>
                <w:b/>
                <w:color w:val="auto"/>
                <w:kern w:val="0"/>
                <w:sz w:val="24"/>
              </w:rPr>
            </w:pPr>
            <w:r>
              <w:rPr>
                <w:b/>
                <w:color w:val="auto"/>
                <w:kern w:val="0"/>
                <w:sz w:val="24"/>
              </w:rPr>
              <w:t>措施可行性及影响分析</w:t>
            </w:r>
          </w:p>
          <w:p w14:paraId="4A6EEDB7">
            <w:pPr>
              <w:adjustRightInd w:val="0"/>
              <w:snapToGrid w:val="0"/>
              <w:spacing w:line="360" w:lineRule="auto"/>
              <w:ind w:firstLine="480" w:firstLineChars="200"/>
              <w:rPr>
                <w:color w:val="auto"/>
                <w:kern w:val="0"/>
                <w:sz w:val="24"/>
              </w:rPr>
            </w:pPr>
            <w:r>
              <w:rPr>
                <w:color w:val="auto"/>
                <w:kern w:val="0"/>
                <w:sz w:val="24"/>
              </w:rPr>
              <w:t>（1）水污染物控制和水环境影响减缓措施有效性评价</w:t>
            </w:r>
          </w:p>
          <w:p w14:paraId="5AC927AA">
            <w:pPr>
              <w:spacing w:line="360" w:lineRule="auto"/>
              <w:ind w:firstLine="480" w:firstLineChars="200"/>
              <w:rPr>
                <w:rFonts w:hint="eastAsia"/>
                <w:color w:val="auto"/>
                <w:sz w:val="24"/>
                <w:lang w:val="en-US" w:eastAsia="zh-CN"/>
              </w:rPr>
            </w:pPr>
            <w:r>
              <w:rPr>
                <w:color w:val="auto"/>
                <w:kern w:val="0"/>
                <w:sz w:val="24"/>
              </w:rPr>
              <w:t>本项目</w:t>
            </w:r>
            <w:r>
              <w:rPr>
                <w:rFonts w:hint="eastAsia"/>
                <w:color w:val="auto"/>
                <w:kern w:val="0"/>
                <w:sz w:val="24"/>
              </w:rPr>
              <w:t>外排</w:t>
            </w:r>
            <w:r>
              <w:rPr>
                <w:color w:val="auto"/>
                <w:kern w:val="0"/>
                <w:sz w:val="24"/>
              </w:rPr>
              <w:t>来自厂</w:t>
            </w:r>
            <w:r>
              <w:rPr>
                <w:rFonts w:ascii="Times New Roman" w:hAnsi="Times New Roman" w:eastAsia="宋体" w:cs="Times New Roman"/>
                <w:color w:val="auto"/>
                <w:kern w:val="0"/>
                <w:sz w:val="24"/>
              </w:rPr>
              <w:t>区日常运行，主要污染物成分为COD</w:t>
            </w:r>
            <w:r>
              <w:rPr>
                <w:rFonts w:ascii="Times New Roman" w:hAnsi="Times New Roman" w:eastAsia="宋体" w:cs="Times New Roman"/>
                <w:color w:val="auto"/>
                <w:kern w:val="0"/>
                <w:sz w:val="24"/>
                <w:vertAlign w:val="subscript"/>
              </w:rPr>
              <w:t>Cr</w:t>
            </w:r>
            <w:r>
              <w:rPr>
                <w:rFonts w:ascii="Times New Roman" w:hAnsi="Times New Roman" w:eastAsia="宋体" w:cs="Times New Roman"/>
                <w:color w:val="auto"/>
                <w:kern w:val="0"/>
                <w:sz w:val="24"/>
              </w:rPr>
              <w:t>、BOD</w:t>
            </w:r>
            <w:r>
              <w:rPr>
                <w:rFonts w:ascii="Times New Roman" w:hAnsi="Times New Roman" w:eastAsia="宋体" w:cs="Times New Roman"/>
                <w:color w:val="auto"/>
                <w:kern w:val="0"/>
                <w:sz w:val="24"/>
                <w:vertAlign w:val="subscript"/>
              </w:rPr>
              <w:t>5</w:t>
            </w:r>
            <w:r>
              <w:rPr>
                <w:rFonts w:ascii="Times New Roman" w:hAnsi="Times New Roman" w:eastAsia="宋体" w:cs="Times New Roman"/>
                <w:color w:val="auto"/>
                <w:kern w:val="0"/>
                <w:sz w:val="24"/>
              </w:rPr>
              <w:t>、SS、NH</w:t>
            </w:r>
            <w:r>
              <w:rPr>
                <w:rFonts w:ascii="Times New Roman" w:hAnsi="Times New Roman" w:eastAsia="宋体" w:cs="Times New Roman"/>
                <w:color w:val="auto"/>
                <w:kern w:val="0"/>
                <w:sz w:val="24"/>
                <w:vertAlign w:val="subscript"/>
              </w:rPr>
              <w:t>3</w:t>
            </w:r>
            <w:r>
              <w:rPr>
                <w:rFonts w:ascii="Times New Roman" w:hAnsi="Times New Roman" w:eastAsia="宋体" w:cs="Times New Roman"/>
                <w:color w:val="auto"/>
                <w:kern w:val="0"/>
                <w:sz w:val="24"/>
              </w:rPr>
              <w:t>-N等，项目采用的一体化污水处理设施主要是对生活污水及相似的有机污水的处理，</w:t>
            </w:r>
            <w:r>
              <w:rPr>
                <w:rFonts w:hint="eastAsia" w:ascii="Times New Roman" w:hAnsi="Times New Roman" w:eastAsia="宋体" w:cs="Times New Roman"/>
                <w:color w:val="auto"/>
                <w:kern w:val="0"/>
                <w:sz w:val="24"/>
                <w:lang w:val="en-US" w:eastAsia="zh-CN"/>
              </w:rPr>
              <w:t>项目</w:t>
            </w:r>
            <w:r>
              <w:rPr>
                <w:rFonts w:hint="eastAsia" w:cs="Times New Roman"/>
                <w:color w:val="auto"/>
                <w:kern w:val="0"/>
                <w:sz w:val="24"/>
                <w:lang w:val="en-US" w:eastAsia="zh-CN"/>
              </w:rPr>
              <w:t>废水</w:t>
            </w:r>
            <w:r>
              <w:rPr>
                <w:rFonts w:hint="eastAsia" w:ascii="Times New Roman" w:hAnsi="Times New Roman" w:eastAsia="宋体" w:cs="Times New Roman"/>
                <w:color w:val="auto"/>
                <w:kern w:val="0"/>
                <w:sz w:val="24"/>
                <w:lang w:val="en-US" w:eastAsia="zh-CN"/>
              </w:rPr>
              <w:t>产生量为</w:t>
            </w:r>
            <w:r>
              <w:rPr>
                <w:rFonts w:hint="eastAsia" w:cs="Times New Roman"/>
                <w:color w:val="auto"/>
                <w:kern w:val="0"/>
                <w:sz w:val="24"/>
                <w:lang w:val="en-US" w:eastAsia="zh-CN"/>
              </w:rPr>
              <w:t>1.9467</w:t>
            </w:r>
            <w:r>
              <w:rPr>
                <w:rFonts w:hint="eastAsia" w:ascii="Times New Roman" w:hAnsi="Times New Roman" w:eastAsia="宋体" w:cs="Times New Roman"/>
                <w:color w:val="auto"/>
                <w:kern w:val="0"/>
                <w:sz w:val="24"/>
                <w:lang w:val="en-US" w:eastAsia="zh-CN"/>
              </w:rPr>
              <w:t>t/d，公司地埋式</w:t>
            </w:r>
            <w:r>
              <w:rPr>
                <w:rFonts w:ascii="Times New Roman" w:hAnsi="Times New Roman" w:eastAsia="宋体" w:cs="Times New Roman"/>
                <w:color w:val="auto"/>
                <w:kern w:val="0"/>
                <w:sz w:val="24"/>
              </w:rPr>
              <w:t>一体化污水处理设施</w:t>
            </w:r>
            <w:r>
              <w:rPr>
                <w:rFonts w:hint="eastAsia" w:ascii="Times New Roman" w:hAnsi="Times New Roman" w:eastAsia="宋体" w:cs="Times New Roman"/>
                <w:color w:val="auto"/>
                <w:kern w:val="0"/>
                <w:sz w:val="24"/>
                <w:lang w:val="en-US" w:eastAsia="zh-CN"/>
              </w:rPr>
              <w:t>处理规模为</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lang w:val="en-US" w:eastAsia="zh-CN"/>
              </w:rPr>
              <w:t>.0t/d，地埋式</w:t>
            </w:r>
            <w:r>
              <w:rPr>
                <w:rFonts w:ascii="Times New Roman" w:hAnsi="Times New Roman" w:eastAsia="宋体" w:cs="Times New Roman"/>
                <w:color w:val="auto"/>
                <w:kern w:val="0"/>
                <w:sz w:val="24"/>
              </w:rPr>
              <w:t>一体化污水处理设施已列入《当前国家鼓励发展的环保产业设备(产品)目录》，主体工艺采用生物处理技术接触氧化法，设施操作简单、维修方便，占地面积小，且一次投资较少，具有经济、技术可行性。地埋式微动力污水处理装置工艺流程见图</w:t>
            </w:r>
            <w:r>
              <w:rPr>
                <w:rFonts w:hint="eastAsia" w:ascii="Times New Roman" w:hAnsi="Times New Roman" w:eastAsia="宋体" w:cs="Times New Roman"/>
                <w:color w:val="auto"/>
                <w:kern w:val="0"/>
                <w:sz w:val="24"/>
                <w:lang w:val="en-US" w:eastAsia="zh-CN"/>
              </w:rPr>
              <w:t>4-2。</w:t>
            </w:r>
          </w:p>
          <w:p w14:paraId="2D5A908A">
            <w:pPr>
              <w:autoSpaceDE w:val="0"/>
              <w:autoSpaceDN w:val="0"/>
              <w:adjustRightInd w:val="0"/>
              <w:snapToGrid w:val="0"/>
              <w:spacing w:line="360" w:lineRule="auto"/>
              <w:contextualSpacing/>
              <w:jc w:val="center"/>
              <w:rPr>
                <w:rFonts w:hint="eastAsia"/>
                <w:color w:val="auto"/>
                <w:sz w:val="24"/>
              </w:rPr>
            </w:pPr>
            <w:r>
              <w:rPr>
                <w:rFonts w:hint="default" w:ascii="Times New Roman" w:hAnsi="Times New Roman" w:eastAsia="宋体" w:cs="Times New Roman"/>
                <w:color w:val="auto"/>
                <w:kern w:val="0"/>
                <w:sz w:val="24"/>
                <w:szCs w:val="24"/>
                <w:lang w:val="en-US" w:eastAsia="zh-CN" w:bidi="ar"/>
              </w:rPr>
              <w:drawing>
                <wp:inline distT="0" distB="0" distL="114300" distR="114300">
                  <wp:extent cx="3808730" cy="2749550"/>
                  <wp:effectExtent l="0" t="0" r="1270" b="12700"/>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14"/>
                          <a:srcRect l="845" t="3238"/>
                          <a:stretch>
                            <a:fillRect/>
                          </a:stretch>
                        </pic:blipFill>
                        <pic:spPr>
                          <a:xfrm>
                            <a:off x="0" y="0"/>
                            <a:ext cx="3808730" cy="2749550"/>
                          </a:xfrm>
                          <a:prstGeom prst="rect">
                            <a:avLst/>
                          </a:prstGeom>
                          <a:noFill/>
                          <a:ln>
                            <a:noFill/>
                          </a:ln>
                        </pic:spPr>
                      </pic:pic>
                    </a:graphicData>
                  </a:graphic>
                </wp:inline>
              </w:drawing>
            </w:r>
          </w:p>
          <w:p w14:paraId="64406E54">
            <w:pPr>
              <w:pStyle w:val="13"/>
              <w:adjustRightInd w:val="0"/>
              <w:snapToGrid w:val="0"/>
              <w:spacing w:after="0" w:line="360" w:lineRule="auto"/>
              <w:jc w:val="center"/>
              <w:rPr>
                <w:color w:val="auto"/>
              </w:rPr>
            </w:pPr>
            <w:r>
              <w:rPr>
                <w:b/>
                <w:bCs w:val="0"/>
                <w:color w:val="auto"/>
                <w:sz w:val="24"/>
                <w:szCs w:val="24"/>
              </w:rPr>
              <w:t>图</w:t>
            </w:r>
            <w:r>
              <w:rPr>
                <w:rFonts w:hint="eastAsia"/>
                <w:b/>
                <w:bCs w:val="0"/>
                <w:color w:val="auto"/>
                <w:sz w:val="24"/>
                <w:szCs w:val="24"/>
                <w:lang w:val="en-US" w:eastAsia="zh-CN"/>
              </w:rPr>
              <w:t>4-2</w:t>
            </w:r>
            <w:r>
              <w:rPr>
                <w:b/>
                <w:bCs w:val="0"/>
                <w:color w:val="auto"/>
                <w:sz w:val="24"/>
                <w:szCs w:val="24"/>
              </w:rPr>
              <w:t xml:space="preserve"> 地埋式污水处处理设备工艺流程图</w:t>
            </w:r>
          </w:p>
          <w:p w14:paraId="3FDE4FED">
            <w:pPr>
              <w:keepNext w:val="0"/>
              <w:keepLines w:val="0"/>
              <w:suppressLineNumbers w:val="0"/>
              <w:tabs>
                <w:tab w:val="left" w:pos="8577"/>
              </w:tabs>
              <w:spacing w:before="0" w:beforeAutospacing="0" w:after="0" w:afterAutospacing="0" w:line="360" w:lineRule="auto"/>
              <w:ind w:right="0"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工艺说明：</w:t>
            </w:r>
          </w:p>
          <w:p w14:paraId="103E4296">
            <w:pPr>
              <w:pStyle w:val="4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污水经格栅，进入污水调节池，再泵入竖流式初沉池，自流至接触氧化池进行生化处理，总停留时间为3~3.5小时，池内填充新型材料，由风机供气，经接触氧化生化处理后的污水中有机物基本得到降解，再流入竖流式二次沉淀池，经二沉池处理后的污水达到标准要求后用于厂区绿化。</w:t>
            </w:r>
          </w:p>
          <w:p w14:paraId="7BBADC43">
            <w:pPr>
              <w:adjustRightInd w:val="0"/>
              <w:snapToGrid w:val="0"/>
              <w:spacing w:line="360" w:lineRule="auto"/>
              <w:ind w:firstLine="442" w:firstLineChars="200"/>
              <w:rPr>
                <w:b/>
                <w:bCs/>
                <w:color w:val="auto"/>
                <w:spacing w:val="-10"/>
                <w:sz w:val="24"/>
              </w:rPr>
            </w:pPr>
            <w:r>
              <w:rPr>
                <w:rFonts w:hint="eastAsia"/>
                <w:b/>
                <w:bCs/>
                <w:color w:val="auto"/>
                <w:spacing w:val="-10"/>
                <w:sz w:val="24"/>
              </w:rPr>
              <w:t>3</w:t>
            </w:r>
            <w:r>
              <w:rPr>
                <w:b/>
                <w:bCs/>
                <w:color w:val="auto"/>
                <w:spacing w:val="-10"/>
                <w:sz w:val="24"/>
              </w:rPr>
              <w:t>、排污口设置及监测计划</w:t>
            </w:r>
          </w:p>
          <w:p w14:paraId="6128CB9A">
            <w:pPr>
              <w:pStyle w:val="16"/>
              <w:ind w:left="0" w:leftChars="0" w:firstLine="480" w:firstLineChars="200"/>
              <w:rPr>
                <w:rFonts w:hint="default" w:eastAsia="宋体"/>
                <w:color w:val="FF0000"/>
                <w:lang w:val="en-US" w:eastAsia="zh-CN"/>
              </w:rPr>
            </w:pPr>
            <w:r>
              <w:rPr>
                <w:rFonts w:hint="eastAsia"/>
                <w:bCs/>
                <w:color w:val="auto"/>
                <w:sz w:val="24"/>
                <w:lang w:val="en-US" w:eastAsia="zh-CN"/>
              </w:rPr>
              <w:t>本项目废水不外排。</w:t>
            </w:r>
          </w:p>
        </w:tc>
      </w:tr>
    </w:tbl>
    <w:p w14:paraId="179BF2B1">
      <w:pPr>
        <w:rPr>
          <w:rFonts w:eastAsia="黑体"/>
          <w:snapToGrid w:val="0"/>
          <w:color w:val="FF0000"/>
          <w:sz w:val="30"/>
          <w:szCs w:val="30"/>
        </w:rPr>
        <w:sectPr>
          <w:pgSz w:w="11905" w:h="16838"/>
          <w:pgMar w:top="1417" w:right="1417" w:bottom="1417" w:left="1417" w:header="851" w:footer="850" w:gutter="0"/>
          <w:cols w:space="0" w:num="1"/>
          <w:docGrid w:linePitch="312" w:charSpace="0"/>
        </w:sectPr>
      </w:pPr>
      <w:r>
        <w:rPr>
          <w:rFonts w:eastAsia="黑体"/>
          <w:snapToGrid w:val="0"/>
          <w:color w:val="FF0000"/>
          <w:sz w:val="30"/>
          <w:szCs w:val="30"/>
        </w:rPr>
        <w:br w:type="page"/>
      </w:r>
    </w:p>
    <w:p w14:paraId="5A7E96BF">
      <w:pPr>
        <w:pStyle w:val="7"/>
        <w:spacing w:before="48"/>
        <w:rPr>
          <w:color w:val="FF000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12853"/>
      </w:tblGrid>
      <w:tr w14:paraId="094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3" w:type="dxa"/>
          </w:tcPr>
          <w:p w14:paraId="2B3431F1">
            <w:pPr>
              <w:pStyle w:val="7"/>
              <w:spacing w:before="48"/>
              <w:rPr>
                <w:color w:val="FF0000"/>
              </w:rPr>
            </w:pPr>
          </w:p>
        </w:tc>
        <w:tc>
          <w:tcPr>
            <w:tcW w:w="12785" w:type="dxa"/>
          </w:tcPr>
          <w:p w14:paraId="1F018A9B">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表4-14 本项目工业企业噪声源强调查清单（室外声源）</w:t>
            </w:r>
          </w:p>
          <w:tbl>
            <w:tblPr>
              <w:tblStyle w:val="30"/>
              <w:tblW w:w="126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7" w:type="dxa"/>
                <w:bottom w:w="0" w:type="dxa"/>
                <w:right w:w="17" w:type="dxa"/>
              </w:tblCellMar>
            </w:tblPr>
            <w:tblGrid>
              <w:gridCol w:w="516"/>
              <w:gridCol w:w="1535"/>
              <w:gridCol w:w="812"/>
              <w:gridCol w:w="1358"/>
              <w:gridCol w:w="918"/>
              <w:gridCol w:w="746"/>
              <w:gridCol w:w="713"/>
              <w:gridCol w:w="1393"/>
              <w:gridCol w:w="3659"/>
              <w:gridCol w:w="977"/>
            </w:tblGrid>
            <w:tr w14:paraId="65296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23" w:hRule="atLeast"/>
                <w:jc w:val="center"/>
              </w:trPr>
              <w:tc>
                <w:tcPr>
                  <w:tcW w:w="204" w:type="pct"/>
                  <w:vMerge w:val="restart"/>
                  <w:vAlign w:val="center"/>
                </w:tcPr>
                <w:p w14:paraId="07BCB527">
                  <w:pPr>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607" w:type="pct"/>
                  <w:vMerge w:val="restart"/>
                  <w:vAlign w:val="center"/>
                </w:tcPr>
                <w:p w14:paraId="3D76E0E0">
                  <w:pPr>
                    <w:jc w:val="center"/>
                    <w:rPr>
                      <w:color w:val="000000" w:themeColor="text1"/>
                      <w14:textFill>
                        <w14:solidFill>
                          <w14:schemeClr w14:val="tx1"/>
                        </w14:solidFill>
                      </w14:textFill>
                    </w:rPr>
                  </w:pPr>
                  <w:r>
                    <w:rPr>
                      <w:color w:val="000000" w:themeColor="text1"/>
                      <w14:textFill>
                        <w14:solidFill>
                          <w14:schemeClr w14:val="tx1"/>
                        </w14:solidFill>
                      </w14:textFill>
                    </w:rPr>
                    <w:t>声源名称</w:t>
                  </w:r>
                </w:p>
              </w:tc>
              <w:tc>
                <w:tcPr>
                  <w:tcW w:w="321" w:type="pct"/>
                  <w:vMerge w:val="restart"/>
                  <w:vAlign w:val="center"/>
                </w:tcPr>
                <w:p w14:paraId="298ADA9C">
                  <w:pPr>
                    <w:jc w:val="center"/>
                    <w:rPr>
                      <w:color w:val="000000" w:themeColor="text1"/>
                      <w14:textFill>
                        <w14:solidFill>
                          <w14:schemeClr w14:val="tx1"/>
                        </w14:solidFill>
                      </w14:textFill>
                    </w:rPr>
                  </w:pPr>
                  <w:r>
                    <w:rPr>
                      <w:color w:val="000000" w:themeColor="text1"/>
                      <w14:textFill>
                        <w14:solidFill>
                          <w14:schemeClr w14:val="tx1"/>
                        </w14:solidFill>
                      </w14:textFill>
                    </w:rPr>
                    <w:t>型号</w:t>
                  </w:r>
                </w:p>
              </w:tc>
              <w:tc>
                <w:tcPr>
                  <w:tcW w:w="537" w:type="pct"/>
                  <w:vMerge w:val="restart"/>
                  <w:vAlign w:val="center"/>
                </w:tcPr>
                <w:p w14:paraId="751D0C74">
                  <w:pPr>
                    <w:jc w:val="center"/>
                    <w:rPr>
                      <w:color w:val="000000" w:themeColor="text1"/>
                      <w14:textFill>
                        <w14:solidFill>
                          <w14:schemeClr w14:val="tx1"/>
                        </w14:solidFill>
                      </w14:textFill>
                    </w:rPr>
                  </w:pPr>
                  <w:r>
                    <w:rPr>
                      <w:color w:val="000000" w:themeColor="text1"/>
                      <w14:textFill>
                        <w14:solidFill>
                          <w14:schemeClr w14:val="tx1"/>
                        </w14:solidFill>
                      </w14:textFill>
                    </w:rPr>
                    <w:t>所属工序</w:t>
                  </w:r>
                </w:p>
              </w:tc>
              <w:tc>
                <w:tcPr>
                  <w:tcW w:w="940" w:type="pct"/>
                  <w:gridSpan w:val="3"/>
                  <w:vAlign w:val="center"/>
                </w:tcPr>
                <w:p w14:paraId="37967071">
                  <w:pPr>
                    <w:jc w:val="center"/>
                    <w:rPr>
                      <w:color w:val="000000" w:themeColor="text1"/>
                      <w14:textFill>
                        <w14:solidFill>
                          <w14:schemeClr w14:val="tx1"/>
                        </w14:solidFill>
                      </w14:textFill>
                    </w:rPr>
                  </w:pPr>
                  <w:r>
                    <w:rPr>
                      <w:color w:val="000000" w:themeColor="text1"/>
                      <w14:textFill>
                        <w14:solidFill>
                          <w14:schemeClr w14:val="tx1"/>
                        </w14:solidFill>
                      </w14:textFill>
                    </w:rPr>
                    <w:t>空</w:t>
                  </w:r>
                  <w:r>
                    <w:rPr>
                      <w:rFonts w:hint="eastAsia"/>
                      <w:color w:val="000000" w:themeColor="text1"/>
                      <w:lang w:val="en-US" w:eastAsia="zh-CN"/>
                      <w14:textFill>
                        <w14:solidFill>
                          <w14:schemeClr w14:val="tx1"/>
                        </w14:solidFill>
                      </w14:textFill>
                    </w:rPr>
                    <w:t>间</w:t>
                  </w:r>
                  <w:r>
                    <w:rPr>
                      <w:color w:val="000000" w:themeColor="text1"/>
                      <w14:textFill>
                        <w14:solidFill>
                          <w14:schemeClr w14:val="tx1"/>
                        </w14:solidFill>
                      </w14:textFill>
                    </w:rPr>
                    <w:t>相对位置/m</w:t>
                  </w:r>
                </w:p>
              </w:tc>
              <w:tc>
                <w:tcPr>
                  <w:tcW w:w="551" w:type="pct"/>
                  <w:vAlign w:val="center"/>
                </w:tcPr>
                <w:p w14:paraId="3DF12DB7">
                  <w:pPr>
                    <w:jc w:val="center"/>
                    <w:rPr>
                      <w:color w:val="000000" w:themeColor="text1"/>
                      <w14:textFill>
                        <w14:solidFill>
                          <w14:schemeClr w14:val="tx1"/>
                        </w14:solidFill>
                      </w14:textFill>
                    </w:rPr>
                  </w:pPr>
                  <w:r>
                    <w:rPr>
                      <w:color w:val="000000" w:themeColor="text1"/>
                      <w14:textFill>
                        <w14:solidFill>
                          <w14:schemeClr w14:val="tx1"/>
                        </w14:solidFill>
                      </w14:textFill>
                    </w:rPr>
                    <w:t>声源源强</w:t>
                  </w:r>
                </w:p>
              </w:tc>
              <w:tc>
                <w:tcPr>
                  <w:tcW w:w="1447" w:type="pct"/>
                  <w:vMerge w:val="restart"/>
                  <w:vAlign w:val="center"/>
                </w:tcPr>
                <w:p w14:paraId="41FD5D2A">
                  <w:pPr>
                    <w:jc w:val="center"/>
                    <w:rPr>
                      <w:color w:val="000000" w:themeColor="text1"/>
                      <w14:textFill>
                        <w14:solidFill>
                          <w14:schemeClr w14:val="tx1"/>
                        </w14:solidFill>
                      </w14:textFill>
                    </w:rPr>
                  </w:pPr>
                  <w:r>
                    <w:rPr>
                      <w:color w:val="000000" w:themeColor="text1"/>
                      <w14:textFill>
                        <w14:solidFill>
                          <w14:schemeClr w14:val="tx1"/>
                        </w14:solidFill>
                      </w14:textFill>
                    </w:rPr>
                    <w:t>声源控制措施</w:t>
                  </w:r>
                </w:p>
              </w:tc>
              <w:tc>
                <w:tcPr>
                  <w:tcW w:w="380" w:type="pct"/>
                  <w:vMerge w:val="restart"/>
                  <w:vAlign w:val="center"/>
                </w:tcPr>
                <w:p w14:paraId="4C169D99">
                  <w:pPr>
                    <w:jc w:val="center"/>
                    <w:rPr>
                      <w:color w:val="000000" w:themeColor="text1"/>
                      <w14:textFill>
                        <w14:solidFill>
                          <w14:schemeClr w14:val="tx1"/>
                        </w14:solidFill>
                      </w14:textFill>
                    </w:rPr>
                  </w:pPr>
                  <w:r>
                    <w:rPr>
                      <w:color w:val="000000" w:themeColor="text1"/>
                      <w14:textFill>
                        <w14:solidFill>
                          <w14:schemeClr w14:val="tx1"/>
                        </w14:solidFill>
                      </w14:textFill>
                    </w:rPr>
                    <w:t>运行时段</w:t>
                  </w:r>
                </w:p>
              </w:tc>
            </w:tr>
            <w:tr w14:paraId="34520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23" w:hRule="atLeast"/>
                <w:jc w:val="center"/>
              </w:trPr>
              <w:tc>
                <w:tcPr>
                  <w:tcW w:w="204" w:type="pct"/>
                  <w:vMerge w:val="continue"/>
                  <w:vAlign w:val="center"/>
                </w:tcPr>
                <w:p w14:paraId="37F05288">
                  <w:pPr>
                    <w:jc w:val="center"/>
                    <w:rPr>
                      <w:color w:val="000000" w:themeColor="text1"/>
                      <w14:textFill>
                        <w14:solidFill>
                          <w14:schemeClr w14:val="tx1"/>
                        </w14:solidFill>
                      </w14:textFill>
                    </w:rPr>
                  </w:pPr>
                </w:p>
              </w:tc>
              <w:tc>
                <w:tcPr>
                  <w:tcW w:w="607" w:type="pct"/>
                  <w:vMerge w:val="continue"/>
                  <w:vAlign w:val="center"/>
                </w:tcPr>
                <w:p w14:paraId="2E1FB677">
                  <w:pPr>
                    <w:jc w:val="center"/>
                    <w:rPr>
                      <w:color w:val="000000" w:themeColor="text1"/>
                      <w14:textFill>
                        <w14:solidFill>
                          <w14:schemeClr w14:val="tx1"/>
                        </w14:solidFill>
                      </w14:textFill>
                    </w:rPr>
                  </w:pPr>
                </w:p>
              </w:tc>
              <w:tc>
                <w:tcPr>
                  <w:tcW w:w="321" w:type="pct"/>
                  <w:vMerge w:val="continue"/>
                  <w:vAlign w:val="center"/>
                </w:tcPr>
                <w:p w14:paraId="5217516B">
                  <w:pPr>
                    <w:jc w:val="center"/>
                    <w:rPr>
                      <w:color w:val="000000" w:themeColor="text1"/>
                      <w14:textFill>
                        <w14:solidFill>
                          <w14:schemeClr w14:val="tx1"/>
                        </w14:solidFill>
                      </w14:textFill>
                    </w:rPr>
                  </w:pPr>
                </w:p>
              </w:tc>
              <w:tc>
                <w:tcPr>
                  <w:tcW w:w="537" w:type="pct"/>
                  <w:vMerge w:val="continue"/>
                  <w:vAlign w:val="center"/>
                </w:tcPr>
                <w:p w14:paraId="08BCCAD8">
                  <w:pPr>
                    <w:jc w:val="center"/>
                    <w:rPr>
                      <w:color w:val="000000" w:themeColor="text1"/>
                      <w14:textFill>
                        <w14:solidFill>
                          <w14:schemeClr w14:val="tx1"/>
                        </w14:solidFill>
                      </w14:textFill>
                    </w:rPr>
                  </w:pPr>
                </w:p>
              </w:tc>
              <w:tc>
                <w:tcPr>
                  <w:tcW w:w="363" w:type="pct"/>
                  <w:vAlign w:val="center"/>
                </w:tcPr>
                <w:p w14:paraId="0A4CDF7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X</w:t>
                  </w:r>
                </w:p>
              </w:tc>
              <w:tc>
                <w:tcPr>
                  <w:tcW w:w="295" w:type="pct"/>
                  <w:vAlign w:val="center"/>
                </w:tcPr>
                <w:p w14:paraId="5938357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Y</w:t>
                  </w:r>
                </w:p>
              </w:tc>
              <w:tc>
                <w:tcPr>
                  <w:tcW w:w="281" w:type="pct"/>
                  <w:vAlign w:val="center"/>
                </w:tcPr>
                <w:p w14:paraId="1B151EC9">
                  <w:pPr>
                    <w:jc w:val="center"/>
                    <w:rPr>
                      <w:color w:val="000000" w:themeColor="text1"/>
                      <w14:textFill>
                        <w14:solidFill>
                          <w14:schemeClr w14:val="tx1"/>
                        </w14:solidFill>
                      </w14:textFill>
                    </w:rPr>
                  </w:pPr>
                  <w:r>
                    <w:rPr>
                      <w:color w:val="000000" w:themeColor="text1"/>
                      <w14:textFill>
                        <w14:solidFill>
                          <w14:schemeClr w14:val="tx1"/>
                        </w14:solidFill>
                      </w14:textFill>
                    </w:rPr>
                    <w:t>Z</w:t>
                  </w:r>
                </w:p>
              </w:tc>
              <w:tc>
                <w:tcPr>
                  <w:tcW w:w="551" w:type="pct"/>
                  <w:vAlign w:val="center"/>
                </w:tcPr>
                <w:p w14:paraId="09CA74EB">
                  <w:pPr>
                    <w:jc w:val="center"/>
                    <w:rPr>
                      <w:color w:val="000000" w:themeColor="text1"/>
                      <w14:textFill>
                        <w14:solidFill>
                          <w14:schemeClr w14:val="tx1"/>
                        </w14:solidFill>
                      </w14:textFill>
                    </w:rPr>
                  </w:pPr>
                  <w:r>
                    <w:rPr>
                      <w:color w:val="000000" w:themeColor="text1"/>
                      <w14:textFill>
                        <w14:solidFill>
                          <w14:schemeClr w14:val="tx1"/>
                        </w14:solidFill>
                      </w14:textFill>
                    </w:rPr>
                    <w:t>声功率级/dB(A)</w:t>
                  </w:r>
                </w:p>
              </w:tc>
              <w:tc>
                <w:tcPr>
                  <w:tcW w:w="1447" w:type="pct"/>
                  <w:vMerge w:val="continue"/>
                  <w:vAlign w:val="center"/>
                </w:tcPr>
                <w:p w14:paraId="301F8CF1">
                  <w:pPr>
                    <w:jc w:val="center"/>
                    <w:rPr>
                      <w:color w:val="000000" w:themeColor="text1"/>
                      <w14:textFill>
                        <w14:solidFill>
                          <w14:schemeClr w14:val="tx1"/>
                        </w14:solidFill>
                      </w14:textFill>
                    </w:rPr>
                  </w:pPr>
                </w:p>
              </w:tc>
              <w:tc>
                <w:tcPr>
                  <w:tcW w:w="380" w:type="pct"/>
                  <w:vMerge w:val="continue"/>
                  <w:vAlign w:val="center"/>
                </w:tcPr>
                <w:p w14:paraId="160852BB">
                  <w:pPr>
                    <w:jc w:val="center"/>
                    <w:rPr>
                      <w:color w:val="000000" w:themeColor="text1"/>
                      <w14:textFill>
                        <w14:solidFill>
                          <w14:schemeClr w14:val="tx1"/>
                        </w14:solidFill>
                      </w14:textFill>
                    </w:rPr>
                  </w:pPr>
                </w:p>
              </w:tc>
            </w:tr>
            <w:tr w14:paraId="17B65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403" w:hRule="atLeast"/>
                <w:jc w:val="center"/>
              </w:trPr>
              <w:tc>
                <w:tcPr>
                  <w:tcW w:w="204" w:type="pct"/>
                  <w:vAlign w:val="center"/>
                </w:tcPr>
                <w:p w14:paraId="57C00368">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607" w:type="pct"/>
                  <w:vAlign w:val="center"/>
                </w:tcPr>
                <w:p w14:paraId="605CA44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环保风机</w:t>
                  </w:r>
                </w:p>
              </w:tc>
              <w:tc>
                <w:tcPr>
                  <w:tcW w:w="321" w:type="pct"/>
                  <w:vAlign w:val="center"/>
                </w:tcPr>
                <w:p w14:paraId="264FC449">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537" w:type="pct"/>
                  <w:vAlign w:val="center"/>
                </w:tcPr>
                <w:p w14:paraId="28BB039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废气收集</w:t>
                  </w:r>
                </w:p>
              </w:tc>
              <w:tc>
                <w:tcPr>
                  <w:tcW w:w="363" w:type="pct"/>
                  <w:vAlign w:val="center"/>
                </w:tcPr>
                <w:p w14:paraId="4347DFB0">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295" w:type="pct"/>
                  <w:vAlign w:val="center"/>
                </w:tcPr>
                <w:p w14:paraId="7EAB6EB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281" w:type="pct"/>
                  <w:vAlign w:val="center"/>
                </w:tcPr>
                <w:p w14:paraId="31106D62">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51" w:type="pct"/>
                  <w:vAlign w:val="center"/>
                </w:tcPr>
                <w:p w14:paraId="67326C0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85</w:t>
                  </w:r>
                </w:p>
              </w:tc>
              <w:tc>
                <w:tcPr>
                  <w:tcW w:w="1447" w:type="pct"/>
                  <w:vMerge w:val="restart"/>
                  <w:vAlign w:val="center"/>
                </w:tcPr>
                <w:p w14:paraId="6E871E37">
                  <w:pPr>
                    <w:jc w:val="center"/>
                    <w:rPr>
                      <w:color w:val="000000" w:themeColor="text1"/>
                      <w14:textFill>
                        <w14:solidFill>
                          <w14:schemeClr w14:val="tx1"/>
                        </w14:solidFill>
                      </w14:textFill>
                    </w:rPr>
                  </w:pPr>
                  <w:r>
                    <w:rPr>
                      <w:color w:val="000000" w:themeColor="text1"/>
                      <w14:textFill>
                        <w14:solidFill>
                          <w14:schemeClr w14:val="tx1"/>
                        </w14:solidFill>
                      </w14:textFill>
                    </w:rPr>
                    <w:t>选用低噪声设备、基础减震、风机进出口与风道连接处采用柔性连接、风机及泵外部采用隔声罩</w:t>
                  </w:r>
                </w:p>
              </w:tc>
              <w:tc>
                <w:tcPr>
                  <w:tcW w:w="380" w:type="pct"/>
                  <w:vMerge w:val="restart"/>
                  <w:vAlign w:val="center"/>
                </w:tcPr>
                <w:p w14:paraId="1F335D86">
                  <w:pPr>
                    <w:jc w:val="center"/>
                    <w:rPr>
                      <w:color w:val="000000" w:themeColor="text1"/>
                      <w14:textFill>
                        <w14:solidFill>
                          <w14:schemeClr w14:val="tx1"/>
                        </w14:solidFill>
                      </w14:textFill>
                    </w:rPr>
                  </w:pPr>
                  <w:r>
                    <w:rPr>
                      <w:color w:val="000000" w:themeColor="text1"/>
                      <w14:textFill>
                        <w14:solidFill>
                          <w14:schemeClr w14:val="tx1"/>
                        </w14:solidFill>
                      </w14:textFill>
                    </w:rPr>
                    <w:t>昼</w:t>
                  </w:r>
                  <w:r>
                    <w:rPr>
                      <w:rFonts w:hint="eastAsia"/>
                      <w:color w:val="000000" w:themeColor="text1"/>
                      <w14:textFill>
                        <w14:solidFill>
                          <w14:schemeClr w14:val="tx1"/>
                        </w14:solidFill>
                      </w14:textFill>
                    </w:rPr>
                    <w:t>间</w:t>
                  </w:r>
                  <w:r>
                    <w:rPr>
                      <w:color w:val="000000" w:themeColor="text1"/>
                      <w14:textFill>
                        <w14:solidFill>
                          <w14:schemeClr w14:val="tx1"/>
                        </w14:solidFill>
                      </w14:textFill>
                    </w:rPr>
                    <w:t>运行</w:t>
                  </w:r>
                </w:p>
              </w:tc>
            </w:tr>
            <w:tr w14:paraId="11F3D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131" w:hRule="atLeast"/>
                <w:jc w:val="center"/>
              </w:trPr>
              <w:tc>
                <w:tcPr>
                  <w:tcW w:w="204" w:type="pct"/>
                  <w:vAlign w:val="center"/>
                </w:tcPr>
                <w:p w14:paraId="7232489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607" w:type="pct"/>
                  <w:vAlign w:val="center"/>
                </w:tcPr>
                <w:p w14:paraId="3CEE49D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环保风机</w:t>
                  </w:r>
                </w:p>
              </w:tc>
              <w:tc>
                <w:tcPr>
                  <w:tcW w:w="321" w:type="pct"/>
                  <w:vAlign w:val="center"/>
                </w:tcPr>
                <w:p w14:paraId="6F083FAA">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537" w:type="pct"/>
                  <w:vAlign w:val="center"/>
                </w:tcPr>
                <w:p w14:paraId="29FA0C7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废气收集</w:t>
                  </w:r>
                </w:p>
              </w:tc>
              <w:tc>
                <w:tcPr>
                  <w:tcW w:w="363" w:type="pct"/>
                  <w:vAlign w:val="center"/>
                </w:tcPr>
                <w:p w14:paraId="3210BA1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295" w:type="pct"/>
                  <w:vAlign w:val="center"/>
                </w:tcPr>
                <w:p w14:paraId="388F18C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281" w:type="pct"/>
                  <w:vAlign w:val="center"/>
                </w:tcPr>
                <w:p w14:paraId="7FC309C6">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51" w:type="pct"/>
                  <w:vAlign w:val="center"/>
                </w:tcPr>
                <w:p w14:paraId="7F934F3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85</w:t>
                  </w:r>
                </w:p>
              </w:tc>
              <w:tc>
                <w:tcPr>
                  <w:tcW w:w="1447" w:type="pct"/>
                  <w:vMerge w:val="continue"/>
                  <w:vAlign w:val="center"/>
                </w:tcPr>
                <w:p w14:paraId="08D98CEE">
                  <w:pPr>
                    <w:jc w:val="center"/>
                    <w:rPr>
                      <w:color w:val="000000" w:themeColor="text1"/>
                      <w14:textFill>
                        <w14:solidFill>
                          <w14:schemeClr w14:val="tx1"/>
                        </w14:solidFill>
                      </w14:textFill>
                    </w:rPr>
                  </w:pPr>
                </w:p>
              </w:tc>
              <w:tc>
                <w:tcPr>
                  <w:tcW w:w="380" w:type="pct"/>
                  <w:vMerge w:val="continue"/>
                  <w:vAlign w:val="center"/>
                </w:tcPr>
                <w:p w14:paraId="0865B1DA">
                  <w:pPr>
                    <w:jc w:val="center"/>
                    <w:rPr>
                      <w:color w:val="000000" w:themeColor="text1"/>
                      <w14:textFill>
                        <w14:solidFill>
                          <w14:schemeClr w14:val="tx1"/>
                        </w14:solidFill>
                      </w14:textFill>
                    </w:rPr>
                  </w:pPr>
                </w:p>
              </w:tc>
            </w:tr>
            <w:tr w14:paraId="6CE6F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4992" w:type="pct"/>
                  <w:gridSpan w:val="10"/>
                  <w:vAlign w:val="center"/>
                </w:tcPr>
                <w:p w14:paraId="7C5CD427">
                  <w:pPr>
                    <w:pStyle w:val="12"/>
                    <w:jc w:val="left"/>
                    <w:rPr>
                      <w:color w:val="000000" w:themeColor="text1"/>
                      <w14:textFill>
                        <w14:solidFill>
                          <w14:schemeClr w14:val="tx1"/>
                        </w14:solidFill>
                      </w14:textFill>
                    </w:rPr>
                  </w:pPr>
                  <w:r>
                    <w:rPr>
                      <w:rFonts w:hint="eastAsia"/>
                      <w:color w:val="000000" w:themeColor="text1"/>
                      <w:lang w:bidi="ar"/>
                      <w14:textFill>
                        <w14:solidFill>
                          <w14:schemeClr w14:val="tx1"/>
                        </w14:solidFill>
                      </w14:textFill>
                    </w:rPr>
                    <w:t>注：以</w:t>
                  </w:r>
                  <w:r>
                    <w:rPr>
                      <w:rFonts w:hint="eastAsia"/>
                      <w:color w:val="000000" w:themeColor="text1"/>
                      <w:lang w:val="en-US" w:eastAsia="zh-CN" w:bidi="ar"/>
                      <w14:textFill>
                        <w14:solidFill>
                          <w14:schemeClr w14:val="tx1"/>
                        </w14:solidFill>
                      </w14:textFill>
                    </w:rPr>
                    <w:t>生产车间</w:t>
                  </w:r>
                  <w:r>
                    <w:rPr>
                      <w:rFonts w:hint="eastAsia"/>
                      <w:color w:val="000000" w:themeColor="text1"/>
                      <w:lang w:bidi="ar"/>
                      <w14:textFill>
                        <w14:solidFill>
                          <w14:schemeClr w14:val="tx1"/>
                        </w14:solidFill>
                      </w14:textFill>
                    </w:rPr>
                    <w:t>西南角为原点(0,0)，正东为 X 轴，正北为 Y 轴。</w:t>
                  </w:r>
                </w:p>
              </w:tc>
            </w:tr>
          </w:tbl>
          <w:p w14:paraId="24208689">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表4-15 本项目工业企业噪声源强调查清单（室内声源）</w:t>
            </w:r>
          </w:p>
          <w:tbl>
            <w:tblPr>
              <w:tblStyle w:val="30"/>
              <w:tblW w:w="4996"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autofit"/>
              <w:tblCellMar>
                <w:top w:w="0" w:type="dxa"/>
                <w:left w:w="17" w:type="dxa"/>
                <w:bottom w:w="0" w:type="dxa"/>
                <w:right w:w="17" w:type="dxa"/>
              </w:tblCellMar>
            </w:tblPr>
            <w:tblGrid>
              <w:gridCol w:w="398"/>
              <w:gridCol w:w="244"/>
              <w:gridCol w:w="666"/>
              <w:gridCol w:w="378"/>
              <w:gridCol w:w="629"/>
              <w:gridCol w:w="454"/>
              <w:gridCol w:w="532"/>
              <w:gridCol w:w="744"/>
              <w:gridCol w:w="608"/>
              <w:gridCol w:w="361"/>
              <w:gridCol w:w="275"/>
              <w:gridCol w:w="311"/>
              <w:gridCol w:w="369"/>
              <w:gridCol w:w="508"/>
              <w:gridCol w:w="508"/>
              <w:gridCol w:w="508"/>
              <w:gridCol w:w="520"/>
              <w:gridCol w:w="437"/>
              <w:gridCol w:w="694"/>
              <w:gridCol w:w="402"/>
              <w:gridCol w:w="402"/>
              <w:gridCol w:w="402"/>
              <w:gridCol w:w="616"/>
              <w:gridCol w:w="409"/>
              <w:gridCol w:w="409"/>
              <w:gridCol w:w="409"/>
              <w:gridCol w:w="414"/>
            </w:tblGrid>
            <w:tr w14:paraId="381B5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16" w:hRule="atLeast"/>
                <w:jc w:val="center"/>
              </w:trPr>
              <w:tc>
                <w:tcPr>
                  <w:tcW w:w="158" w:type="pct"/>
                  <w:vMerge w:val="restart"/>
                  <w:vAlign w:val="center"/>
                </w:tcPr>
                <w:p w14:paraId="44C9334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96" w:type="pct"/>
                  <w:vMerge w:val="restart"/>
                  <w:vAlign w:val="center"/>
                </w:tcPr>
                <w:p w14:paraId="22C692C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建筑物名称</w:t>
                  </w:r>
                </w:p>
              </w:tc>
              <w:tc>
                <w:tcPr>
                  <w:tcW w:w="264" w:type="pct"/>
                  <w:vMerge w:val="restart"/>
                  <w:vAlign w:val="center"/>
                </w:tcPr>
                <w:p w14:paraId="5565251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声源名称</w:t>
                  </w:r>
                </w:p>
              </w:tc>
              <w:tc>
                <w:tcPr>
                  <w:tcW w:w="150" w:type="pct"/>
                  <w:vMerge w:val="restart"/>
                  <w:vAlign w:val="center"/>
                </w:tcPr>
                <w:p w14:paraId="103F0D4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49" w:type="pct"/>
                  <w:vMerge w:val="restart"/>
                  <w:vAlign w:val="center"/>
                </w:tcPr>
                <w:p w14:paraId="66A15F4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声功率级/dB(A)</w:t>
                  </w:r>
                </w:p>
              </w:tc>
              <w:tc>
                <w:tcPr>
                  <w:tcW w:w="180" w:type="pct"/>
                  <w:vMerge w:val="restart"/>
                  <w:vAlign w:val="center"/>
                </w:tcPr>
                <w:p w14:paraId="263E107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声源控制措施</w:t>
                  </w:r>
                </w:p>
              </w:tc>
              <w:tc>
                <w:tcPr>
                  <w:tcW w:w="747" w:type="pct"/>
                  <w:gridSpan w:val="3"/>
                  <w:vAlign w:val="center"/>
                </w:tcPr>
                <w:p w14:paraId="016667D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空</w:t>
                  </w:r>
                  <w:r>
                    <w:rPr>
                      <w:rFonts w:hint="eastAsia"/>
                      <w:color w:val="000000" w:themeColor="text1"/>
                      <w:lang w:val="en-US" w:eastAsia="zh-CN"/>
                      <w14:textFill>
                        <w14:solidFill>
                          <w14:schemeClr w14:val="tx1"/>
                        </w14:solidFill>
                      </w14:textFill>
                    </w:rPr>
                    <w:t>间</w:t>
                  </w:r>
                  <w:r>
                    <w:rPr>
                      <w:rFonts w:hint="eastAsia"/>
                      <w:color w:val="000000" w:themeColor="text1"/>
                      <w14:textFill>
                        <w14:solidFill>
                          <w14:schemeClr w14:val="tx1"/>
                        </w14:solidFill>
                      </w14:textFill>
                    </w:rPr>
                    <w:t>相对位置/m</w:t>
                  </w:r>
                </w:p>
              </w:tc>
              <w:tc>
                <w:tcPr>
                  <w:tcW w:w="521" w:type="pct"/>
                  <w:gridSpan w:val="4"/>
                  <w:vAlign w:val="center"/>
                </w:tcPr>
                <w:p w14:paraId="6882BB3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距室内边界距离/m</w:t>
                  </w:r>
                </w:p>
              </w:tc>
              <w:tc>
                <w:tcPr>
                  <w:tcW w:w="809" w:type="pct"/>
                  <w:gridSpan w:val="4"/>
                  <w:vAlign w:val="center"/>
                </w:tcPr>
                <w:p w14:paraId="04D1862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室内边界声级/dB（A）</w:t>
                  </w:r>
                </w:p>
              </w:tc>
              <w:tc>
                <w:tcPr>
                  <w:tcW w:w="173" w:type="pct"/>
                  <w:vMerge w:val="restart"/>
                  <w:vAlign w:val="center"/>
                </w:tcPr>
                <w:p w14:paraId="3EC1C41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运行时段</w:t>
                  </w:r>
                </w:p>
              </w:tc>
              <w:tc>
                <w:tcPr>
                  <w:tcW w:w="275" w:type="pct"/>
                  <w:vMerge w:val="restart"/>
                  <w:vAlign w:val="center"/>
                </w:tcPr>
                <w:p w14:paraId="0D19F10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建筑物插入损失/dB(A)</w:t>
                  </w:r>
                </w:p>
              </w:tc>
              <w:tc>
                <w:tcPr>
                  <w:tcW w:w="721" w:type="pct"/>
                  <w:gridSpan w:val="4"/>
                  <w:vMerge w:val="restart"/>
                  <w:vAlign w:val="center"/>
                </w:tcPr>
                <w:p w14:paraId="11F36FFB">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建筑物外</w:t>
                  </w:r>
                  <w:r>
                    <w:rPr>
                      <w:rFonts w:hint="eastAsia"/>
                      <w:color w:val="000000" w:themeColor="text1"/>
                      <w:lang w:val="en-US" w:eastAsia="zh-CN"/>
                      <w14:textFill>
                        <w14:solidFill>
                          <w14:schemeClr w14:val="tx1"/>
                        </w14:solidFill>
                      </w14:textFill>
                    </w:rPr>
                    <w:t>1m处</w:t>
                  </w:r>
                  <w:r>
                    <w:rPr>
                      <w:rFonts w:hint="eastAsia"/>
                      <w:color w:val="000000" w:themeColor="text1"/>
                      <w14:textFill>
                        <w14:solidFill>
                          <w14:schemeClr w14:val="tx1"/>
                        </w14:solidFill>
                      </w14:textFill>
                    </w:rPr>
                    <w:t>噪声</w:t>
                  </w:r>
                </w:p>
              </w:tc>
              <w:tc>
                <w:tcPr>
                  <w:tcW w:w="650" w:type="pct"/>
                  <w:gridSpan w:val="4"/>
                  <w:vMerge w:val="restart"/>
                  <w:vAlign w:val="center"/>
                </w:tcPr>
                <w:p w14:paraId="604B1A20">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建筑物</w:t>
                  </w:r>
                  <w:r>
                    <w:rPr>
                      <w:rFonts w:hint="eastAsia"/>
                      <w:color w:val="000000" w:themeColor="text1"/>
                      <w:lang w:val="en-US" w:eastAsia="zh-CN"/>
                      <w14:textFill>
                        <w14:solidFill>
                          <w14:schemeClr w14:val="tx1"/>
                        </w14:solidFill>
                      </w14:textFill>
                    </w:rPr>
                    <w:t>距厂界</w:t>
                  </w:r>
                  <w:r>
                    <w:rPr>
                      <w:rFonts w:hint="eastAsia"/>
                      <w:color w:val="000000" w:themeColor="text1"/>
                      <w14:textFill>
                        <w14:solidFill>
                          <w14:schemeClr w14:val="tx1"/>
                        </w14:solidFill>
                      </w14:textFill>
                    </w:rPr>
                    <w:t>距离/m</w:t>
                  </w:r>
                </w:p>
              </w:tc>
            </w:tr>
            <w:tr w14:paraId="1C455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312" w:hRule="atLeast"/>
                <w:jc w:val="center"/>
              </w:trPr>
              <w:tc>
                <w:tcPr>
                  <w:tcW w:w="158" w:type="pct"/>
                  <w:vMerge w:val="continue"/>
                  <w:vAlign w:val="center"/>
                </w:tcPr>
                <w:p w14:paraId="0CC68377">
                  <w:pPr>
                    <w:jc w:val="center"/>
                    <w:rPr>
                      <w:color w:val="000000" w:themeColor="text1"/>
                      <w14:textFill>
                        <w14:solidFill>
                          <w14:schemeClr w14:val="tx1"/>
                        </w14:solidFill>
                      </w14:textFill>
                    </w:rPr>
                  </w:pPr>
                </w:p>
              </w:tc>
              <w:tc>
                <w:tcPr>
                  <w:tcW w:w="96" w:type="pct"/>
                  <w:vMerge w:val="continue"/>
                  <w:vAlign w:val="center"/>
                </w:tcPr>
                <w:p w14:paraId="2EAE4AEB">
                  <w:pPr>
                    <w:jc w:val="center"/>
                    <w:rPr>
                      <w:color w:val="000000" w:themeColor="text1"/>
                      <w14:textFill>
                        <w14:solidFill>
                          <w14:schemeClr w14:val="tx1"/>
                        </w14:solidFill>
                      </w14:textFill>
                    </w:rPr>
                  </w:pPr>
                </w:p>
              </w:tc>
              <w:tc>
                <w:tcPr>
                  <w:tcW w:w="264" w:type="pct"/>
                  <w:vMerge w:val="continue"/>
                  <w:vAlign w:val="center"/>
                </w:tcPr>
                <w:p w14:paraId="080F8127">
                  <w:pPr>
                    <w:jc w:val="center"/>
                    <w:rPr>
                      <w:color w:val="000000" w:themeColor="text1"/>
                      <w14:textFill>
                        <w14:solidFill>
                          <w14:schemeClr w14:val="tx1"/>
                        </w14:solidFill>
                      </w14:textFill>
                    </w:rPr>
                  </w:pPr>
                </w:p>
              </w:tc>
              <w:tc>
                <w:tcPr>
                  <w:tcW w:w="150" w:type="pct"/>
                  <w:vMerge w:val="continue"/>
                  <w:vAlign w:val="center"/>
                </w:tcPr>
                <w:p w14:paraId="06DB6214">
                  <w:pPr>
                    <w:jc w:val="center"/>
                    <w:rPr>
                      <w:color w:val="000000" w:themeColor="text1"/>
                      <w14:textFill>
                        <w14:solidFill>
                          <w14:schemeClr w14:val="tx1"/>
                        </w14:solidFill>
                      </w14:textFill>
                    </w:rPr>
                  </w:pPr>
                </w:p>
              </w:tc>
              <w:tc>
                <w:tcPr>
                  <w:tcW w:w="249" w:type="pct"/>
                  <w:vMerge w:val="continue"/>
                  <w:vAlign w:val="center"/>
                </w:tcPr>
                <w:p w14:paraId="1102A4CF">
                  <w:pPr>
                    <w:jc w:val="center"/>
                    <w:rPr>
                      <w:color w:val="000000" w:themeColor="text1"/>
                      <w14:textFill>
                        <w14:solidFill>
                          <w14:schemeClr w14:val="tx1"/>
                        </w14:solidFill>
                      </w14:textFill>
                    </w:rPr>
                  </w:pPr>
                </w:p>
              </w:tc>
              <w:tc>
                <w:tcPr>
                  <w:tcW w:w="180" w:type="pct"/>
                  <w:vMerge w:val="continue"/>
                  <w:vAlign w:val="center"/>
                </w:tcPr>
                <w:p w14:paraId="0C55FBBD">
                  <w:pPr>
                    <w:jc w:val="center"/>
                    <w:rPr>
                      <w:color w:val="000000" w:themeColor="text1"/>
                      <w14:textFill>
                        <w14:solidFill>
                          <w14:schemeClr w14:val="tx1"/>
                        </w14:solidFill>
                      </w14:textFill>
                    </w:rPr>
                  </w:pPr>
                </w:p>
              </w:tc>
              <w:tc>
                <w:tcPr>
                  <w:tcW w:w="211" w:type="pct"/>
                  <w:vMerge w:val="restart"/>
                  <w:vAlign w:val="center"/>
                </w:tcPr>
                <w:p w14:paraId="2DCF24B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X</w:t>
                  </w:r>
                </w:p>
              </w:tc>
              <w:tc>
                <w:tcPr>
                  <w:tcW w:w="295" w:type="pct"/>
                  <w:vMerge w:val="restart"/>
                  <w:vAlign w:val="center"/>
                </w:tcPr>
                <w:p w14:paraId="5BCCFAC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Y</w:t>
                  </w:r>
                </w:p>
              </w:tc>
              <w:tc>
                <w:tcPr>
                  <w:tcW w:w="240" w:type="pct"/>
                  <w:vMerge w:val="restart"/>
                  <w:vAlign w:val="center"/>
                </w:tcPr>
                <w:p w14:paraId="1CFB38E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Z</w:t>
                  </w:r>
                </w:p>
              </w:tc>
              <w:tc>
                <w:tcPr>
                  <w:tcW w:w="143" w:type="pct"/>
                  <w:vMerge w:val="restart"/>
                  <w:vAlign w:val="center"/>
                </w:tcPr>
                <w:p w14:paraId="6750D3F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东</w:t>
                  </w:r>
                </w:p>
              </w:tc>
              <w:tc>
                <w:tcPr>
                  <w:tcW w:w="109" w:type="pct"/>
                  <w:vMerge w:val="restart"/>
                  <w:vAlign w:val="center"/>
                </w:tcPr>
                <w:p w14:paraId="1D391D2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南</w:t>
                  </w:r>
                </w:p>
              </w:tc>
              <w:tc>
                <w:tcPr>
                  <w:tcW w:w="123" w:type="pct"/>
                  <w:vMerge w:val="restart"/>
                  <w:vAlign w:val="center"/>
                </w:tcPr>
                <w:p w14:paraId="41B4FCD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西</w:t>
                  </w:r>
                </w:p>
              </w:tc>
              <w:tc>
                <w:tcPr>
                  <w:tcW w:w="146" w:type="pct"/>
                  <w:vMerge w:val="restart"/>
                  <w:vAlign w:val="center"/>
                </w:tcPr>
                <w:p w14:paraId="2FEE442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北</w:t>
                  </w:r>
                </w:p>
              </w:tc>
              <w:tc>
                <w:tcPr>
                  <w:tcW w:w="201" w:type="pct"/>
                  <w:vMerge w:val="restart"/>
                  <w:vAlign w:val="center"/>
                </w:tcPr>
                <w:p w14:paraId="18CBF75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东</w:t>
                  </w:r>
                </w:p>
              </w:tc>
              <w:tc>
                <w:tcPr>
                  <w:tcW w:w="201" w:type="pct"/>
                  <w:vMerge w:val="restart"/>
                  <w:vAlign w:val="center"/>
                </w:tcPr>
                <w:p w14:paraId="5159A6A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南</w:t>
                  </w:r>
                </w:p>
              </w:tc>
              <w:tc>
                <w:tcPr>
                  <w:tcW w:w="201" w:type="pct"/>
                  <w:vMerge w:val="restart"/>
                  <w:vAlign w:val="center"/>
                </w:tcPr>
                <w:p w14:paraId="4A10BB4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西</w:t>
                  </w:r>
                </w:p>
              </w:tc>
              <w:tc>
                <w:tcPr>
                  <w:tcW w:w="205" w:type="pct"/>
                  <w:vMerge w:val="restart"/>
                  <w:vAlign w:val="center"/>
                </w:tcPr>
                <w:p w14:paraId="537479D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北</w:t>
                  </w:r>
                </w:p>
              </w:tc>
              <w:tc>
                <w:tcPr>
                  <w:tcW w:w="173" w:type="pct"/>
                  <w:vMerge w:val="continue"/>
                  <w:vAlign w:val="center"/>
                </w:tcPr>
                <w:p w14:paraId="7F51F561">
                  <w:pPr>
                    <w:jc w:val="center"/>
                    <w:rPr>
                      <w:color w:val="000000" w:themeColor="text1"/>
                      <w14:textFill>
                        <w14:solidFill>
                          <w14:schemeClr w14:val="tx1"/>
                        </w14:solidFill>
                      </w14:textFill>
                    </w:rPr>
                  </w:pPr>
                </w:p>
              </w:tc>
              <w:tc>
                <w:tcPr>
                  <w:tcW w:w="275" w:type="pct"/>
                  <w:vMerge w:val="continue"/>
                  <w:vAlign w:val="center"/>
                </w:tcPr>
                <w:p w14:paraId="0BD4C923">
                  <w:pPr>
                    <w:jc w:val="center"/>
                    <w:rPr>
                      <w:color w:val="000000" w:themeColor="text1"/>
                      <w14:textFill>
                        <w14:solidFill>
                          <w14:schemeClr w14:val="tx1"/>
                        </w14:solidFill>
                      </w14:textFill>
                    </w:rPr>
                  </w:pPr>
                </w:p>
              </w:tc>
              <w:tc>
                <w:tcPr>
                  <w:tcW w:w="721" w:type="pct"/>
                  <w:gridSpan w:val="4"/>
                  <w:vMerge w:val="continue"/>
                  <w:vAlign w:val="center"/>
                </w:tcPr>
                <w:p w14:paraId="1CAE6A61">
                  <w:pPr>
                    <w:jc w:val="center"/>
                    <w:rPr>
                      <w:color w:val="000000" w:themeColor="text1"/>
                      <w14:textFill>
                        <w14:solidFill>
                          <w14:schemeClr w14:val="tx1"/>
                        </w14:solidFill>
                      </w14:textFill>
                    </w:rPr>
                  </w:pPr>
                </w:p>
              </w:tc>
              <w:tc>
                <w:tcPr>
                  <w:tcW w:w="650" w:type="pct"/>
                  <w:gridSpan w:val="4"/>
                  <w:vMerge w:val="continue"/>
                  <w:vAlign w:val="center"/>
                </w:tcPr>
                <w:p w14:paraId="49FECF75">
                  <w:pPr>
                    <w:jc w:val="center"/>
                    <w:rPr>
                      <w:color w:val="000000" w:themeColor="text1"/>
                      <w14:textFill>
                        <w14:solidFill>
                          <w14:schemeClr w14:val="tx1"/>
                        </w14:solidFill>
                      </w14:textFill>
                    </w:rPr>
                  </w:pPr>
                </w:p>
              </w:tc>
            </w:tr>
            <w:tr w14:paraId="26C32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90" w:hRule="atLeast"/>
                <w:jc w:val="center"/>
              </w:trPr>
              <w:tc>
                <w:tcPr>
                  <w:tcW w:w="158" w:type="pct"/>
                  <w:vMerge w:val="continue"/>
                  <w:vAlign w:val="center"/>
                </w:tcPr>
                <w:p w14:paraId="008D9525">
                  <w:pPr>
                    <w:jc w:val="center"/>
                    <w:rPr>
                      <w:color w:val="000000" w:themeColor="text1"/>
                      <w14:textFill>
                        <w14:solidFill>
                          <w14:schemeClr w14:val="tx1"/>
                        </w14:solidFill>
                      </w14:textFill>
                    </w:rPr>
                  </w:pPr>
                </w:p>
              </w:tc>
              <w:tc>
                <w:tcPr>
                  <w:tcW w:w="96" w:type="pct"/>
                  <w:vMerge w:val="continue"/>
                  <w:vAlign w:val="center"/>
                </w:tcPr>
                <w:p w14:paraId="0DE26342">
                  <w:pPr>
                    <w:jc w:val="center"/>
                    <w:rPr>
                      <w:color w:val="000000" w:themeColor="text1"/>
                      <w14:textFill>
                        <w14:solidFill>
                          <w14:schemeClr w14:val="tx1"/>
                        </w14:solidFill>
                      </w14:textFill>
                    </w:rPr>
                  </w:pPr>
                </w:p>
              </w:tc>
              <w:tc>
                <w:tcPr>
                  <w:tcW w:w="264" w:type="pct"/>
                  <w:vMerge w:val="continue"/>
                  <w:vAlign w:val="center"/>
                </w:tcPr>
                <w:p w14:paraId="224F0E0B">
                  <w:pPr>
                    <w:jc w:val="center"/>
                    <w:rPr>
                      <w:color w:val="000000" w:themeColor="text1"/>
                      <w14:textFill>
                        <w14:solidFill>
                          <w14:schemeClr w14:val="tx1"/>
                        </w14:solidFill>
                      </w14:textFill>
                    </w:rPr>
                  </w:pPr>
                </w:p>
              </w:tc>
              <w:tc>
                <w:tcPr>
                  <w:tcW w:w="150" w:type="pct"/>
                  <w:vMerge w:val="continue"/>
                  <w:vAlign w:val="center"/>
                </w:tcPr>
                <w:p w14:paraId="0D8FA2B7">
                  <w:pPr>
                    <w:jc w:val="center"/>
                    <w:rPr>
                      <w:color w:val="000000" w:themeColor="text1"/>
                      <w14:textFill>
                        <w14:solidFill>
                          <w14:schemeClr w14:val="tx1"/>
                        </w14:solidFill>
                      </w14:textFill>
                    </w:rPr>
                  </w:pPr>
                </w:p>
              </w:tc>
              <w:tc>
                <w:tcPr>
                  <w:tcW w:w="249" w:type="pct"/>
                  <w:vMerge w:val="continue"/>
                  <w:vAlign w:val="center"/>
                </w:tcPr>
                <w:p w14:paraId="1D198048">
                  <w:pPr>
                    <w:jc w:val="center"/>
                    <w:rPr>
                      <w:color w:val="000000" w:themeColor="text1"/>
                      <w14:textFill>
                        <w14:solidFill>
                          <w14:schemeClr w14:val="tx1"/>
                        </w14:solidFill>
                      </w14:textFill>
                    </w:rPr>
                  </w:pPr>
                </w:p>
              </w:tc>
              <w:tc>
                <w:tcPr>
                  <w:tcW w:w="180" w:type="pct"/>
                  <w:vMerge w:val="continue"/>
                  <w:vAlign w:val="center"/>
                </w:tcPr>
                <w:p w14:paraId="36CE0234">
                  <w:pPr>
                    <w:jc w:val="center"/>
                    <w:rPr>
                      <w:color w:val="000000" w:themeColor="text1"/>
                      <w14:textFill>
                        <w14:solidFill>
                          <w14:schemeClr w14:val="tx1"/>
                        </w14:solidFill>
                      </w14:textFill>
                    </w:rPr>
                  </w:pPr>
                </w:p>
              </w:tc>
              <w:tc>
                <w:tcPr>
                  <w:tcW w:w="211" w:type="pct"/>
                  <w:vMerge w:val="continue"/>
                  <w:vAlign w:val="center"/>
                </w:tcPr>
                <w:p w14:paraId="210B6101">
                  <w:pPr>
                    <w:jc w:val="center"/>
                    <w:rPr>
                      <w:color w:val="000000" w:themeColor="text1"/>
                      <w14:textFill>
                        <w14:solidFill>
                          <w14:schemeClr w14:val="tx1"/>
                        </w14:solidFill>
                      </w14:textFill>
                    </w:rPr>
                  </w:pPr>
                </w:p>
              </w:tc>
              <w:tc>
                <w:tcPr>
                  <w:tcW w:w="295" w:type="pct"/>
                  <w:vMerge w:val="continue"/>
                  <w:vAlign w:val="center"/>
                </w:tcPr>
                <w:p w14:paraId="5E3BAC80">
                  <w:pPr>
                    <w:jc w:val="center"/>
                    <w:rPr>
                      <w:color w:val="000000" w:themeColor="text1"/>
                      <w14:textFill>
                        <w14:solidFill>
                          <w14:schemeClr w14:val="tx1"/>
                        </w14:solidFill>
                      </w14:textFill>
                    </w:rPr>
                  </w:pPr>
                </w:p>
              </w:tc>
              <w:tc>
                <w:tcPr>
                  <w:tcW w:w="240" w:type="pct"/>
                  <w:vMerge w:val="continue"/>
                  <w:vAlign w:val="center"/>
                </w:tcPr>
                <w:p w14:paraId="752714E0">
                  <w:pPr>
                    <w:jc w:val="center"/>
                    <w:rPr>
                      <w:color w:val="000000" w:themeColor="text1"/>
                      <w14:textFill>
                        <w14:solidFill>
                          <w14:schemeClr w14:val="tx1"/>
                        </w14:solidFill>
                      </w14:textFill>
                    </w:rPr>
                  </w:pPr>
                </w:p>
              </w:tc>
              <w:tc>
                <w:tcPr>
                  <w:tcW w:w="143" w:type="pct"/>
                  <w:vMerge w:val="continue"/>
                  <w:vAlign w:val="center"/>
                </w:tcPr>
                <w:p w14:paraId="1841FE48">
                  <w:pPr>
                    <w:jc w:val="center"/>
                    <w:rPr>
                      <w:color w:val="000000" w:themeColor="text1"/>
                      <w14:textFill>
                        <w14:solidFill>
                          <w14:schemeClr w14:val="tx1"/>
                        </w14:solidFill>
                      </w14:textFill>
                    </w:rPr>
                  </w:pPr>
                </w:p>
              </w:tc>
              <w:tc>
                <w:tcPr>
                  <w:tcW w:w="109" w:type="pct"/>
                  <w:vMerge w:val="continue"/>
                  <w:vAlign w:val="center"/>
                </w:tcPr>
                <w:p w14:paraId="762E8613">
                  <w:pPr>
                    <w:jc w:val="center"/>
                    <w:rPr>
                      <w:color w:val="000000" w:themeColor="text1"/>
                      <w14:textFill>
                        <w14:solidFill>
                          <w14:schemeClr w14:val="tx1"/>
                        </w14:solidFill>
                      </w14:textFill>
                    </w:rPr>
                  </w:pPr>
                </w:p>
              </w:tc>
              <w:tc>
                <w:tcPr>
                  <w:tcW w:w="123" w:type="pct"/>
                  <w:vMerge w:val="continue"/>
                  <w:vAlign w:val="center"/>
                </w:tcPr>
                <w:p w14:paraId="18094A19">
                  <w:pPr>
                    <w:jc w:val="center"/>
                    <w:rPr>
                      <w:color w:val="000000" w:themeColor="text1"/>
                      <w14:textFill>
                        <w14:solidFill>
                          <w14:schemeClr w14:val="tx1"/>
                        </w14:solidFill>
                      </w14:textFill>
                    </w:rPr>
                  </w:pPr>
                </w:p>
              </w:tc>
              <w:tc>
                <w:tcPr>
                  <w:tcW w:w="146" w:type="pct"/>
                  <w:vMerge w:val="continue"/>
                  <w:vAlign w:val="center"/>
                </w:tcPr>
                <w:p w14:paraId="0328161C">
                  <w:pPr>
                    <w:jc w:val="center"/>
                    <w:rPr>
                      <w:color w:val="000000" w:themeColor="text1"/>
                      <w14:textFill>
                        <w14:solidFill>
                          <w14:schemeClr w14:val="tx1"/>
                        </w14:solidFill>
                      </w14:textFill>
                    </w:rPr>
                  </w:pPr>
                </w:p>
              </w:tc>
              <w:tc>
                <w:tcPr>
                  <w:tcW w:w="201" w:type="pct"/>
                  <w:vMerge w:val="continue"/>
                  <w:vAlign w:val="center"/>
                </w:tcPr>
                <w:p w14:paraId="105C2885">
                  <w:pPr>
                    <w:jc w:val="center"/>
                    <w:rPr>
                      <w:color w:val="000000" w:themeColor="text1"/>
                      <w14:textFill>
                        <w14:solidFill>
                          <w14:schemeClr w14:val="tx1"/>
                        </w14:solidFill>
                      </w14:textFill>
                    </w:rPr>
                  </w:pPr>
                </w:p>
              </w:tc>
              <w:tc>
                <w:tcPr>
                  <w:tcW w:w="201" w:type="pct"/>
                  <w:vMerge w:val="continue"/>
                  <w:vAlign w:val="center"/>
                </w:tcPr>
                <w:p w14:paraId="08CCC1F4">
                  <w:pPr>
                    <w:jc w:val="center"/>
                    <w:rPr>
                      <w:color w:val="000000" w:themeColor="text1"/>
                      <w14:textFill>
                        <w14:solidFill>
                          <w14:schemeClr w14:val="tx1"/>
                        </w14:solidFill>
                      </w14:textFill>
                    </w:rPr>
                  </w:pPr>
                </w:p>
              </w:tc>
              <w:tc>
                <w:tcPr>
                  <w:tcW w:w="201" w:type="pct"/>
                  <w:vMerge w:val="continue"/>
                  <w:vAlign w:val="center"/>
                </w:tcPr>
                <w:p w14:paraId="6D96A318">
                  <w:pPr>
                    <w:jc w:val="center"/>
                    <w:rPr>
                      <w:color w:val="000000" w:themeColor="text1"/>
                      <w14:textFill>
                        <w14:solidFill>
                          <w14:schemeClr w14:val="tx1"/>
                        </w14:solidFill>
                      </w14:textFill>
                    </w:rPr>
                  </w:pPr>
                </w:p>
              </w:tc>
              <w:tc>
                <w:tcPr>
                  <w:tcW w:w="205" w:type="pct"/>
                  <w:vMerge w:val="continue"/>
                  <w:vAlign w:val="center"/>
                </w:tcPr>
                <w:p w14:paraId="2B1045ED">
                  <w:pPr>
                    <w:jc w:val="center"/>
                    <w:rPr>
                      <w:color w:val="000000" w:themeColor="text1"/>
                      <w14:textFill>
                        <w14:solidFill>
                          <w14:schemeClr w14:val="tx1"/>
                        </w14:solidFill>
                      </w14:textFill>
                    </w:rPr>
                  </w:pPr>
                </w:p>
              </w:tc>
              <w:tc>
                <w:tcPr>
                  <w:tcW w:w="173" w:type="pct"/>
                  <w:vMerge w:val="continue"/>
                  <w:vAlign w:val="center"/>
                </w:tcPr>
                <w:p w14:paraId="5B177F7D">
                  <w:pPr>
                    <w:jc w:val="center"/>
                    <w:rPr>
                      <w:color w:val="000000" w:themeColor="text1"/>
                      <w14:textFill>
                        <w14:solidFill>
                          <w14:schemeClr w14:val="tx1"/>
                        </w14:solidFill>
                      </w14:textFill>
                    </w:rPr>
                  </w:pPr>
                </w:p>
              </w:tc>
              <w:tc>
                <w:tcPr>
                  <w:tcW w:w="275" w:type="pct"/>
                  <w:vMerge w:val="continue"/>
                  <w:vAlign w:val="center"/>
                </w:tcPr>
                <w:p w14:paraId="1BF5DE0F">
                  <w:pPr>
                    <w:jc w:val="center"/>
                    <w:rPr>
                      <w:color w:val="000000" w:themeColor="text1"/>
                      <w14:textFill>
                        <w14:solidFill>
                          <w14:schemeClr w14:val="tx1"/>
                        </w14:solidFill>
                      </w14:textFill>
                    </w:rPr>
                  </w:pPr>
                </w:p>
              </w:tc>
              <w:tc>
                <w:tcPr>
                  <w:tcW w:w="159" w:type="pct"/>
                  <w:vAlign w:val="center"/>
                </w:tcPr>
                <w:p w14:paraId="1199966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东</w:t>
                  </w:r>
                </w:p>
              </w:tc>
              <w:tc>
                <w:tcPr>
                  <w:tcW w:w="159" w:type="pct"/>
                  <w:vAlign w:val="center"/>
                </w:tcPr>
                <w:p w14:paraId="0C12BED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南</w:t>
                  </w:r>
                </w:p>
              </w:tc>
              <w:tc>
                <w:tcPr>
                  <w:tcW w:w="159" w:type="pct"/>
                  <w:vAlign w:val="center"/>
                </w:tcPr>
                <w:p w14:paraId="61D6B9F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西</w:t>
                  </w:r>
                </w:p>
              </w:tc>
              <w:tc>
                <w:tcPr>
                  <w:tcW w:w="243" w:type="pct"/>
                  <w:vAlign w:val="center"/>
                </w:tcPr>
                <w:p w14:paraId="3E2C1FB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北</w:t>
                  </w:r>
                </w:p>
              </w:tc>
              <w:tc>
                <w:tcPr>
                  <w:tcW w:w="162" w:type="pct"/>
                  <w:vAlign w:val="center"/>
                </w:tcPr>
                <w:p w14:paraId="5A4A7CDE">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东</w:t>
                  </w:r>
                </w:p>
              </w:tc>
              <w:tc>
                <w:tcPr>
                  <w:tcW w:w="162" w:type="pct"/>
                  <w:vAlign w:val="center"/>
                </w:tcPr>
                <w:p w14:paraId="25F1CC19">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南</w:t>
                  </w:r>
                </w:p>
              </w:tc>
              <w:tc>
                <w:tcPr>
                  <w:tcW w:w="162" w:type="pct"/>
                  <w:vAlign w:val="center"/>
                </w:tcPr>
                <w:p w14:paraId="00F74790">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西</w:t>
                  </w:r>
                </w:p>
              </w:tc>
              <w:tc>
                <w:tcPr>
                  <w:tcW w:w="164" w:type="pct"/>
                  <w:vAlign w:val="center"/>
                </w:tcPr>
                <w:p w14:paraId="26ABA633">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北</w:t>
                  </w:r>
                </w:p>
              </w:tc>
            </w:tr>
            <w:tr w14:paraId="3070E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90" w:hRule="atLeast"/>
                <w:jc w:val="center"/>
              </w:trPr>
              <w:tc>
                <w:tcPr>
                  <w:tcW w:w="158" w:type="pct"/>
                  <w:shd w:val="clear" w:color="auto" w:fill="auto"/>
                  <w:vAlign w:val="center"/>
                </w:tcPr>
                <w:p w14:paraId="71E3C834">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1</w:t>
                  </w:r>
                </w:p>
              </w:tc>
              <w:tc>
                <w:tcPr>
                  <w:tcW w:w="96" w:type="pct"/>
                  <w:vMerge w:val="restart"/>
                  <w:vAlign w:val="center"/>
                </w:tcPr>
                <w:p w14:paraId="740A9CB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生产车间</w:t>
                  </w:r>
                </w:p>
              </w:tc>
              <w:tc>
                <w:tcPr>
                  <w:tcW w:w="264" w:type="pct"/>
                  <w:vAlign w:val="center"/>
                </w:tcPr>
                <w:p w14:paraId="1F3AB7F9">
                  <w:pPr>
                    <w:jc w:val="center"/>
                    <w:rPr>
                      <w:rFonts w:hint="eastAsia" w:eastAsia="宋体"/>
                      <w:color w:val="000000" w:themeColor="text1"/>
                      <w:lang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造粒机</w:t>
                  </w:r>
                </w:p>
              </w:tc>
              <w:tc>
                <w:tcPr>
                  <w:tcW w:w="150" w:type="pct"/>
                  <w:vAlign w:val="center"/>
                </w:tcPr>
                <w:p w14:paraId="7C037BB1">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49" w:type="pct"/>
                  <w:vAlign w:val="center"/>
                </w:tcPr>
                <w:p w14:paraId="178E974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80</w:t>
                  </w:r>
                </w:p>
              </w:tc>
              <w:tc>
                <w:tcPr>
                  <w:tcW w:w="180" w:type="pct"/>
                  <w:vMerge w:val="restart"/>
                  <w:vAlign w:val="center"/>
                </w:tcPr>
                <w:p w14:paraId="0867F4E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选用低噪声设备、基础减震、墙体隔声</w:t>
                  </w:r>
                </w:p>
              </w:tc>
              <w:tc>
                <w:tcPr>
                  <w:tcW w:w="211" w:type="pct"/>
                  <w:vAlign w:val="center"/>
                </w:tcPr>
                <w:p w14:paraId="433A15B7">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10</w:t>
                  </w:r>
                </w:p>
              </w:tc>
              <w:tc>
                <w:tcPr>
                  <w:tcW w:w="295" w:type="pct"/>
                  <w:vAlign w:val="center"/>
                </w:tcPr>
                <w:p w14:paraId="512AF62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25</w:t>
                  </w:r>
                </w:p>
              </w:tc>
              <w:tc>
                <w:tcPr>
                  <w:tcW w:w="240" w:type="pct"/>
                  <w:vAlign w:val="center"/>
                </w:tcPr>
                <w:p w14:paraId="7E34430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3" w:type="pct"/>
                  <w:vAlign w:val="center"/>
                </w:tcPr>
                <w:p w14:paraId="730D9F8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47</w:t>
                  </w:r>
                </w:p>
              </w:tc>
              <w:tc>
                <w:tcPr>
                  <w:tcW w:w="109" w:type="pct"/>
                  <w:vAlign w:val="center"/>
                </w:tcPr>
                <w:p w14:paraId="5867DC5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43</w:t>
                  </w:r>
                </w:p>
              </w:tc>
              <w:tc>
                <w:tcPr>
                  <w:tcW w:w="123" w:type="pct"/>
                  <w:vAlign w:val="center"/>
                </w:tcPr>
                <w:p w14:paraId="5CA260EB">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46" w:type="pct"/>
                  <w:vAlign w:val="center"/>
                </w:tcPr>
                <w:p w14:paraId="38DB86E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67</w:t>
                  </w:r>
                </w:p>
              </w:tc>
              <w:tc>
                <w:tcPr>
                  <w:tcW w:w="201" w:type="pct"/>
                  <w:shd w:val="clear" w:color="auto" w:fill="auto"/>
                  <w:vAlign w:val="center"/>
                </w:tcPr>
                <w:p w14:paraId="4A9A33C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52.58</w:t>
                  </w:r>
                </w:p>
              </w:tc>
              <w:tc>
                <w:tcPr>
                  <w:tcW w:w="201" w:type="pct"/>
                  <w:shd w:val="clear" w:color="auto" w:fill="auto"/>
                  <w:vAlign w:val="center"/>
                </w:tcPr>
                <w:p w14:paraId="3A51F672">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53.35</w:t>
                  </w:r>
                </w:p>
              </w:tc>
              <w:tc>
                <w:tcPr>
                  <w:tcW w:w="201" w:type="pct"/>
                  <w:shd w:val="clear" w:color="auto" w:fill="auto"/>
                  <w:vAlign w:val="center"/>
                </w:tcPr>
                <w:p w14:paraId="2419ED7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72.04</w:t>
                  </w:r>
                </w:p>
              </w:tc>
              <w:tc>
                <w:tcPr>
                  <w:tcW w:w="205" w:type="pct"/>
                  <w:shd w:val="clear" w:color="auto" w:fill="auto"/>
                  <w:vAlign w:val="center"/>
                </w:tcPr>
                <w:p w14:paraId="13FC208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49.50</w:t>
                  </w:r>
                </w:p>
              </w:tc>
              <w:tc>
                <w:tcPr>
                  <w:tcW w:w="173" w:type="pct"/>
                  <w:vMerge w:val="restart"/>
                  <w:vAlign w:val="center"/>
                </w:tcPr>
                <w:p w14:paraId="25E28BE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昼间运行</w:t>
                  </w:r>
                </w:p>
              </w:tc>
              <w:tc>
                <w:tcPr>
                  <w:tcW w:w="275" w:type="pct"/>
                  <w:vAlign w:val="center"/>
                </w:tcPr>
                <w:p w14:paraId="05D27146">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59" w:type="pct"/>
                  <w:vMerge w:val="restart"/>
                  <w:vAlign w:val="center"/>
                </w:tcPr>
                <w:p w14:paraId="33D04C1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45.1</w:t>
                  </w:r>
                </w:p>
              </w:tc>
              <w:tc>
                <w:tcPr>
                  <w:tcW w:w="159" w:type="pct"/>
                  <w:vMerge w:val="restart"/>
                  <w:vAlign w:val="center"/>
                </w:tcPr>
                <w:p w14:paraId="09EE214A">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45.7</w:t>
                  </w:r>
                </w:p>
              </w:tc>
              <w:tc>
                <w:tcPr>
                  <w:tcW w:w="159" w:type="pct"/>
                  <w:vMerge w:val="restart"/>
                  <w:vAlign w:val="center"/>
                </w:tcPr>
                <w:p w14:paraId="2799CC7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58.2</w:t>
                  </w:r>
                </w:p>
              </w:tc>
              <w:tc>
                <w:tcPr>
                  <w:tcW w:w="243" w:type="pct"/>
                  <w:vMerge w:val="restart"/>
                  <w:vAlign w:val="center"/>
                </w:tcPr>
                <w:p w14:paraId="1CA0094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43.8</w:t>
                  </w:r>
                </w:p>
              </w:tc>
              <w:tc>
                <w:tcPr>
                  <w:tcW w:w="162" w:type="pct"/>
                  <w:vMerge w:val="restart"/>
                  <w:vAlign w:val="center"/>
                </w:tcPr>
                <w:p w14:paraId="7978633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62" w:type="pct"/>
                  <w:vMerge w:val="restart"/>
                  <w:vAlign w:val="center"/>
                </w:tcPr>
                <w:p w14:paraId="1846A15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62" w:type="pct"/>
                  <w:vMerge w:val="restart"/>
                  <w:vAlign w:val="center"/>
                </w:tcPr>
                <w:p w14:paraId="294BE0F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64" w:type="pct"/>
                  <w:vMerge w:val="restart"/>
                  <w:vAlign w:val="center"/>
                </w:tcPr>
                <w:p w14:paraId="545E45B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r>
            <w:tr w14:paraId="47D02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58" w:type="pct"/>
                  <w:shd w:val="clear" w:color="auto" w:fill="auto"/>
                  <w:vAlign w:val="center"/>
                </w:tcPr>
                <w:p w14:paraId="68F6DBDD">
                  <w:pPr>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w:t>
                  </w:r>
                </w:p>
              </w:tc>
              <w:tc>
                <w:tcPr>
                  <w:tcW w:w="96" w:type="pct"/>
                  <w:vMerge w:val="continue"/>
                  <w:vAlign w:val="center"/>
                </w:tcPr>
                <w:p w14:paraId="7A09E32C">
                  <w:pPr>
                    <w:jc w:val="center"/>
                    <w:rPr>
                      <w:color w:val="000000" w:themeColor="text1"/>
                      <w14:textFill>
                        <w14:solidFill>
                          <w14:schemeClr w14:val="tx1"/>
                        </w14:solidFill>
                      </w14:textFill>
                    </w:rPr>
                  </w:pPr>
                </w:p>
              </w:tc>
              <w:tc>
                <w:tcPr>
                  <w:tcW w:w="264" w:type="pct"/>
                  <w:vAlign w:val="center"/>
                </w:tcPr>
                <w:p w14:paraId="0FD49EAC">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粉碎机</w:t>
                  </w:r>
                </w:p>
              </w:tc>
              <w:tc>
                <w:tcPr>
                  <w:tcW w:w="150" w:type="pct"/>
                  <w:vAlign w:val="center"/>
                </w:tcPr>
                <w:p w14:paraId="021E59F4">
                  <w:pPr>
                    <w:jc w:val="center"/>
                    <w:rPr>
                      <w:rFonts w:hint="eastAsia" w:eastAsia="宋体"/>
                      <w:color w:val="000000" w:themeColor="text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249" w:type="pct"/>
                  <w:vAlign w:val="center"/>
                </w:tcPr>
                <w:p w14:paraId="1B080790">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85</w:t>
                  </w:r>
                </w:p>
              </w:tc>
              <w:tc>
                <w:tcPr>
                  <w:tcW w:w="180" w:type="pct"/>
                  <w:vMerge w:val="continue"/>
                  <w:vAlign w:val="center"/>
                </w:tcPr>
                <w:p w14:paraId="14B961A4">
                  <w:pPr>
                    <w:jc w:val="center"/>
                    <w:rPr>
                      <w:color w:val="FF0000"/>
                    </w:rPr>
                  </w:pPr>
                </w:p>
              </w:tc>
              <w:tc>
                <w:tcPr>
                  <w:tcW w:w="211" w:type="pct"/>
                  <w:vAlign w:val="center"/>
                </w:tcPr>
                <w:p w14:paraId="6E2D318B">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5-22</w:t>
                  </w:r>
                </w:p>
              </w:tc>
              <w:tc>
                <w:tcPr>
                  <w:tcW w:w="295" w:type="pct"/>
                  <w:vAlign w:val="center"/>
                </w:tcPr>
                <w:p w14:paraId="55728820">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26-40</w:t>
                  </w:r>
                </w:p>
              </w:tc>
              <w:tc>
                <w:tcPr>
                  <w:tcW w:w="240" w:type="pct"/>
                  <w:vAlign w:val="center"/>
                </w:tcPr>
                <w:p w14:paraId="4C3A3BC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3" w:type="pct"/>
                  <w:vAlign w:val="center"/>
                </w:tcPr>
                <w:p w14:paraId="1A613C94">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w:t>
                  </w:r>
                </w:p>
              </w:tc>
              <w:tc>
                <w:tcPr>
                  <w:tcW w:w="109" w:type="pct"/>
                  <w:vAlign w:val="center"/>
                </w:tcPr>
                <w:p w14:paraId="5C03E15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26</w:t>
                  </w:r>
                </w:p>
              </w:tc>
              <w:tc>
                <w:tcPr>
                  <w:tcW w:w="123" w:type="pct"/>
                  <w:vAlign w:val="center"/>
                </w:tcPr>
                <w:p w14:paraId="7D4C524B">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46" w:type="pct"/>
                  <w:vAlign w:val="center"/>
                </w:tcPr>
                <w:p w14:paraId="13AF990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84 </w:t>
                  </w:r>
                </w:p>
              </w:tc>
              <w:tc>
                <w:tcPr>
                  <w:tcW w:w="201" w:type="pct"/>
                  <w:shd w:val="clear" w:color="auto" w:fill="auto"/>
                  <w:vAlign w:val="center"/>
                </w:tcPr>
                <w:p w14:paraId="070BB01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54.95</w:t>
                  </w:r>
                </w:p>
              </w:tc>
              <w:tc>
                <w:tcPr>
                  <w:tcW w:w="201" w:type="pct"/>
                  <w:shd w:val="clear" w:color="auto" w:fill="auto"/>
                  <w:vAlign w:val="center"/>
                </w:tcPr>
                <w:p w14:paraId="7EE715A7">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59.71</w:t>
                  </w:r>
                </w:p>
              </w:tc>
              <w:tc>
                <w:tcPr>
                  <w:tcW w:w="201" w:type="pct"/>
                  <w:shd w:val="clear" w:color="auto" w:fill="auto"/>
                  <w:vAlign w:val="center"/>
                </w:tcPr>
                <w:p w14:paraId="3D40E27F">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74.03</w:t>
                  </w:r>
                </w:p>
              </w:tc>
              <w:tc>
                <w:tcPr>
                  <w:tcW w:w="205" w:type="pct"/>
                  <w:shd w:val="clear" w:color="auto" w:fill="auto"/>
                  <w:vAlign w:val="center"/>
                </w:tcPr>
                <w:p w14:paraId="0CE3FD7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49.52</w:t>
                  </w:r>
                </w:p>
              </w:tc>
              <w:tc>
                <w:tcPr>
                  <w:tcW w:w="173" w:type="pct"/>
                  <w:vMerge w:val="continue"/>
                  <w:vAlign w:val="center"/>
                </w:tcPr>
                <w:p w14:paraId="34C36790">
                  <w:pPr>
                    <w:jc w:val="center"/>
                    <w:rPr>
                      <w:color w:val="FF0000"/>
                    </w:rPr>
                  </w:pPr>
                </w:p>
              </w:tc>
              <w:tc>
                <w:tcPr>
                  <w:tcW w:w="275" w:type="pct"/>
                  <w:vAlign w:val="center"/>
                </w:tcPr>
                <w:p w14:paraId="7DF3A6DD">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59" w:type="pct"/>
                  <w:vMerge w:val="continue"/>
                  <w:vAlign w:val="center"/>
                </w:tcPr>
                <w:p w14:paraId="1BE015FE">
                  <w:pPr>
                    <w:jc w:val="center"/>
                    <w:rPr>
                      <w:rFonts w:hint="default" w:eastAsia="宋体"/>
                      <w:color w:val="FF0000"/>
                      <w:lang w:val="en-US" w:eastAsia="zh-CN"/>
                    </w:rPr>
                  </w:pPr>
                </w:p>
              </w:tc>
              <w:tc>
                <w:tcPr>
                  <w:tcW w:w="159" w:type="pct"/>
                  <w:vMerge w:val="continue"/>
                  <w:vAlign w:val="center"/>
                </w:tcPr>
                <w:p w14:paraId="24742E5E">
                  <w:pPr>
                    <w:jc w:val="center"/>
                    <w:rPr>
                      <w:rFonts w:hint="default" w:eastAsia="宋体"/>
                      <w:color w:val="FF0000"/>
                      <w:lang w:val="en-US" w:eastAsia="zh-CN"/>
                    </w:rPr>
                  </w:pPr>
                </w:p>
              </w:tc>
              <w:tc>
                <w:tcPr>
                  <w:tcW w:w="159" w:type="pct"/>
                  <w:vMerge w:val="continue"/>
                  <w:vAlign w:val="center"/>
                </w:tcPr>
                <w:p w14:paraId="28DC87FD">
                  <w:pPr>
                    <w:jc w:val="center"/>
                    <w:rPr>
                      <w:rFonts w:hint="default" w:eastAsia="宋体"/>
                      <w:color w:val="FF0000"/>
                      <w:lang w:val="en-US" w:eastAsia="zh-CN"/>
                    </w:rPr>
                  </w:pPr>
                </w:p>
              </w:tc>
              <w:tc>
                <w:tcPr>
                  <w:tcW w:w="243" w:type="pct"/>
                  <w:vMerge w:val="continue"/>
                  <w:vAlign w:val="center"/>
                </w:tcPr>
                <w:p w14:paraId="5C0EE255">
                  <w:pPr>
                    <w:jc w:val="center"/>
                    <w:rPr>
                      <w:rFonts w:hint="default" w:eastAsia="宋体"/>
                      <w:color w:val="FF0000"/>
                      <w:lang w:val="en-US" w:eastAsia="zh-CN"/>
                    </w:rPr>
                  </w:pPr>
                </w:p>
              </w:tc>
              <w:tc>
                <w:tcPr>
                  <w:tcW w:w="162" w:type="pct"/>
                  <w:vMerge w:val="continue"/>
                  <w:vAlign w:val="center"/>
                </w:tcPr>
                <w:p w14:paraId="009799DA">
                  <w:pPr>
                    <w:jc w:val="center"/>
                    <w:rPr>
                      <w:rFonts w:hint="default" w:eastAsia="宋体"/>
                      <w:color w:val="FF0000"/>
                      <w:lang w:val="en-US" w:eastAsia="zh-CN"/>
                    </w:rPr>
                  </w:pPr>
                </w:p>
              </w:tc>
              <w:tc>
                <w:tcPr>
                  <w:tcW w:w="162" w:type="pct"/>
                  <w:vMerge w:val="continue"/>
                  <w:vAlign w:val="center"/>
                </w:tcPr>
                <w:p w14:paraId="7DC87F0F">
                  <w:pPr>
                    <w:jc w:val="center"/>
                    <w:rPr>
                      <w:rFonts w:hint="default" w:eastAsia="宋体"/>
                      <w:color w:val="FF0000"/>
                      <w:lang w:val="en-US" w:eastAsia="zh-CN"/>
                    </w:rPr>
                  </w:pPr>
                </w:p>
              </w:tc>
              <w:tc>
                <w:tcPr>
                  <w:tcW w:w="162" w:type="pct"/>
                  <w:vMerge w:val="continue"/>
                  <w:vAlign w:val="center"/>
                </w:tcPr>
                <w:p w14:paraId="41B23425">
                  <w:pPr>
                    <w:jc w:val="center"/>
                    <w:rPr>
                      <w:rFonts w:hint="default" w:eastAsia="宋体"/>
                      <w:color w:val="FF0000"/>
                      <w:lang w:val="en-US" w:eastAsia="zh-CN"/>
                    </w:rPr>
                  </w:pPr>
                </w:p>
              </w:tc>
              <w:tc>
                <w:tcPr>
                  <w:tcW w:w="164" w:type="pct"/>
                  <w:vMerge w:val="continue"/>
                  <w:vAlign w:val="center"/>
                </w:tcPr>
                <w:p w14:paraId="54510C9F">
                  <w:pPr>
                    <w:jc w:val="center"/>
                    <w:rPr>
                      <w:rFonts w:hint="default" w:eastAsia="宋体"/>
                      <w:color w:val="FF0000"/>
                      <w:lang w:val="en-US" w:eastAsia="zh-CN"/>
                    </w:rPr>
                  </w:pPr>
                </w:p>
              </w:tc>
            </w:tr>
            <w:tr w14:paraId="4228D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58" w:type="pct"/>
                  <w:shd w:val="clear" w:color="auto" w:fill="auto"/>
                  <w:vAlign w:val="center"/>
                </w:tcPr>
                <w:p w14:paraId="4E18534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3</w:t>
                  </w:r>
                </w:p>
              </w:tc>
              <w:tc>
                <w:tcPr>
                  <w:tcW w:w="96" w:type="pct"/>
                  <w:vMerge w:val="continue"/>
                  <w:vAlign w:val="center"/>
                </w:tcPr>
                <w:p w14:paraId="41A778D1">
                  <w:pPr>
                    <w:jc w:val="center"/>
                    <w:rPr>
                      <w:color w:val="000000" w:themeColor="text1"/>
                      <w14:textFill>
                        <w14:solidFill>
                          <w14:schemeClr w14:val="tx1"/>
                        </w14:solidFill>
                      </w14:textFill>
                    </w:rPr>
                  </w:pPr>
                </w:p>
              </w:tc>
              <w:tc>
                <w:tcPr>
                  <w:tcW w:w="264" w:type="pct"/>
                  <w:vAlign w:val="center"/>
                </w:tcPr>
                <w:p w14:paraId="4779601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锅炉</w:t>
                  </w:r>
                </w:p>
              </w:tc>
              <w:tc>
                <w:tcPr>
                  <w:tcW w:w="150" w:type="pct"/>
                  <w:vAlign w:val="center"/>
                </w:tcPr>
                <w:p w14:paraId="6645EA7E">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249" w:type="pct"/>
                  <w:vAlign w:val="center"/>
                </w:tcPr>
                <w:p w14:paraId="751C41C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70</w:t>
                  </w:r>
                </w:p>
              </w:tc>
              <w:tc>
                <w:tcPr>
                  <w:tcW w:w="180" w:type="pct"/>
                  <w:vMerge w:val="continue"/>
                  <w:vAlign w:val="center"/>
                </w:tcPr>
                <w:p w14:paraId="7944DC96">
                  <w:pPr>
                    <w:jc w:val="center"/>
                    <w:rPr>
                      <w:color w:val="FF0000"/>
                    </w:rPr>
                  </w:pPr>
                </w:p>
              </w:tc>
              <w:tc>
                <w:tcPr>
                  <w:tcW w:w="211" w:type="pct"/>
                  <w:vAlign w:val="center"/>
                </w:tcPr>
                <w:p w14:paraId="130C5C90">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295" w:type="pct"/>
                  <w:shd w:val="clear" w:color="auto" w:fill="auto"/>
                  <w:vAlign w:val="center"/>
                </w:tcPr>
                <w:p w14:paraId="7B2209C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40" w:type="pct"/>
                  <w:shd w:val="clear" w:color="auto" w:fill="auto"/>
                  <w:vAlign w:val="center"/>
                </w:tcPr>
                <w:p w14:paraId="43BE758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1</w:t>
                  </w:r>
                </w:p>
              </w:tc>
              <w:tc>
                <w:tcPr>
                  <w:tcW w:w="143" w:type="pct"/>
                  <w:vAlign w:val="center"/>
                </w:tcPr>
                <w:p w14:paraId="3CA3C3A3">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39</w:t>
                  </w:r>
                </w:p>
              </w:tc>
              <w:tc>
                <w:tcPr>
                  <w:tcW w:w="109" w:type="pct"/>
                  <w:vAlign w:val="center"/>
                </w:tcPr>
                <w:p w14:paraId="3B7A7D1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23" w:type="pct"/>
                  <w:vAlign w:val="center"/>
                </w:tcPr>
                <w:p w14:paraId="412DB193">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146" w:type="pct"/>
                  <w:vAlign w:val="center"/>
                </w:tcPr>
                <w:p w14:paraId="48AD084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106</w:t>
                  </w:r>
                </w:p>
              </w:tc>
              <w:tc>
                <w:tcPr>
                  <w:tcW w:w="201" w:type="pct"/>
                  <w:shd w:val="clear" w:color="auto" w:fill="auto"/>
                  <w:vAlign w:val="center"/>
                </w:tcPr>
                <w:p w14:paraId="4BD59362">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38.18</w:t>
                  </w:r>
                </w:p>
              </w:tc>
              <w:tc>
                <w:tcPr>
                  <w:tcW w:w="201" w:type="pct"/>
                  <w:shd w:val="clear" w:color="auto" w:fill="auto"/>
                  <w:vAlign w:val="center"/>
                </w:tcPr>
                <w:p w14:paraId="070F350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57.96</w:t>
                  </w:r>
                </w:p>
              </w:tc>
              <w:tc>
                <w:tcPr>
                  <w:tcW w:w="201" w:type="pct"/>
                  <w:shd w:val="clear" w:color="auto" w:fill="auto"/>
                  <w:vAlign w:val="center"/>
                </w:tcPr>
                <w:p w14:paraId="4C71F8A4">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49.17</w:t>
                  </w:r>
                </w:p>
              </w:tc>
              <w:tc>
                <w:tcPr>
                  <w:tcW w:w="205" w:type="pct"/>
                  <w:shd w:val="clear" w:color="auto" w:fill="auto"/>
                  <w:vAlign w:val="center"/>
                </w:tcPr>
                <w:p w14:paraId="5711CE19">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29.49</w:t>
                  </w:r>
                </w:p>
              </w:tc>
              <w:tc>
                <w:tcPr>
                  <w:tcW w:w="173" w:type="pct"/>
                  <w:vMerge w:val="continue"/>
                  <w:vAlign w:val="center"/>
                </w:tcPr>
                <w:p w14:paraId="041BB8B4">
                  <w:pPr>
                    <w:jc w:val="center"/>
                    <w:rPr>
                      <w:color w:val="FF0000"/>
                    </w:rPr>
                  </w:pPr>
                </w:p>
              </w:tc>
              <w:tc>
                <w:tcPr>
                  <w:tcW w:w="275" w:type="pct"/>
                  <w:vAlign w:val="center"/>
                </w:tcPr>
                <w:p w14:paraId="589D513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59" w:type="pct"/>
                  <w:vMerge w:val="continue"/>
                  <w:vAlign w:val="center"/>
                </w:tcPr>
                <w:p w14:paraId="79B31B16">
                  <w:pPr>
                    <w:jc w:val="center"/>
                    <w:rPr>
                      <w:rFonts w:hint="default"/>
                      <w:color w:val="FF0000"/>
                      <w:lang w:val="en-US" w:eastAsia="zh-CN"/>
                    </w:rPr>
                  </w:pPr>
                </w:p>
              </w:tc>
              <w:tc>
                <w:tcPr>
                  <w:tcW w:w="159" w:type="pct"/>
                  <w:vMerge w:val="continue"/>
                  <w:vAlign w:val="center"/>
                </w:tcPr>
                <w:p w14:paraId="3A384561">
                  <w:pPr>
                    <w:jc w:val="center"/>
                    <w:rPr>
                      <w:rFonts w:hint="default"/>
                      <w:color w:val="FF0000"/>
                      <w:lang w:val="en-US" w:eastAsia="zh-CN"/>
                    </w:rPr>
                  </w:pPr>
                </w:p>
              </w:tc>
              <w:tc>
                <w:tcPr>
                  <w:tcW w:w="159" w:type="pct"/>
                  <w:vMerge w:val="continue"/>
                  <w:vAlign w:val="center"/>
                </w:tcPr>
                <w:p w14:paraId="3968FBF2">
                  <w:pPr>
                    <w:jc w:val="center"/>
                    <w:rPr>
                      <w:rFonts w:hint="default"/>
                      <w:color w:val="FF0000"/>
                      <w:lang w:val="en-US" w:eastAsia="zh-CN"/>
                    </w:rPr>
                  </w:pPr>
                </w:p>
              </w:tc>
              <w:tc>
                <w:tcPr>
                  <w:tcW w:w="243" w:type="pct"/>
                  <w:vMerge w:val="continue"/>
                  <w:vAlign w:val="center"/>
                </w:tcPr>
                <w:p w14:paraId="35F10A38">
                  <w:pPr>
                    <w:jc w:val="center"/>
                    <w:rPr>
                      <w:rFonts w:hint="default"/>
                      <w:color w:val="FF0000"/>
                      <w:lang w:val="en-US" w:eastAsia="zh-CN"/>
                    </w:rPr>
                  </w:pPr>
                </w:p>
              </w:tc>
              <w:tc>
                <w:tcPr>
                  <w:tcW w:w="162" w:type="pct"/>
                  <w:vMerge w:val="continue"/>
                  <w:vAlign w:val="center"/>
                </w:tcPr>
                <w:p w14:paraId="0F6769CB">
                  <w:pPr>
                    <w:jc w:val="center"/>
                    <w:rPr>
                      <w:rFonts w:hint="default"/>
                      <w:color w:val="FF0000"/>
                      <w:lang w:val="en-US" w:eastAsia="zh-CN"/>
                    </w:rPr>
                  </w:pPr>
                </w:p>
              </w:tc>
              <w:tc>
                <w:tcPr>
                  <w:tcW w:w="162" w:type="pct"/>
                  <w:vMerge w:val="continue"/>
                  <w:vAlign w:val="center"/>
                </w:tcPr>
                <w:p w14:paraId="0F31C8A9">
                  <w:pPr>
                    <w:jc w:val="center"/>
                    <w:rPr>
                      <w:rFonts w:hint="default"/>
                      <w:color w:val="FF0000"/>
                      <w:lang w:val="en-US" w:eastAsia="zh-CN"/>
                    </w:rPr>
                  </w:pPr>
                </w:p>
              </w:tc>
              <w:tc>
                <w:tcPr>
                  <w:tcW w:w="162" w:type="pct"/>
                  <w:vMerge w:val="continue"/>
                  <w:vAlign w:val="center"/>
                </w:tcPr>
                <w:p w14:paraId="34282516">
                  <w:pPr>
                    <w:jc w:val="center"/>
                    <w:rPr>
                      <w:rFonts w:hint="default"/>
                      <w:color w:val="FF0000"/>
                      <w:lang w:val="en-US" w:eastAsia="zh-CN"/>
                    </w:rPr>
                  </w:pPr>
                </w:p>
              </w:tc>
              <w:tc>
                <w:tcPr>
                  <w:tcW w:w="164" w:type="pct"/>
                  <w:vMerge w:val="continue"/>
                  <w:vAlign w:val="center"/>
                </w:tcPr>
                <w:p w14:paraId="636B78CF">
                  <w:pPr>
                    <w:jc w:val="center"/>
                    <w:rPr>
                      <w:rFonts w:hint="default"/>
                      <w:color w:val="FF0000"/>
                      <w:lang w:val="en-US" w:eastAsia="zh-CN"/>
                    </w:rPr>
                  </w:pPr>
                </w:p>
              </w:tc>
            </w:tr>
            <w:tr w14:paraId="4ABEF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58" w:type="pct"/>
                  <w:shd w:val="clear" w:color="auto" w:fill="auto"/>
                  <w:vAlign w:val="center"/>
                </w:tcPr>
                <w:p w14:paraId="58E40C7B">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96" w:type="pct"/>
                  <w:vMerge w:val="continue"/>
                  <w:vAlign w:val="center"/>
                </w:tcPr>
                <w:p w14:paraId="7F246512">
                  <w:pPr>
                    <w:jc w:val="center"/>
                    <w:rPr>
                      <w:color w:val="000000" w:themeColor="text1"/>
                      <w14:textFill>
                        <w14:solidFill>
                          <w14:schemeClr w14:val="tx1"/>
                        </w14:solidFill>
                      </w14:textFill>
                    </w:rPr>
                  </w:pPr>
                </w:p>
              </w:tc>
              <w:tc>
                <w:tcPr>
                  <w:tcW w:w="264" w:type="pct"/>
                  <w:vAlign w:val="center"/>
                </w:tcPr>
                <w:p w14:paraId="774C671A">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锯竹机</w:t>
                  </w:r>
                </w:p>
              </w:tc>
              <w:tc>
                <w:tcPr>
                  <w:tcW w:w="150" w:type="pct"/>
                  <w:vAlign w:val="center"/>
                </w:tcPr>
                <w:p w14:paraId="009704CB">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249" w:type="pct"/>
                  <w:vAlign w:val="center"/>
                </w:tcPr>
                <w:p w14:paraId="53B4960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85</w:t>
                  </w:r>
                </w:p>
              </w:tc>
              <w:tc>
                <w:tcPr>
                  <w:tcW w:w="180" w:type="pct"/>
                  <w:vMerge w:val="continue"/>
                  <w:vAlign w:val="center"/>
                </w:tcPr>
                <w:p w14:paraId="32136019">
                  <w:pPr>
                    <w:jc w:val="center"/>
                    <w:rPr>
                      <w:color w:val="FF0000"/>
                    </w:rPr>
                  </w:pPr>
                </w:p>
              </w:tc>
              <w:tc>
                <w:tcPr>
                  <w:tcW w:w="211" w:type="pct"/>
                  <w:vAlign w:val="center"/>
                </w:tcPr>
                <w:p w14:paraId="54350D4A">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16-22</w:t>
                  </w:r>
                </w:p>
              </w:tc>
              <w:tc>
                <w:tcPr>
                  <w:tcW w:w="295" w:type="pct"/>
                  <w:shd w:val="clear" w:color="auto" w:fill="auto"/>
                  <w:vAlign w:val="center"/>
                </w:tcPr>
                <w:p w14:paraId="17454CF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70-75</w:t>
                  </w:r>
                </w:p>
              </w:tc>
              <w:tc>
                <w:tcPr>
                  <w:tcW w:w="240" w:type="pct"/>
                  <w:shd w:val="clear" w:color="auto" w:fill="auto"/>
                  <w:vAlign w:val="center"/>
                </w:tcPr>
                <w:p w14:paraId="4EA9F966">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43" w:type="pct"/>
                  <w:vAlign w:val="center"/>
                </w:tcPr>
                <w:p w14:paraId="56BB22C2">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w:t>
                  </w:r>
                </w:p>
              </w:tc>
              <w:tc>
                <w:tcPr>
                  <w:tcW w:w="109" w:type="pct"/>
                  <w:vAlign w:val="center"/>
                </w:tcPr>
                <w:p w14:paraId="07C53A0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70</w:t>
                  </w:r>
                </w:p>
              </w:tc>
              <w:tc>
                <w:tcPr>
                  <w:tcW w:w="123" w:type="pct"/>
                  <w:vAlign w:val="center"/>
                </w:tcPr>
                <w:p w14:paraId="577C5A1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146" w:type="pct"/>
                  <w:vAlign w:val="center"/>
                </w:tcPr>
                <w:p w14:paraId="5F1B0F7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201" w:type="pct"/>
                  <w:shd w:val="clear" w:color="auto" w:fill="auto"/>
                  <w:vAlign w:val="center"/>
                </w:tcPr>
                <w:p w14:paraId="6E43EDD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58.55</w:t>
                  </w:r>
                </w:p>
              </w:tc>
              <w:tc>
                <w:tcPr>
                  <w:tcW w:w="201" w:type="pct"/>
                  <w:shd w:val="clear" w:color="auto" w:fill="auto"/>
                  <w:vAlign w:val="center"/>
                </w:tcPr>
                <w:p w14:paraId="0358BFE9">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55.09</w:t>
                  </w:r>
                </w:p>
              </w:tc>
              <w:tc>
                <w:tcPr>
                  <w:tcW w:w="201" w:type="pct"/>
                  <w:shd w:val="clear" w:color="auto" w:fill="auto"/>
                  <w:vAlign w:val="center"/>
                </w:tcPr>
                <w:p w14:paraId="58AA1CCD">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67.91</w:t>
                  </w:r>
                </w:p>
              </w:tc>
              <w:tc>
                <w:tcPr>
                  <w:tcW w:w="205" w:type="pct"/>
                  <w:shd w:val="clear" w:color="auto" w:fill="auto"/>
                  <w:vAlign w:val="center"/>
                </w:tcPr>
                <w:p w14:paraId="4709FF8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59.95</w:t>
                  </w:r>
                </w:p>
              </w:tc>
              <w:tc>
                <w:tcPr>
                  <w:tcW w:w="173" w:type="pct"/>
                  <w:vMerge w:val="continue"/>
                  <w:vAlign w:val="center"/>
                </w:tcPr>
                <w:p w14:paraId="1417BD0C">
                  <w:pPr>
                    <w:jc w:val="center"/>
                    <w:rPr>
                      <w:color w:val="FF0000"/>
                    </w:rPr>
                  </w:pPr>
                </w:p>
              </w:tc>
              <w:tc>
                <w:tcPr>
                  <w:tcW w:w="275" w:type="pct"/>
                  <w:vAlign w:val="center"/>
                </w:tcPr>
                <w:p w14:paraId="619F033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59" w:type="pct"/>
                  <w:vMerge w:val="continue"/>
                  <w:vAlign w:val="center"/>
                </w:tcPr>
                <w:p w14:paraId="1EA0DA70">
                  <w:pPr>
                    <w:jc w:val="center"/>
                    <w:rPr>
                      <w:rFonts w:hint="eastAsia"/>
                      <w:color w:val="FF0000"/>
                      <w:lang w:val="en-US" w:eastAsia="zh-CN"/>
                    </w:rPr>
                  </w:pPr>
                </w:p>
              </w:tc>
              <w:tc>
                <w:tcPr>
                  <w:tcW w:w="159" w:type="pct"/>
                  <w:vMerge w:val="continue"/>
                  <w:vAlign w:val="center"/>
                </w:tcPr>
                <w:p w14:paraId="30D6C575">
                  <w:pPr>
                    <w:jc w:val="center"/>
                    <w:rPr>
                      <w:rFonts w:hint="eastAsia"/>
                      <w:color w:val="FF0000"/>
                      <w:lang w:val="en-US" w:eastAsia="zh-CN"/>
                    </w:rPr>
                  </w:pPr>
                </w:p>
              </w:tc>
              <w:tc>
                <w:tcPr>
                  <w:tcW w:w="159" w:type="pct"/>
                  <w:vMerge w:val="continue"/>
                  <w:vAlign w:val="center"/>
                </w:tcPr>
                <w:p w14:paraId="5582632B">
                  <w:pPr>
                    <w:jc w:val="center"/>
                    <w:rPr>
                      <w:rFonts w:hint="eastAsia"/>
                      <w:color w:val="FF0000"/>
                      <w:lang w:val="en-US" w:eastAsia="zh-CN"/>
                    </w:rPr>
                  </w:pPr>
                </w:p>
              </w:tc>
              <w:tc>
                <w:tcPr>
                  <w:tcW w:w="243" w:type="pct"/>
                  <w:vMerge w:val="continue"/>
                  <w:vAlign w:val="center"/>
                </w:tcPr>
                <w:p w14:paraId="0319F3E1">
                  <w:pPr>
                    <w:jc w:val="center"/>
                    <w:rPr>
                      <w:rFonts w:hint="eastAsia"/>
                      <w:color w:val="FF0000"/>
                      <w:lang w:val="en-US" w:eastAsia="zh-CN"/>
                    </w:rPr>
                  </w:pPr>
                </w:p>
              </w:tc>
              <w:tc>
                <w:tcPr>
                  <w:tcW w:w="162" w:type="pct"/>
                  <w:vMerge w:val="continue"/>
                  <w:vAlign w:val="center"/>
                </w:tcPr>
                <w:p w14:paraId="7C544D08">
                  <w:pPr>
                    <w:jc w:val="center"/>
                    <w:rPr>
                      <w:rFonts w:hint="eastAsia"/>
                      <w:color w:val="FF0000"/>
                      <w:lang w:val="en-US" w:eastAsia="zh-CN"/>
                    </w:rPr>
                  </w:pPr>
                </w:p>
              </w:tc>
              <w:tc>
                <w:tcPr>
                  <w:tcW w:w="162" w:type="pct"/>
                  <w:vMerge w:val="continue"/>
                  <w:vAlign w:val="center"/>
                </w:tcPr>
                <w:p w14:paraId="1499AD7A">
                  <w:pPr>
                    <w:jc w:val="center"/>
                    <w:rPr>
                      <w:rFonts w:hint="eastAsia"/>
                      <w:color w:val="FF0000"/>
                      <w:lang w:val="en-US" w:eastAsia="zh-CN"/>
                    </w:rPr>
                  </w:pPr>
                </w:p>
              </w:tc>
              <w:tc>
                <w:tcPr>
                  <w:tcW w:w="162" w:type="pct"/>
                  <w:vMerge w:val="continue"/>
                  <w:vAlign w:val="center"/>
                </w:tcPr>
                <w:p w14:paraId="17FA0C95">
                  <w:pPr>
                    <w:jc w:val="center"/>
                    <w:rPr>
                      <w:rFonts w:hint="eastAsia"/>
                      <w:color w:val="FF0000"/>
                      <w:lang w:val="en-US" w:eastAsia="zh-CN"/>
                    </w:rPr>
                  </w:pPr>
                </w:p>
              </w:tc>
              <w:tc>
                <w:tcPr>
                  <w:tcW w:w="164" w:type="pct"/>
                  <w:vMerge w:val="continue"/>
                  <w:vAlign w:val="center"/>
                </w:tcPr>
                <w:p w14:paraId="70A06D0D">
                  <w:pPr>
                    <w:jc w:val="center"/>
                    <w:rPr>
                      <w:rFonts w:hint="eastAsia"/>
                      <w:color w:val="FF0000"/>
                      <w:lang w:val="en-US" w:eastAsia="zh-CN"/>
                    </w:rPr>
                  </w:pPr>
                </w:p>
              </w:tc>
            </w:tr>
            <w:tr w14:paraId="64CD2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58" w:type="pct"/>
                  <w:shd w:val="clear" w:color="auto" w:fill="auto"/>
                  <w:vAlign w:val="center"/>
                </w:tcPr>
                <w:p w14:paraId="477F6890">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96" w:type="pct"/>
                  <w:vMerge w:val="continue"/>
                  <w:vAlign w:val="center"/>
                </w:tcPr>
                <w:p w14:paraId="3FDAAA92">
                  <w:pPr>
                    <w:jc w:val="center"/>
                    <w:rPr>
                      <w:color w:val="000000" w:themeColor="text1"/>
                      <w14:textFill>
                        <w14:solidFill>
                          <w14:schemeClr w14:val="tx1"/>
                        </w14:solidFill>
                      </w14:textFill>
                    </w:rPr>
                  </w:pPr>
                </w:p>
              </w:tc>
              <w:tc>
                <w:tcPr>
                  <w:tcW w:w="264" w:type="pct"/>
                  <w:vAlign w:val="center"/>
                </w:tcPr>
                <w:p w14:paraId="30742F82">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开片机</w:t>
                  </w:r>
                </w:p>
              </w:tc>
              <w:tc>
                <w:tcPr>
                  <w:tcW w:w="150" w:type="pct"/>
                  <w:vAlign w:val="center"/>
                </w:tcPr>
                <w:p w14:paraId="5DF2733E">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249" w:type="pct"/>
                  <w:vAlign w:val="center"/>
                </w:tcPr>
                <w:p w14:paraId="126F5D2A">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80</w:t>
                  </w:r>
                </w:p>
              </w:tc>
              <w:tc>
                <w:tcPr>
                  <w:tcW w:w="180" w:type="pct"/>
                  <w:vMerge w:val="continue"/>
                  <w:vAlign w:val="center"/>
                </w:tcPr>
                <w:p w14:paraId="439ED1A4">
                  <w:pPr>
                    <w:jc w:val="center"/>
                    <w:rPr>
                      <w:color w:val="FF0000"/>
                    </w:rPr>
                  </w:pPr>
                </w:p>
              </w:tc>
              <w:tc>
                <w:tcPr>
                  <w:tcW w:w="211" w:type="pct"/>
                  <w:vAlign w:val="center"/>
                </w:tcPr>
                <w:p w14:paraId="268A9E0F">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8-15</w:t>
                  </w:r>
                </w:p>
              </w:tc>
              <w:tc>
                <w:tcPr>
                  <w:tcW w:w="295" w:type="pct"/>
                  <w:shd w:val="clear" w:color="auto" w:fill="auto"/>
                  <w:vAlign w:val="center"/>
                </w:tcPr>
                <w:p w14:paraId="3FEF1C49">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70-75</w:t>
                  </w:r>
                </w:p>
              </w:tc>
              <w:tc>
                <w:tcPr>
                  <w:tcW w:w="240" w:type="pct"/>
                  <w:shd w:val="clear" w:color="auto" w:fill="auto"/>
                  <w:vAlign w:val="center"/>
                </w:tcPr>
                <w:p w14:paraId="23D50252">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43" w:type="pct"/>
                  <w:vAlign w:val="center"/>
                </w:tcPr>
                <w:p w14:paraId="75E9B74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47</w:t>
                  </w:r>
                </w:p>
              </w:tc>
              <w:tc>
                <w:tcPr>
                  <w:tcW w:w="109" w:type="pct"/>
                  <w:vAlign w:val="center"/>
                </w:tcPr>
                <w:p w14:paraId="06E0EF47">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70</w:t>
                  </w:r>
                </w:p>
              </w:tc>
              <w:tc>
                <w:tcPr>
                  <w:tcW w:w="123" w:type="pct"/>
                  <w:vAlign w:val="center"/>
                </w:tcPr>
                <w:p w14:paraId="65B3D87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46" w:type="pct"/>
                  <w:vAlign w:val="center"/>
                </w:tcPr>
                <w:p w14:paraId="13D392A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201" w:type="pct"/>
                  <w:shd w:val="clear" w:color="auto" w:fill="auto"/>
                  <w:vAlign w:val="center"/>
                </w:tcPr>
                <w:p w14:paraId="7427AD3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56.36</w:t>
                  </w:r>
                </w:p>
              </w:tc>
              <w:tc>
                <w:tcPr>
                  <w:tcW w:w="201" w:type="pct"/>
                  <w:shd w:val="clear" w:color="auto" w:fill="auto"/>
                  <w:vAlign w:val="center"/>
                </w:tcPr>
                <w:p w14:paraId="2EEF70B9">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50.09</w:t>
                  </w:r>
                </w:p>
              </w:tc>
              <w:tc>
                <w:tcPr>
                  <w:tcW w:w="201" w:type="pct"/>
                  <w:shd w:val="clear" w:color="auto" w:fill="auto"/>
                  <w:vAlign w:val="center"/>
                </w:tcPr>
                <w:p w14:paraId="1000161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68.93</w:t>
                  </w:r>
                </w:p>
              </w:tc>
              <w:tc>
                <w:tcPr>
                  <w:tcW w:w="205" w:type="pct"/>
                  <w:shd w:val="clear" w:color="auto" w:fill="auto"/>
                  <w:vAlign w:val="center"/>
                </w:tcPr>
                <w:p w14:paraId="0A87C02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54.95</w:t>
                  </w:r>
                </w:p>
              </w:tc>
              <w:tc>
                <w:tcPr>
                  <w:tcW w:w="173" w:type="pct"/>
                  <w:vMerge w:val="continue"/>
                  <w:vAlign w:val="center"/>
                </w:tcPr>
                <w:p w14:paraId="5DC2DF4E">
                  <w:pPr>
                    <w:jc w:val="center"/>
                    <w:rPr>
                      <w:color w:val="FF0000"/>
                    </w:rPr>
                  </w:pPr>
                </w:p>
              </w:tc>
              <w:tc>
                <w:tcPr>
                  <w:tcW w:w="275" w:type="pct"/>
                  <w:vAlign w:val="center"/>
                </w:tcPr>
                <w:p w14:paraId="666E26ED">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59" w:type="pct"/>
                  <w:vMerge w:val="continue"/>
                  <w:vAlign w:val="center"/>
                </w:tcPr>
                <w:p w14:paraId="67FDCD65">
                  <w:pPr>
                    <w:jc w:val="center"/>
                    <w:rPr>
                      <w:rFonts w:hint="eastAsia"/>
                      <w:color w:val="FF0000"/>
                      <w:lang w:val="en-US" w:eastAsia="zh-CN"/>
                    </w:rPr>
                  </w:pPr>
                </w:p>
              </w:tc>
              <w:tc>
                <w:tcPr>
                  <w:tcW w:w="159" w:type="pct"/>
                  <w:vMerge w:val="continue"/>
                  <w:vAlign w:val="center"/>
                </w:tcPr>
                <w:p w14:paraId="468EEC12">
                  <w:pPr>
                    <w:jc w:val="center"/>
                    <w:rPr>
                      <w:rFonts w:hint="eastAsia"/>
                      <w:color w:val="FF0000"/>
                      <w:lang w:val="en-US" w:eastAsia="zh-CN"/>
                    </w:rPr>
                  </w:pPr>
                </w:p>
              </w:tc>
              <w:tc>
                <w:tcPr>
                  <w:tcW w:w="159" w:type="pct"/>
                  <w:vMerge w:val="continue"/>
                  <w:vAlign w:val="center"/>
                </w:tcPr>
                <w:p w14:paraId="46739775">
                  <w:pPr>
                    <w:jc w:val="center"/>
                    <w:rPr>
                      <w:rFonts w:hint="eastAsia"/>
                      <w:color w:val="FF0000"/>
                      <w:lang w:val="en-US" w:eastAsia="zh-CN"/>
                    </w:rPr>
                  </w:pPr>
                </w:p>
              </w:tc>
              <w:tc>
                <w:tcPr>
                  <w:tcW w:w="243" w:type="pct"/>
                  <w:vMerge w:val="continue"/>
                  <w:vAlign w:val="center"/>
                </w:tcPr>
                <w:p w14:paraId="46A7A615">
                  <w:pPr>
                    <w:jc w:val="center"/>
                    <w:rPr>
                      <w:rFonts w:hint="eastAsia"/>
                      <w:color w:val="FF0000"/>
                      <w:lang w:val="en-US" w:eastAsia="zh-CN"/>
                    </w:rPr>
                  </w:pPr>
                </w:p>
              </w:tc>
              <w:tc>
                <w:tcPr>
                  <w:tcW w:w="162" w:type="pct"/>
                  <w:vMerge w:val="continue"/>
                  <w:vAlign w:val="center"/>
                </w:tcPr>
                <w:p w14:paraId="251AE642">
                  <w:pPr>
                    <w:jc w:val="center"/>
                    <w:rPr>
                      <w:rFonts w:hint="eastAsia"/>
                      <w:color w:val="FF0000"/>
                      <w:lang w:val="en-US" w:eastAsia="zh-CN"/>
                    </w:rPr>
                  </w:pPr>
                </w:p>
              </w:tc>
              <w:tc>
                <w:tcPr>
                  <w:tcW w:w="162" w:type="pct"/>
                  <w:vMerge w:val="continue"/>
                  <w:vAlign w:val="center"/>
                </w:tcPr>
                <w:p w14:paraId="19281809">
                  <w:pPr>
                    <w:jc w:val="center"/>
                    <w:rPr>
                      <w:rFonts w:hint="eastAsia"/>
                      <w:color w:val="FF0000"/>
                      <w:lang w:val="en-US" w:eastAsia="zh-CN"/>
                    </w:rPr>
                  </w:pPr>
                </w:p>
              </w:tc>
              <w:tc>
                <w:tcPr>
                  <w:tcW w:w="162" w:type="pct"/>
                  <w:vMerge w:val="continue"/>
                  <w:vAlign w:val="center"/>
                </w:tcPr>
                <w:p w14:paraId="71802FA3">
                  <w:pPr>
                    <w:jc w:val="center"/>
                    <w:rPr>
                      <w:rFonts w:hint="eastAsia"/>
                      <w:color w:val="FF0000"/>
                      <w:lang w:val="en-US" w:eastAsia="zh-CN"/>
                    </w:rPr>
                  </w:pPr>
                </w:p>
              </w:tc>
              <w:tc>
                <w:tcPr>
                  <w:tcW w:w="164" w:type="pct"/>
                  <w:vMerge w:val="continue"/>
                  <w:vAlign w:val="center"/>
                </w:tcPr>
                <w:p w14:paraId="2924CC73">
                  <w:pPr>
                    <w:jc w:val="center"/>
                    <w:rPr>
                      <w:rFonts w:hint="eastAsia"/>
                      <w:color w:val="FF0000"/>
                      <w:lang w:val="en-US" w:eastAsia="zh-CN"/>
                    </w:rPr>
                  </w:pPr>
                </w:p>
              </w:tc>
            </w:tr>
            <w:tr w14:paraId="31DEB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58" w:type="pct"/>
                  <w:shd w:val="clear" w:color="auto" w:fill="auto"/>
                  <w:vAlign w:val="center"/>
                </w:tcPr>
                <w:p w14:paraId="0F2F906C">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96" w:type="pct"/>
                  <w:vMerge w:val="continue"/>
                  <w:vAlign w:val="center"/>
                </w:tcPr>
                <w:p w14:paraId="6EB33E3E">
                  <w:pPr>
                    <w:jc w:val="center"/>
                    <w:rPr>
                      <w:color w:val="000000" w:themeColor="text1"/>
                      <w14:textFill>
                        <w14:solidFill>
                          <w14:schemeClr w14:val="tx1"/>
                        </w14:solidFill>
                      </w14:textFill>
                    </w:rPr>
                  </w:pPr>
                </w:p>
              </w:tc>
              <w:tc>
                <w:tcPr>
                  <w:tcW w:w="264" w:type="pct"/>
                  <w:vAlign w:val="center"/>
                </w:tcPr>
                <w:p w14:paraId="07189A23">
                  <w:pPr>
                    <w:jc w:val="center"/>
                    <w:rPr>
                      <w:rFonts w:hint="eastAsia"/>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拉丝机</w:t>
                  </w:r>
                </w:p>
              </w:tc>
              <w:tc>
                <w:tcPr>
                  <w:tcW w:w="150" w:type="pct"/>
                  <w:vAlign w:val="center"/>
                </w:tcPr>
                <w:p w14:paraId="119A7040">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249" w:type="pct"/>
                  <w:vAlign w:val="center"/>
                </w:tcPr>
                <w:p w14:paraId="607C0A09">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80</w:t>
                  </w:r>
                </w:p>
              </w:tc>
              <w:tc>
                <w:tcPr>
                  <w:tcW w:w="180" w:type="pct"/>
                  <w:vMerge w:val="continue"/>
                  <w:vAlign w:val="center"/>
                </w:tcPr>
                <w:p w14:paraId="0D9F0D0A">
                  <w:pPr>
                    <w:jc w:val="center"/>
                    <w:rPr>
                      <w:color w:val="FF0000"/>
                    </w:rPr>
                  </w:pPr>
                </w:p>
              </w:tc>
              <w:tc>
                <w:tcPr>
                  <w:tcW w:w="211" w:type="pct"/>
                  <w:shd w:val="clear" w:color="auto" w:fill="auto"/>
                  <w:vAlign w:val="center"/>
                </w:tcPr>
                <w:p w14:paraId="1B2E9FE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8-15</w:t>
                  </w:r>
                </w:p>
              </w:tc>
              <w:tc>
                <w:tcPr>
                  <w:tcW w:w="295" w:type="pct"/>
                  <w:shd w:val="clear" w:color="auto" w:fill="auto"/>
                  <w:vAlign w:val="center"/>
                </w:tcPr>
                <w:p w14:paraId="4E1C4668">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77-83</w:t>
                  </w:r>
                </w:p>
              </w:tc>
              <w:tc>
                <w:tcPr>
                  <w:tcW w:w="240" w:type="pct"/>
                  <w:shd w:val="clear" w:color="auto" w:fill="auto"/>
                  <w:vAlign w:val="center"/>
                </w:tcPr>
                <w:p w14:paraId="7F04510A">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43" w:type="pct"/>
                  <w:vAlign w:val="center"/>
                </w:tcPr>
                <w:p w14:paraId="719D94A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47</w:t>
                  </w:r>
                </w:p>
              </w:tc>
              <w:tc>
                <w:tcPr>
                  <w:tcW w:w="109" w:type="pct"/>
                  <w:vAlign w:val="center"/>
                </w:tcPr>
                <w:p w14:paraId="4E3AEBFD">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77</w:t>
                  </w:r>
                </w:p>
              </w:tc>
              <w:tc>
                <w:tcPr>
                  <w:tcW w:w="123" w:type="pct"/>
                  <w:vAlign w:val="center"/>
                </w:tcPr>
                <w:p w14:paraId="3453D865">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46" w:type="pct"/>
                  <w:vAlign w:val="center"/>
                </w:tcPr>
                <w:p w14:paraId="0BD606F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33</w:t>
                  </w:r>
                </w:p>
              </w:tc>
              <w:tc>
                <w:tcPr>
                  <w:tcW w:w="201" w:type="pct"/>
                  <w:shd w:val="clear" w:color="auto" w:fill="auto"/>
                  <w:vAlign w:val="center"/>
                </w:tcPr>
                <w:p w14:paraId="3C39369E">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53.55</w:t>
                  </w:r>
                </w:p>
              </w:tc>
              <w:tc>
                <w:tcPr>
                  <w:tcW w:w="201" w:type="pct"/>
                  <w:shd w:val="clear" w:color="auto" w:fill="auto"/>
                  <w:vAlign w:val="center"/>
                </w:tcPr>
                <w:p w14:paraId="6280AFC4">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49.26</w:t>
                  </w:r>
                </w:p>
              </w:tc>
              <w:tc>
                <w:tcPr>
                  <w:tcW w:w="201" w:type="pct"/>
                  <w:shd w:val="clear" w:color="auto" w:fill="auto"/>
                  <w:vAlign w:val="center"/>
                </w:tcPr>
                <w:p w14:paraId="7EDC5AB8">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68.93</w:t>
                  </w:r>
                </w:p>
              </w:tc>
              <w:tc>
                <w:tcPr>
                  <w:tcW w:w="205" w:type="pct"/>
                  <w:shd w:val="clear" w:color="auto" w:fill="auto"/>
                  <w:vAlign w:val="center"/>
                </w:tcPr>
                <w:p w14:paraId="2D79AD3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56.62</w:t>
                  </w:r>
                </w:p>
              </w:tc>
              <w:tc>
                <w:tcPr>
                  <w:tcW w:w="173" w:type="pct"/>
                  <w:vMerge w:val="continue"/>
                  <w:vAlign w:val="center"/>
                </w:tcPr>
                <w:p w14:paraId="60860EF1">
                  <w:pPr>
                    <w:jc w:val="center"/>
                    <w:rPr>
                      <w:color w:val="FF0000"/>
                    </w:rPr>
                  </w:pPr>
                </w:p>
              </w:tc>
              <w:tc>
                <w:tcPr>
                  <w:tcW w:w="275" w:type="pct"/>
                  <w:vAlign w:val="center"/>
                </w:tcPr>
                <w:p w14:paraId="272ED6B6">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59" w:type="pct"/>
                  <w:vMerge w:val="continue"/>
                  <w:vAlign w:val="center"/>
                </w:tcPr>
                <w:p w14:paraId="4593A7FD">
                  <w:pPr>
                    <w:jc w:val="center"/>
                    <w:rPr>
                      <w:rFonts w:hint="eastAsia"/>
                      <w:color w:val="FF0000"/>
                      <w:lang w:val="en-US" w:eastAsia="zh-CN"/>
                    </w:rPr>
                  </w:pPr>
                </w:p>
              </w:tc>
              <w:tc>
                <w:tcPr>
                  <w:tcW w:w="159" w:type="pct"/>
                  <w:vMerge w:val="continue"/>
                  <w:vAlign w:val="center"/>
                </w:tcPr>
                <w:p w14:paraId="3F625621">
                  <w:pPr>
                    <w:jc w:val="center"/>
                    <w:rPr>
                      <w:rFonts w:hint="eastAsia"/>
                      <w:color w:val="FF0000"/>
                      <w:lang w:val="en-US" w:eastAsia="zh-CN"/>
                    </w:rPr>
                  </w:pPr>
                </w:p>
              </w:tc>
              <w:tc>
                <w:tcPr>
                  <w:tcW w:w="159" w:type="pct"/>
                  <w:vMerge w:val="continue"/>
                  <w:vAlign w:val="center"/>
                </w:tcPr>
                <w:p w14:paraId="2DB8AC20">
                  <w:pPr>
                    <w:jc w:val="center"/>
                    <w:rPr>
                      <w:rFonts w:hint="eastAsia"/>
                      <w:color w:val="FF0000"/>
                      <w:lang w:val="en-US" w:eastAsia="zh-CN"/>
                    </w:rPr>
                  </w:pPr>
                </w:p>
              </w:tc>
              <w:tc>
                <w:tcPr>
                  <w:tcW w:w="243" w:type="pct"/>
                  <w:vMerge w:val="continue"/>
                  <w:vAlign w:val="center"/>
                </w:tcPr>
                <w:p w14:paraId="16FC7418">
                  <w:pPr>
                    <w:jc w:val="center"/>
                    <w:rPr>
                      <w:rFonts w:hint="eastAsia"/>
                      <w:color w:val="FF0000"/>
                      <w:lang w:val="en-US" w:eastAsia="zh-CN"/>
                    </w:rPr>
                  </w:pPr>
                </w:p>
              </w:tc>
              <w:tc>
                <w:tcPr>
                  <w:tcW w:w="162" w:type="pct"/>
                  <w:vMerge w:val="continue"/>
                  <w:vAlign w:val="center"/>
                </w:tcPr>
                <w:p w14:paraId="5D9F833D">
                  <w:pPr>
                    <w:jc w:val="center"/>
                    <w:rPr>
                      <w:rFonts w:hint="eastAsia"/>
                      <w:color w:val="FF0000"/>
                      <w:lang w:val="en-US" w:eastAsia="zh-CN"/>
                    </w:rPr>
                  </w:pPr>
                </w:p>
              </w:tc>
              <w:tc>
                <w:tcPr>
                  <w:tcW w:w="162" w:type="pct"/>
                  <w:vMerge w:val="continue"/>
                  <w:vAlign w:val="center"/>
                </w:tcPr>
                <w:p w14:paraId="6167E403">
                  <w:pPr>
                    <w:jc w:val="center"/>
                    <w:rPr>
                      <w:rFonts w:hint="eastAsia"/>
                      <w:color w:val="FF0000"/>
                      <w:lang w:val="en-US" w:eastAsia="zh-CN"/>
                    </w:rPr>
                  </w:pPr>
                </w:p>
              </w:tc>
              <w:tc>
                <w:tcPr>
                  <w:tcW w:w="162" w:type="pct"/>
                  <w:vMerge w:val="continue"/>
                  <w:vAlign w:val="center"/>
                </w:tcPr>
                <w:p w14:paraId="405EB093">
                  <w:pPr>
                    <w:jc w:val="center"/>
                    <w:rPr>
                      <w:rFonts w:hint="eastAsia"/>
                      <w:color w:val="FF0000"/>
                      <w:lang w:val="en-US" w:eastAsia="zh-CN"/>
                    </w:rPr>
                  </w:pPr>
                </w:p>
              </w:tc>
              <w:tc>
                <w:tcPr>
                  <w:tcW w:w="164" w:type="pct"/>
                  <w:vMerge w:val="continue"/>
                  <w:vAlign w:val="center"/>
                </w:tcPr>
                <w:p w14:paraId="00F5EE31">
                  <w:pPr>
                    <w:jc w:val="center"/>
                    <w:rPr>
                      <w:rFonts w:hint="eastAsia"/>
                      <w:color w:val="FF0000"/>
                      <w:lang w:val="en-US" w:eastAsia="zh-CN"/>
                    </w:rPr>
                  </w:pPr>
                </w:p>
              </w:tc>
            </w:tr>
            <w:tr w14:paraId="690D4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58" w:type="pct"/>
                  <w:shd w:val="clear" w:color="auto" w:fill="auto"/>
                  <w:vAlign w:val="center"/>
                </w:tcPr>
                <w:p w14:paraId="3215CB34">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96" w:type="pct"/>
                  <w:vMerge w:val="continue"/>
                  <w:vAlign w:val="center"/>
                </w:tcPr>
                <w:p w14:paraId="49434781">
                  <w:pPr>
                    <w:jc w:val="center"/>
                    <w:rPr>
                      <w:color w:val="000000" w:themeColor="text1"/>
                      <w14:textFill>
                        <w14:solidFill>
                          <w14:schemeClr w14:val="tx1"/>
                        </w14:solidFill>
                      </w14:textFill>
                    </w:rPr>
                  </w:pPr>
                </w:p>
              </w:tc>
              <w:tc>
                <w:tcPr>
                  <w:tcW w:w="264" w:type="pct"/>
                  <w:vAlign w:val="center"/>
                </w:tcPr>
                <w:p w14:paraId="755D999F">
                  <w:pPr>
                    <w:jc w:val="center"/>
                    <w:rPr>
                      <w:rFonts w:hint="eastAsia"/>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制签机</w:t>
                  </w:r>
                </w:p>
              </w:tc>
              <w:tc>
                <w:tcPr>
                  <w:tcW w:w="150" w:type="pct"/>
                  <w:vAlign w:val="center"/>
                </w:tcPr>
                <w:p w14:paraId="39DBFD64">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249" w:type="pct"/>
                  <w:vAlign w:val="center"/>
                </w:tcPr>
                <w:p w14:paraId="01FEEB64">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80</w:t>
                  </w:r>
                </w:p>
              </w:tc>
              <w:tc>
                <w:tcPr>
                  <w:tcW w:w="180" w:type="pct"/>
                  <w:vMerge w:val="continue"/>
                  <w:vAlign w:val="center"/>
                </w:tcPr>
                <w:p w14:paraId="661ACCFC">
                  <w:pPr>
                    <w:jc w:val="center"/>
                    <w:rPr>
                      <w:color w:val="FF0000"/>
                    </w:rPr>
                  </w:pPr>
                </w:p>
              </w:tc>
              <w:tc>
                <w:tcPr>
                  <w:tcW w:w="211" w:type="pct"/>
                  <w:shd w:val="clear" w:color="auto" w:fill="auto"/>
                  <w:vAlign w:val="center"/>
                </w:tcPr>
                <w:p w14:paraId="253384C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16-22</w:t>
                  </w:r>
                </w:p>
              </w:tc>
              <w:tc>
                <w:tcPr>
                  <w:tcW w:w="295" w:type="pct"/>
                  <w:shd w:val="clear" w:color="auto" w:fill="auto"/>
                  <w:vAlign w:val="center"/>
                </w:tcPr>
                <w:p w14:paraId="7376B5F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77-83</w:t>
                  </w:r>
                </w:p>
              </w:tc>
              <w:tc>
                <w:tcPr>
                  <w:tcW w:w="240" w:type="pct"/>
                  <w:shd w:val="clear" w:color="auto" w:fill="auto"/>
                  <w:vAlign w:val="center"/>
                </w:tcPr>
                <w:p w14:paraId="6FA96F5C">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43" w:type="pct"/>
                  <w:vAlign w:val="center"/>
                </w:tcPr>
                <w:p w14:paraId="53B217CD">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w:t>
                  </w:r>
                </w:p>
              </w:tc>
              <w:tc>
                <w:tcPr>
                  <w:tcW w:w="109" w:type="pct"/>
                  <w:vAlign w:val="center"/>
                </w:tcPr>
                <w:p w14:paraId="64488C94">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77</w:t>
                  </w:r>
                </w:p>
              </w:tc>
              <w:tc>
                <w:tcPr>
                  <w:tcW w:w="123" w:type="pct"/>
                  <w:vAlign w:val="center"/>
                </w:tcPr>
                <w:p w14:paraId="15903AA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146" w:type="pct"/>
                  <w:vAlign w:val="center"/>
                </w:tcPr>
                <w:p w14:paraId="282B390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33</w:t>
                  </w:r>
                </w:p>
              </w:tc>
              <w:tc>
                <w:tcPr>
                  <w:tcW w:w="201" w:type="pct"/>
                  <w:shd w:val="clear" w:color="auto" w:fill="auto"/>
                  <w:vAlign w:val="center"/>
                </w:tcPr>
                <w:p w14:paraId="0F94C5C6">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56.36</w:t>
                  </w:r>
                </w:p>
              </w:tc>
              <w:tc>
                <w:tcPr>
                  <w:tcW w:w="201" w:type="pct"/>
                  <w:shd w:val="clear" w:color="auto" w:fill="auto"/>
                  <w:vAlign w:val="center"/>
                </w:tcPr>
                <w:p w14:paraId="20DCA6F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49.26</w:t>
                  </w:r>
                </w:p>
              </w:tc>
              <w:tc>
                <w:tcPr>
                  <w:tcW w:w="201" w:type="pct"/>
                  <w:shd w:val="clear" w:color="auto" w:fill="auto"/>
                  <w:vAlign w:val="center"/>
                </w:tcPr>
                <w:p w14:paraId="1AC68EBD">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62.91</w:t>
                  </w:r>
                </w:p>
              </w:tc>
              <w:tc>
                <w:tcPr>
                  <w:tcW w:w="205" w:type="pct"/>
                  <w:shd w:val="clear" w:color="auto" w:fill="auto"/>
                  <w:vAlign w:val="center"/>
                </w:tcPr>
                <w:p w14:paraId="4D7CC79C">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56.62</w:t>
                  </w:r>
                </w:p>
              </w:tc>
              <w:tc>
                <w:tcPr>
                  <w:tcW w:w="173" w:type="pct"/>
                  <w:vMerge w:val="continue"/>
                  <w:vAlign w:val="center"/>
                </w:tcPr>
                <w:p w14:paraId="15F97D02">
                  <w:pPr>
                    <w:jc w:val="center"/>
                    <w:rPr>
                      <w:color w:val="FF0000"/>
                    </w:rPr>
                  </w:pPr>
                </w:p>
              </w:tc>
              <w:tc>
                <w:tcPr>
                  <w:tcW w:w="275" w:type="pct"/>
                  <w:vAlign w:val="center"/>
                </w:tcPr>
                <w:p w14:paraId="278B3432">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59" w:type="pct"/>
                  <w:vMerge w:val="continue"/>
                  <w:vAlign w:val="center"/>
                </w:tcPr>
                <w:p w14:paraId="23090C5E">
                  <w:pPr>
                    <w:jc w:val="center"/>
                    <w:rPr>
                      <w:rFonts w:hint="eastAsia"/>
                      <w:color w:val="FF0000"/>
                      <w:lang w:val="en-US" w:eastAsia="zh-CN"/>
                    </w:rPr>
                  </w:pPr>
                </w:p>
              </w:tc>
              <w:tc>
                <w:tcPr>
                  <w:tcW w:w="159" w:type="pct"/>
                  <w:vMerge w:val="continue"/>
                  <w:vAlign w:val="center"/>
                </w:tcPr>
                <w:p w14:paraId="5B2785FB">
                  <w:pPr>
                    <w:jc w:val="center"/>
                    <w:rPr>
                      <w:rFonts w:hint="eastAsia"/>
                      <w:color w:val="FF0000"/>
                      <w:lang w:val="en-US" w:eastAsia="zh-CN"/>
                    </w:rPr>
                  </w:pPr>
                </w:p>
              </w:tc>
              <w:tc>
                <w:tcPr>
                  <w:tcW w:w="159" w:type="pct"/>
                  <w:vMerge w:val="continue"/>
                  <w:vAlign w:val="center"/>
                </w:tcPr>
                <w:p w14:paraId="1B7F58B4">
                  <w:pPr>
                    <w:jc w:val="center"/>
                    <w:rPr>
                      <w:rFonts w:hint="eastAsia"/>
                      <w:color w:val="FF0000"/>
                      <w:lang w:val="en-US" w:eastAsia="zh-CN"/>
                    </w:rPr>
                  </w:pPr>
                </w:p>
              </w:tc>
              <w:tc>
                <w:tcPr>
                  <w:tcW w:w="243" w:type="pct"/>
                  <w:vMerge w:val="continue"/>
                  <w:vAlign w:val="center"/>
                </w:tcPr>
                <w:p w14:paraId="0F43A03C">
                  <w:pPr>
                    <w:jc w:val="center"/>
                    <w:rPr>
                      <w:rFonts w:hint="eastAsia"/>
                      <w:color w:val="FF0000"/>
                      <w:lang w:val="en-US" w:eastAsia="zh-CN"/>
                    </w:rPr>
                  </w:pPr>
                </w:p>
              </w:tc>
              <w:tc>
                <w:tcPr>
                  <w:tcW w:w="162" w:type="pct"/>
                  <w:vMerge w:val="continue"/>
                  <w:vAlign w:val="center"/>
                </w:tcPr>
                <w:p w14:paraId="7FA52C95">
                  <w:pPr>
                    <w:jc w:val="center"/>
                    <w:rPr>
                      <w:rFonts w:hint="eastAsia"/>
                      <w:color w:val="FF0000"/>
                      <w:lang w:val="en-US" w:eastAsia="zh-CN"/>
                    </w:rPr>
                  </w:pPr>
                </w:p>
              </w:tc>
              <w:tc>
                <w:tcPr>
                  <w:tcW w:w="162" w:type="pct"/>
                  <w:vMerge w:val="continue"/>
                  <w:vAlign w:val="center"/>
                </w:tcPr>
                <w:p w14:paraId="2517DADB">
                  <w:pPr>
                    <w:jc w:val="center"/>
                    <w:rPr>
                      <w:rFonts w:hint="eastAsia"/>
                      <w:color w:val="FF0000"/>
                      <w:lang w:val="en-US" w:eastAsia="zh-CN"/>
                    </w:rPr>
                  </w:pPr>
                </w:p>
              </w:tc>
              <w:tc>
                <w:tcPr>
                  <w:tcW w:w="162" w:type="pct"/>
                  <w:vMerge w:val="continue"/>
                  <w:vAlign w:val="center"/>
                </w:tcPr>
                <w:p w14:paraId="6645F793">
                  <w:pPr>
                    <w:jc w:val="center"/>
                    <w:rPr>
                      <w:rFonts w:hint="eastAsia"/>
                      <w:color w:val="FF0000"/>
                      <w:lang w:val="en-US" w:eastAsia="zh-CN"/>
                    </w:rPr>
                  </w:pPr>
                </w:p>
              </w:tc>
              <w:tc>
                <w:tcPr>
                  <w:tcW w:w="164" w:type="pct"/>
                  <w:vMerge w:val="continue"/>
                  <w:vAlign w:val="center"/>
                </w:tcPr>
                <w:p w14:paraId="5A0DDE19">
                  <w:pPr>
                    <w:jc w:val="center"/>
                    <w:rPr>
                      <w:rFonts w:hint="eastAsia"/>
                      <w:color w:val="FF0000"/>
                      <w:lang w:val="en-US" w:eastAsia="zh-CN"/>
                    </w:rPr>
                  </w:pPr>
                </w:p>
              </w:tc>
            </w:tr>
          </w:tbl>
          <w:p w14:paraId="5C0EF56B">
            <w:pPr>
              <w:spacing w:line="360" w:lineRule="auto"/>
              <w:ind w:firstLine="482" w:firstLineChars="200"/>
              <w:rPr>
                <w:b/>
                <w:color w:val="auto"/>
                <w:sz w:val="24"/>
              </w:rPr>
            </w:pPr>
            <w:r>
              <w:rPr>
                <w:rFonts w:hint="eastAsia"/>
                <w:b/>
                <w:color w:val="auto"/>
                <w:sz w:val="24"/>
              </w:rPr>
              <w:t>3.2</w:t>
            </w:r>
            <w:r>
              <w:rPr>
                <w:b/>
                <w:color w:val="auto"/>
                <w:sz w:val="24"/>
                <w:lang w:val="zh-CN"/>
              </w:rPr>
              <w:t>噪声</w:t>
            </w:r>
            <w:r>
              <w:rPr>
                <w:rFonts w:hint="eastAsia"/>
                <w:b/>
                <w:color w:val="auto"/>
                <w:sz w:val="24"/>
              </w:rPr>
              <w:t>预测</w:t>
            </w:r>
          </w:p>
          <w:p w14:paraId="7B10C147">
            <w:pPr>
              <w:spacing w:line="360" w:lineRule="auto"/>
              <w:ind w:firstLine="480" w:firstLineChars="200"/>
              <w:rPr>
                <w:color w:val="auto"/>
                <w:sz w:val="24"/>
              </w:rPr>
            </w:pPr>
            <w:r>
              <w:rPr>
                <w:color w:val="auto"/>
                <w:sz w:val="24"/>
              </w:rPr>
              <w:t>选择《环境影响评价技术导则－声环境》(HJ2.4－20</w:t>
            </w:r>
            <w:r>
              <w:rPr>
                <w:rFonts w:hint="eastAsia"/>
                <w:color w:val="auto"/>
                <w:sz w:val="24"/>
              </w:rPr>
              <w:t>21</w:t>
            </w:r>
            <w:r>
              <w:rPr>
                <w:color w:val="auto"/>
                <w:sz w:val="24"/>
              </w:rPr>
              <w:t>)中推荐的工业噪声预测模式，具体模式如下：</w:t>
            </w:r>
          </w:p>
          <w:p w14:paraId="2D0B9038">
            <w:pPr>
              <w:pStyle w:val="13"/>
              <w:widowControl w:val="0"/>
              <w:tabs>
                <w:tab w:val="left" w:pos="1495"/>
              </w:tabs>
              <w:spacing w:before="0" w:after="0" w:line="360" w:lineRule="auto"/>
              <w:ind w:right="0" w:firstLine="480" w:firstLineChars="200"/>
              <w:rPr>
                <w:color w:val="auto"/>
                <w:sz w:val="24"/>
                <w:szCs w:val="36"/>
              </w:rPr>
            </w:pPr>
            <w:r>
              <w:rPr>
                <w:color w:val="auto"/>
                <w:sz w:val="24"/>
                <w:szCs w:val="36"/>
              </w:rPr>
              <w:t>①室内声源，在只取得A声级时，采用下式计算：</w:t>
            </w:r>
          </w:p>
          <w:p w14:paraId="314B0F99">
            <w:pPr>
              <w:spacing w:line="360" w:lineRule="auto"/>
              <w:jc w:val="center"/>
              <w:rPr>
                <w:color w:val="auto"/>
                <w:sz w:val="24"/>
              </w:rPr>
            </w:pPr>
            <w:r>
              <w:rPr>
                <w:color w:val="auto"/>
                <w:sz w:val="24"/>
              </w:rPr>
              <w:t>LA(r) = LA(r0)-A</w:t>
            </w:r>
          </w:p>
          <w:p w14:paraId="265F5A2C">
            <w:pPr>
              <w:spacing w:line="360" w:lineRule="auto"/>
              <w:ind w:firstLine="480" w:firstLineChars="200"/>
              <w:rPr>
                <w:color w:val="auto"/>
                <w:sz w:val="24"/>
              </w:rPr>
            </w:pPr>
            <w:r>
              <w:rPr>
                <w:color w:val="auto"/>
                <w:sz w:val="24"/>
              </w:rPr>
              <w:t>A可选择对A声级影响最大的倍频带计算，一般可选中心频率为500Hz的倍频带作估算。</w:t>
            </w:r>
          </w:p>
          <w:p w14:paraId="136F6FC2">
            <w:pPr>
              <w:spacing w:line="360" w:lineRule="auto"/>
              <w:jc w:val="center"/>
              <w:rPr>
                <w:color w:val="auto"/>
                <w:sz w:val="24"/>
              </w:rPr>
            </w:pPr>
            <w:r>
              <w:rPr>
                <w:color w:val="auto"/>
                <w:sz w:val="24"/>
              </w:rPr>
              <w:t>A = Adiv+Aatm+Agr+Abar+Amisc</w:t>
            </w:r>
          </w:p>
          <w:p w14:paraId="45A02D40">
            <w:pPr>
              <w:spacing w:line="360" w:lineRule="auto"/>
              <w:ind w:firstLine="480" w:firstLineChars="200"/>
              <w:rPr>
                <w:color w:val="auto"/>
                <w:sz w:val="24"/>
              </w:rPr>
            </w:pPr>
            <w:r>
              <w:rPr>
                <w:color w:val="auto"/>
                <w:sz w:val="24"/>
              </w:rPr>
              <w:t>几何发散衰减：</w:t>
            </w:r>
          </w:p>
          <w:p w14:paraId="0609BEED">
            <w:pPr>
              <w:spacing w:line="360" w:lineRule="auto"/>
              <w:jc w:val="center"/>
              <w:rPr>
                <w:color w:val="auto"/>
                <w:sz w:val="24"/>
              </w:rPr>
            </w:pPr>
            <w:r>
              <w:rPr>
                <w:color w:val="auto"/>
                <w:sz w:val="24"/>
              </w:rPr>
              <w:t>Adiv = 20Lg(r/r0)</w:t>
            </w:r>
          </w:p>
          <w:p w14:paraId="52F3D850">
            <w:pPr>
              <w:spacing w:line="360" w:lineRule="auto"/>
              <w:ind w:firstLine="480" w:firstLineChars="200"/>
              <w:rPr>
                <w:color w:val="auto"/>
                <w:sz w:val="24"/>
              </w:rPr>
            </w:pPr>
            <w:r>
              <w:rPr>
                <w:color w:val="auto"/>
                <w:sz w:val="24"/>
              </w:rPr>
              <w:t>空气吸收引起的衰减(Aatm)</w:t>
            </w:r>
            <w:r>
              <w:rPr>
                <w:color w:val="auto"/>
                <w:sz w:val="24"/>
              </w:rPr>
              <w:tab/>
            </w:r>
            <w:r>
              <w:rPr>
                <w:color w:val="auto"/>
                <w:sz w:val="24"/>
              </w:rPr>
              <w:t>：</w:t>
            </w:r>
          </w:p>
          <w:p w14:paraId="5304824A">
            <w:pPr>
              <w:jc w:val="center"/>
              <w:rPr>
                <w:color w:val="auto"/>
                <w:sz w:val="24"/>
              </w:rPr>
            </w:pPr>
            <w:r>
              <w:rPr>
                <w:color w:val="auto"/>
                <w:sz w:val="24"/>
              </w:rPr>
              <w:drawing>
                <wp:inline distT="0" distB="0" distL="114300" distR="114300">
                  <wp:extent cx="1162050" cy="43815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1162050" cy="438150"/>
                          </a:xfrm>
                          <a:prstGeom prst="rect">
                            <a:avLst/>
                          </a:prstGeom>
                          <a:noFill/>
                          <a:ln>
                            <a:noFill/>
                          </a:ln>
                        </pic:spPr>
                      </pic:pic>
                    </a:graphicData>
                  </a:graphic>
                </wp:inline>
              </w:drawing>
            </w:r>
          </w:p>
          <w:p w14:paraId="76862780">
            <w:pPr>
              <w:tabs>
                <w:tab w:val="left" w:pos="3467"/>
              </w:tabs>
              <w:jc w:val="center"/>
              <w:rPr>
                <w:b/>
                <w:bCs/>
                <w:color w:val="auto"/>
                <w:sz w:val="24"/>
                <w:szCs w:val="32"/>
              </w:rPr>
            </w:pPr>
            <w:r>
              <w:rPr>
                <w:b/>
                <w:bCs/>
                <w:color w:val="auto"/>
                <w:sz w:val="24"/>
                <w:szCs w:val="32"/>
              </w:rPr>
              <w:t>表4-</w:t>
            </w:r>
            <w:r>
              <w:rPr>
                <w:rFonts w:hint="eastAsia"/>
                <w:b/>
                <w:bCs/>
                <w:color w:val="auto"/>
                <w:sz w:val="24"/>
                <w:szCs w:val="32"/>
              </w:rPr>
              <w:t>16</w:t>
            </w:r>
            <w:r>
              <w:rPr>
                <w:b/>
                <w:bCs/>
                <w:color w:val="auto"/>
                <w:sz w:val="24"/>
                <w:szCs w:val="32"/>
              </w:rPr>
              <w:t xml:space="preserve"> </w:t>
            </w:r>
            <w:r>
              <w:rPr>
                <w:rFonts w:hint="eastAsia"/>
                <w:b/>
                <w:bCs/>
                <w:color w:val="auto"/>
                <w:sz w:val="24"/>
                <w:szCs w:val="32"/>
              </w:rPr>
              <w:t xml:space="preserve"> </w:t>
            </w:r>
            <w:r>
              <w:rPr>
                <w:b/>
                <w:bCs/>
                <w:color w:val="auto"/>
                <w:sz w:val="24"/>
                <w:szCs w:val="32"/>
              </w:rPr>
              <w:t>倍频带噪声的大气吸收衰减系数</w:t>
            </w:r>
          </w:p>
          <w:tbl>
            <w:tblPr>
              <w:tblStyle w:val="3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9"/>
              <w:gridCol w:w="1459"/>
              <w:gridCol w:w="1248"/>
              <w:gridCol w:w="1253"/>
              <w:gridCol w:w="1253"/>
              <w:gridCol w:w="1253"/>
              <w:gridCol w:w="1260"/>
              <w:gridCol w:w="1260"/>
              <w:gridCol w:w="1263"/>
              <w:gridCol w:w="1104"/>
            </w:tblGrid>
            <w:tr w14:paraId="5AFB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503" w:type="pct"/>
                  <w:vMerge w:val="restart"/>
                  <w:vAlign w:val="center"/>
                </w:tcPr>
                <w:p w14:paraId="56F69E97">
                  <w:pPr>
                    <w:pStyle w:val="63"/>
                    <w:jc w:val="center"/>
                    <w:rPr>
                      <w:color w:val="auto"/>
                      <w:szCs w:val="21"/>
                    </w:rPr>
                  </w:pPr>
                  <w:r>
                    <w:rPr>
                      <w:color w:val="auto"/>
                      <w:szCs w:val="21"/>
                    </w:rPr>
                    <w:t>温度℃</w:t>
                  </w:r>
                </w:p>
              </w:tc>
              <w:tc>
                <w:tcPr>
                  <w:tcW w:w="578" w:type="pct"/>
                  <w:vMerge w:val="restart"/>
                  <w:vAlign w:val="center"/>
                </w:tcPr>
                <w:p w14:paraId="3F730692">
                  <w:pPr>
                    <w:pStyle w:val="63"/>
                    <w:jc w:val="center"/>
                    <w:rPr>
                      <w:color w:val="auto"/>
                      <w:szCs w:val="21"/>
                    </w:rPr>
                  </w:pPr>
                  <w:r>
                    <w:rPr>
                      <w:color w:val="auto"/>
                      <w:szCs w:val="21"/>
                    </w:rPr>
                    <w:t>相对湿度%</w:t>
                  </w:r>
                </w:p>
              </w:tc>
              <w:tc>
                <w:tcPr>
                  <w:tcW w:w="3917" w:type="pct"/>
                  <w:gridSpan w:val="8"/>
                  <w:vAlign w:val="center"/>
                </w:tcPr>
                <w:p w14:paraId="7350303D">
                  <w:pPr>
                    <w:pStyle w:val="63"/>
                    <w:jc w:val="center"/>
                    <w:rPr>
                      <w:color w:val="auto"/>
                      <w:szCs w:val="21"/>
                    </w:rPr>
                  </w:pPr>
                  <w:r>
                    <w:rPr>
                      <w:color w:val="auto"/>
                      <w:szCs w:val="21"/>
                    </w:rPr>
                    <w:t>大气吸收衰减系数，dB/km</w:t>
                  </w:r>
                </w:p>
              </w:tc>
            </w:tr>
            <w:tr w14:paraId="05FEB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3" w:type="pct"/>
                  <w:vMerge w:val="continue"/>
                  <w:vAlign w:val="center"/>
                </w:tcPr>
                <w:p w14:paraId="13F1BE18">
                  <w:pPr>
                    <w:jc w:val="center"/>
                    <w:rPr>
                      <w:color w:val="auto"/>
                      <w:szCs w:val="21"/>
                    </w:rPr>
                  </w:pPr>
                </w:p>
              </w:tc>
              <w:tc>
                <w:tcPr>
                  <w:tcW w:w="578" w:type="pct"/>
                  <w:vMerge w:val="continue"/>
                  <w:vAlign w:val="center"/>
                </w:tcPr>
                <w:p w14:paraId="1D81568C">
                  <w:pPr>
                    <w:jc w:val="center"/>
                    <w:rPr>
                      <w:color w:val="auto"/>
                      <w:szCs w:val="21"/>
                    </w:rPr>
                  </w:pPr>
                </w:p>
              </w:tc>
              <w:tc>
                <w:tcPr>
                  <w:tcW w:w="3917" w:type="pct"/>
                  <w:gridSpan w:val="8"/>
                  <w:vAlign w:val="center"/>
                </w:tcPr>
                <w:p w14:paraId="6DB2B10D">
                  <w:pPr>
                    <w:pStyle w:val="63"/>
                    <w:jc w:val="center"/>
                    <w:rPr>
                      <w:color w:val="auto"/>
                      <w:szCs w:val="21"/>
                    </w:rPr>
                  </w:pPr>
                  <w:r>
                    <w:rPr>
                      <w:color w:val="auto"/>
                      <w:szCs w:val="21"/>
                    </w:rPr>
                    <w:t>倍频带中心频率 Hz</w:t>
                  </w:r>
                </w:p>
              </w:tc>
            </w:tr>
            <w:tr w14:paraId="35024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jc w:val="center"/>
              </w:trPr>
              <w:tc>
                <w:tcPr>
                  <w:tcW w:w="503" w:type="pct"/>
                  <w:vMerge w:val="continue"/>
                  <w:vAlign w:val="center"/>
                </w:tcPr>
                <w:p w14:paraId="24CFD551">
                  <w:pPr>
                    <w:jc w:val="center"/>
                    <w:rPr>
                      <w:color w:val="auto"/>
                      <w:szCs w:val="21"/>
                    </w:rPr>
                  </w:pPr>
                </w:p>
              </w:tc>
              <w:tc>
                <w:tcPr>
                  <w:tcW w:w="578" w:type="pct"/>
                  <w:vMerge w:val="continue"/>
                  <w:vAlign w:val="center"/>
                </w:tcPr>
                <w:p w14:paraId="40AED5E6">
                  <w:pPr>
                    <w:jc w:val="center"/>
                    <w:rPr>
                      <w:color w:val="auto"/>
                      <w:szCs w:val="21"/>
                    </w:rPr>
                  </w:pPr>
                </w:p>
              </w:tc>
              <w:tc>
                <w:tcPr>
                  <w:tcW w:w="494" w:type="pct"/>
                  <w:vAlign w:val="center"/>
                </w:tcPr>
                <w:p w14:paraId="6851146B">
                  <w:pPr>
                    <w:pStyle w:val="63"/>
                    <w:jc w:val="center"/>
                    <w:rPr>
                      <w:color w:val="auto"/>
                      <w:szCs w:val="21"/>
                    </w:rPr>
                  </w:pPr>
                  <w:r>
                    <w:rPr>
                      <w:color w:val="auto"/>
                      <w:szCs w:val="21"/>
                    </w:rPr>
                    <w:t>63</w:t>
                  </w:r>
                </w:p>
              </w:tc>
              <w:tc>
                <w:tcPr>
                  <w:tcW w:w="496" w:type="pct"/>
                  <w:vAlign w:val="center"/>
                </w:tcPr>
                <w:p w14:paraId="61981679">
                  <w:pPr>
                    <w:pStyle w:val="63"/>
                    <w:jc w:val="center"/>
                    <w:rPr>
                      <w:color w:val="auto"/>
                      <w:szCs w:val="21"/>
                    </w:rPr>
                  </w:pPr>
                  <w:r>
                    <w:rPr>
                      <w:color w:val="auto"/>
                      <w:szCs w:val="21"/>
                    </w:rPr>
                    <w:t>125</w:t>
                  </w:r>
                </w:p>
              </w:tc>
              <w:tc>
                <w:tcPr>
                  <w:tcW w:w="496" w:type="pct"/>
                  <w:vAlign w:val="center"/>
                </w:tcPr>
                <w:p w14:paraId="42323C23">
                  <w:pPr>
                    <w:pStyle w:val="63"/>
                    <w:jc w:val="center"/>
                    <w:rPr>
                      <w:color w:val="auto"/>
                      <w:szCs w:val="21"/>
                    </w:rPr>
                  </w:pPr>
                  <w:r>
                    <w:rPr>
                      <w:color w:val="auto"/>
                      <w:szCs w:val="21"/>
                    </w:rPr>
                    <w:t>250</w:t>
                  </w:r>
                </w:p>
              </w:tc>
              <w:tc>
                <w:tcPr>
                  <w:tcW w:w="496" w:type="pct"/>
                  <w:vAlign w:val="center"/>
                </w:tcPr>
                <w:p w14:paraId="5CB88E04">
                  <w:pPr>
                    <w:pStyle w:val="63"/>
                    <w:jc w:val="center"/>
                    <w:rPr>
                      <w:color w:val="auto"/>
                      <w:szCs w:val="21"/>
                    </w:rPr>
                  </w:pPr>
                  <w:r>
                    <w:rPr>
                      <w:color w:val="auto"/>
                      <w:szCs w:val="21"/>
                    </w:rPr>
                    <w:t>500</w:t>
                  </w:r>
                </w:p>
              </w:tc>
              <w:tc>
                <w:tcPr>
                  <w:tcW w:w="499" w:type="pct"/>
                  <w:vAlign w:val="center"/>
                </w:tcPr>
                <w:p w14:paraId="0D283ADD">
                  <w:pPr>
                    <w:pStyle w:val="63"/>
                    <w:jc w:val="center"/>
                    <w:rPr>
                      <w:color w:val="auto"/>
                      <w:szCs w:val="21"/>
                    </w:rPr>
                  </w:pPr>
                  <w:r>
                    <w:rPr>
                      <w:color w:val="auto"/>
                      <w:szCs w:val="21"/>
                    </w:rPr>
                    <w:t>1000</w:t>
                  </w:r>
                </w:p>
              </w:tc>
              <w:tc>
                <w:tcPr>
                  <w:tcW w:w="499" w:type="pct"/>
                  <w:vAlign w:val="center"/>
                </w:tcPr>
                <w:p w14:paraId="545D0633">
                  <w:pPr>
                    <w:pStyle w:val="63"/>
                    <w:jc w:val="center"/>
                    <w:rPr>
                      <w:color w:val="auto"/>
                      <w:szCs w:val="21"/>
                    </w:rPr>
                  </w:pPr>
                  <w:r>
                    <w:rPr>
                      <w:color w:val="auto"/>
                      <w:szCs w:val="21"/>
                    </w:rPr>
                    <w:t>2000</w:t>
                  </w:r>
                </w:p>
              </w:tc>
              <w:tc>
                <w:tcPr>
                  <w:tcW w:w="500" w:type="pct"/>
                  <w:vAlign w:val="center"/>
                </w:tcPr>
                <w:p w14:paraId="6D407C7C">
                  <w:pPr>
                    <w:pStyle w:val="63"/>
                    <w:jc w:val="center"/>
                    <w:rPr>
                      <w:color w:val="auto"/>
                      <w:szCs w:val="21"/>
                    </w:rPr>
                  </w:pPr>
                  <w:r>
                    <w:rPr>
                      <w:color w:val="auto"/>
                      <w:szCs w:val="21"/>
                    </w:rPr>
                    <w:t>4000</w:t>
                  </w:r>
                </w:p>
              </w:tc>
              <w:tc>
                <w:tcPr>
                  <w:tcW w:w="432" w:type="pct"/>
                  <w:vAlign w:val="center"/>
                </w:tcPr>
                <w:p w14:paraId="6D0695BC">
                  <w:pPr>
                    <w:pStyle w:val="63"/>
                    <w:jc w:val="center"/>
                    <w:rPr>
                      <w:color w:val="auto"/>
                      <w:szCs w:val="21"/>
                    </w:rPr>
                  </w:pPr>
                  <w:r>
                    <w:rPr>
                      <w:color w:val="auto"/>
                      <w:szCs w:val="21"/>
                    </w:rPr>
                    <w:t>8000</w:t>
                  </w:r>
                </w:p>
              </w:tc>
            </w:tr>
            <w:tr w14:paraId="5EC5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503" w:type="pct"/>
                  <w:vAlign w:val="center"/>
                </w:tcPr>
                <w:p w14:paraId="1C524912">
                  <w:pPr>
                    <w:pStyle w:val="63"/>
                    <w:jc w:val="center"/>
                    <w:rPr>
                      <w:color w:val="auto"/>
                      <w:szCs w:val="21"/>
                    </w:rPr>
                  </w:pPr>
                  <w:r>
                    <w:rPr>
                      <w:color w:val="auto"/>
                      <w:szCs w:val="21"/>
                    </w:rPr>
                    <w:t>10</w:t>
                  </w:r>
                </w:p>
              </w:tc>
              <w:tc>
                <w:tcPr>
                  <w:tcW w:w="578" w:type="pct"/>
                  <w:vAlign w:val="center"/>
                </w:tcPr>
                <w:p w14:paraId="5CCCCF79">
                  <w:pPr>
                    <w:pStyle w:val="63"/>
                    <w:jc w:val="center"/>
                    <w:rPr>
                      <w:color w:val="auto"/>
                      <w:szCs w:val="21"/>
                    </w:rPr>
                  </w:pPr>
                  <w:r>
                    <w:rPr>
                      <w:color w:val="auto"/>
                      <w:szCs w:val="21"/>
                    </w:rPr>
                    <w:t>70</w:t>
                  </w:r>
                </w:p>
              </w:tc>
              <w:tc>
                <w:tcPr>
                  <w:tcW w:w="494" w:type="pct"/>
                  <w:vAlign w:val="center"/>
                </w:tcPr>
                <w:p w14:paraId="536923E1">
                  <w:pPr>
                    <w:pStyle w:val="63"/>
                    <w:jc w:val="center"/>
                    <w:rPr>
                      <w:color w:val="auto"/>
                      <w:szCs w:val="21"/>
                    </w:rPr>
                  </w:pPr>
                  <w:r>
                    <w:rPr>
                      <w:color w:val="auto"/>
                      <w:szCs w:val="21"/>
                    </w:rPr>
                    <w:t>0.1</w:t>
                  </w:r>
                </w:p>
              </w:tc>
              <w:tc>
                <w:tcPr>
                  <w:tcW w:w="496" w:type="pct"/>
                  <w:vAlign w:val="center"/>
                </w:tcPr>
                <w:p w14:paraId="5E9E6552">
                  <w:pPr>
                    <w:pStyle w:val="63"/>
                    <w:jc w:val="center"/>
                    <w:rPr>
                      <w:color w:val="auto"/>
                      <w:szCs w:val="21"/>
                    </w:rPr>
                  </w:pPr>
                  <w:r>
                    <w:rPr>
                      <w:color w:val="auto"/>
                      <w:szCs w:val="21"/>
                    </w:rPr>
                    <w:t>0.4</w:t>
                  </w:r>
                </w:p>
              </w:tc>
              <w:tc>
                <w:tcPr>
                  <w:tcW w:w="496" w:type="pct"/>
                  <w:vAlign w:val="center"/>
                </w:tcPr>
                <w:p w14:paraId="05352042">
                  <w:pPr>
                    <w:pStyle w:val="63"/>
                    <w:jc w:val="center"/>
                    <w:rPr>
                      <w:color w:val="auto"/>
                      <w:szCs w:val="21"/>
                    </w:rPr>
                  </w:pPr>
                  <w:r>
                    <w:rPr>
                      <w:color w:val="auto"/>
                      <w:szCs w:val="21"/>
                    </w:rPr>
                    <w:t>1.0</w:t>
                  </w:r>
                </w:p>
              </w:tc>
              <w:tc>
                <w:tcPr>
                  <w:tcW w:w="496" w:type="pct"/>
                  <w:vAlign w:val="center"/>
                </w:tcPr>
                <w:p w14:paraId="2EF8BF00">
                  <w:pPr>
                    <w:pStyle w:val="63"/>
                    <w:jc w:val="center"/>
                    <w:rPr>
                      <w:color w:val="auto"/>
                      <w:szCs w:val="21"/>
                    </w:rPr>
                  </w:pPr>
                  <w:r>
                    <w:rPr>
                      <w:color w:val="auto"/>
                      <w:szCs w:val="21"/>
                    </w:rPr>
                    <w:t>1.9</w:t>
                  </w:r>
                </w:p>
              </w:tc>
              <w:tc>
                <w:tcPr>
                  <w:tcW w:w="499" w:type="pct"/>
                  <w:vAlign w:val="center"/>
                </w:tcPr>
                <w:p w14:paraId="5AEADE40">
                  <w:pPr>
                    <w:pStyle w:val="63"/>
                    <w:jc w:val="center"/>
                    <w:rPr>
                      <w:color w:val="auto"/>
                      <w:szCs w:val="21"/>
                    </w:rPr>
                  </w:pPr>
                  <w:r>
                    <w:rPr>
                      <w:color w:val="auto"/>
                      <w:szCs w:val="21"/>
                    </w:rPr>
                    <w:t>3.7</w:t>
                  </w:r>
                </w:p>
              </w:tc>
              <w:tc>
                <w:tcPr>
                  <w:tcW w:w="499" w:type="pct"/>
                  <w:vAlign w:val="center"/>
                </w:tcPr>
                <w:p w14:paraId="1E2773A9">
                  <w:pPr>
                    <w:pStyle w:val="63"/>
                    <w:jc w:val="center"/>
                    <w:rPr>
                      <w:color w:val="auto"/>
                      <w:szCs w:val="21"/>
                    </w:rPr>
                  </w:pPr>
                  <w:r>
                    <w:rPr>
                      <w:color w:val="auto"/>
                      <w:szCs w:val="21"/>
                    </w:rPr>
                    <w:t>9.7</w:t>
                  </w:r>
                </w:p>
              </w:tc>
              <w:tc>
                <w:tcPr>
                  <w:tcW w:w="500" w:type="pct"/>
                  <w:vAlign w:val="center"/>
                </w:tcPr>
                <w:p w14:paraId="4644DD07">
                  <w:pPr>
                    <w:pStyle w:val="63"/>
                    <w:jc w:val="center"/>
                    <w:rPr>
                      <w:color w:val="auto"/>
                      <w:szCs w:val="21"/>
                    </w:rPr>
                  </w:pPr>
                  <w:r>
                    <w:rPr>
                      <w:color w:val="auto"/>
                      <w:szCs w:val="21"/>
                    </w:rPr>
                    <w:t>32.8</w:t>
                  </w:r>
                </w:p>
              </w:tc>
              <w:tc>
                <w:tcPr>
                  <w:tcW w:w="432" w:type="pct"/>
                  <w:vAlign w:val="center"/>
                </w:tcPr>
                <w:p w14:paraId="63E62AEB">
                  <w:pPr>
                    <w:pStyle w:val="63"/>
                    <w:jc w:val="center"/>
                    <w:rPr>
                      <w:color w:val="auto"/>
                      <w:szCs w:val="21"/>
                    </w:rPr>
                  </w:pPr>
                  <w:r>
                    <w:rPr>
                      <w:color w:val="auto"/>
                      <w:szCs w:val="21"/>
                    </w:rPr>
                    <w:t>117.0</w:t>
                  </w:r>
                </w:p>
              </w:tc>
            </w:tr>
            <w:tr w14:paraId="64D2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503" w:type="pct"/>
                  <w:vAlign w:val="center"/>
                </w:tcPr>
                <w:p w14:paraId="0A1CF4D5">
                  <w:pPr>
                    <w:pStyle w:val="63"/>
                    <w:jc w:val="center"/>
                    <w:rPr>
                      <w:color w:val="auto"/>
                      <w:szCs w:val="21"/>
                    </w:rPr>
                  </w:pPr>
                  <w:r>
                    <w:rPr>
                      <w:color w:val="auto"/>
                      <w:szCs w:val="21"/>
                    </w:rPr>
                    <w:t>20</w:t>
                  </w:r>
                </w:p>
              </w:tc>
              <w:tc>
                <w:tcPr>
                  <w:tcW w:w="578" w:type="pct"/>
                  <w:vAlign w:val="center"/>
                </w:tcPr>
                <w:p w14:paraId="0A0F448C">
                  <w:pPr>
                    <w:pStyle w:val="63"/>
                    <w:jc w:val="center"/>
                    <w:rPr>
                      <w:color w:val="auto"/>
                      <w:szCs w:val="21"/>
                    </w:rPr>
                  </w:pPr>
                  <w:r>
                    <w:rPr>
                      <w:color w:val="auto"/>
                      <w:szCs w:val="21"/>
                    </w:rPr>
                    <w:t>70</w:t>
                  </w:r>
                </w:p>
              </w:tc>
              <w:tc>
                <w:tcPr>
                  <w:tcW w:w="494" w:type="pct"/>
                  <w:vAlign w:val="center"/>
                </w:tcPr>
                <w:p w14:paraId="735F0F16">
                  <w:pPr>
                    <w:pStyle w:val="63"/>
                    <w:jc w:val="center"/>
                    <w:rPr>
                      <w:color w:val="auto"/>
                      <w:szCs w:val="21"/>
                    </w:rPr>
                  </w:pPr>
                  <w:r>
                    <w:rPr>
                      <w:color w:val="auto"/>
                      <w:szCs w:val="21"/>
                    </w:rPr>
                    <w:t>0.1</w:t>
                  </w:r>
                </w:p>
              </w:tc>
              <w:tc>
                <w:tcPr>
                  <w:tcW w:w="496" w:type="pct"/>
                  <w:vAlign w:val="center"/>
                </w:tcPr>
                <w:p w14:paraId="799C2F3E">
                  <w:pPr>
                    <w:pStyle w:val="63"/>
                    <w:jc w:val="center"/>
                    <w:rPr>
                      <w:color w:val="auto"/>
                      <w:szCs w:val="21"/>
                    </w:rPr>
                  </w:pPr>
                  <w:r>
                    <w:rPr>
                      <w:color w:val="auto"/>
                      <w:szCs w:val="21"/>
                    </w:rPr>
                    <w:t>0.3</w:t>
                  </w:r>
                </w:p>
              </w:tc>
              <w:tc>
                <w:tcPr>
                  <w:tcW w:w="496" w:type="pct"/>
                  <w:vAlign w:val="center"/>
                </w:tcPr>
                <w:p w14:paraId="6C36FE7D">
                  <w:pPr>
                    <w:pStyle w:val="63"/>
                    <w:jc w:val="center"/>
                    <w:rPr>
                      <w:color w:val="auto"/>
                      <w:szCs w:val="21"/>
                    </w:rPr>
                  </w:pPr>
                  <w:r>
                    <w:rPr>
                      <w:color w:val="auto"/>
                      <w:szCs w:val="21"/>
                    </w:rPr>
                    <w:t>1.1</w:t>
                  </w:r>
                </w:p>
              </w:tc>
              <w:tc>
                <w:tcPr>
                  <w:tcW w:w="496" w:type="pct"/>
                  <w:vAlign w:val="center"/>
                </w:tcPr>
                <w:p w14:paraId="60A4E386">
                  <w:pPr>
                    <w:pStyle w:val="63"/>
                    <w:jc w:val="center"/>
                    <w:rPr>
                      <w:color w:val="auto"/>
                      <w:szCs w:val="21"/>
                    </w:rPr>
                  </w:pPr>
                  <w:r>
                    <w:rPr>
                      <w:color w:val="auto"/>
                      <w:szCs w:val="21"/>
                    </w:rPr>
                    <w:t>2.8</w:t>
                  </w:r>
                </w:p>
              </w:tc>
              <w:tc>
                <w:tcPr>
                  <w:tcW w:w="499" w:type="pct"/>
                  <w:vAlign w:val="center"/>
                </w:tcPr>
                <w:p w14:paraId="229E6466">
                  <w:pPr>
                    <w:pStyle w:val="63"/>
                    <w:jc w:val="center"/>
                    <w:rPr>
                      <w:color w:val="auto"/>
                      <w:szCs w:val="21"/>
                    </w:rPr>
                  </w:pPr>
                  <w:r>
                    <w:rPr>
                      <w:color w:val="auto"/>
                      <w:szCs w:val="21"/>
                    </w:rPr>
                    <w:t>5.0</w:t>
                  </w:r>
                </w:p>
              </w:tc>
              <w:tc>
                <w:tcPr>
                  <w:tcW w:w="499" w:type="pct"/>
                  <w:vAlign w:val="center"/>
                </w:tcPr>
                <w:p w14:paraId="5139FB30">
                  <w:pPr>
                    <w:pStyle w:val="63"/>
                    <w:jc w:val="center"/>
                    <w:rPr>
                      <w:color w:val="auto"/>
                      <w:szCs w:val="21"/>
                    </w:rPr>
                  </w:pPr>
                  <w:r>
                    <w:rPr>
                      <w:color w:val="auto"/>
                      <w:szCs w:val="21"/>
                    </w:rPr>
                    <w:t>9.0</w:t>
                  </w:r>
                </w:p>
              </w:tc>
              <w:tc>
                <w:tcPr>
                  <w:tcW w:w="500" w:type="pct"/>
                  <w:vAlign w:val="center"/>
                </w:tcPr>
                <w:p w14:paraId="6505821F">
                  <w:pPr>
                    <w:pStyle w:val="63"/>
                    <w:jc w:val="center"/>
                    <w:rPr>
                      <w:color w:val="auto"/>
                      <w:szCs w:val="21"/>
                    </w:rPr>
                  </w:pPr>
                  <w:r>
                    <w:rPr>
                      <w:color w:val="auto"/>
                      <w:szCs w:val="21"/>
                    </w:rPr>
                    <w:t>22.9</w:t>
                  </w:r>
                </w:p>
              </w:tc>
              <w:tc>
                <w:tcPr>
                  <w:tcW w:w="432" w:type="pct"/>
                  <w:vAlign w:val="center"/>
                </w:tcPr>
                <w:p w14:paraId="04BE98FA">
                  <w:pPr>
                    <w:pStyle w:val="63"/>
                    <w:jc w:val="center"/>
                    <w:rPr>
                      <w:color w:val="auto"/>
                      <w:szCs w:val="21"/>
                    </w:rPr>
                  </w:pPr>
                  <w:r>
                    <w:rPr>
                      <w:color w:val="auto"/>
                      <w:szCs w:val="21"/>
                    </w:rPr>
                    <w:t>76.6</w:t>
                  </w:r>
                </w:p>
              </w:tc>
            </w:tr>
            <w:tr w14:paraId="6B0F0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jc w:val="center"/>
              </w:trPr>
              <w:tc>
                <w:tcPr>
                  <w:tcW w:w="503" w:type="pct"/>
                  <w:vAlign w:val="center"/>
                </w:tcPr>
                <w:p w14:paraId="238580EB">
                  <w:pPr>
                    <w:pStyle w:val="63"/>
                    <w:jc w:val="center"/>
                    <w:rPr>
                      <w:color w:val="auto"/>
                      <w:szCs w:val="21"/>
                    </w:rPr>
                  </w:pPr>
                  <w:r>
                    <w:rPr>
                      <w:color w:val="auto"/>
                      <w:szCs w:val="21"/>
                    </w:rPr>
                    <w:t>30</w:t>
                  </w:r>
                </w:p>
              </w:tc>
              <w:tc>
                <w:tcPr>
                  <w:tcW w:w="578" w:type="pct"/>
                  <w:vAlign w:val="center"/>
                </w:tcPr>
                <w:p w14:paraId="3913FBD0">
                  <w:pPr>
                    <w:pStyle w:val="63"/>
                    <w:jc w:val="center"/>
                    <w:rPr>
                      <w:color w:val="auto"/>
                      <w:szCs w:val="21"/>
                    </w:rPr>
                  </w:pPr>
                  <w:r>
                    <w:rPr>
                      <w:color w:val="auto"/>
                      <w:szCs w:val="21"/>
                    </w:rPr>
                    <w:t>70</w:t>
                  </w:r>
                </w:p>
              </w:tc>
              <w:tc>
                <w:tcPr>
                  <w:tcW w:w="494" w:type="pct"/>
                  <w:vAlign w:val="center"/>
                </w:tcPr>
                <w:p w14:paraId="2DCC9E4D">
                  <w:pPr>
                    <w:pStyle w:val="63"/>
                    <w:jc w:val="center"/>
                    <w:rPr>
                      <w:color w:val="auto"/>
                      <w:szCs w:val="21"/>
                    </w:rPr>
                  </w:pPr>
                  <w:r>
                    <w:rPr>
                      <w:color w:val="auto"/>
                      <w:szCs w:val="21"/>
                    </w:rPr>
                    <w:t>0.1</w:t>
                  </w:r>
                </w:p>
              </w:tc>
              <w:tc>
                <w:tcPr>
                  <w:tcW w:w="496" w:type="pct"/>
                  <w:vAlign w:val="center"/>
                </w:tcPr>
                <w:p w14:paraId="2E5CBBD0">
                  <w:pPr>
                    <w:pStyle w:val="63"/>
                    <w:jc w:val="center"/>
                    <w:rPr>
                      <w:color w:val="auto"/>
                      <w:szCs w:val="21"/>
                    </w:rPr>
                  </w:pPr>
                  <w:r>
                    <w:rPr>
                      <w:color w:val="auto"/>
                      <w:szCs w:val="21"/>
                    </w:rPr>
                    <w:t>0.3</w:t>
                  </w:r>
                </w:p>
              </w:tc>
              <w:tc>
                <w:tcPr>
                  <w:tcW w:w="496" w:type="pct"/>
                  <w:vAlign w:val="center"/>
                </w:tcPr>
                <w:p w14:paraId="0F942656">
                  <w:pPr>
                    <w:pStyle w:val="63"/>
                    <w:jc w:val="center"/>
                    <w:rPr>
                      <w:color w:val="auto"/>
                      <w:szCs w:val="21"/>
                    </w:rPr>
                  </w:pPr>
                  <w:r>
                    <w:rPr>
                      <w:color w:val="auto"/>
                      <w:szCs w:val="21"/>
                    </w:rPr>
                    <w:t>1.0</w:t>
                  </w:r>
                </w:p>
              </w:tc>
              <w:tc>
                <w:tcPr>
                  <w:tcW w:w="496" w:type="pct"/>
                  <w:vAlign w:val="center"/>
                </w:tcPr>
                <w:p w14:paraId="193A735A">
                  <w:pPr>
                    <w:pStyle w:val="63"/>
                    <w:jc w:val="center"/>
                    <w:rPr>
                      <w:color w:val="auto"/>
                      <w:szCs w:val="21"/>
                    </w:rPr>
                  </w:pPr>
                  <w:r>
                    <w:rPr>
                      <w:color w:val="auto"/>
                      <w:szCs w:val="21"/>
                    </w:rPr>
                    <w:t>3.1</w:t>
                  </w:r>
                </w:p>
              </w:tc>
              <w:tc>
                <w:tcPr>
                  <w:tcW w:w="499" w:type="pct"/>
                  <w:vAlign w:val="center"/>
                </w:tcPr>
                <w:p w14:paraId="54490E6D">
                  <w:pPr>
                    <w:pStyle w:val="63"/>
                    <w:jc w:val="center"/>
                    <w:rPr>
                      <w:color w:val="auto"/>
                      <w:szCs w:val="21"/>
                    </w:rPr>
                  </w:pPr>
                  <w:r>
                    <w:rPr>
                      <w:color w:val="auto"/>
                      <w:szCs w:val="21"/>
                    </w:rPr>
                    <w:t>7.4</w:t>
                  </w:r>
                </w:p>
              </w:tc>
              <w:tc>
                <w:tcPr>
                  <w:tcW w:w="499" w:type="pct"/>
                  <w:vAlign w:val="center"/>
                </w:tcPr>
                <w:p w14:paraId="24C25495">
                  <w:pPr>
                    <w:pStyle w:val="63"/>
                    <w:jc w:val="center"/>
                    <w:rPr>
                      <w:color w:val="auto"/>
                      <w:szCs w:val="21"/>
                    </w:rPr>
                  </w:pPr>
                  <w:r>
                    <w:rPr>
                      <w:color w:val="auto"/>
                      <w:szCs w:val="21"/>
                    </w:rPr>
                    <w:t>12.7</w:t>
                  </w:r>
                </w:p>
              </w:tc>
              <w:tc>
                <w:tcPr>
                  <w:tcW w:w="500" w:type="pct"/>
                  <w:vAlign w:val="center"/>
                </w:tcPr>
                <w:p w14:paraId="124E9569">
                  <w:pPr>
                    <w:pStyle w:val="63"/>
                    <w:jc w:val="center"/>
                    <w:rPr>
                      <w:color w:val="auto"/>
                      <w:szCs w:val="21"/>
                    </w:rPr>
                  </w:pPr>
                  <w:r>
                    <w:rPr>
                      <w:color w:val="auto"/>
                      <w:szCs w:val="21"/>
                    </w:rPr>
                    <w:t>23.1</w:t>
                  </w:r>
                </w:p>
              </w:tc>
              <w:tc>
                <w:tcPr>
                  <w:tcW w:w="432" w:type="pct"/>
                  <w:vAlign w:val="center"/>
                </w:tcPr>
                <w:p w14:paraId="28A76A55">
                  <w:pPr>
                    <w:pStyle w:val="63"/>
                    <w:jc w:val="center"/>
                    <w:rPr>
                      <w:color w:val="auto"/>
                      <w:szCs w:val="21"/>
                    </w:rPr>
                  </w:pPr>
                  <w:r>
                    <w:rPr>
                      <w:color w:val="auto"/>
                      <w:szCs w:val="21"/>
                    </w:rPr>
                    <w:t>59.3</w:t>
                  </w:r>
                </w:p>
              </w:tc>
            </w:tr>
            <w:tr w14:paraId="48E9C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 w:hRule="atLeast"/>
                <w:jc w:val="center"/>
              </w:trPr>
              <w:tc>
                <w:tcPr>
                  <w:tcW w:w="503" w:type="pct"/>
                  <w:vAlign w:val="center"/>
                </w:tcPr>
                <w:p w14:paraId="236A92A7">
                  <w:pPr>
                    <w:pStyle w:val="63"/>
                    <w:jc w:val="center"/>
                    <w:rPr>
                      <w:color w:val="auto"/>
                      <w:szCs w:val="21"/>
                    </w:rPr>
                  </w:pPr>
                  <w:r>
                    <w:rPr>
                      <w:color w:val="auto"/>
                      <w:szCs w:val="21"/>
                    </w:rPr>
                    <w:t>15</w:t>
                  </w:r>
                </w:p>
              </w:tc>
              <w:tc>
                <w:tcPr>
                  <w:tcW w:w="578" w:type="pct"/>
                  <w:vAlign w:val="center"/>
                </w:tcPr>
                <w:p w14:paraId="6928CDB1">
                  <w:pPr>
                    <w:pStyle w:val="63"/>
                    <w:jc w:val="center"/>
                    <w:rPr>
                      <w:color w:val="auto"/>
                      <w:szCs w:val="21"/>
                    </w:rPr>
                  </w:pPr>
                  <w:r>
                    <w:rPr>
                      <w:color w:val="auto"/>
                      <w:szCs w:val="21"/>
                    </w:rPr>
                    <w:t>20</w:t>
                  </w:r>
                </w:p>
              </w:tc>
              <w:tc>
                <w:tcPr>
                  <w:tcW w:w="494" w:type="pct"/>
                  <w:vAlign w:val="center"/>
                </w:tcPr>
                <w:p w14:paraId="3557E1F6">
                  <w:pPr>
                    <w:pStyle w:val="63"/>
                    <w:jc w:val="center"/>
                    <w:rPr>
                      <w:color w:val="auto"/>
                      <w:szCs w:val="21"/>
                    </w:rPr>
                  </w:pPr>
                  <w:r>
                    <w:rPr>
                      <w:color w:val="auto"/>
                      <w:szCs w:val="21"/>
                    </w:rPr>
                    <w:t>0.3</w:t>
                  </w:r>
                </w:p>
              </w:tc>
              <w:tc>
                <w:tcPr>
                  <w:tcW w:w="496" w:type="pct"/>
                  <w:vAlign w:val="center"/>
                </w:tcPr>
                <w:p w14:paraId="1481CB94">
                  <w:pPr>
                    <w:pStyle w:val="63"/>
                    <w:jc w:val="center"/>
                    <w:rPr>
                      <w:color w:val="auto"/>
                      <w:szCs w:val="21"/>
                    </w:rPr>
                  </w:pPr>
                  <w:r>
                    <w:rPr>
                      <w:color w:val="auto"/>
                      <w:szCs w:val="21"/>
                    </w:rPr>
                    <w:t>0.6</w:t>
                  </w:r>
                </w:p>
              </w:tc>
              <w:tc>
                <w:tcPr>
                  <w:tcW w:w="496" w:type="pct"/>
                  <w:vAlign w:val="center"/>
                </w:tcPr>
                <w:p w14:paraId="57CA902F">
                  <w:pPr>
                    <w:pStyle w:val="63"/>
                    <w:jc w:val="center"/>
                    <w:rPr>
                      <w:color w:val="auto"/>
                      <w:szCs w:val="21"/>
                    </w:rPr>
                  </w:pPr>
                  <w:r>
                    <w:rPr>
                      <w:color w:val="auto"/>
                      <w:szCs w:val="21"/>
                    </w:rPr>
                    <w:t>1.2</w:t>
                  </w:r>
                </w:p>
              </w:tc>
              <w:tc>
                <w:tcPr>
                  <w:tcW w:w="496" w:type="pct"/>
                  <w:vAlign w:val="center"/>
                </w:tcPr>
                <w:p w14:paraId="489AFBAD">
                  <w:pPr>
                    <w:pStyle w:val="63"/>
                    <w:jc w:val="center"/>
                    <w:rPr>
                      <w:color w:val="auto"/>
                      <w:szCs w:val="21"/>
                    </w:rPr>
                  </w:pPr>
                  <w:r>
                    <w:rPr>
                      <w:color w:val="auto"/>
                      <w:szCs w:val="21"/>
                    </w:rPr>
                    <w:t>2.7</w:t>
                  </w:r>
                </w:p>
              </w:tc>
              <w:tc>
                <w:tcPr>
                  <w:tcW w:w="499" w:type="pct"/>
                  <w:vAlign w:val="center"/>
                </w:tcPr>
                <w:p w14:paraId="4F8B1514">
                  <w:pPr>
                    <w:pStyle w:val="63"/>
                    <w:jc w:val="center"/>
                    <w:rPr>
                      <w:color w:val="auto"/>
                      <w:szCs w:val="21"/>
                    </w:rPr>
                  </w:pPr>
                  <w:r>
                    <w:rPr>
                      <w:color w:val="auto"/>
                      <w:szCs w:val="21"/>
                    </w:rPr>
                    <w:t>8.2</w:t>
                  </w:r>
                </w:p>
              </w:tc>
              <w:tc>
                <w:tcPr>
                  <w:tcW w:w="499" w:type="pct"/>
                  <w:vAlign w:val="center"/>
                </w:tcPr>
                <w:p w14:paraId="1120C93D">
                  <w:pPr>
                    <w:pStyle w:val="63"/>
                    <w:jc w:val="center"/>
                    <w:rPr>
                      <w:color w:val="auto"/>
                      <w:szCs w:val="21"/>
                    </w:rPr>
                  </w:pPr>
                  <w:r>
                    <w:rPr>
                      <w:color w:val="auto"/>
                      <w:szCs w:val="21"/>
                    </w:rPr>
                    <w:t>28.2</w:t>
                  </w:r>
                </w:p>
              </w:tc>
              <w:tc>
                <w:tcPr>
                  <w:tcW w:w="500" w:type="pct"/>
                  <w:vAlign w:val="center"/>
                </w:tcPr>
                <w:p w14:paraId="1A5D401A">
                  <w:pPr>
                    <w:pStyle w:val="63"/>
                    <w:jc w:val="center"/>
                    <w:rPr>
                      <w:color w:val="auto"/>
                      <w:szCs w:val="21"/>
                    </w:rPr>
                  </w:pPr>
                  <w:r>
                    <w:rPr>
                      <w:color w:val="auto"/>
                      <w:szCs w:val="21"/>
                    </w:rPr>
                    <w:t>28.8</w:t>
                  </w:r>
                </w:p>
              </w:tc>
              <w:tc>
                <w:tcPr>
                  <w:tcW w:w="432" w:type="pct"/>
                  <w:vAlign w:val="center"/>
                </w:tcPr>
                <w:p w14:paraId="0F923BE3">
                  <w:pPr>
                    <w:pStyle w:val="63"/>
                    <w:jc w:val="center"/>
                    <w:rPr>
                      <w:color w:val="auto"/>
                      <w:szCs w:val="21"/>
                    </w:rPr>
                  </w:pPr>
                  <w:r>
                    <w:rPr>
                      <w:color w:val="auto"/>
                      <w:szCs w:val="21"/>
                    </w:rPr>
                    <w:t>202.0</w:t>
                  </w:r>
                </w:p>
              </w:tc>
            </w:tr>
            <w:tr w14:paraId="7CA7E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3" w:type="pct"/>
                  <w:vAlign w:val="center"/>
                </w:tcPr>
                <w:p w14:paraId="52902567">
                  <w:pPr>
                    <w:pStyle w:val="63"/>
                    <w:jc w:val="center"/>
                    <w:rPr>
                      <w:color w:val="auto"/>
                      <w:szCs w:val="21"/>
                    </w:rPr>
                  </w:pPr>
                  <w:r>
                    <w:rPr>
                      <w:color w:val="auto"/>
                      <w:szCs w:val="21"/>
                    </w:rPr>
                    <w:t>15</w:t>
                  </w:r>
                </w:p>
              </w:tc>
              <w:tc>
                <w:tcPr>
                  <w:tcW w:w="578" w:type="pct"/>
                  <w:vAlign w:val="center"/>
                </w:tcPr>
                <w:p w14:paraId="28B671ED">
                  <w:pPr>
                    <w:pStyle w:val="63"/>
                    <w:jc w:val="center"/>
                    <w:rPr>
                      <w:color w:val="auto"/>
                      <w:szCs w:val="21"/>
                    </w:rPr>
                  </w:pPr>
                  <w:r>
                    <w:rPr>
                      <w:color w:val="auto"/>
                      <w:szCs w:val="21"/>
                    </w:rPr>
                    <w:t>50</w:t>
                  </w:r>
                </w:p>
              </w:tc>
              <w:tc>
                <w:tcPr>
                  <w:tcW w:w="494" w:type="pct"/>
                  <w:vAlign w:val="center"/>
                </w:tcPr>
                <w:p w14:paraId="54EE113B">
                  <w:pPr>
                    <w:pStyle w:val="63"/>
                    <w:jc w:val="center"/>
                    <w:rPr>
                      <w:color w:val="auto"/>
                      <w:szCs w:val="21"/>
                    </w:rPr>
                  </w:pPr>
                  <w:r>
                    <w:rPr>
                      <w:color w:val="auto"/>
                      <w:szCs w:val="21"/>
                    </w:rPr>
                    <w:t>0.1</w:t>
                  </w:r>
                </w:p>
              </w:tc>
              <w:tc>
                <w:tcPr>
                  <w:tcW w:w="496" w:type="pct"/>
                  <w:vAlign w:val="center"/>
                </w:tcPr>
                <w:p w14:paraId="2FF2C6C7">
                  <w:pPr>
                    <w:pStyle w:val="63"/>
                    <w:jc w:val="center"/>
                    <w:rPr>
                      <w:color w:val="auto"/>
                      <w:szCs w:val="21"/>
                    </w:rPr>
                  </w:pPr>
                  <w:r>
                    <w:rPr>
                      <w:color w:val="auto"/>
                      <w:szCs w:val="21"/>
                    </w:rPr>
                    <w:t>0.5</w:t>
                  </w:r>
                </w:p>
              </w:tc>
              <w:tc>
                <w:tcPr>
                  <w:tcW w:w="496" w:type="pct"/>
                  <w:vAlign w:val="center"/>
                </w:tcPr>
                <w:p w14:paraId="62B6DEDF">
                  <w:pPr>
                    <w:pStyle w:val="63"/>
                    <w:jc w:val="center"/>
                    <w:rPr>
                      <w:color w:val="auto"/>
                      <w:szCs w:val="21"/>
                    </w:rPr>
                  </w:pPr>
                  <w:r>
                    <w:rPr>
                      <w:color w:val="auto"/>
                      <w:szCs w:val="21"/>
                    </w:rPr>
                    <w:t>1.2</w:t>
                  </w:r>
                </w:p>
              </w:tc>
              <w:tc>
                <w:tcPr>
                  <w:tcW w:w="496" w:type="pct"/>
                  <w:vAlign w:val="center"/>
                </w:tcPr>
                <w:p w14:paraId="3B45665C">
                  <w:pPr>
                    <w:pStyle w:val="63"/>
                    <w:jc w:val="center"/>
                    <w:rPr>
                      <w:color w:val="auto"/>
                      <w:szCs w:val="21"/>
                    </w:rPr>
                  </w:pPr>
                  <w:r>
                    <w:rPr>
                      <w:color w:val="auto"/>
                      <w:szCs w:val="21"/>
                    </w:rPr>
                    <w:t>2.2</w:t>
                  </w:r>
                </w:p>
              </w:tc>
              <w:tc>
                <w:tcPr>
                  <w:tcW w:w="499" w:type="pct"/>
                  <w:vAlign w:val="center"/>
                </w:tcPr>
                <w:p w14:paraId="16871BEF">
                  <w:pPr>
                    <w:pStyle w:val="63"/>
                    <w:jc w:val="center"/>
                    <w:rPr>
                      <w:color w:val="auto"/>
                      <w:szCs w:val="21"/>
                    </w:rPr>
                  </w:pPr>
                  <w:r>
                    <w:rPr>
                      <w:color w:val="auto"/>
                      <w:szCs w:val="21"/>
                    </w:rPr>
                    <w:t>4.2</w:t>
                  </w:r>
                </w:p>
              </w:tc>
              <w:tc>
                <w:tcPr>
                  <w:tcW w:w="499" w:type="pct"/>
                  <w:vAlign w:val="center"/>
                </w:tcPr>
                <w:p w14:paraId="0E1B6898">
                  <w:pPr>
                    <w:pStyle w:val="63"/>
                    <w:jc w:val="center"/>
                    <w:rPr>
                      <w:color w:val="auto"/>
                      <w:szCs w:val="21"/>
                    </w:rPr>
                  </w:pPr>
                  <w:r>
                    <w:rPr>
                      <w:color w:val="auto"/>
                      <w:szCs w:val="21"/>
                    </w:rPr>
                    <w:t>10.8</w:t>
                  </w:r>
                </w:p>
              </w:tc>
              <w:tc>
                <w:tcPr>
                  <w:tcW w:w="500" w:type="pct"/>
                  <w:vAlign w:val="center"/>
                </w:tcPr>
                <w:p w14:paraId="5ADE51D9">
                  <w:pPr>
                    <w:pStyle w:val="63"/>
                    <w:jc w:val="center"/>
                    <w:rPr>
                      <w:color w:val="auto"/>
                      <w:szCs w:val="21"/>
                    </w:rPr>
                  </w:pPr>
                  <w:r>
                    <w:rPr>
                      <w:color w:val="auto"/>
                      <w:szCs w:val="21"/>
                    </w:rPr>
                    <w:t>36.2</w:t>
                  </w:r>
                </w:p>
              </w:tc>
              <w:tc>
                <w:tcPr>
                  <w:tcW w:w="432" w:type="pct"/>
                  <w:vAlign w:val="center"/>
                </w:tcPr>
                <w:p w14:paraId="044B5A94">
                  <w:pPr>
                    <w:pStyle w:val="63"/>
                    <w:jc w:val="center"/>
                    <w:rPr>
                      <w:color w:val="auto"/>
                      <w:szCs w:val="21"/>
                    </w:rPr>
                  </w:pPr>
                  <w:r>
                    <w:rPr>
                      <w:color w:val="auto"/>
                      <w:szCs w:val="21"/>
                    </w:rPr>
                    <w:t>129.0</w:t>
                  </w:r>
                </w:p>
              </w:tc>
            </w:tr>
            <w:tr w14:paraId="3BD7E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3" w:type="pct"/>
                  <w:vAlign w:val="center"/>
                </w:tcPr>
                <w:p w14:paraId="3EEE3CDB">
                  <w:pPr>
                    <w:pStyle w:val="63"/>
                    <w:jc w:val="center"/>
                    <w:rPr>
                      <w:color w:val="auto"/>
                      <w:szCs w:val="21"/>
                    </w:rPr>
                  </w:pPr>
                  <w:r>
                    <w:rPr>
                      <w:color w:val="auto"/>
                      <w:szCs w:val="21"/>
                    </w:rPr>
                    <w:t>15</w:t>
                  </w:r>
                </w:p>
              </w:tc>
              <w:tc>
                <w:tcPr>
                  <w:tcW w:w="578" w:type="pct"/>
                  <w:vAlign w:val="center"/>
                </w:tcPr>
                <w:p w14:paraId="49F60835">
                  <w:pPr>
                    <w:pStyle w:val="63"/>
                    <w:jc w:val="center"/>
                    <w:rPr>
                      <w:color w:val="auto"/>
                      <w:szCs w:val="21"/>
                    </w:rPr>
                  </w:pPr>
                  <w:r>
                    <w:rPr>
                      <w:color w:val="auto"/>
                      <w:szCs w:val="21"/>
                    </w:rPr>
                    <w:t>80</w:t>
                  </w:r>
                </w:p>
              </w:tc>
              <w:tc>
                <w:tcPr>
                  <w:tcW w:w="494" w:type="pct"/>
                  <w:vAlign w:val="center"/>
                </w:tcPr>
                <w:p w14:paraId="41220A27">
                  <w:pPr>
                    <w:pStyle w:val="63"/>
                    <w:jc w:val="center"/>
                    <w:rPr>
                      <w:color w:val="auto"/>
                      <w:szCs w:val="21"/>
                    </w:rPr>
                  </w:pPr>
                  <w:r>
                    <w:rPr>
                      <w:color w:val="auto"/>
                      <w:szCs w:val="21"/>
                    </w:rPr>
                    <w:t>0.1</w:t>
                  </w:r>
                </w:p>
              </w:tc>
              <w:tc>
                <w:tcPr>
                  <w:tcW w:w="496" w:type="pct"/>
                  <w:vAlign w:val="center"/>
                </w:tcPr>
                <w:p w14:paraId="049794D3">
                  <w:pPr>
                    <w:pStyle w:val="63"/>
                    <w:jc w:val="center"/>
                    <w:rPr>
                      <w:color w:val="auto"/>
                      <w:szCs w:val="21"/>
                    </w:rPr>
                  </w:pPr>
                  <w:r>
                    <w:rPr>
                      <w:color w:val="auto"/>
                      <w:szCs w:val="21"/>
                    </w:rPr>
                    <w:t>0.3</w:t>
                  </w:r>
                </w:p>
              </w:tc>
              <w:tc>
                <w:tcPr>
                  <w:tcW w:w="496" w:type="pct"/>
                  <w:vAlign w:val="center"/>
                </w:tcPr>
                <w:p w14:paraId="7452CA22">
                  <w:pPr>
                    <w:pStyle w:val="63"/>
                    <w:jc w:val="center"/>
                    <w:rPr>
                      <w:color w:val="auto"/>
                      <w:szCs w:val="21"/>
                    </w:rPr>
                  </w:pPr>
                  <w:r>
                    <w:rPr>
                      <w:color w:val="auto"/>
                      <w:szCs w:val="21"/>
                    </w:rPr>
                    <w:t>1.1</w:t>
                  </w:r>
                </w:p>
              </w:tc>
              <w:tc>
                <w:tcPr>
                  <w:tcW w:w="496" w:type="pct"/>
                  <w:vAlign w:val="center"/>
                </w:tcPr>
                <w:p w14:paraId="563621BC">
                  <w:pPr>
                    <w:pStyle w:val="63"/>
                    <w:jc w:val="center"/>
                    <w:rPr>
                      <w:color w:val="auto"/>
                      <w:szCs w:val="21"/>
                    </w:rPr>
                  </w:pPr>
                  <w:r>
                    <w:rPr>
                      <w:color w:val="auto"/>
                      <w:szCs w:val="21"/>
                    </w:rPr>
                    <w:t>2.4</w:t>
                  </w:r>
                </w:p>
              </w:tc>
              <w:tc>
                <w:tcPr>
                  <w:tcW w:w="499" w:type="pct"/>
                  <w:vAlign w:val="center"/>
                </w:tcPr>
                <w:p w14:paraId="635EE7F7">
                  <w:pPr>
                    <w:pStyle w:val="63"/>
                    <w:jc w:val="center"/>
                    <w:rPr>
                      <w:color w:val="auto"/>
                      <w:szCs w:val="21"/>
                    </w:rPr>
                  </w:pPr>
                  <w:r>
                    <w:rPr>
                      <w:color w:val="auto"/>
                      <w:szCs w:val="21"/>
                    </w:rPr>
                    <w:t>4.1</w:t>
                  </w:r>
                </w:p>
              </w:tc>
              <w:tc>
                <w:tcPr>
                  <w:tcW w:w="499" w:type="pct"/>
                  <w:vAlign w:val="center"/>
                </w:tcPr>
                <w:p w14:paraId="11EAC902">
                  <w:pPr>
                    <w:pStyle w:val="63"/>
                    <w:jc w:val="center"/>
                    <w:rPr>
                      <w:color w:val="auto"/>
                      <w:szCs w:val="21"/>
                    </w:rPr>
                  </w:pPr>
                  <w:r>
                    <w:rPr>
                      <w:color w:val="auto"/>
                      <w:szCs w:val="21"/>
                    </w:rPr>
                    <w:t>8.3</w:t>
                  </w:r>
                </w:p>
              </w:tc>
              <w:tc>
                <w:tcPr>
                  <w:tcW w:w="500" w:type="pct"/>
                  <w:vAlign w:val="center"/>
                </w:tcPr>
                <w:p w14:paraId="48632301">
                  <w:pPr>
                    <w:pStyle w:val="63"/>
                    <w:jc w:val="center"/>
                    <w:rPr>
                      <w:color w:val="auto"/>
                      <w:szCs w:val="21"/>
                    </w:rPr>
                  </w:pPr>
                  <w:r>
                    <w:rPr>
                      <w:color w:val="auto"/>
                      <w:szCs w:val="21"/>
                    </w:rPr>
                    <w:t>23.7</w:t>
                  </w:r>
                </w:p>
              </w:tc>
              <w:tc>
                <w:tcPr>
                  <w:tcW w:w="432" w:type="pct"/>
                  <w:vAlign w:val="center"/>
                </w:tcPr>
                <w:p w14:paraId="448FAF6E">
                  <w:pPr>
                    <w:pStyle w:val="63"/>
                    <w:jc w:val="center"/>
                    <w:rPr>
                      <w:color w:val="auto"/>
                      <w:szCs w:val="21"/>
                    </w:rPr>
                  </w:pPr>
                  <w:r>
                    <w:rPr>
                      <w:color w:val="auto"/>
                      <w:szCs w:val="21"/>
                    </w:rPr>
                    <w:t>82.8</w:t>
                  </w:r>
                </w:p>
              </w:tc>
            </w:tr>
          </w:tbl>
          <w:p w14:paraId="24A321B8">
            <w:pPr>
              <w:pStyle w:val="13"/>
              <w:widowControl w:val="0"/>
              <w:spacing w:before="0" w:after="0" w:line="360" w:lineRule="auto"/>
              <w:ind w:right="0" w:firstLine="480" w:firstLineChars="200"/>
              <w:rPr>
                <w:color w:val="auto"/>
                <w:sz w:val="24"/>
                <w:szCs w:val="36"/>
              </w:rPr>
            </w:pPr>
            <w:r>
              <w:rPr>
                <w:color w:val="auto"/>
                <w:sz w:val="24"/>
                <w:szCs w:val="36"/>
              </w:rPr>
              <w:t>取倍频带500Hz的值。</w:t>
            </w:r>
          </w:p>
          <w:p w14:paraId="762E41BC">
            <w:pPr>
              <w:spacing w:line="360" w:lineRule="auto"/>
              <w:ind w:firstLine="480" w:firstLineChars="200"/>
              <w:rPr>
                <w:color w:val="auto"/>
                <w:sz w:val="24"/>
              </w:rPr>
            </w:pPr>
            <w:r>
              <w:rPr>
                <w:color w:val="auto"/>
                <w:sz w:val="24"/>
              </w:rPr>
              <w:t xml:space="preserve">地面效应衰减(Agr)：     </w:t>
            </w:r>
            <w:r>
              <w:rPr>
                <w:color w:val="auto"/>
                <w:sz w:val="24"/>
              </w:rPr>
              <w:drawing>
                <wp:inline distT="0" distB="0" distL="114300" distR="114300">
                  <wp:extent cx="1847850" cy="53340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6"/>
                          <a:stretch>
                            <a:fillRect/>
                          </a:stretch>
                        </pic:blipFill>
                        <pic:spPr>
                          <a:xfrm>
                            <a:off x="0" y="0"/>
                            <a:ext cx="1847850" cy="533400"/>
                          </a:xfrm>
                          <a:prstGeom prst="rect">
                            <a:avLst/>
                          </a:prstGeom>
                          <a:noFill/>
                          <a:ln>
                            <a:noFill/>
                          </a:ln>
                        </pic:spPr>
                      </pic:pic>
                    </a:graphicData>
                  </a:graphic>
                </wp:inline>
              </w:drawing>
            </w:r>
          </w:p>
          <w:p w14:paraId="304FA484">
            <w:pPr>
              <w:spacing w:line="360" w:lineRule="auto"/>
              <w:ind w:firstLine="480" w:firstLineChars="200"/>
              <w:rPr>
                <w:color w:val="auto"/>
                <w:sz w:val="24"/>
              </w:rPr>
            </w:pPr>
            <w:r>
              <w:rPr>
                <w:color w:val="auto"/>
                <w:sz w:val="24"/>
              </w:rPr>
              <w:t>式中：r—声源到预测点的距离，m；hm—传播路径的平均离地高度，m；hm =F/r；F：面积，m2r，m；</w:t>
            </w:r>
          </w:p>
          <w:p w14:paraId="2443FF3B">
            <w:pPr>
              <w:spacing w:line="360" w:lineRule="auto"/>
              <w:ind w:firstLine="480" w:firstLineChars="200"/>
              <w:rPr>
                <w:color w:val="auto"/>
                <w:sz w:val="24"/>
              </w:rPr>
            </w:pPr>
            <w:r>
              <w:rPr>
                <w:color w:val="auto"/>
                <w:sz w:val="24"/>
              </w:rPr>
              <w:t>若Agr计算出负值，则 Agr 可用“0”代替。</w:t>
            </w:r>
          </w:p>
          <w:p w14:paraId="148AB0B8">
            <w:pPr>
              <w:spacing w:line="360" w:lineRule="auto"/>
              <w:ind w:firstLine="480" w:firstLineChars="200"/>
              <w:rPr>
                <w:color w:val="auto"/>
                <w:sz w:val="24"/>
              </w:rPr>
            </w:pPr>
            <w:r>
              <w:rPr>
                <w:color w:val="auto"/>
                <w:sz w:val="24"/>
              </w:rPr>
              <w:t>其他情况可参照 GB/T17247.2 进行计算。</w:t>
            </w:r>
          </w:p>
          <w:p w14:paraId="2A81E6F0">
            <w:pPr>
              <w:spacing w:line="360" w:lineRule="auto"/>
              <w:ind w:firstLine="480" w:firstLineChars="200"/>
              <w:rPr>
                <w:color w:val="auto"/>
                <w:sz w:val="24"/>
              </w:rPr>
            </w:pPr>
            <w:r>
              <w:rPr>
                <w:color w:val="auto"/>
                <w:sz w:val="24"/>
              </w:rPr>
              <w:t>屏障引起的衰减(Abar)：本项目没有声屏障，取值为0；</w:t>
            </w:r>
          </w:p>
          <w:p w14:paraId="303DA23F">
            <w:pPr>
              <w:spacing w:line="360" w:lineRule="auto"/>
              <w:ind w:firstLine="480" w:firstLineChars="200"/>
              <w:rPr>
                <w:color w:val="auto"/>
                <w:sz w:val="24"/>
              </w:rPr>
            </w:pPr>
            <w:r>
              <w:rPr>
                <w:color w:val="auto"/>
                <w:sz w:val="24"/>
              </w:rPr>
              <w:t>其他多方面原因引起的衰减(Amisc)：本项目取值为0。</w:t>
            </w:r>
          </w:p>
          <w:p w14:paraId="7959B25D">
            <w:pPr>
              <w:spacing w:line="360" w:lineRule="auto"/>
              <w:ind w:firstLine="480" w:firstLineChars="200"/>
              <w:rPr>
                <w:color w:val="auto"/>
                <w:sz w:val="24"/>
              </w:rPr>
            </w:pPr>
            <w:r>
              <w:rPr>
                <w:color w:val="auto"/>
                <w:sz w:val="24"/>
              </w:rPr>
              <w:t>②室内声源等效室外声源声功率级计算方法</w:t>
            </w:r>
          </w:p>
          <w:p w14:paraId="0173C528">
            <w:pPr>
              <w:spacing w:line="360" w:lineRule="auto"/>
              <w:ind w:firstLine="480" w:firstLineChars="200"/>
              <w:rPr>
                <w:color w:val="auto"/>
                <w:sz w:val="24"/>
              </w:rPr>
            </w:pPr>
            <w:r>
              <w:rPr>
                <w:color w:val="auto"/>
                <w:sz w:val="24"/>
              </w:rPr>
              <w:t>设靠近开口处（或窗户）室内、室外某倍频带的声压级分别为Lp1和Lp2。若声源所在室内声场为近似扩散声场，则室外的倍频带声压级可按下式近似求出：</w:t>
            </w:r>
          </w:p>
          <w:p w14:paraId="462D2B14">
            <w:pPr>
              <w:tabs>
                <w:tab w:val="left" w:pos="0"/>
              </w:tabs>
              <w:jc w:val="center"/>
              <w:rPr>
                <w:color w:val="auto"/>
                <w:sz w:val="24"/>
              </w:rPr>
            </w:pPr>
            <w:r>
              <w:rPr>
                <w:color w:val="auto"/>
                <w:position w:val="-14"/>
                <w:sz w:val="24"/>
              </w:rPr>
              <w:drawing>
                <wp:inline distT="0" distB="0" distL="114300" distR="114300">
                  <wp:extent cx="1181100" cy="257175"/>
                  <wp:effectExtent l="0" t="0" r="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a:stretch>
                            <a:fillRect/>
                          </a:stretch>
                        </pic:blipFill>
                        <pic:spPr>
                          <a:xfrm>
                            <a:off x="0" y="0"/>
                            <a:ext cx="1181100" cy="257175"/>
                          </a:xfrm>
                          <a:prstGeom prst="rect">
                            <a:avLst/>
                          </a:prstGeom>
                          <a:noFill/>
                          <a:ln>
                            <a:noFill/>
                          </a:ln>
                        </pic:spPr>
                      </pic:pic>
                    </a:graphicData>
                  </a:graphic>
                </wp:inline>
              </w:drawing>
            </w:r>
          </w:p>
          <w:p w14:paraId="5EB1265C">
            <w:pPr>
              <w:tabs>
                <w:tab w:val="left" w:pos="0"/>
              </w:tabs>
              <w:spacing w:line="360" w:lineRule="auto"/>
              <w:ind w:firstLine="480" w:firstLineChars="200"/>
              <w:rPr>
                <w:color w:val="auto"/>
                <w:sz w:val="24"/>
              </w:rPr>
            </w:pPr>
            <w:r>
              <w:rPr>
                <w:color w:val="auto"/>
                <w:sz w:val="24"/>
              </w:rPr>
              <w:t>式中：TL——隔墙（或窗户）倍频带的隔声量，dB(A)。</w:t>
            </w:r>
          </w:p>
          <w:p w14:paraId="6809A327">
            <w:pPr>
              <w:tabs>
                <w:tab w:val="left" w:pos="0"/>
              </w:tabs>
              <w:spacing w:line="360" w:lineRule="auto"/>
              <w:ind w:firstLine="420" w:firstLineChars="200"/>
              <w:jc w:val="center"/>
              <w:rPr>
                <w:color w:val="auto"/>
              </w:rPr>
            </w:pPr>
            <w:r>
              <w:rPr>
                <w:color w:val="auto"/>
              </w:rPr>
              <w:drawing>
                <wp:inline distT="0" distB="0" distL="114300" distR="114300">
                  <wp:extent cx="4624705" cy="1025525"/>
                  <wp:effectExtent l="0" t="0" r="4445" b="3175"/>
                  <wp:docPr id="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
                          <pic:cNvPicPr>
                            <a:picLocks noChangeAspect="1"/>
                          </pic:cNvPicPr>
                        </pic:nvPicPr>
                        <pic:blipFill>
                          <a:blip r:embed="rId18"/>
                          <a:stretch>
                            <a:fillRect/>
                          </a:stretch>
                        </pic:blipFill>
                        <pic:spPr>
                          <a:xfrm>
                            <a:off x="0" y="0"/>
                            <a:ext cx="4624705" cy="1025525"/>
                          </a:xfrm>
                          <a:prstGeom prst="rect">
                            <a:avLst/>
                          </a:prstGeom>
                          <a:noFill/>
                          <a:ln>
                            <a:noFill/>
                          </a:ln>
                        </pic:spPr>
                      </pic:pic>
                    </a:graphicData>
                  </a:graphic>
                </wp:inline>
              </w:drawing>
            </w:r>
          </w:p>
          <w:p w14:paraId="5473348B">
            <w:pPr>
              <w:spacing w:line="360" w:lineRule="auto"/>
              <w:jc w:val="center"/>
              <w:rPr>
                <w:b/>
                <w:color w:val="auto"/>
                <w:sz w:val="24"/>
                <w:szCs w:val="32"/>
              </w:rPr>
            </w:pPr>
            <w:r>
              <w:rPr>
                <w:b/>
                <w:color w:val="auto"/>
                <w:sz w:val="24"/>
                <w:szCs w:val="32"/>
              </w:rPr>
              <w:t>图4-</w:t>
            </w:r>
            <w:r>
              <w:rPr>
                <w:rFonts w:hint="eastAsia"/>
                <w:b/>
                <w:color w:val="auto"/>
                <w:sz w:val="24"/>
                <w:szCs w:val="32"/>
              </w:rPr>
              <w:t>5</w:t>
            </w:r>
            <w:r>
              <w:rPr>
                <w:b/>
                <w:color w:val="auto"/>
                <w:sz w:val="24"/>
                <w:szCs w:val="32"/>
              </w:rPr>
              <w:t xml:space="preserve">  室内声源等效为室外声源图例</w:t>
            </w:r>
          </w:p>
          <w:p w14:paraId="49369F0A">
            <w:pPr>
              <w:tabs>
                <w:tab w:val="left" w:pos="0"/>
              </w:tabs>
              <w:spacing w:line="360" w:lineRule="auto"/>
              <w:ind w:firstLine="480" w:firstLineChars="200"/>
              <w:rPr>
                <w:color w:val="auto"/>
                <w:sz w:val="24"/>
              </w:rPr>
            </w:pPr>
            <w:r>
              <w:rPr>
                <w:color w:val="auto"/>
                <w:sz w:val="24"/>
              </w:rPr>
              <w:t>也可按下式计算某一室内声源靠近围护结构处产生的倍频带声压级：</w:t>
            </w:r>
          </w:p>
          <w:p w14:paraId="192B6ABE">
            <w:pPr>
              <w:jc w:val="center"/>
              <w:rPr>
                <w:color w:val="auto"/>
                <w:sz w:val="24"/>
              </w:rPr>
            </w:pPr>
            <w:r>
              <w:rPr>
                <w:color w:val="auto"/>
                <w:position w:val="-28"/>
                <w:sz w:val="24"/>
              </w:rPr>
              <w:drawing>
                <wp:inline distT="0" distB="0" distL="114300" distR="114300">
                  <wp:extent cx="1734185" cy="438150"/>
                  <wp:effectExtent l="0" t="0" r="1841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9"/>
                          <a:stretch>
                            <a:fillRect/>
                          </a:stretch>
                        </pic:blipFill>
                        <pic:spPr>
                          <a:xfrm>
                            <a:off x="0" y="0"/>
                            <a:ext cx="1734185" cy="438150"/>
                          </a:xfrm>
                          <a:prstGeom prst="rect">
                            <a:avLst/>
                          </a:prstGeom>
                          <a:noFill/>
                          <a:ln>
                            <a:noFill/>
                          </a:ln>
                        </pic:spPr>
                      </pic:pic>
                    </a:graphicData>
                  </a:graphic>
                </wp:inline>
              </w:drawing>
            </w:r>
          </w:p>
          <w:p w14:paraId="1BE1160D">
            <w:pPr>
              <w:tabs>
                <w:tab w:val="left" w:pos="0"/>
              </w:tabs>
              <w:spacing w:line="360" w:lineRule="auto"/>
              <w:ind w:firstLine="480" w:firstLineChars="200"/>
              <w:rPr>
                <w:color w:val="auto"/>
                <w:sz w:val="24"/>
              </w:rPr>
            </w:pPr>
            <w:r>
              <w:rPr>
                <w:color w:val="auto"/>
                <w:sz w:val="24"/>
              </w:rPr>
              <w:t>式中：Q——指向性因数，通常对无指向性声源，当声源放在房间中心时，Q=1；当放在一面墙的中心时，Q=2；当放在两面墙夹角处时，Q=4；当放在三面墙夹角处时，Q=8；</w:t>
            </w:r>
          </w:p>
          <w:p w14:paraId="23B4D5A0">
            <w:pPr>
              <w:tabs>
                <w:tab w:val="left" w:pos="0"/>
              </w:tabs>
              <w:spacing w:line="360" w:lineRule="auto"/>
              <w:ind w:firstLine="480" w:firstLineChars="200"/>
              <w:rPr>
                <w:color w:val="auto"/>
                <w:sz w:val="24"/>
              </w:rPr>
            </w:pPr>
            <w:r>
              <w:rPr>
                <w:color w:val="auto"/>
                <w:sz w:val="24"/>
              </w:rPr>
              <w:t>R——房间常数，R=Sα/（1-α），S为房间内表面面积，m</w:t>
            </w:r>
            <w:r>
              <w:rPr>
                <w:color w:val="auto"/>
                <w:sz w:val="24"/>
                <w:vertAlign w:val="superscript"/>
              </w:rPr>
              <w:t>2</w:t>
            </w:r>
            <w:r>
              <w:rPr>
                <w:color w:val="auto"/>
                <w:sz w:val="24"/>
              </w:rPr>
              <w:t>，α为平均吸声系数；</w:t>
            </w:r>
          </w:p>
          <w:p w14:paraId="261126AC">
            <w:pPr>
              <w:tabs>
                <w:tab w:val="left" w:pos="0"/>
              </w:tabs>
              <w:spacing w:line="360" w:lineRule="auto"/>
              <w:ind w:firstLine="480" w:firstLineChars="200"/>
              <w:rPr>
                <w:color w:val="auto"/>
                <w:sz w:val="24"/>
              </w:rPr>
            </w:pPr>
            <w:r>
              <w:rPr>
                <w:color w:val="auto"/>
                <w:sz w:val="24"/>
              </w:rPr>
              <w:t>r——声源到靠近围护结构某点处的距离，m。</w:t>
            </w:r>
          </w:p>
          <w:p w14:paraId="4C8BA0F8">
            <w:pPr>
              <w:tabs>
                <w:tab w:val="left" w:pos="0"/>
              </w:tabs>
              <w:spacing w:line="360" w:lineRule="auto"/>
              <w:ind w:firstLine="480" w:firstLineChars="200"/>
              <w:rPr>
                <w:color w:val="auto"/>
                <w:sz w:val="24"/>
              </w:rPr>
            </w:pPr>
            <w:r>
              <w:rPr>
                <w:color w:val="auto"/>
                <w:sz w:val="24"/>
              </w:rPr>
              <w:t>然后按下式计算出所有室内声源在围护结构处产生的i倍频带叠加声压级：</w:t>
            </w:r>
          </w:p>
          <w:p w14:paraId="41DC252B">
            <w:pPr>
              <w:spacing w:line="360" w:lineRule="auto"/>
              <w:jc w:val="center"/>
              <w:rPr>
                <w:color w:val="auto"/>
                <w:sz w:val="24"/>
              </w:rPr>
            </w:pPr>
            <w:r>
              <w:rPr>
                <w:color w:val="auto"/>
                <w:position w:val="-32"/>
                <w:sz w:val="24"/>
              </w:rPr>
              <w:drawing>
                <wp:inline distT="0" distB="0" distL="114300" distR="114300">
                  <wp:extent cx="1694815" cy="485775"/>
                  <wp:effectExtent l="0" t="0" r="635" b="889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0"/>
                          <a:stretch>
                            <a:fillRect/>
                          </a:stretch>
                        </pic:blipFill>
                        <pic:spPr>
                          <a:xfrm>
                            <a:off x="0" y="0"/>
                            <a:ext cx="1694815" cy="485775"/>
                          </a:xfrm>
                          <a:prstGeom prst="rect">
                            <a:avLst/>
                          </a:prstGeom>
                          <a:noFill/>
                          <a:ln>
                            <a:noFill/>
                          </a:ln>
                        </pic:spPr>
                      </pic:pic>
                    </a:graphicData>
                  </a:graphic>
                </wp:inline>
              </w:drawing>
            </w:r>
          </w:p>
          <w:p w14:paraId="51BE7639">
            <w:pPr>
              <w:tabs>
                <w:tab w:val="left" w:pos="0"/>
              </w:tabs>
              <w:spacing w:line="360" w:lineRule="auto"/>
              <w:ind w:firstLine="480" w:firstLineChars="200"/>
              <w:rPr>
                <w:color w:val="auto"/>
                <w:sz w:val="24"/>
              </w:rPr>
            </w:pPr>
            <w:r>
              <w:rPr>
                <w:color w:val="auto"/>
                <w:sz w:val="24"/>
              </w:rPr>
              <w:t>式中：</w:t>
            </w:r>
          </w:p>
          <w:p w14:paraId="44310A68">
            <w:pPr>
              <w:tabs>
                <w:tab w:val="left" w:pos="0"/>
              </w:tabs>
              <w:spacing w:line="360" w:lineRule="auto"/>
              <w:ind w:firstLine="480" w:firstLineChars="200"/>
              <w:rPr>
                <w:color w:val="auto"/>
                <w:sz w:val="24"/>
              </w:rPr>
            </w:pPr>
            <w:r>
              <w:rPr>
                <w:color w:val="auto"/>
                <w:sz w:val="24"/>
              </w:rPr>
              <w:t>Lp1i(T)——靠近围护结构处室内N个声源i倍频带的叠加声压级，dB；</w:t>
            </w:r>
          </w:p>
          <w:p w14:paraId="7F5633CB">
            <w:pPr>
              <w:tabs>
                <w:tab w:val="left" w:pos="0"/>
              </w:tabs>
              <w:spacing w:line="360" w:lineRule="auto"/>
              <w:ind w:firstLine="480" w:firstLineChars="200"/>
              <w:rPr>
                <w:color w:val="auto"/>
                <w:sz w:val="24"/>
              </w:rPr>
            </w:pPr>
            <w:r>
              <w:rPr>
                <w:color w:val="auto"/>
                <w:sz w:val="24"/>
              </w:rPr>
              <w:t>Lp1ij——室内j声源i倍频带的声压级，dB；</w:t>
            </w:r>
          </w:p>
          <w:p w14:paraId="1725CADA">
            <w:pPr>
              <w:tabs>
                <w:tab w:val="left" w:pos="0"/>
              </w:tabs>
              <w:spacing w:line="360" w:lineRule="auto"/>
              <w:ind w:firstLine="480" w:firstLineChars="200"/>
              <w:rPr>
                <w:color w:val="auto"/>
                <w:sz w:val="24"/>
              </w:rPr>
            </w:pPr>
            <w:r>
              <w:rPr>
                <w:color w:val="auto"/>
                <w:sz w:val="24"/>
              </w:rPr>
              <w:t>N——室内声源总数。</w:t>
            </w:r>
          </w:p>
          <w:p w14:paraId="0C2B0F31">
            <w:pPr>
              <w:tabs>
                <w:tab w:val="left" w:pos="0"/>
              </w:tabs>
              <w:spacing w:line="360" w:lineRule="auto"/>
              <w:ind w:firstLine="480" w:firstLineChars="200"/>
              <w:rPr>
                <w:color w:val="auto"/>
                <w:sz w:val="24"/>
              </w:rPr>
            </w:pPr>
            <w:r>
              <w:rPr>
                <w:color w:val="auto"/>
                <w:sz w:val="24"/>
              </w:rPr>
              <w:t>在室内近似为扩散声场时，按下式计算出靠近室外围护结构处的声压级：</w:t>
            </w:r>
          </w:p>
          <w:p w14:paraId="6EAB75E6">
            <w:pPr>
              <w:tabs>
                <w:tab w:val="left" w:pos="0"/>
              </w:tabs>
              <w:spacing w:line="520" w:lineRule="exact"/>
              <w:jc w:val="center"/>
              <w:rPr>
                <w:color w:val="auto"/>
                <w:sz w:val="24"/>
              </w:rPr>
            </w:pPr>
            <w:r>
              <w:rPr>
                <w:color w:val="auto"/>
                <w:position w:val="-14"/>
                <w:sz w:val="24"/>
              </w:rPr>
              <w:drawing>
                <wp:inline distT="0" distB="0" distL="114300" distR="114300">
                  <wp:extent cx="1733550" cy="257175"/>
                  <wp:effectExtent l="0" t="0" r="0" b="825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1"/>
                          <a:stretch>
                            <a:fillRect/>
                          </a:stretch>
                        </pic:blipFill>
                        <pic:spPr>
                          <a:xfrm>
                            <a:off x="0" y="0"/>
                            <a:ext cx="1733550" cy="257175"/>
                          </a:xfrm>
                          <a:prstGeom prst="rect">
                            <a:avLst/>
                          </a:prstGeom>
                          <a:noFill/>
                          <a:ln>
                            <a:noFill/>
                          </a:ln>
                        </pic:spPr>
                      </pic:pic>
                    </a:graphicData>
                  </a:graphic>
                </wp:inline>
              </w:drawing>
            </w:r>
          </w:p>
          <w:p w14:paraId="26A2DDA1">
            <w:pPr>
              <w:tabs>
                <w:tab w:val="left" w:pos="0"/>
              </w:tabs>
              <w:spacing w:line="360" w:lineRule="auto"/>
              <w:ind w:firstLine="480" w:firstLineChars="200"/>
              <w:rPr>
                <w:color w:val="auto"/>
                <w:sz w:val="24"/>
              </w:rPr>
            </w:pPr>
            <w:r>
              <w:rPr>
                <w:color w:val="auto"/>
                <w:sz w:val="24"/>
              </w:rPr>
              <w:t>式中：</w:t>
            </w:r>
          </w:p>
          <w:p w14:paraId="589EA878">
            <w:pPr>
              <w:tabs>
                <w:tab w:val="left" w:pos="0"/>
              </w:tabs>
              <w:spacing w:line="360" w:lineRule="auto"/>
              <w:ind w:firstLine="480" w:firstLineChars="200"/>
              <w:rPr>
                <w:color w:val="auto"/>
                <w:sz w:val="24"/>
              </w:rPr>
            </w:pPr>
            <w:r>
              <w:rPr>
                <w:color w:val="auto"/>
                <w:sz w:val="24"/>
              </w:rPr>
              <w:t>Lp2i(T)——靠近围护结构处室外N个声源i倍频带的叠加声压级，dB；</w:t>
            </w:r>
          </w:p>
          <w:p w14:paraId="24292C9B">
            <w:pPr>
              <w:tabs>
                <w:tab w:val="left" w:pos="0"/>
              </w:tabs>
              <w:spacing w:line="360" w:lineRule="auto"/>
              <w:ind w:firstLine="480" w:firstLineChars="200"/>
              <w:rPr>
                <w:color w:val="auto"/>
                <w:sz w:val="24"/>
              </w:rPr>
            </w:pPr>
            <w:r>
              <w:rPr>
                <w:color w:val="auto"/>
                <w:sz w:val="24"/>
              </w:rPr>
              <w:t>TLi——围护结构i倍频带的隔声量，dB。</w:t>
            </w:r>
          </w:p>
          <w:p w14:paraId="7F21F24F">
            <w:pPr>
              <w:tabs>
                <w:tab w:val="left" w:pos="0"/>
              </w:tabs>
              <w:spacing w:line="360" w:lineRule="auto"/>
              <w:ind w:firstLine="480" w:firstLineChars="200"/>
              <w:rPr>
                <w:color w:val="auto"/>
                <w:sz w:val="24"/>
              </w:rPr>
            </w:pPr>
            <w:r>
              <w:rPr>
                <w:color w:val="auto"/>
                <w:sz w:val="24"/>
              </w:rPr>
              <w:t>然后按下式将室外声源的声压级和透过面积换算成等效的室外声源，计算出中心位置位于透声面积（S）处的等效声源的倍频带声功率级。</w:t>
            </w:r>
          </w:p>
          <w:p w14:paraId="136186F6">
            <w:pPr>
              <w:tabs>
                <w:tab w:val="left" w:pos="0"/>
              </w:tabs>
              <w:spacing w:line="520" w:lineRule="exact"/>
              <w:jc w:val="center"/>
              <w:rPr>
                <w:color w:val="auto"/>
                <w:sz w:val="24"/>
              </w:rPr>
            </w:pPr>
            <w:r>
              <w:rPr>
                <w:color w:val="auto"/>
                <w:position w:val="-14"/>
                <w:sz w:val="24"/>
              </w:rPr>
              <w:drawing>
                <wp:inline distT="0" distB="0" distL="114300" distR="114300">
                  <wp:extent cx="1352550" cy="257175"/>
                  <wp:effectExtent l="0" t="0" r="0" b="825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352550" cy="257175"/>
                          </a:xfrm>
                          <a:prstGeom prst="rect">
                            <a:avLst/>
                          </a:prstGeom>
                          <a:noFill/>
                          <a:ln>
                            <a:noFill/>
                          </a:ln>
                        </pic:spPr>
                      </pic:pic>
                    </a:graphicData>
                  </a:graphic>
                </wp:inline>
              </w:drawing>
            </w:r>
          </w:p>
          <w:p w14:paraId="02FEC519">
            <w:pPr>
              <w:tabs>
                <w:tab w:val="left" w:pos="0"/>
              </w:tabs>
              <w:spacing w:line="360" w:lineRule="auto"/>
              <w:ind w:firstLine="480" w:firstLineChars="200"/>
              <w:rPr>
                <w:color w:val="auto"/>
                <w:sz w:val="24"/>
              </w:rPr>
            </w:pPr>
            <w:r>
              <w:rPr>
                <w:color w:val="auto"/>
                <w:sz w:val="24"/>
              </w:rPr>
              <w:t>然后按室外声源预测方法计算预测点处的A声级。</w:t>
            </w:r>
          </w:p>
          <w:p w14:paraId="510777F3">
            <w:pPr>
              <w:tabs>
                <w:tab w:val="left" w:pos="0"/>
              </w:tabs>
              <w:spacing w:line="360" w:lineRule="auto"/>
              <w:ind w:firstLine="480" w:firstLineChars="200"/>
              <w:rPr>
                <w:color w:val="auto"/>
                <w:sz w:val="24"/>
              </w:rPr>
            </w:pPr>
            <w:r>
              <w:rPr>
                <w:color w:val="auto"/>
                <w:sz w:val="24"/>
              </w:rPr>
              <w:t>③设第i个室外声源在预测点产生的A声级为LAi，在T时间内该声源工作时间为ti；第j个等效室外声源在预测点产生的A声级为LAj，在T时间内该声源工作时间为tj，则拟建工程声源对预测点产生的贡献值（Leqg）为：</w:t>
            </w:r>
          </w:p>
          <w:p w14:paraId="0AAE06C1">
            <w:pPr>
              <w:spacing w:line="360" w:lineRule="auto"/>
              <w:ind w:firstLine="480" w:firstLineChars="200"/>
              <w:jc w:val="center"/>
              <w:rPr>
                <w:color w:val="auto"/>
                <w:sz w:val="24"/>
              </w:rPr>
            </w:pPr>
            <w:r>
              <w:rPr>
                <w:color w:val="auto"/>
                <w:position w:val="-32"/>
                <w:sz w:val="24"/>
              </w:rPr>
              <w:drawing>
                <wp:inline distT="0" distB="0" distL="114300" distR="114300">
                  <wp:extent cx="2475865" cy="485775"/>
                  <wp:effectExtent l="0" t="0" r="635" b="889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23"/>
                          <a:stretch>
                            <a:fillRect/>
                          </a:stretch>
                        </pic:blipFill>
                        <pic:spPr>
                          <a:xfrm>
                            <a:off x="0" y="0"/>
                            <a:ext cx="2475865" cy="485775"/>
                          </a:xfrm>
                          <a:prstGeom prst="rect">
                            <a:avLst/>
                          </a:prstGeom>
                          <a:noFill/>
                          <a:ln>
                            <a:noFill/>
                          </a:ln>
                        </pic:spPr>
                      </pic:pic>
                    </a:graphicData>
                  </a:graphic>
                </wp:inline>
              </w:drawing>
            </w:r>
          </w:p>
          <w:p w14:paraId="44E25230">
            <w:pPr>
              <w:spacing w:line="360" w:lineRule="auto"/>
              <w:ind w:firstLine="480" w:firstLineChars="200"/>
              <w:jc w:val="center"/>
              <w:rPr>
                <w:color w:val="auto"/>
                <w:sz w:val="24"/>
              </w:rPr>
            </w:pPr>
            <w:r>
              <w:rPr>
                <w:color w:val="auto"/>
                <w:position w:val="-12"/>
                <w:sz w:val="24"/>
              </w:rPr>
              <w:drawing>
                <wp:inline distT="0" distB="0" distL="114300" distR="114300">
                  <wp:extent cx="1732915" cy="257175"/>
                  <wp:effectExtent l="0" t="0" r="635" b="762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4"/>
                          <a:stretch>
                            <a:fillRect/>
                          </a:stretch>
                        </pic:blipFill>
                        <pic:spPr>
                          <a:xfrm>
                            <a:off x="0" y="0"/>
                            <a:ext cx="1732915" cy="257175"/>
                          </a:xfrm>
                          <a:prstGeom prst="rect">
                            <a:avLst/>
                          </a:prstGeom>
                          <a:noFill/>
                          <a:ln>
                            <a:noFill/>
                          </a:ln>
                        </pic:spPr>
                      </pic:pic>
                    </a:graphicData>
                  </a:graphic>
                </wp:inline>
              </w:drawing>
            </w:r>
          </w:p>
          <w:p w14:paraId="0BCC0975">
            <w:pPr>
              <w:tabs>
                <w:tab w:val="left" w:pos="0"/>
              </w:tabs>
              <w:spacing w:line="360" w:lineRule="auto"/>
              <w:ind w:firstLine="480" w:firstLineChars="200"/>
              <w:rPr>
                <w:color w:val="auto"/>
                <w:sz w:val="24"/>
              </w:rPr>
            </w:pPr>
            <w:r>
              <w:rPr>
                <w:color w:val="auto"/>
                <w:sz w:val="24"/>
              </w:rPr>
              <w:t>式中：Leqg——建设项目声源在预测点的等效声级贡献值，dB(A)；</w:t>
            </w:r>
          </w:p>
          <w:p w14:paraId="28A3F9B0">
            <w:pPr>
              <w:tabs>
                <w:tab w:val="left" w:pos="0"/>
              </w:tabs>
              <w:spacing w:line="360" w:lineRule="auto"/>
              <w:ind w:firstLine="1200" w:firstLineChars="500"/>
              <w:rPr>
                <w:color w:val="auto"/>
                <w:sz w:val="24"/>
              </w:rPr>
            </w:pPr>
            <w:r>
              <w:rPr>
                <w:color w:val="auto"/>
                <w:sz w:val="24"/>
              </w:rPr>
              <w:t>Leqb——预测点的背景值，dB(A)。</w:t>
            </w:r>
          </w:p>
          <w:p w14:paraId="7D2EF217">
            <w:pPr>
              <w:spacing w:line="360" w:lineRule="auto"/>
              <w:ind w:firstLine="480" w:firstLineChars="200"/>
              <w:rPr>
                <w:color w:val="auto"/>
                <w:sz w:val="24"/>
              </w:rPr>
            </w:pPr>
            <w:r>
              <w:rPr>
                <w:color w:val="auto"/>
                <w:sz w:val="24"/>
              </w:rPr>
              <w:t>将设备噪声源在厂区平面图上进行定位，利用上述的预测数字模型，将有关参数代入公式计算，预测拟建工程噪声源对各向厂界的影响</w:t>
            </w:r>
            <w:r>
              <w:rPr>
                <w:rFonts w:hint="eastAsia"/>
                <w:color w:val="auto"/>
                <w:sz w:val="24"/>
              </w:rPr>
              <w:t>。</w:t>
            </w:r>
          </w:p>
          <w:p w14:paraId="01A2C8C3">
            <w:pPr>
              <w:spacing w:line="360" w:lineRule="auto"/>
              <w:ind w:firstLine="480" w:firstLineChars="200"/>
              <w:rPr>
                <w:color w:val="auto"/>
                <w:sz w:val="24"/>
              </w:rPr>
            </w:pPr>
            <w:r>
              <w:rPr>
                <w:rFonts w:hint="eastAsia"/>
                <w:color w:val="auto"/>
                <w:sz w:val="24"/>
              </w:rPr>
              <w:t>（2）评价标准</w:t>
            </w:r>
          </w:p>
          <w:p w14:paraId="4E8A234D">
            <w:pPr>
              <w:spacing w:line="360" w:lineRule="auto"/>
              <w:ind w:firstLine="480" w:firstLineChars="200"/>
              <w:rPr>
                <w:color w:val="auto"/>
                <w:sz w:val="24"/>
              </w:rPr>
            </w:pPr>
            <w:r>
              <w:rPr>
                <w:rFonts w:hint="eastAsia"/>
                <w:color w:val="auto"/>
                <w:sz w:val="24"/>
              </w:rPr>
              <w:t>厂界噪声执行《工业企业厂界环境噪声排放标准》（GB12348-2008）中</w:t>
            </w:r>
            <w:r>
              <w:rPr>
                <w:rFonts w:hint="eastAsia"/>
                <w:color w:val="auto"/>
                <w:sz w:val="24"/>
                <w:lang w:val="en-US" w:eastAsia="zh-CN"/>
              </w:rPr>
              <w:t>2</w:t>
            </w:r>
            <w:r>
              <w:rPr>
                <w:rFonts w:hint="eastAsia"/>
                <w:color w:val="auto"/>
                <w:sz w:val="24"/>
              </w:rPr>
              <w:t>类标准， 即昼间：6</w:t>
            </w:r>
            <w:r>
              <w:rPr>
                <w:rFonts w:hint="eastAsia"/>
                <w:color w:val="auto"/>
                <w:sz w:val="24"/>
                <w:lang w:val="en-US" w:eastAsia="zh-CN"/>
              </w:rPr>
              <w:t>0</w:t>
            </w:r>
            <w:r>
              <w:rPr>
                <w:rFonts w:hint="eastAsia"/>
                <w:color w:val="auto"/>
                <w:sz w:val="24"/>
              </w:rPr>
              <w:t>dB(A)</w:t>
            </w:r>
            <w:r>
              <w:rPr>
                <w:rFonts w:hint="eastAsia"/>
                <w:color w:val="auto"/>
                <w:sz w:val="24"/>
                <w:lang w:eastAsia="zh-CN"/>
              </w:rPr>
              <w:t>，</w:t>
            </w:r>
            <w:r>
              <w:rPr>
                <w:rFonts w:hint="eastAsia"/>
                <w:color w:val="auto"/>
                <w:sz w:val="24"/>
              </w:rPr>
              <w:t>夜间</w:t>
            </w:r>
            <w:r>
              <w:rPr>
                <w:rFonts w:hint="eastAsia"/>
                <w:color w:val="auto"/>
                <w:sz w:val="24"/>
                <w:lang w:eastAsia="zh-CN"/>
              </w:rPr>
              <w:t>：</w:t>
            </w:r>
            <w:r>
              <w:rPr>
                <w:rFonts w:hint="eastAsia"/>
                <w:color w:val="auto"/>
                <w:sz w:val="24"/>
              </w:rPr>
              <w:t>50dB(A)。</w:t>
            </w:r>
          </w:p>
          <w:p w14:paraId="269CEDB6">
            <w:pPr>
              <w:spacing w:line="360" w:lineRule="auto"/>
              <w:ind w:firstLine="480" w:firstLineChars="200"/>
              <w:rPr>
                <w:b/>
                <w:color w:val="auto"/>
                <w:kern w:val="0"/>
              </w:rPr>
            </w:pPr>
            <w:r>
              <w:rPr>
                <w:color w:val="auto"/>
                <w:sz w:val="24"/>
              </w:rPr>
              <w:t>（</w:t>
            </w:r>
            <w:r>
              <w:rPr>
                <w:rFonts w:hint="eastAsia"/>
                <w:color w:val="auto"/>
                <w:sz w:val="24"/>
              </w:rPr>
              <w:t>3</w:t>
            </w:r>
            <w:r>
              <w:rPr>
                <w:color w:val="auto"/>
                <w:sz w:val="24"/>
              </w:rPr>
              <w:t>）预测结果</w:t>
            </w:r>
          </w:p>
          <w:p w14:paraId="4CB13813">
            <w:pPr>
              <w:pStyle w:val="97"/>
              <w:spacing w:before="48" w:after="48"/>
              <w:ind w:firstLine="480" w:firstLineChars="200"/>
              <w:jc w:val="both"/>
              <w:rPr>
                <w:b w:val="0"/>
                <w:color w:val="000000" w:themeColor="text1"/>
                <w:sz w:val="24"/>
                <w:szCs w:val="22"/>
                <w14:textFill>
                  <w14:solidFill>
                    <w14:schemeClr w14:val="tx1"/>
                  </w14:solidFill>
                </w14:textFill>
              </w:rPr>
            </w:pPr>
            <w:r>
              <w:rPr>
                <w:rFonts w:hint="eastAsia"/>
                <w:b w:val="0"/>
                <w:color w:val="auto"/>
                <w:sz w:val="24"/>
                <w:szCs w:val="22"/>
              </w:rPr>
              <w:t>拟建项目运行时昼间预测噪声</w:t>
            </w:r>
            <w:r>
              <w:rPr>
                <w:rFonts w:hint="eastAsia"/>
                <w:b w:val="0"/>
                <w:color w:val="000000" w:themeColor="text1"/>
                <w:sz w:val="24"/>
                <w:szCs w:val="22"/>
                <w14:textFill>
                  <w14:solidFill>
                    <w14:schemeClr w14:val="tx1"/>
                  </w14:solidFill>
                </w14:textFill>
              </w:rPr>
              <w:t>排放值结果如下。</w:t>
            </w:r>
          </w:p>
          <w:p w14:paraId="1FCD169F">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w:t>
            </w:r>
            <w:r>
              <w:rPr>
                <w:rFonts w:hint="eastAsia"/>
                <w:b/>
                <w:bCs/>
                <w:color w:val="000000" w:themeColor="text1"/>
                <w:sz w:val="24"/>
                <w14:textFill>
                  <w14:solidFill>
                    <w14:schemeClr w14:val="tx1"/>
                  </w14:solidFill>
                </w14:textFill>
              </w:rPr>
              <w:t>17</w:t>
            </w:r>
            <w:r>
              <w:rPr>
                <w:b/>
                <w:bCs/>
                <w:color w:val="000000" w:themeColor="text1"/>
                <w:sz w:val="24"/>
                <w14:textFill>
                  <w14:solidFill>
                    <w14:schemeClr w14:val="tx1"/>
                  </w14:solidFill>
                </w14:textFill>
              </w:rPr>
              <w:t xml:space="preserve"> 噪声预测结果汇总一览表  单位：dB(A)</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2"/>
              <w:gridCol w:w="2044"/>
              <w:gridCol w:w="2837"/>
              <w:gridCol w:w="2544"/>
            </w:tblGrid>
            <w:tr w14:paraId="017A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9" w:type="pct"/>
                  <w:vAlign w:val="center"/>
                </w:tcPr>
                <w:p w14:paraId="39D925F9">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预测点编号</w:t>
                  </w:r>
                </w:p>
              </w:tc>
              <w:tc>
                <w:tcPr>
                  <w:tcW w:w="809" w:type="pct"/>
                  <w:vAlign w:val="center"/>
                </w:tcPr>
                <w:p w14:paraId="301D4F4A">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贡献值</w:t>
                  </w:r>
                </w:p>
              </w:tc>
              <w:tc>
                <w:tcPr>
                  <w:tcW w:w="1123" w:type="pct"/>
                  <w:vAlign w:val="center"/>
                </w:tcPr>
                <w:p w14:paraId="6C442E24">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执行标准</w:t>
                  </w:r>
                </w:p>
              </w:tc>
              <w:tc>
                <w:tcPr>
                  <w:tcW w:w="1007" w:type="pct"/>
                  <w:vAlign w:val="center"/>
                </w:tcPr>
                <w:p w14:paraId="1CBB123D">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是否达标</w:t>
                  </w:r>
                </w:p>
              </w:tc>
            </w:tr>
            <w:tr w14:paraId="1231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pct"/>
                  <w:vAlign w:val="center"/>
                </w:tcPr>
                <w:p w14:paraId="1DD1A3AC">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东厂界</w:t>
                  </w:r>
                </w:p>
              </w:tc>
              <w:tc>
                <w:tcPr>
                  <w:tcW w:w="809" w:type="pct"/>
                  <w:vAlign w:val="center"/>
                </w:tcPr>
                <w:p w14:paraId="1A1C42A8">
                  <w:pPr>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35.6</w:t>
                  </w:r>
                </w:p>
              </w:tc>
              <w:tc>
                <w:tcPr>
                  <w:tcW w:w="1123" w:type="pct"/>
                  <w:vMerge w:val="restart"/>
                  <w:vAlign w:val="center"/>
                </w:tcPr>
                <w:p w14:paraId="0AAF32D8">
                  <w:pPr>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昼间≤6</w:t>
                  </w:r>
                  <w:r>
                    <w:rPr>
                      <w:rFonts w:hint="eastAsia" w:cs="宋体"/>
                      <w:color w:val="000000" w:themeColor="text1"/>
                      <w:szCs w:val="21"/>
                      <w:lang w:val="en-US" w:eastAsia="zh-CN"/>
                      <w14:textFill>
                        <w14:solidFill>
                          <w14:schemeClr w14:val="tx1"/>
                        </w14:solidFill>
                      </w14:textFill>
                    </w:rPr>
                    <w:t>0</w:t>
                  </w:r>
                </w:p>
              </w:tc>
              <w:tc>
                <w:tcPr>
                  <w:tcW w:w="1007" w:type="pct"/>
                  <w:vMerge w:val="restart"/>
                  <w:vAlign w:val="center"/>
                </w:tcPr>
                <w:p w14:paraId="55BFAA6C">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达标</w:t>
                  </w:r>
                </w:p>
              </w:tc>
            </w:tr>
            <w:tr w14:paraId="5EC5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59" w:type="pct"/>
                  <w:vAlign w:val="center"/>
                </w:tcPr>
                <w:p w14:paraId="6D2BFD69">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南厂界</w:t>
                  </w:r>
                </w:p>
              </w:tc>
              <w:tc>
                <w:tcPr>
                  <w:tcW w:w="809" w:type="pct"/>
                  <w:vAlign w:val="center"/>
                </w:tcPr>
                <w:p w14:paraId="6346A515">
                  <w:pPr>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55.5</w:t>
                  </w:r>
                </w:p>
              </w:tc>
              <w:tc>
                <w:tcPr>
                  <w:tcW w:w="1123" w:type="pct"/>
                  <w:vMerge w:val="continue"/>
                  <w:vAlign w:val="center"/>
                </w:tcPr>
                <w:p w14:paraId="4E760B75">
                  <w:pPr>
                    <w:jc w:val="center"/>
                    <w:rPr>
                      <w:rFonts w:cs="宋体"/>
                      <w:color w:val="000000" w:themeColor="text1"/>
                      <w:szCs w:val="21"/>
                      <w14:textFill>
                        <w14:solidFill>
                          <w14:schemeClr w14:val="tx1"/>
                        </w14:solidFill>
                      </w14:textFill>
                    </w:rPr>
                  </w:pPr>
                </w:p>
              </w:tc>
              <w:tc>
                <w:tcPr>
                  <w:tcW w:w="1007" w:type="pct"/>
                  <w:vMerge w:val="continue"/>
                  <w:vAlign w:val="center"/>
                </w:tcPr>
                <w:p w14:paraId="48B0424E">
                  <w:pPr>
                    <w:jc w:val="center"/>
                    <w:rPr>
                      <w:rFonts w:cs="宋体"/>
                      <w:color w:val="000000" w:themeColor="text1"/>
                      <w:szCs w:val="21"/>
                      <w14:textFill>
                        <w14:solidFill>
                          <w14:schemeClr w14:val="tx1"/>
                        </w14:solidFill>
                      </w14:textFill>
                    </w:rPr>
                  </w:pPr>
                </w:p>
              </w:tc>
            </w:tr>
            <w:tr w14:paraId="4A8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pct"/>
                  <w:vAlign w:val="center"/>
                </w:tcPr>
                <w:p w14:paraId="21389E97">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西厂界</w:t>
                  </w:r>
                </w:p>
              </w:tc>
              <w:tc>
                <w:tcPr>
                  <w:tcW w:w="809" w:type="pct"/>
                  <w:vAlign w:val="center"/>
                </w:tcPr>
                <w:p w14:paraId="4445902E">
                  <w:pPr>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55.4</w:t>
                  </w:r>
                </w:p>
              </w:tc>
              <w:tc>
                <w:tcPr>
                  <w:tcW w:w="1123" w:type="pct"/>
                  <w:vMerge w:val="continue"/>
                  <w:vAlign w:val="center"/>
                </w:tcPr>
                <w:p w14:paraId="3C7F1338">
                  <w:pPr>
                    <w:jc w:val="center"/>
                    <w:rPr>
                      <w:rFonts w:cs="宋体"/>
                      <w:color w:val="000000" w:themeColor="text1"/>
                      <w:szCs w:val="21"/>
                      <w14:textFill>
                        <w14:solidFill>
                          <w14:schemeClr w14:val="tx1"/>
                        </w14:solidFill>
                      </w14:textFill>
                    </w:rPr>
                  </w:pPr>
                </w:p>
              </w:tc>
              <w:tc>
                <w:tcPr>
                  <w:tcW w:w="1007" w:type="pct"/>
                  <w:vMerge w:val="continue"/>
                  <w:vAlign w:val="center"/>
                </w:tcPr>
                <w:p w14:paraId="5A96D4E4">
                  <w:pPr>
                    <w:jc w:val="center"/>
                    <w:rPr>
                      <w:rFonts w:cs="宋体"/>
                      <w:color w:val="000000" w:themeColor="text1"/>
                      <w:szCs w:val="21"/>
                      <w14:textFill>
                        <w14:solidFill>
                          <w14:schemeClr w14:val="tx1"/>
                        </w14:solidFill>
                      </w14:textFill>
                    </w:rPr>
                  </w:pPr>
                </w:p>
              </w:tc>
            </w:tr>
            <w:tr w14:paraId="6CC8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059" w:type="pct"/>
                  <w:vAlign w:val="center"/>
                </w:tcPr>
                <w:p w14:paraId="14055801">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北厂界</w:t>
                  </w:r>
                </w:p>
              </w:tc>
              <w:tc>
                <w:tcPr>
                  <w:tcW w:w="809" w:type="pct"/>
                  <w:vAlign w:val="center"/>
                </w:tcPr>
                <w:p w14:paraId="4B457662">
                  <w:pPr>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34.6</w:t>
                  </w:r>
                </w:p>
              </w:tc>
              <w:tc>
                <w:tcPr>
                  <w:tcW w:w="1123" w:type="pct"/>
                  <w:vMerge w:val="continue"/>
                  <w:vAlign w:val="center"/>
                </w:tcPr>
                <w:p w14:paraId="074ED590">
                  <w:pPr>
                    <w:jc w:val="center"/>
                    <w:rPr>
                      <w:rFonts w:cs="宋体"/>
                      <w:color w:val="000000" w:themeColor="text1"/>
                      <w:szCs w:val="21"/>
                      <w14:textFill>
                        <w14:solidFill>
                          <w14:schemeClr w14:val="tx1"/>
                        </w14:solidFill>
                      </w14:textFill>
                    </w:rPr>
                  </w:pPr>
                </w:p>
              </w:tc>
              <w:tc>
                <w:tcPr>
                  <w:tcW w:w="1007" w:type="pct"/>
                  <w:vMerge w:val="continue"/>
                  <w:vAlign w:val="center"/>
                </w:tcPr>
                <w:p w14:paraId="1E94E773">
                  <w:pPr>
                    <w:jc w:val="center"/>
                    <w:rPr>
                      <w:rFonts w:cs="宋体"/>
                      <w:color w:val="000000" w:themeColor="text1"/>
                      <w:szCs w:val="21"/>
                      <w14:textFill>
                        <w14:solidFill>
                          <w14:schemeClr w14:val="tx1"/>
                        </w14:solidFill>
                      </w14:textFill>
                    </w:rPr>
                  </w:pPr>
                </w:p>
              </w:tc>
            </w:tr>
          </w:tbl>
          <w:p w14:paraId="003B249A">
            <w:pPr>
              <w:spacing w:line="360" w:lineRule="auto"/>
              <w:ind w:firstLine="480" w:firstLineChars="200"/>
              <w:rPr>
                <w:color w:val="auto"/>
                <w:sz w:val="24"/>
              </w:rPr>
            </w:pPr>
            <w:r>
              <w:rPr>
                <w:rFonts w:hint="eastAsia"/>
                <w:color w:val="auto"/>
                <w:sz w:val="24"/>
              </w:rPr>
              <w:t>由上表可知，噪声在工作时间通过合理布局，距离衰减后，满足《工业企业厂界环境噪声排放标准》（GB12348-2008）中的</w:t>
            </w:r>
            <w:r>
              <w:rPr>
                <w:rFonts w:hint="eastAsia"/>
                <w:color w:val="auto"/>
                <w:sz w:val="24"/>
                <w:lang w:val="en-US" w:eastAsia="zh-CN"/>
              </w:rPr>
              <w:t>2</w:t>
            </w:r>
            <w:r>
              <w:rPr>
                <w:rFonts w:hint="eastAsia"/>
                <w:color w:val="auto"/>
                <w:sz w:val="24"/>
              </w:rPr>
              <w:t>类标准。综上，本项目实施后的设备噪声对周围声环境影响较小。</w:t>
            </w:r>
          </w:p>
          <w:p w14:paraId="3F1DE469">
            <w:pPr>
              <w:jc w:val="center"/>
              <w:rPr>
                <w:b/>
                <w:bCs/>
                <w:color w:val="auto"/>
                <w:sz w:val="24"/>
              </w:rPr>
            </w:pPr>
            <w:r>
              <w:rPr>
                <w:b/>
                <w:bCs/>
                <w:color w:val="auto"/>
                <w:sz w:val="24"/>
              </w:rPr>
              <w:t>表4-</w:t>
            </w:r>
            <w:r>
              <w:rPr>
                <w:rFonts w:hint="eastAsia"/>
                <w:b/>
                <w:bCs/>
                <w:color w:val="auto"/>
                <w:sz w:val="24"/>
              </w:rPr>
              <w:t>18 噪声</w:t>
            </w:r>
            <w:r>
              <w:rPr>
                <w:b/>
                <w:bCs/>
                <w:color w:val="auto"/>
                <w:sz w:val="24"/>
              </w:rPr>
              <w:t>监测要求一览表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980"/>
              <w:gridCol w:w="1876"/>
              <w:gridCol w:w="2166"/>
              <w:gridCol w:w="4106"/>
            </w:tblGrid>
            <w:tr w14:paraId="0334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Align w:val="center"/>
                </w:tcPr>
                <w:p w14:paraId="7ECB3DA6">
                  <w:pPr>
                    <w:jc w:val="center"/>
                    <w:rPr>
                      <w:color w:val="auto"/>
                    </w:rPr>
                  </w:pPr>
                  <w:r>
                    <w:rPr>
                      <w:color w:val="auto"/>
                    </w:rPr>
                    <w:t>污染物</w:t>
                  </w:r>
                </w:p>
              </w:tc>
              <w:tc>
                <w:tcPr>
                  <w:tcW w:w="1180" w:type="pct"/>
                  <w:vAlign w:val="center"/>
                </w:tcPr>
                <w:p w14:paraId="3E018F0F">
                  <w:pPr>
                    <w:jc w:val="center"/>
                    <w:rPr>
                      <w:color w:val="auto"/>
                    </w:rPr>
                  </w:pPr>
                  <w:r>
                    <w:rPr>
                      <w:color w:val="auto"/>
                    </w:rPr>
                    <w:t>监测因子</w:t>
                  </w:r>
                </w:p>
              </w:tc>
              <w:tc>
                <w:tcPr>
                  <w:tcW w:w="743" w:type="pct"/>
                  <w:vAlign w:val="center"/>
                </w:tcPr>
                <w:p w14:paraId="6EA15EBB">
                  <w:pPr>
                    <w:jc w:val="center"/>
                    <w:rPr>
                      <w:color w:val="auto"/>
                    </w:rPr>
                  </w:pPr>
                  <w:r>
                    <w:rPr>
                      <w:color w:val="auto"/>
                    </w:rPr>
                    <w:t>监测频次</w:t>
                  </w:r>
                </w:p>
              </w:tc>
              <w:tc>
                <w:tcPr>
                  <w:tcW w:w="858" w:type="pct"/>
                  <w:vAlign w:val="center"/>
                </w:tcPr>
                <w:p w14:paraId="29D44C27">
                  <w:pPr>
                    <w:jc w:val="center"/>
                    <w:rPr>
                      <w:color w:val="auto"/>
                    </w:rPr>
                  </w:pPr>
                  <w:r>
                    <w:rPr>
                      <w:color w:val="auto"/>
                    </w:rPr>
                    <w:t>监测点位</w:t>
                  </w:r>
                </w:p>
              </w:tc>
              <w:tc>
                <w:tcPr>
                  <w:tcW w:w="1626" w:type="pct"/>
                  <w:vAlign w:val="center"/>
                </w:tcPr>
                <w:p w14:paraId="53B0F202">
                  <w:pPr>
                    <w:jc w:val="center"/>
                    <w:rPr>
                      <w:color w:val="auto"/>
                    </w:rPr>
                  </w:pPr>
                  <w:r>
                    <w:rPr>
                      <w:color w:val="auto"/>
                    </w:rPr>
                    <w:t>标准</w:t>
                  </w:r>
                </w:p>
              </w:tc>
            </w:tr>
            <w:tr w14:paraId="5E4B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pct"/>
                  <w:vAlign w:val="center"/>
                </w:tcPr>
                <w:p w14:paraId="3D579534">
                  <w:pPr>
                    <w:jc w:val="center"/>
                    <w:rPr>
                      <w:color w:val="auto"/>
                    </w:rPr>
                  </w:pPr>
                  <w:r>
                    <w:rPr>
                      <w:rFonts w:hint="eastAsia"/>
                      <w:color w:val="auto"/>
                    </w:rPr>
                    <w:t>噪声</w:t>
                  </w:r>
                </w:p>
              </w:tc>
              <w:tc>
                <w:tcPr>
                  <w:tcW w:w="1180" w:type="pct"/>
                  <w:vAlign w:val="center"/>
                </w:tcPr>
                <w:p w14:paraId="1F3CA817">
                  <w:pPr>
                    <w:jc w:val="center"/>
                    <w:rPr>
                      <w:color w:val="auto"/>
                    </w:rPr>
                  </w:pPr>
                  <w:r>
                    <w:rPr>
                      <w:color w:val="auto"/>
                    </w:rPr>
                    <w:t>等效A声级Leq</w:t>
                  </w:r>
                </w:p>
              </w:tc>
              <w:tc>
                <w:tcPr>
                  <w:tcW w:w="743" w:type="pct"/>
                  <w:vAlign w:val="center"/>
                </w:tcPr>
                <w:p w14:paraId="60025790">
                  <w:pPr>
                    <w:jc w:val="center"/>
                    <w:rPr>
                      <w:color w:val="auto"/>
                    </w:rPr>
                  </w:pPr>
                  <w:r>
                    <w:rPr>
                      <w:color w:val="auto"/>
                    </w:rPr>
                    <w:t>1次/</w:t>
                  </w:r>
                  <w:r>
                    <w:rPr>
                      <w:rFonts w:hint="eastAsia"/>
                      <w:color w:val="auto"/>
                    </w:rPr>
                    <w:t>季度</w:t>
                  </w:r>
                </w:p>
              </w:tc>
              <w:tc>
                <w:tcPr>
                  <w:tcW w:w="858" w:type="pct"/>
                  <w:vAlign w:val="center"/>
                </w:tcPr>
                <w:p w14:paraId="0DEDB834">
                  <w:pPr>
                    <w:jc w:val="center"/>
                    <w:rPr>
                      <w:color w:val="auto"/>
                    </w:rPr>
                  </w:pPr>
                  <w:r>
                    <w:rPr>
                      <w:rFonts w:hint="eastAsia"/>
                      <w:color w:val="auto"/>
                    </w:rPr>
                    <w:t>厂界外1m</w:t>
                  </w:r>
                </w:p>
              </w:tc>
              <w:tc>
                <w:tcPr>
                  <w:tcW w:w="1626" w:type="pct"/>
                  <w:vAlign w:val="center"/>
                </w:tcPr>
                <w:p w14:paraId="773C3E58">
                  <w:pPr>
                    <w:jc w:val="center"/>
                    <w:rPr>
                      <w:color w:val="auto"/>
                    </w:rPr>
                  </w:pPr>
                  <w:r>
                    <w:rPr>
                      <w:color w:val="auto"/>
                    </w:rPr>
                    <w:t>GB12348-2008中</w:t>
                  </w:r>
                  <w:r>
                    <w:rPr>
                      <w:rFonts w:hint="eastAsia"/>
                      <w:color w:val="auto"/>
                      <w:lang w:val="en-US" w:eastAsia="zh-CN"/>
                    </w:rPr>
                    <w:t>2</w:t>
                  </w:r>
                  <w:r>
                    <w:rPr>
                      <w:color w:val="auto"/>
                    </w:rPr>
                    <w:t>类标准</w:t>
                  </w:r>
                </w:p>
              </w:tc>
            </w:tr>
          </w:tbl>
          <w:p w14:paraId="228CD020">
            <w:pPr>
              <w:pStyle w:val="7"/>
              <w:spacing w:before="48"/>
              <w:ind w:left="873" w:leftChars="404" w:hanging="25" w:hangingChars="9"/>
              <w:rPr>
                <w:color w:val="FF0000"/>
              </w:rPr>
            </w:pPr>
          </w:p>
        </w:tc>
      </w:tr>
    </w:tbl>
    <w:p w14:paraId="4C1E4A52">
      <w:pPr>
        <w:rPr>
          <w:rFonts w:eastAsia="黑体"/>
          <w:snapToGrid w:val="0"/>
          <w:color w:val="FF0000"/>
          <w:sz w:val="30"/>
          <w:szCs w:val="30"/>
        </w:rPr>
        <w:sectPr>
          <w:pgSz w:w="16838" w:h="11905" w:orient="landscape"/>
          <w:pgMar w:top="1417" w:right="1417" w:bottom="1417" w:left="1417" w:header="851" w:footer="850" w:gutter="0"/>
          <w:cols w:space="0" w:num="1"/>
          <w:docGrid w:linePitch="312" w:charSpace="0"/>
        </w:sectPr>
      </w:pPr>
    </w:p>
    <w:tbl>
      <w:tblPr>
        <w:tblStyle w:val="31"/>
        <w:tblpPr w:leftFromText="180" w:rightFromText="180" w:vertAnchor="text" w:horzAnchor="page" w:tblpX="1413"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9047"/>
      </w:tblGrid>
      <w:tr w14:paraId="622C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4" w:hRule="atLeast"/>
        </w:trPr>
        <w:tc>
          <w:tcPr>
            <w:tcW w:w="240" w:type="dxa"/>
          </w:tcPr>
          <w:p w14:paraId="5C7C45AB">
            <w:pPr>
              <w:pStyle w:val="16"/>
              <w:ind w:firstLine="480"/>
              <w:rPr>
                <w:color w:val="FF0000"/>
              </w:rPr>
            </w:pPr>
          </w:p>
        </w:tc>
        <w:tc>
          <w:tcPr>
            <w:tcW w:w="9047" w:type="dxa"/>
          </w:tcPr>
          <w:p w14:paraId="112B382F">
            <w:pPr>
              <w:adjustRightInd w:val="0"/>
              <w:snapToGrid w:val="0"/>
              <w:spacing w:line="360" w:lineRule="auto"/>
              <w:ind w:firstLine="442" w:firstLineChars="200"/>
              <w:rPr>
                <w:b/>
                <w:bCs/>
                <w:color w:val="auto"/>
                <w:spacing w:val="-10"/>
                <w:sz w:val="24"/>
              </w:rPr>
            </w:pPr>
            <w:r>
              <w:rPr>
                <w:b/>
                <w:bCs/>
                <w:color w:val="auto"/>
                <w:spacing w:val="-10"/>
                <w:sz w:val="24"/>
              </w:rPr>
              <w:t>四、固体废物</w:t>
            </w:r>
          </w:p>
          <w:p w14:paraId="398C194F">
            <w:pPr>
              <w:adjustRightInd w:val="0"/>
              <w:snapToGrid w:val="0"/>
              <w:spacing w:line="360" w:lineRule="auto"/>
              <w:ind w:firstLine="442" w:firstLineChars="200"/>
              <w:rPr>
                <w:b/>
                <w:bCs/>
                <w:color w:val="auto"/>
                <w:spacing w:val="-10"/>
                <w:sz w:val="24"/>
              </w:rPr>
            </w:pPr>
            <w:r>
              <w:rPr>
                <w:b/>
                <w:bCs/>
                <w:color w:val="auto"/>
                <w:spacing w:val="-10"/>
                <w:sz w:val="24"/>
              </w:rPr>
              <w:t>1、固体废物产排情况</w:t>
            </w:r>
          </w:p>
          <w:p w14:paraId="39E16750">
            <w:pPr>
              <w:widowControl/>
              <w:adjustRightInd w:val="0"/>
              <w:snapToGrid w:val="0"/>
              <w:spacing w:line="360" w:lineRule="auto"/>
              <w:ind w:firstLine="480" w:firstLineChars="200"/>
              <w:rPr>
                <w:color w:val="auto"/>
                <w:kern w:val="0"/>
                <w:sz w:val="24"/>
              </w:rPr>
            </w:pPr>
            <w:r>
              <w:rPr>
                <w:color w:val="auto"/>
                <w:kern w:val="0"/>
                <w:sz w:val="24"/>
              </w:rPr>
              <w:t>项目固体废物有</w:t>
            </w:r>
            <w:r>
              <w:rPr>
                <w:rFonts w:hint="eastAsia"/>
                <w:color w:val="auto"/>
                <w:kern w:val="0"/>
                <w:sz w:val="24"/>
                <w:lang w:val="en-US" w:eastAsia="zh-CN"/>
              </w:rPr>
              <w:t>边角料</w:t>
            </w:r>
            <w:r>
              <w:rPr>
                <w:rFonts w:hint="eastAsia"/>
                <w:color w:val="auto"/>
                <w:kern w:val="0"/>
                <w:sz w:val="24"/>
              </w:rPr>
              <w:t>、</w:t>
            </w:r>
            <w:r>
              <w:rPr>
                <w:rFonts w:hint="eastAsia"/>
                <w:color w:val="auto"/>
                <w:sz w:val="24"/>
                <w:lang w:val="en-US" w:eastAsia="zh-CN"/>
              </w:rPr>
              <w:t>炉渣</w:t>
            </w:r>
            <w:r>
              <w:rPr>
                <w:rFonts w:hint="eastAsia"/>
                <w:color w:val="auto"/>
                <w:kern w:val="0"/>
                <w:sz w:val="24"/>
              </w:rPr>
              <w:t>、</w:t>
            </w:r>
            <w:r>
              <w:rPr>
                <w:rFonts w:hint="eastAsia"/>
                <w:color w:val="auto"/>
                <w:kern w:val="0"/>
                <w:sz w:val="24"/>
                <w:lang w:val="en-US" w:eastAsia="zh-CN"/>
              </w:rPr>
              <w:t>布袋除尘器收尘、废树脂、</w:t>
            </w:r>
            <w:r>
              <w:rPr>
                <w:color w:val="auto"/>
                <w:sz w:val="24"/>
              </w:rPr>
              <w:t>废</w:t>
            </w:r>
            <w:r>
              <w:rPr>
                <w:rFonts w:hint="eastAsia"/>
                <w:color w:val="auto"/>
                <w:sz w:val="24"/>
              </w:rPr>
              <w:t>润滑油桶、废润滑油</w:t>
            </w:r>
            <w:r>
              <w:rPr>
                <w:color w:val="auto"/>
                <w:kern w:val="0"/>
                <w:sz w:val="24"/>
              </w:rPr>
              <w:t>以及生活垃圾。</w:t>
            </w:r>
          </w:p>
          <w:p w14:paraId="32CB2451">
            <w:pPr>
              <w:widowControl/>
              <w:adjustRightInd w:val="0"/>
              <w:snapToGrid w:val="0"/>
              <w:spacing w:line="360" w:lineRule="auto"/>
              <w:ind w:firstLine="480" w:firstLineChars="200"/>
              <w:rPr>
                <w:color w:val="auto"/>
                <w:sz w:val="24"/>
              </w:rPr>
            </w:pPr>
            <w:r>
              <w:rPr>
                <w:color w:val="auto"/>
                <w:sz w:val="24"/>
              </w:rPr>
              <w:t>（1）危险废物</w:t>
            </w:r>
          </w:p>
          <w:p w14:paraId="07DBA561">
            <w:pPr>
              <w:widowControl/>
              <w:adjustRightInd w:val="0"/>
              <w:snapToGrid w:val="0"/>
              <w:spacing w:line="360" w:lineRule="auto"/>
              <w:ind w:firstLine="480" w:firstLineChars="200"/>
              <w:rPr>
                <w:color w:val="auto"/>
                <w:sz w:val="24"/>
              </w:rPr>
            </w:pPr>
            <w:r>
              <w:rPr>
                <w:color w:val="auto"/>
                <w:sz w:val="24"/>
              </w:rPr>
              <w:t>①废</w:t>
            </w:r>
            <w:r>
              <w:rPr>
                <w:rFonts w:hint="eastAsia"/>
                <w:color w:val="auto"/>
                <w:sz w:val="24"/>
              </w:rPr>
              <w:t>润滑油桶和废润滑油</w:t>
            </w:r>
          </w:p>
          <w:p w14:paraId="20730656">
            <w:pPr>
              <w:widowControl/>
              <w:adjustRightInd w:val="0"/>
              <w:snapToGrid w:val="0"/>
              <w:spacing w:line="360" w:lineRule="auto"/>
              <w:ind w:firstLine="480" w:firstLineChars="200"/>
              <w:rPr>
                <w:color w:val="auto"/>
                <w:sz w:val="24"/>
              </w:rPr>
            </w:pPr>
            <w:r>
              <w:rPr>
                <w:color w:val="auto"/>
                <w:sz w:val="24"/>
              </w:rPr>
              <w:t>根据企业提供资料，本项目设备运行维护</w:t>
            </w:r>
            <w:r>
              <w:rPr>
                <w:rFonts w:hint="eastAsia"/>
                <w:color w:val="auto"/>
                <w:sz w:val="24"/>
              </w:rPr>
              <w:t>使用润滑油会产生废润滑油和废润滑油桶</w:t>
            </w:r>
            <w:r>
              <w:rPr>
                <w:color w:val="auto"/>
                <w:sz w:val="24"/>
              </w:rPr>
              <w:t>，</w:t>
            </w:r>
            <w:r>
              <w:rPr>
                <w:rFonts w:hint="eastAsia"/>
                <w:color w:val="auto"/>
                <w:sz w:val="24"/>
              </w:rPr>
              <w:t>本项目润滑油用量为0.8t/a，润滑油</w:t>
            </w:r>
            <w:r>
              <w:rPr>
                <w:color w:val="auto"/>
                <w:sz w:val="24"/>
              </w:rPr>
              <w:t>包装桶规格按</w:t>
            </w:r>
            <w:r>
              <w:rPr>
                <w:rFonts w:hint="eastAsia"/>
                <w:color w:val="auto"/>
                <w:sz w:val="24"/>
              </w:rPr>
              <w:t>25</w:t>
            </w:r>
            <w:r>
              <w:rPr>
                <w:color w:val="auto"/>
                <w:sz w:val="24"/>
              </w:rPr>
              <w:t>kg/桶计，空桶按0.8kg/桶计算</w:t>
            </w:r>
            <w:r>
              <w:rPr>
                <w:rFonts w:hint="eastAsia"/>
                <w:color w:val="auto"/>
                <w:sz w:val="24"/>
              </w:rPr>
              <w:t>，约</w:t>
            </w:r>
            <w:r>
              <w:rPr>
                <w:color w:val="auto"/>
                <w:sz w:val="24"/>
              </w:rPr>
              <w:t>产生量</w:t>
            </w:r>
            <w:r>
              <w:rPr>
                <w:rFonts w:hint="eastAsia"/>
                <w:color w:val="auto"/>
                <w:sz w:val="24"/>
              </w:rPr>
              <w:t>25.6kg</w:t>
            </w:r>
            <w:r>
              <w:rPr>
                <w:color w:val="auto"/>
                <w:sz w:val="24"/>
              </w:rPr>
              <w:t>/a</w:t>
            </w:r>
            <w:r>
              <w:rPr>
                <w:rFonts w:hint="eastAsia"/>
                <w:color w:val="auto"/>
                <w:sz w:val="24"/>
              </w:rPr>
              <w:t>废润滑油桶和20kg/a废润滑油，废润滑油和</w:t>
            </w:r>
            <w:r>
              <w:rPr>
                <w:color w:val="auto"/>
                <w:sz w:val="24"/>
              </w:rPr>
              <w:t>废</w:t>
            </w:r>
            <w:r>
              <w:rPr>
                <w:rFonts w:hint="eastAsia"/>
                <w:color w:val="auto"/>
                <w:sz w:val="24"/>
              </w:rPr>
              <w:t>润滑油桶都</w:t>
            </w:r>
            <w:r>
              <w:rPr>
                <w:color w:val="auto"/>
                <w:sz w:val="24"/>
              </w:rPr>
              <w:t>属于危险废物，暂存于危废暂存间，交由有资质单位处置</w:t>
            </w:r>
            <w:r>
              <w:rPr>
                <w:rFonts w:hint="eastAsia"/>
                <w:color w:val="auto"/>
                <w:sz w:val="24"/>
              </w:rPr>
              <w:t>。</w:t>
            </w:r>
          </w:p>
          <w:p w14:paraId="7ADC2787">
            <w:pPr>
              <w:widowControl/>
              <w:adjustRightInd w:val="0"/>
              <w:snapToGrid w:val="0"/>
              <w:spacing w:line="360" w:lineRule="auto"/>
              <w:ind w:firstLine="480" w:firstLineChars="200"/>
              <w:rPr>
                <w:color w:val="auto"/>
                <w:sz w:val="24"/>
              </w:rPr>
            </w:pPr>
            <w:r>
              <w:rPr>
                <w:color w:val="auto"/>
                <w:sz w:val="24"/>
              </w:rPr>
              <w:t>（2）一般工业固废</w:t>
            </w:r>
          </w:p>
          <w:p w14:paraId="6562537A">
            <w:pPr>
              <w:widowControl/>
              <w:adjustRightInd w:val="0"/>
              <w:snapToGrid w:val="0"/>
              <w:spacing w:line="360" w:lineRule="auto"/>
              <w:ind w:firstLine="480" w:firstLineChars="200"/>
              <w:rPr>
                <w:bCs/>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rFonts w:hint="eastAsia"/>
                <w:color w:val="auto"/>
                <w:kern w:val="0"/>
                <w:sz w:val="24"/>
                <w:lang w:val="en-US" w:eastAsia="zh-CN"/>
              </w:rPr>
              <w:t>边角料</w:t>
            </w:r>
            <w:r>
              <w:rPr>
                <w:color w:val="auto"/>
                <w:sz w:val="24"/>
              </w:rPr>
              <w:t>：项目</w:t>
            </w:r>
            <w:r>
              <w:rPr>
                <w:rFonts w:hint="eastAsia"/>
                <w:bCs/>
                <w:color w:val="auto"/>
                <w:sz w:val="24"/>
                <w:lang w:val="en-US" w:eastAsia="zh-CN"/>
              </w:rPr>
              <w:t>生产</w:t>
            </w:r>
            <w:r>
              <w:rPr>
                <w:bCs/>
                <w:color w:val="auto"/>
                <w:sz w:val="24"/>
              </w:rPr>
              <w:t>过程会产生</w:t>
            </w:r>
            <w:r>
              <w:rPr>
                <w:rFonts w:hint="eastAsia"/>
                <w:color w:val="auto"/>
                <w:kern w:val="0"/>
                <w:sz w:val="24"/>
                <w:lang w:val="en-US" w:eastAsia="zh-CN"/>
              </w:rPr>
              <w:t>边角料</w:t>
            </w:r>
            <w:r>
              <w:rPr>
                <w:rFonts w:hint="eastAsia"/>
                <w:color w:val="auto"/>
                <w:kern w:val="0"/>
                <w:sz w:val="24"/>
                <w:lang w:eastAsia="zh-CN"/>
              </w:rPr>
              <w:t>，</w:t>
            </w:r>
            <w:r>
              <w:rPr>
                <w:bCs/>
                <w:color w:val="auto"/>
                <w:sz w:val="24"/>
              </w:rPr>
              <w:t>产生量约为</w:t>
            </w:r>
            <w:r>
              <w:rPr>
                <w:rFonts w:hint="eastAsia"/>
                <w:bCs/>
                <w:color w:val="auto"/>
                <w:sz w:val="24"/>
                <w:lang w:val="en-US" w:eastAsia="zh-CN"/>
              </w:rPr>
              <w:t>50</w:t>
            </w:r>
            <w:r>
              <w:rPr>
                <w:bCs/>
                <w:color w:val="auto"/>
                <w:sz w:val="24"/>
              </w:rPr>
              <w:t>t/a，收集后</w:t>
            </w:r>
            <w:r>
              <w:rPr>
                <w:rFonts w:hint="eastAsia"/>
                <w:bCs/>
                <w:color w:val="auto"/>
                <w:sz w:val="24"/>
                <w:lang w:val="en-US" w:eastAsia="zh-CN"/>
              </w:rPr>
              <w:t>用于生物质造粒</w:t>
            </w:r>
            <w:r>
              <w:rPr>
                <w:bCs/>
                <w:color w:val="auto"/>
                <w:sz w:val="24"/>
              </w:rPr>
              <w:t>。</w:t>
            </w:r>
          </w:p>
          <w:p w14:paraId="1476AEDD">
            <w:pPr>
              <w:widowControl/>
              <w:adjustRightInd w:val="0"/>
              <w:snapToGrid w:val="0"/>
              <w:spacing w:line="360" w:lineRule="auto"/>
              <w:ind w:firstLine="480" w:firstLineChars="200"/>
              <w:rPr>
                <w:color w:val="auto"/>
                <w:sz w:val="24"/>
              </w:rPr>
            </w:pPr>
            <w:r>
              <w:rPr>
                <w:bCs/>
                <w:color w:val="auto"/>
                <w:sz w:val="24"/>
              </w:rPr>
              <w:fldChar w:fldCharType="begin"/>
            </w:r>
            <w:r>
              <w:rPr>
                <w:bCs/>
                <w:color w:val="auto"/>
                <w:sz w:val="24"/>
              </w:rPr>
              <w:instrText xml:space="preserve"> = 2 \* GB3 </w:instrText>
            </w:r>
            <w:r>
              <w:rPr>
                <w:bCs/>
                <w:color w:val="auto"/>
                <w:sz w:val="24"/>
              </w:rPr>
              <w:fldChar w:fldCharType="separate"/>
            </w:r>
            <w:r>
              <w:rPr>
                <w:bCs/>
                <w:color w:val="auto"/>
                <w:sz w:val="24"/>
              </w:rPr>
              <w:t>②</w:t>
            </w:r>
            <w:r>
              <w:rPr>
                <w:bCs/>
                <w:color w:val="auto"/>
                <w:sz w:val="24"/>
              </w:rPr>
              <w:fldChar w:fldCharType="end"/>
            </w:r>
            <w:r>
              <w:rPr>
                <w:rFonts w:hint="eastAsia"/>
                <w:color w:val="auto"/>
                <w:sz w:val="24"/>
              </w:rPr>
              <w:t>布袋除尘器收尘：项目布袋除尘器收集的粉尘约</w:t>
            </w:r>
            <w:r>
              <w:rPr>
                <w:rFonts w:hint="eastAsia"/>
                <w:color w:val="auto"/>
                <w:sz w:val="24"/>
                <w:lang w:val="en-US" w:eastAsia="zh-CN"/>
              </w:rPr>
              <w:t>9.5218</w:t>
            </w:r>
            <w:r>
              <w:rPr>
                <w:rFonts w:hint="eastAsia"/>
                <w:color w:val="auto"/>
                <w:sz w:val="24"/>
              </w:rPr>
              <w:t>t/a，</w:t>
            </w:r>
            <w:r>
              <w:rPr>
                <w:bCs/>
                <w:color w:val="auto"/>
                <w:sz w:val="24"/>
              </w:rPr>
              <w:t>收集后</w:t>
            </w:r>
            <w:r>
              <w:rPr>
                <w:rFonts w:hint="eastAsia"/>
                <w:bCs/>
                <w:color w:val="auto"/>
                <w:sz w:val="24"/>
                <w:lang w:val="en-US" w:eastAsia="zh-CN"/>
              </w:rPr>
              <w:t>回用于生物质造粒</w:t>
            </w:r>
            <w:r>
              <w:rPr>
                <w:rFonts w:hint="eastAsia"/>
                <w:color w:val="auto"/>
                <w:sz w:val="24"/>
              </w:rPr>
              <w:t>。</w:t>
            </w:r>
          </w:p>
          <w:p w14:paraId="2DC6EADC">
            <w:pPr>
              <w:widowControl/>
              <w:adjustRightInd w:val="0"/>
              <w:snapToGrid w:val="0"/>
              <w:spacing w:line="360" w:lineRule="auto"/>
              <w:ind w:firstLine="480" w:firstLineChars="200"/>
              <w:rPr>
                <w:color w:val="auto"/>
                <w:sz w:val="24"/>
              </w:rPr>
            </w:pPr>
            <w:r>
              <w:rPr>
                <w:rFonts w:hint="eastAsia"/>
                <w:bCs/>
                <w:color w:val="auto"/>
                <w:sz w:val="24"/>
                <w:lang w:val="en-US" w:eastAsia="zh-CN"/>
              </w:rPr>
              <w:t>③</w:t>
            </w:r>
            <w:r>
              <w:rPr>
                <w:rFonts w:hint="eastAsia"/>
                <w:color w:val="auto"/>
                <w:sz w:val="24"/>
                <w:lang w:val="en-US" w:eastAsia="zh-CN"/>
              </w:rPr>
              <w:t>炉渣</w:t>
            </w:r>
            <w:r>
              <w:rPr>
                <w:rFonts w:hint="eastAsia"/>
                <w:color w:val="auto"/>
                <w:sz w:val="24"/>
              </w:rPr>
              <w:t>：</w:t>
            </w:r>
            <w:r>
              <w:rPr>
                <w:rFonts w:hint="eastAsia"/>
                <w:color w:val="auto"/>
                <w:sz w:val="24"/>
                <w:lang w:val="en-US" w:eastAsia="zh-CN"/>
              </w:rPr>
              <w:t>锅炉</w:t>
            </w:r>
            <w:r>
              <w:rPr>
                <w:rFonts w:hint="eastAsia"/>
                <w:color w:val="auto"/>
                <w:sz w:val="24"/>
              </w:rPr>
              <w:t>燃烧生物质产生的</w:t>
            </w:r>
            <w:r>
              <w:rPr>
                <w:rFonts w:hint="eastAsia"/>
                <w:color w:val="auto"/>
                <w:sz w:val="24"/>
                <w:lang w:val="en-US" w:eastAsia="zh-CN"/>
              </w:rPr>
              <w:t>炉渣</w:t>
            </w:r>
            <w:r>
              <w:rPr>
                <w:rFonts w:hint="eastAsia"/>
                <w:color w:val="auto"/>
                <w:sz w:val="24"/>
              </w:rPr>
              <w:t>，由当地村民承包负责处理，被当地农民充当农业肥料使用。</w:t>
            </w:r>
            <w:r>
              <w:rPr>
                <w:rFonts w:hint="eastAsia"/>
                <w:color w:val="auto"/>
                <w:sz w:val="24"/>
                <w:lang w:val="en-US" w:eastAsia="zh-CN"/>
              </w:rPr>
              <w:t>炉渣</w:t>
            </w:r>
            <w:r>
              <w:rPr>
                <w:rFonts w:hint="eastAsia"/>
                <w:color w:val="auto"/>
                <w:sz w:val="24"/>
              </w:rPr>
              <w:t>产生量按燃料用量的3%计算，则</w:t>
            </w:r>
            <w:r>
              <w:rPr>
                <w:rFonts w:hint="eastAsia"/>
                <w:color w:val="auto"/>
                <w:sz w:val="24"/>
                <w:lang w:val="en-US" w:eastAsia="zh-CN"/>
              </w:rPr>
              <w:t>锅炉炉渣</w:t>
            </w:r>
            <w:r>
              <w:rPr>
                <w:rFonts w:hint="eastAsia"/>
                <w:color w:val="auto"/>
                <w:sz w:val="24"/>
              </w:rPr>
              <w:t>产生量为</w:t>
            </w:r>
            <w:r>
              <w:rPr>
                <w:rFonts w:hint="eastAsia"/>
                <w:color w:val="auto"/>
                <w:sz w:val="24"/>
                <w:lang w:val="en-US" w:eastAsia="zh-CN"/>
              </w:rPr>
              <w:t>37.1</w:t>
            </w:r>
            <w:r>
              <w:rPr>
                <w:rFonts w:hint="eastAsia"/>
                <w:color w:val="auto"/>
                <w:sz w:val="24"/>
              </w:rPr>
              <w:t>t/a</w:t>
            </w:r>
            <w:r>
              <w:rPr>
                <w:rFonts w:hint="eastAsia"/>
                <w:color w:val="auto"/>
                <w:sz w:val="24"/>
                <w:lang w:eastAsia="zh-CN"/>
              </w:rPr>
              <w:t>，</w:t>
            </w:r>
            <w:r>
              <w:rPr>
                <w:rFonts w:hint="eastAsia"/>
                <w:color w:val="auto"/>
                <w:sz w:val="24"/>
                <w:lang w:val="en-US" w:eastAsia="zh-CN"/>
              </w:rPr>
              <w:t>作为农肥处理</w:t>
            </w:r>
            <w:r>
              <w:rPr>
                <w:rFonts w:hint="eastAsia"/>
                <w:color w:val="auto"/>
                <w:sz w:val="24"/>
              </w:rPr>
              <w:t>。</w:t>
            </w:r>
          </w:p>
          <w:p w14:paraId="258B2827">
            <w:pPr>
              <w:widowControl/>
              <w:adjustRightInd w:val="0"/>
              <w:snapToGrid w:val="0"/>
              <w:spacing w:line="360" w:lineRule="auto"/>
              <w:ind w:firstLine="480" w:firstLineChars="200"/>
              <w:rPr>
                <w:rFonts w:hint="default" w:eastAsia="宋体"/>
                <w:color w:val="auto"/>
                <w:sz w:val="24"/>
                <w:lang w:val="en-US" w:eastAsia="zh-CN"/>
              </w:rPr>
            </w:pPr>
            <w:r>
              <w:rPr>
                <w:rFonts w:hint="eastAsia"/>
                <w:color w:val="auto"/>
                <w:sz w:val="24"/>
                <w:lang w:val="en-US" w:eastAsia="zh-CN"/>
              </w:rPr>
              <w:t>④废树脂：锅炉燃烧时需要通过软水制备软水，软水制备采用离子交换柱工艺。交换树脂定期需要进行更换，软水树脂可以再生反复使用，本项目每年更换一次，每次更换的树脂量为0.65t，收集后外售给资源回收公司。</w:t>
            </w:r>
          </w:p>
          <w:p w14:paraId="430CC82B">
            <w:pPr>
              <w:widowControl/>
              <w:adjustRightInd w:val="0"/>
              <w:snapToGrid w:val="0"/>
              <w:spacing w:line="360" w:lineRule="auto"/>
              <w:ind w:firstLine="480" w:firstLineChars="200"/>
              <w:rPr>
                <w:color w:val="auto"/>
                <w:sz w:val="24"/>
              </w:rPr>
            </w:pPr>
            <w:r>
              <w:rPr>
                <w:color w:val="auto"/>
                <w:sz w:val="24"/>
              </w:rPr>
              <w:t>（3）生活垃圾</w:t>
            </w:r>
          </w:p>
          <w:p w14:paraId="645AA90F">
            <w:pPr>
              <w:widowControl/>
              <w:adjustRightInd w:val="0"/>
              <w:snapToGrid w:val="0"/>
              <w:spacing w:line="360" w:lineRule="auto"/>
              <w:ind w:firstLine="456"/>
              <w:jc w:val="left"/>
              <w:rPr>
                <w:color w:val="auto"/>
                <w:kern w:val="0"/>
                <w:sz w:val="24"/>
              </w:rPr>
            </w:pPr>
            <w:r>
              <w:rPr>
                <w:color w:val="auto"/>
                <w:kern w:val="0"/>
                <w:sz w:val="24"/>
              </w:rPr>
              <w:t>项目</w:t>
            </w:r>
            <w:r>
              <w:rPr>
                <w:rFonts w:hint="eastAsia"/>
                <w:color w:val="auto"/>
                <w:kern w:val="0"/>
                <w:sz w:val="24"/>
              </w:rPr>
              <w:t>新增员工</w:t>
            </w:r>
            <w:r>
              <w:rPr>
                <w:rFonts w:hint="eastAsia"/>
                <w:color w:val="auto"/>
                <w:kern w:val="0"/>
                <w:sz w:val="24"/>
                <w:lang w:val="en-US" w:eastAsia="zh-CN"/>
              </w:rPr>
              <w:t>1</w:t>
            </w:r>
            <w:r>
              <w:rPr>
                <w:rFonts w:hint="eastAsia"/>
                <w:color w:val="auto"/>
                <w:kern w:val="0"/>
                <w:sz w:val="24"/>
              </w:rPr>
              <w:t>0</w:t>
            </w:r>
            <w:r>
              <w:rPr>
                <w:color w:val="auto"/>
                <w:kern w:val="0"/>
                <w:sz w:val="24"/>
              </w:rPr>
              <w:t>人，年工作300天，</w:t>
            </w:r>
            <w:r>
              <w:rPr>
                <w:color w:val="auto"/>
                <w:sz w:val="24"/>
              </w:rPr>
              <w:t>生活垃圾产生量按照0.5kg/人·天计算</w:t>
            </w:r>
            <w:r>
              <w:rPr>
                <w:color w:val="auto"/>
                <w:kern w:val="0"/>
                <w:sz w:val="24"/>
              </w:rPr>
              <w:t>，则生活垃圾产生量为</w:t>
            </w:r>
            <w:r>
              <w:rPr>
                <w:rFonts w:hint="eastAsia"/>
                <w:color w:val="auto"/>
                <w:kern w:val="0"/>
                <w:sz w:val="24"/>
                <w:lang w:val="en-US" w:eastAsia="zh-CN"/>
              </w:rPr>
              <w:t>5</w:t>
            </w:r>
            <w:r>
              <w:rPr>
                <w:color w:val="auto"/>
                <w:kern w:val="0"/>
                <w:sz w:val="24"/>
              </w:rPr>
              <w:t>kg/d（</w:t>
            </w:r>
            <w:r>
              <w:rPr>
                <w:rFonts w:hint="eastAsia"/>
                <w:color w:val="auto"/>
                <w:kern w:val="0"/>
                <w:sz w:val="24"/>
                <w:lang w:val="en-US" w:eastAsia="zh-CN"/>
              </w:rPr>
              <w:t>1.5</w:t>
            </w:r>
            <w:r>
              <w:rPr>
                <w:color w:val="auto"/>
                <w:kern w:val="0"/>
                <w:sz w:val="24"/>
              </w:rPr>
              <w:t>t/a）。</w:t>
            </w:r>
            <w:r>
              <w:rPr>
                <w:snapToGrid w:val="0"/>
                <w:color w:val="auto"/>
                <w:kern w:val="0"/>
                <w:sz w:val="24"/>
              </w:rPr>
              <w:t>生活垃圾在厂区内统一收集后，由环卫部门定期清运</w:t>
            </w:r>
            <w:r>
              <w:rPr>
                <w:color w:val="auto"/>
                <w:kern w:val="0"/>
                <w:sz w:val="24"/>
              </w:rPr>
              <w:t>。</w:t>
            </w:r>
          </w:p>
          <w:p w14:paraId="6486B29F">
            <w:pPr>
              <w:widowControl/>
              <w:adjustRightInd w:val="0"/>
              <w:snapToGrid w:val="0"/>
              <w:spacing w:line="360" w:lineRule="auto"/>
              <w:ind w:firstLine="456"/>
              <w:jc w:val="left"/>
              <w:rPr>
                <w:color w:val="auto"/>
                <w:kern w:val="0"/>
                <w:sz w:val="24"/>
              </w:rPr>
            </w:pPr>
            <w:r>
              <w:rPr>
                <w:color w:val="auto"/>
                <w:kern w:val="0"/>
                <w:sz w:val="24"/>
              </w:rPr>
              <w:t xml:space="preserve">本项目固体废物污染源源强核算情况详见下表。 </w:t>
            </w:r>
          </w:p>
          <w:p w14:paraId="5E879982">
            <w:pPr>
              <w:widowControl/>
              <w:adjustRightInd w:val="0"/>
              <w:snapToGrid w:val="0"/>
              <w:spacing w:line="360" w:lineRule="auto"/>
              <w:contextualSpacing/>
              <w:jc w:val="center"/>
              <w:rPr>
                <w:b/>
                <w:color w:val="auto"/>
                <w:kern w:val="0"/>
                <w:sz w:val="24"/>
              </w:rPr>
            </w:pPr>
            <w:r>
              <w:rPr>
                <w:b/>
                <w:color w:val="auto"/>
                <w:kern w:val="0"/>
                <w:sz w:val="24"/>
              </w:rPr>
              <w:t>表4-1</w:t>
            </w:r>
            <w:r>
              <w:rPr>
                <w:rFonts w:hint="eastAsia"/>
                <w:b/>
                <w:color w:val="auto"/>
                <w:kern w:val="0"/>
                <w:sz w:val="24"/>
              </w:rPr>
              <w:t>9</w:t>
            </w:r>
            <w:r>
              <w:rPr>
                <w:b/>
                <w:color w:val="auto"/>
                <w:kern w:val="0"/>
                <w:sz w:val="24"/>
              </w:rPr>
              <w:t xml:space="preserve">  项目固体废物污染源源强核算结果及相关参数一览表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756"/>
              <w:gridCol w:w="1402"/>
              <w:gridCol w:w="540"/>
              <w:gridCol w:w="1180"/>
              <w:gridCol w:w="867"/>
              <w:gridCol w:w="2169"/>
              <w:gridCol w:w="929"/>
            </w:tblGrid>
            <w:tr w14:paraId="48D9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restart"/>
                  <w:shd w:val="clear" w:color="auto" w:fill="auto"/>
                  <w:vAlign w:val="center"/>
                </w:tcPr>
                <w:p w14:paraId="301D88D7">
                  <w:pPr>
                    <w:jc w:val="center"/>
                    <w:rPr>
                      <w:b/>
                      <w:bCs/>
                      <w:color w:val="auto"/>
                      <w:szCs w:val="21"/>
                    </w:rPr>
                  </w:pPr>
                  <w:r>
                    <w:rPr>
                      <w:b/>
                      <w:bCs/>
                      <w:color w:val="auto"/>
                      <w:szCs w:val="21"/>
                    </w:rPr>
                    <w:t>工序/生产线</w:t>
                  </w:r>
                </w:p>
              </w:tc>
              <w:tc>
                <w:tcPr>
                  <w:tcW w:w="756" w:type="dxa"/>
                  <w:vMerge w:val="restart"/>
                  <w:shd w:val="clear" w:color="auto" w:fill="auto"/>
                  <w:vAlign w:val="center"/>
                </w:tcPr>
                <w:p w14:paraId="5B29ADCE">
                  <w:pPr>
                    <w:jc w:val="center"/>
                    <w:rPr>
                      <w:b/>
                      <w:bCs/>
                      <w:color w:val="auto"/>
                      <w:szCs w:val="21"/>
                    </w:rPr>
                  </w:pPr>
                  <w:r>
                    <w:rPr>
                      <w:b/>
                      <w:bCs/>
                      <w:color w:val="auto"/>
                      <w:szCs w:val="21"/>
                    </w:rPr>
                    <w:t>装置</w:t>
                  </w:r>
                </w:p>
              </w:tc>
              <w:tc>
                <w:tcPr>
                  <w:tcW w:w="1402" w:type="dxa"/>
                  <w:vMerge w:val="restart"/>
                  <w:shd w:val="clear" w:color="auto" w:fill="auto"/>
                  <w:vAlign w:val="center"/>
                </w:tcPr>
                <w:p w14:paraId="402D0958">
                  <w:pPr>
                    <w:jc w:val="center"/>
                    <w:rPr>
                      <w:b/>
                      <w:bCs/>
                      <w:color w:val="auto"/>
                      <w:szCs w:val="21"/>
                    </w:rPr>
                  </w:pPr>
                  <w:r>
                    <w:rPr>
                      <w:b/>
                      <w:bCs/>
                      <w:color w:val="auto"/>
                      <w:szCs w:val="21"/>
                    </w:rPr>
                    <w:t>固体废物名称</w:t>
                  </w:r>
                </w:p>
              </w:tc>
              <w:tc>
                <w:tcPr>
                  <w:tcW w:w="540" w:type="dxa"/>
                  <w:vMerge w:val="restart"/>
                  <w:shd w:val="clear" w:color="auto" w:fill="auto"/>
                  <w:vAlign w:val="center"/>
                </w:tcPr>
                <w:p w14:paraId="395C68E5">
                  <w:pPr>
                    <w:jc w:val="center"/>
                    <w:rPr>
                      <w:b/>
                      <w:bCs/>
                      <w:color w:val="auto"/>
                      <w:szCs w:val="21"/>
                    </w:rPr>
                  </w:pPr>
                  <w:r>
                    <w:rPr>
                      <w:b/>
                      <w:bCs/>
                      <w:color w:val="auto"/>
                      <w:szCs w:val="21"/>
                    </w:rPr>
                    <w:t>固废属性</w:t>
                  </w:r>
                </w:p>
              </w:tc>
              <w:tc>
                <w:tcPr>
                  <w:tcW w:w="2047" w:type="dxa"/>
                  <w:gridSpan w:val="2"/>
                  <w:shd w:val="clear" w:color="auto" w:fill="auto"/>
                  <w:vAlign w:val="center"/>
                </w:tcPr>
                <w:p w14:paraId="5D157A52">
                  <w:pPr>
                    <w:jc w:val="center"/>
                    <w:rPr>
                      <w:b/>
                      <w:bCs/>
                      <w:color w:val="auto"/>
                      <w:szCs w:val="21"/>
                    </w:rPr>
                  </w:pPr>
                  <w:r>
                    <w:rPr>
                      <w:b/>
                      <w:bCs/>
                      <w:color w:val="auto"/>
                      <w:szCs w:val="21"/>
                    </w:rPr>
                    <w:t>产生情况</w:t>
                  </w:r>
                </w:p>
              </w:tc>
              <w:tc>
                <w:tcPr>
                  <w:tcW w:w="3098" w:type="dxa"/>
                  <w:gridSpan w:val="2"/>
                  <w:shd w:val="clear" w:color="auto" w:fill="auto"/>
                  <w:vAlign w:val="center"/>
                </w:tcPr>
                <w:p w14:paraId="4907F2BD">
                  <w:pPr>
                    <w:jc w:val="center"/>
                    <w:rPr>
                      <w:b/>
                      <w:bCs/>
                      <w:color w:val="auto"/>
                      <w:szCs w:val="21"/>
                    </w:rPr>
                  </w:pPr>
                  <w:r>
                    <w:rPr>
                      <w:b/>
                      <w:bCs/>
                      <w:color w:val="auto"/>
                      <w:szCs w:val="21"/>
                    </w:rPr>
                    <w:t>处置措施</w:t>
                  </w:r>
                </w:p>
              </w:tc>
            </w:tr>
            <w:tr w14:paraId="1189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continue"/>
                  <w:shd w:val="clear" w:color="auto" w:fill="auto"/>
                  <w:vAlign w:val="center"/>
                </w:tcPr>
                <w:p w14:paraId="77DDB9FB">
                  <w:pPr>
                    <w:jc w:val="center"/>
                    <w:rPr>
                      <w:color w:val="auto"/>
                      <w:szCs w:val="21"/>
                    </w:rPr>
                  </w:pPr>
                </w:p>
              </w:tc>
              <w:tc>
                <w:tcPr>
                  <w:tcW w:w="756" w:type="dxa"/>
                  <w:vMerge w:val="continue"/>
                  <w:shd w:val="clear" w:color="auto" w:fill="auto"/>
                  <w:vAlign w:val="center"/>
                </w:tcPr>
                <w:p w14:paraId="549BB467">
                  <w:pPr>
                    <w:jc w:val="center"/>
                    <w:rPr>
                      <w:color w:val="auto"/>
                      <w:szCs w:val="21"/>
                    </w:rPr>
                  </w:pPr>
                </w:p>
              </w:tc>
              <w:tc>
                <w:tcPr>
                  <w:tcW w:w="1402" w:type="dxa"/>
                  <w:vMerge w:val="continue"/>
                  <w:shd w:val="clear" w:color="auto" w:fill="auto"/>
                  <w:vAlign w:val="center"/>
                </w:tcPr>
                <w:p w14:paraId="13982C25">
                  <w:pPr>
                    <w:jc w:val="center"/>
                    <w:rPr>
                      <w:color w:val="auto"/>
                      <w:szCs w:val="21"/>
                    </w:rPr>
                  </w:pPr>
                </w:p>
              </w:tc>
              <w:tc>
                <w:tcPr>
                  <w:tcW w:w="540" w:type="dxa"/>
                  <w:vMerge w:val="continue"/>
                  <w:shd w:val="clear" w:color="auto" w:fill="auto"/>
                  <w:vAlign w:val="center"/>
                </w:tcPr>
                <w:p w14:paraId="0C220ED7">
                  <w:pPr>
                    <w:jc w:val="center"/>
                    <w:rPr>
                      <w:color w:val="auto"/>
                      <w:szCs w:val="21"/>
                    </w:rPr>
                  </w:pPr>
                </w:p>
              </w:tc>
              <w:tc>
                <w:tcPr>
                  <w:tcW w:w="1180" w:type="dxa"/>
                  <w:shd w:val="clear" w:color="auto" w:fill="auto"/>
                  <w:vAlign w:val="center"/>
                </w:tcPr>
                <w:p w14:paraId="0169B92B">
                  <w:pPr>
                    <w:jc w:val="center"/>
                    <w:rPr>
                      <w:b/>
                      <w:bCs/>
                      <w:color w:val="auto"/>
                      <w:szCs w:val="21"/>
                    </w:rPr>
                  </w:pPr>
                  <w:r>
                    <w:rPr>
                      <w:b/>
                      <w:bCs/>
                      <w:color w:val="auto"/>
                      <w:szCs w:val="21"/>
                    </w:rPr>
                    <w:t>核算方法</w:t>
                  </w:r>
                </w:p>
              </w:tc>
              <w:tc>
                <w:tcPr>
                  <w:tcW w:w="867" w:type="dxa"/>
                  <w:shd w:val="clear" w:color="auto" w:fill="auto"/>
                  <w:vAlign w:val="center"/>
                </w:tcPr>
                <w:p w14:paraId="4A649C75">
                  <w:pPr>
                    <w:jc w:val="center"/>
                    <w:rPr>
                      <w:b/>
                      <w:bCs/>
                      <w:color w:val="auto"/>
                      <w:szCs w:val="21"/>
                    </w:rPr>
                  </w:pPr>
                  <w:r>
                    <w:rPr>
                      <w:b/>
                      <w:bCs/>
                      <w:color w:val="auto"/>
                      <w:szCs w:val="21"/>
                    </w:rPr>
                    <w:t>产生量</w:t>
                  </w:r>
                </w:p>
              </w:tc>
              <w:tc>
                <w:tcPr>
                  <w:tcW w:w="2169" w:type="dxa"/>
                  <w:shd w:val="clear" w:color="auto" w:fill="auto"/>
                  <w:vAlign w:val="center"/>
                </w:tcPr>
                <w:p w14:paraId="286553C1">
                  <w:pPr>
                    <w:jc w:val="center"/>
                    <w:rPr>
                      <w:b/>
                      <w:bCs/>
                      <w:color w:val="auto"/>
                      <w:szCs w:val="21"/>
                    </w:rPr>
                  </w:pPr>
                  <w:r>
                    <w:rPr>
                      <w:b/>
                      <w:bCs/>
                      <w:color w:val="auto"/>
                      <w:szCs w:val="21"/>
                    </w:rPr>
                    <w:t>工艺</w:t>
                  </w:r>
                </w:p>
              </w:tc>
              <w:tc>
                <w:tcPr>
                  <w:tcW w:w="929" w:type="dxa"/>
                  <w:shd w:val="clear" w:color="auto" w:fill="auto"/>
                  <w:vAlign w:val="center"/>
                </w:tcPr>
                <w:p w14:paraId="723397B6">
                  <w:pPr>
                    <w:jc w:val="center"/>
                    <w:rPr>
                      <w:b/>
                      <w:bCs/>
                      <w:color w:val="auto"/>
                      <w:szCs w:val="21"/>
                    </w:rPr>
                  </w:pPr>
                  <w:r>
                    <w:rPr>
                      <w:b/>
                      <w:bCs/>
                      <w:color w:val="auto"/>
                      <w:szCs w:val="21"/>
                    </w:rPr>
                    <w:t>处置量</w:t>
                  </w:r>
                </w:p>
              </w:tc>
            </w:tr>
            <w:tr w14:paraId="1A34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jc w:val="center"/>
              </w:trPr>
              <w:tc>
                <w:tcPr>
                  <w:tcW w:w="978" w:type="dxa"/>
                  <w:shd w:val="clear" w:color="auto" w:fill="auto"/>
                  <w:vAlign w:val="center"/>
                </w:tcPr>
                <w:p w14:paraId="26E9EEF8">
                  <w:pPr>
                    <w:jc w:val="center"/>
                    <w:rPr>
                      <w:color w:val="auto"/>
                      <w:szCs w:val="21"/>
                    </w:rPr>
                  </w:pPr>
                  <w:r>
                    <w:rPr>
                      <w:color w:val="auto"/>
                      <w:szCs w:val="21"/>
                    </w:rPr>
                    <w:t>生活</w:t>
                  </w:r>
                </w:p>
              </w:tc>
              <w:tc>
                <w:tcPr>
                  <w:tcW w:w="756" w:type="dxa"/>
                  <w:shd w:val="clear" w:color="auto" w:fill="auto"/>
                  <w:vAlign w:val="center"/>
                </w:tcPr>
                <w:p w14:paraId="7D4E5131">
                  <w:pPr>
                    <w:jc w:val="center"/>
                    <w:rPr>
                      <w:color w:val="auto"/>
                      <w:szCs w:val="21"/>
                    </w:rPr>
                  </w:pPr>
                  <w:r>
                    <w:rPr>
                      <w:color w:val="auto"/>
                      <w:szCs w:val="21"/>
                    </w:rPr>
                    <w:t>/</w:t>
                  </w:r>
                </w:p>
              </w:tc>
              <w:tc>
                <w:tcPr>
                  <w:tcW w:w="1402" w:type="dxa"/>
                  <w:shd w:val="clear" w:color="auto" w:fill="auto"/>
                  <w:vAlign w:val="center"/>
                </w:tcPr>
                <w:p w14:paraId="1179798B">
                  <w:pPr>
                    <w:jc w:val="center"/>
                    <w:rPr>
                      <w:color w:val="auto"/>
                      <w:szCs w:val="21"/>
                    </w:rPr>
                  </w:pPr>
                  <w:r>
                    <w:rPr>
                      <w:color w:val="auto"/>
                      <w:szCs w:val="21"/>
                    </w:rPr>
                    <w:t>生活垃圾</w:t>
                  </w:r>
                </w:p>
              </w:tc>
              <w:tc>
                <w:tcPr>
                  <w:tcW w:w="540" w:type="dxa"/>
                  <w:shd w:val="clear" w:color="auto" w:fill="auto"/>
                  <w:vAlign w:val="center"/>
                </w:tcPr>
                <w:p w14:paraId="791AFB8A">
                  <w:pPr>
                    <w:jc w:val="center"/>
                    <w:rPr>
                      <w:color w:val="auto"/>
                      <w:szCs w:val="21"/>
                    </w:rPr>
                  </w:pPr>
                  <w:r>
                    <w:rPr>
                      <w:color w:val="auto"/>
                      <w:szCs w:val="21"/>
                    </w:rPr>
                    <w:t>生活垃圾</w:t>
                  </w:r>
                </w:p>
              </w:tc>
              <w:tc>
                <w:tcPr>
                  <w:tcW w:w="1180" w:type="dxa"/>
                  <w:shd w:val="clear" w:color="auto" w:fill="auto"/>
                  <w:vAlign w:val="center"/>
                </w:tcPr>
                <w:p w14:paraId="03EDEF84">
                  <w:pPr>
                    <w:jc w:val="center"/>
                    <w:rPr>
                      <w:color w:val="auto"/>
                      <w:szCs w:val="21"/>
                    </w:rPr>
                  </w:pPr>
                  <w:r>
                    <w:rPr>
                      <w:color w:val="auto"/>
                      <w:szCs w:val="21"/>
                    </w:rPr>
                    <w:t>产污系数法</w:t>
                  </w:r>
                </w:p>
              </w:tc>
              <w:tc>
                <w:tcPr>
                  <w:tcW w:w="867" w:type="dxa"/>
                  <w:shd w:val="clear" w:color="auto" w:fill="auto"/>
                  <w:vAlign w:val="center"/>
                </w:tcPr>
                <w:p w14:paraId="624E3A36">
                  <w:pPr>
                    <w:jc w:val="center"/>
                    <w:rPr>
                      <w:color w:val="auto"/>
                      <w:szCs w:val="21"/>
                    </w:rPr>
                  </w:pPr>
                  <w:r>
                    <w:rPr>
                      <w:rFonts w:hint="eastAsia"/>
                      <w:color w:val="auto"/>
                      <w:szCs w:val="21"/>
                      <w:lang w:val="en-US" w:eastAsia="zh-CN"/>
                    </w:rPr>
                    <w:t>1.5</w:t>
                  </w:r>
                  <w:r>
                    <w:rPr>
                      <w:color w:val="auto"/>
                      <w:szCs w:val="21"/>
                    </w:rPr>
                    <w:t>t/a</w:t>
                  </w:r>
                </w:p>
              </w:tc>
              <w:tc>
                <w:tcPr>
                  <w:tcW w:w="2169" w:type="dxa"/>
                  <w:shd w:val="clear" w:color="auto" w:fill="auto"/>
                  <w:vAlign w:val="center"/>
                </w:tcPr>
                <w:p w14:paraId="6860E356">
                  <w:pPr>
                    <w:jc w:val="center"/>
                    <w:rPr>
                      <w:color w:val="auto"/>
                      <w:szCs w:val="21"/>
                    </w:rPr>
                  </w:pPr>
                  <w:r>
                    <w:rPr>
                      <w:color w:val="auto"/>
                      <w:szCs w:val="21"/>
                    </w:rPr>
                    <w:t>交由环卫部门统一收集处理</w:t>
                  </w:r>
                </w:p>
              </w:tc>
              <w:tc>
                <w:tcPr>
                  <w:tcW w:w="929" w:type="dxa"/>
                  <w:shd w:val="clear" w:color="auto" w:fill="auto"/>
                  <w:vAlign w:val="center"/>
                </w:tcPr>
                <w:p w14:paraId="39FDB365">
                  <w:pPr>
                    <w:jc w:val="center"/>
                    <w:rPr>
                      <w:color w:val="auto"/>
                      <w:szCs w:val="21"/>
                    </w:rPr>
                  </w:pPr>
                  <w:r>
                    <w:rPr>
                      <w:rFonts w:hint="eastAsia"/>
                      <w:color w:val="auto"/>
                      <w:szCs w:val="21"/>
                      <w:lang w:val="en-US" w:eastAsia="zh-CN"/>
                    </w:rPr>
                    <w:t>1.5</w:t>
                  </w:r>
                  <w:r>
                    <w:rPr>
                      <w:color w:val="auto"/>
                      <w:szCs w:val="21"/>
                    </w:rPr>
                    <w:t>t/a</w:t>
                  </w:r>
                </w:p>
              </w:tc>
            </w:tr>
            <w:tr w14:paraId="0DA2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jc w:val="center"/>
              </w:trPr>
              <w:tc>
                <w:tcPr>
                  <w:tcW w:w="978" w:type="dxa"/>
                  <w:shd w:val="clear" w:color="auto" w:fill="auto"/>
                  <w:vAlign w:val="center"/>
                </w:tcPr>
                <w:p w14:paraId="7DEE00EA">
                  <w:pPr>
                    <w:jc w:val="center"/>
                    <w:rPr>
                      <w:color w:val="auto"/>
                      <w:szCs w:val="21"/>
                    </w:rPr>
                  </w:pPr>
                  <w:r>
                    <w:rPr>
                      <w:rFonts w:hint="eastAsia"/>
                      <w:color w:val="auto"/>
                      <w:szCs w:val="21"/>
                    </w:rPr>
                    <w:t>废气处理</w:t>
                  </w:r>
                </w:p>
              </w:tc>
              <w:tc>
                <w:tcPr>
                  <w:tcW w:w="756" w:type="dxa"/>
                  <w:shd w:val="clear" w:color="auto" w:fill="auto"/>
                  <w:vAlign w:val="center"/>
                </w:tcPr>
                <w:p w14:paraId="6F22DFC2">
                  <w:pPr>
                    <w:jc w:val="center"/>
                    <w:rPr>
                      <w:color w:val="auto"/>
                      <w:szCs w:val="21"/>
                    </w:rPr>
                  </w:pPr>
                  <w:r>
                    <w:rPr>
                      <w:rFonts w:hint="eastAsia"/>
                      <w:color w:val="auto"/>
                      <w:szCs w:val="21"/>
                    </w:rPr>
                    <w:t>布袋除尘器</w:t>
                  </w:r>
                </w:p>
              </w:tc>
              <w:tc>
                <w:tcPr>
                  <w:tcW w:w="1402" w:type="dxa"/>
                  <w:shd w:val="clear" w:color="auto" w:fill="auto"/>
                  <w:vAlign w:val="center"/>
                </w:tcPr>
                <w:p w14:paraId="38DCCFC6">
                  <w:pPr>
                    <w:jc w:val="center"/>
                    <w:rPr>
                      <w:color w:val="auto"/>
                      <w:szCs w:val="21"/>
                    </w:rPr>
                  </w:pPr>
                  <w:r>
                    <w:rPr>
                      <w:rFonts w:hint="eastAsia"/>
                      <w:color w:val="auto"/>
                      <w:szCs w:val="21"/>
                    </w:rPr>
                    <w:t>布袋除尘器收尘</w:t>
                  </w:r>
                </w:p>
              </w:tc>
              <w:tc>
                <w:tcPr>
                  <w:tcW w:w="540" w:type="dxa"/>
                  <w:vMerge w:val="restart"/>
                  <w:shd w:val="clear" w:color="auto" w:fill="auto"/>
                  <w:vAlign w:val="center"/>
                </w:tcPr>
                <w:p w14:paraId="779AB108">
                  <w:pPr>
                    <w:jc w:val="center"/>
                    <w:rPr>
                      <w:color w:val="auto"/>
                      <w:szCs w:val="21"/>
                    </w:rPr>
                  </w:pPr>
                  <w:r>
                    <w:rPr>
                      <w:rFonts w:hint="eastAsia"/>
                      <w:color w:val="auto"/>
                      <w:szCs w:val="21"/>
                    </w:rPr>
                    <w:t>一般固废</w:t>
                  </w:r>
                </w:p>
              </w:tc>
              <w:tc>
                <w:tcPr>
                  <w:tcW w:w="1180" w:type="dxa"/>
                  <w:shd w:val="clear" w:color="auto" w:fill="auto"/>
                  <w:vAlign w:val="center"/>
                </w:tcPr>
                <w:p w14:paraId="6234FC9A">
                  <w:pPr>
                    <w:jc w:val="center"/>
                    <w:rPr>
                      <w:color w:val="auto"/>
                      <w:szCs w:val="21"/>
                    </w:rPr>
                  </w:pPr>
                  <w:r>
                    <w:rPr>
                      <w:color w:val="auto"/>
                      <w:szCs w:val="21"/>
                    </w:rPr>
                    <w:t>产污系数法</w:t>
                  </w:r>
                </w:p>
              </w:tc>
              <w:tc>
                <w:tcPr>
                  <w:tcW w:w="867" w:type="dxa"/>
                  <w:shd w:val="clear" w:color="auto" w:fill="auto"/>
                  <w:vAlign w:val="center"/>
                </w:tcPr>
                <w:p w14:paraId="0C99FE4A">
                  <w:pPr>
                    <w:jc w:val="center"/>
                    <w:rPr>
                      <w:color w:val="auto"/>
                      <w:szCs w:val="21"/>
                    </w:rPr>
                  </w:pPr>
                  <w:r>
                    <w:rPr>
                      <w:rFonts w:hint="eastAsia"/>
                      <w:color w:val="auto"/>
                      <w:szCs w:val="21"/>
                      <w:lang w:val="en-US" w:eastAsia="zh-CN"/>
                    </w:rPr>
                    <w:t>9.5218</w:t>
                  </w:r>
                  <w:r>
                    <w:rPr>
                      <w:color w:val="auto"/>
                      <w:szCs w:val="21"/>
                    </w:rPr>
                    <w:t>t/a</w:t>
                  </w:r>
                </w:p>
              </w:tc>
              <w:tc>
                <w:tcPr>
                  <w:tcW w:w="2169" w:type="dxa"/>
                  <w:shd w:val="clear" w:color="auto" w:fill="auto"/>
                  <w:vAlign w:val="center"/>
                </w:tcPr>
                <w:p w14:paraId="21CEB917">
                  <w:pPr>
                    <w:jc w:val="center"/>
                    <w:rPr>
                      <w:color w:val="auto"/>
                      <w:szCs w:val="21"/>
                    </w:rPr>
                  </w:pPr>
                  <w:r>
                    <w:rPr>
                      <w:rFonts w:hint="eastAsia"/>
                      <w:color w:val="auto"/>
                      <w:szCs w:val="21"/>
                    </w:rPr>
                    <w:t>回用于生产</w:t>
                  </w:r>
                </w:p>
              </w:tc>
              <w:tc>
                <w:tcPr>
                  <w:tcW w:w="929" w:type="dxa"/>
                  <w:shd w:val="clear" w:color="auto" w:fill="auto"/>
                  <w:vAlign w:val="center"/>
                </w:tcPr>
                <w:p w14:paraId="7805D2DB">
                  <w:pPr>
                    <w:jc w:val="center"/>
                    <w:rPr>
                      <w:color w:val="auto"/>
                      <w:szCs w:val="21"/>
                    </w:rPr>
                  </w:pPr>
                  <w:r>
                    <w:rPr>
                      <w:rFonts w:hint="eastAsia"/>
                      <w:color w:val="auto"/>
                      <w:szCs w:val="21"/>
                      <w:lang w:val="en-US" w:eastAsia="zh-CN"/>
                    </w:rPr>
                    <w:t>9.5218</w:t>
                  </w:r>
                  <w:r>
                    <w:rPr>
                      <w:color w:val="auto"/>
                      <w:szCs w:val="21"/>
                    </w:rPr>
                    <w:t>t/a</w:t>
                  </w:r>
                </w:p>
              </w:tc>
            </w:tr>
            <w:tr w14:paraId="175C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 w:hRule="atLeast"/>
                <w:jc w:val="center"/>
              </w:trPr>
              <w:tc>
                <w:tcPr>
                  <w:tcW w:w="978" w:type="dxa"/>
                  <w:shd w:val="clear" w:color="auto" w:fill="auto"/>
                  <w:vAlign w:val="center"/>
                </w:tcPr>
                <w:p w14:paraId="764C1F7F">
                  <w:pPr>
                    <w:jc w:val="center"/>
                    <w:rPr>
                      <w:rFonts w:hint="default" w:cs="Times New Roman"/>
                      <w:color w:val="auto"/>
                      <w:lang w:val="en-US" w:eastAsia="zh-CN"/>
                    </w:rPr>
                  </w:pPr>
                  <w:r>
                    <w:rPr>
                      <w:rFonts w:hint="eastAsia" w:cs="Times New Roman"/>
                      <w:color w:val="auto"/>
                      <w:lang w:val="en-US" w:eastAsia="zh-CN"/>
                    </w:rPr>
                    <w:t>烘干</w:t>
                  </w:r>
                </w:p>
              </w:tc>
              <w:tc>
                <w:tcPr>
                  <w:tcW w:w="756" w:type="dxa"/>
                  <w:shd w:val="clear" w:color="auto" w:fill="auto"/>
                  <w:vAlign w:val="center"/>
                </w:tcPr>
                <w:p w14:paraId="22047761">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516A2BAE">
                  <w:pPr>
                    <w:jc w:val="center"/>
                    <w:rPr>
                      <w:rFonts w:hint="default" w:cs="Times New Roman"/>
                      <w:color w:val="auto"/>
                      <w:lang w:val="en-US" w:eastAsia="zh-CN"/>
                    </w:rPr>
                  </w:pPr>
                  <w:r>
                    <w:rPr>
                      <w:rFonts w:hint="eastAsia" w:cs="Times New Roman"/>
                      <w:color w:val="auto"/>
                      <w:lang w:val="en-US" w:eastAsia="zh-CN"/>
                    </w:rPr>
                    <w:t>炉渣</w:t>
                  </w:r>
                </w:p>
              </w:tc>
              <w:tc>
                <w:tcPr>
                  <w:tcW w:w="540" w:type="dxa"/>
                  <w:vMerge w:val="continue"/>
                  <w:shd w:val="clear" w:color="auto" w:fill="auto"/>
                  <w:vAlign w:val="center"/>
                </w:tcPr>
                <w:p w14:paraId="40DF05A7">
                  <w:pPr>
                    <w:jc w:val="center"/>
                    <w:rPr>
                      <w:rFonts w:hint="eastAsia" w:cs="Times New Roman"/>
                      <w:color w:val="auto"/>
                      <w:lang w:val="en-US" w:eastAsia="zh-CN"/>
                    </w:rPr>
                  </w:pPr>
                </w:p>
              </w:tc>
              <w:tc>
                <w:tcPr>
                  <w:tcW w:w="1180" w:type="dxa"/>
                  <w:shd w:val="clear" w:color="auto" w:fill="auto"/>
                  <w:vAlign w:val="center"/>
                </w:tcPr>
                <w:p w14:paraId="2FC30165">
                  <w:pPr>
                    <w:jc w:val="center"/>
                    <w:rPr>
                      <w:rFonts w:hint="eastAsia" w:cs="Times New Roman"/>
                      <w:color w:val="auto"/>
                      <w:lang w:val="en-US" w:eastAsia="zh-CN"/>
                    </w:rPr>
                  </w:pPr>
                  <w:r>
                    <w:rPr>
                      <w:color w:val="auto"/>
                      <w:szCs w:val="21"/>
                    </w:rPr>
                    <w:t>类比法</w:t>
                  </w:r>
                </w:p>
              </w:tc>
              <w:tc>
                <w:tcPr>
                  <w:tcW w:w="867" w:type="dxa"/>
                  <w:shd w:val="clear" w:color="auto" w:fill="auto"/>
                  <w:vAlign w:val="center"/>
                </w:tcPr>
                <w:p w14:paraId="53DA260C">
                  <w:pPr>
                    <w:jc w:val="center"/>
                    <w:rPr>
                      <w:rFonts w:hint="default" w:cs="Times New Roman"/>
                      <w:color w:val="auto"/>
                      <w:lang w:val="en-US" w:eastAsia="zh-CN"/>
                    </w:rPr>
                  </w:pPr>
                  <w:r>
                    <w:rPr>
                      <w:rFonts w:hint="eastAsia" w:cs="Times New Roman"/>
                      <w:color w:val="auto"/>
                      <w:lang w:val="en-US" w:eastAsia="zh-CN"/>
                    </w:rPr>
                    <w:t>37.1</w:t>
                  </w:r>
                  <w:r>
                    <w:rPr>
                      <w:color w:val="auto"/>
                      <w:szCs w:val="21"/>
                    </w:rPr>
                    <w:t>t/a</w:t>
                  </w:r>
                </w:p>
              </w:tc>
              <w:tc>
                <w:tcPr>
                  <w:tcW w:w="2169" w:type="dxa"/>
                  <w:shd w:val="clear" w:color="auto" w:fill="auto"/>
                  <w:vAlign w:val="center"/>
                </w:tcPr>
                <w:p w14:paraId="482034CE">
                  <w:pPr>
                    <w:jc w:val="center"/>
                    <w:rPr>
                      <w:rFonts w:hint="eastAsia" w:cs="Times New Roman"/>
                      <w:color w:val="auto"/>
                      <w:lang w:val="en-US" w:eastAsia="zh-CN"/>
                    </w:rPr>
                  </w:pPr>
                  <w:r>
                    <w:rPr>
                      <w:rFonts w:hint="eastAsia" w:cs="Times New Roman"/>
                      <w:color w:val="auto"/>
                      <w:lang w:val="en-US" w:eastAsia="zh-CN"/>
                    </w:rPr>
                    <w:t>作为农肥处理</w:t>
                  </w:r>
                </w:p>
              </w:tc>
              <w:tc>
                <w:tcPr>
                  <w:tcW w:w="929" w:type="dxa"/>
                  <w:shd w:val="clear" w:color="auto" w:fill="auto"/>
                  <w:vAlign w:val="center"/>
                </w:tcPr>
                <w:p w14:paraId="179CD219">
                  <w:pPr>
                    <w:jc w:val="center"/>
                    <w:rPr>
                      <w:rFonts w:hint="eastAsia" w:cs="Times New Roman"/>
                      <w:color w:val="auto"/>
                      <w:lang w:val="en-US" w:eastAsia="zh-CN"/>
                    </w:rPr>
                  </w:pPr>
                  <w:r>
                    <w:rPr>
                      <w:rFonts w:hint="eastAsia" w:cs="Times New Roman"/>
                      <w:color w:val="auto"/>
                      <w:lang w:val="en-US" w:eastAsia="zh-CN"/>
                    </w:rPr>
                    <w:t>37.1</w:t>
                  </w:r>
                  <w:r>
                    <w:rPr>
                      <w:color w:val="auto"/>
                      <w:szCs w:val="21"/>
                    </w:rPr>
                    <w:t>t/a</w:t>
                  </w:r>
                </w:p>
              </w:tc>
            </w:tr>
            <w:tr w14:paraId="333A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 w:hRule="atLeast"/>
                <w:jc w:val="center"/>
              </w:trPr>
              <w:tc>
                <w:tcPr>
                  <w:tcW w:w="978" w:type="dxa"/>
                  <w:shd w:val="clear" w:color="auto" w:fill="auto"/>
                  <w:vAlign w:val="center"/>
                </w:tcPr>
                <w:p w14:paraId="66D7F8A4">
                  <w:pPr>
                    <w:jc w:val="center"/>
                    <w:rPr>
                      <w:rFonts w:hint="default" w:cs="Times New Roman"/>
                      <w:color w:val="auto"/>
                      <w:lang w:val="en-US" w:eastAsia="zh-CN"/>
                    </w:rPr>
                  </w:pPr>
                  <w:r>
                    <w:rPr>
                      <w:rFonts w:hint="eastAsia" w:cs="Times New Roman"/>
                      <w:color w:val="auto"/>
                      <w:lang w:val="en-US" w:eastAsia="zh-CN"/>
                    </w:rPr>
                    <w:t>机加工</w:t>
                  </w:r>
                </w:p>
              </w:tc>
              <w:tc>
                <w:tcPr>
                  <w:tcW w:w="756" w:type="dxa"/>
                  <w:shd w:val="clear" w:color="auto" w:fill="auto"/>
                  <w:vAlign w:val="center"/>
                </w:tcPr>
                <w:p w14:paraId="72E5BB85">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09CC3C0F">
                  <w:pPr>
                    <w:jc w:val="center"/>
                    <w:rPr>
                      <w:rFonts w:hint="default" w:cs="Times New Roman"/>
                      <w:color w:val="auto"/>
                      <w:lang w:val="en-US" w:eastAsia="zh-CN"/>
                    </w:rPr>
                  </w:pPr>
                  <w:r>
                    <w:rPr>
                      <w:rFonts w:hint="eastAsia" w:cs="Times New Roman"/>
                      <w:color w:val="auto"/>
                      <w:lang w:val="en-US" w:eastAsia="zh-CN"/>
                    </w:rPr>
                    <w:t>边角料</w:t>
                  </w:r>
                </w:p>
              </w:tc>
              <w:tc>
                <w:tcPr>
                  <w:tcW w:w="540" w:type="dxa"/>
                  <w:vMerge w:val="continue"/>
                  <w:shd w:val="clear" w:color="auto" w:fill="auto"/>
                  <w:vAlign w:val="center"/>
                </w:tcPr>
                <w:p w14:paraId="4F73F555">
                  <w:pPr>
                    <w:jc w:val="center"/>
                    <w:rPr>
                      <w:rFonts w:hint="eastAsia" w:cs="Times New Roman"/>
                      <w:color w:val="auto"/>
                      <w:lang w:val="en-US" w:eastAsia="zh-CN"/>
                    </w:rPr>
                  </w:pPr>
                </w:p>
              </w:tc>
              <w:tc>
                <w:tcPr>
                  <w:tcW w:w="1180" w:type="dxa"/>
                  <w:shd w:val="clear" w:color="auto" w:fill="auto"/>
                  <w:vAlign w:val="center"/>
                </w:tcPr>
                <w:p w14:paraId="40979AF5">
                  <w:pPr>
                    <w:jc w:val="center"/>
                    <w:rPr>
                      <w:rFonts w:hint="eastAsia" w:cs="Times New Roman"/>
                      <w:color w:val="auto"/>
                      <w:lang w:val="en-US" w:eastAsia="zh-CN"/>
                    </w:rPr>
                  </w:pPr>
                  <w:r>
                    <w:rPr>
                      <w:color w:val="auto"/>
                      <w:szCs w:val="21"/>
                    </w:rPr>
                    <w:t>类比法</w:t>
                  </w:r>
                </w:p>
              </w:tc>
              <w:tc>
                <w:tcPr>
                  <w:tcW w:w="867" w:type="dxa"/>
                  <w:shd w:val="clear" w:color="auto" w:fill="auto"/>
                  <w:vAlign w:val="center"/>
                </w:tcPr>
                <w:p w14:paraId="10DBE643">
                  <w:pPr>
                    <w:jc w:val="center"/>
                    <w:rPr>
                      <w:rFonts w:hint="default" w:cs="Times New Roman"/>
                      <w:color w:val="auto"/>
                      <w:lang w:val="en-US" w:eastAsia="zh-CN"/>
                    </w:rPr>
                  </w:pPr>
                  <w:r>
                    <w:rPr>
                      <w:rFonts w:hint="eastAsia" w:cs="Times New Roman"/>
                      <w:color w:val="auto"/>
                      <w:lang w:val="en-US" w:eastAsia="zh-CN"/>
                    </w:rPr>
                    <w:t>50</w:t>
                  </w:r>
                  <w:r>
                    <w:rPr>
                      <w:color w:val="auto"/>
                      <w:szCs w:val="21"/>
                    </w:rPr>
                    <w:t>t/a</w:t>
                  </w:r>
                </w:p>
              </w:tc>
              <w:tc>
                <w:tcPr>
                  <w:tcW w:w="2169" w:type="dxa"/>
                  <w:shd w:val="clear" w:color="auto" w:fill="auto"/>
                  <w:vAlign w:val="center"/>
                </w:tcPr>
                <w:p w14:paraId="3E70ACC0">
                  <w:pPr>
                    <w:jc w:val="center"/>
                    <w:rPr>
                      <w:rFonts w:hint="eastAsia" w:cs="Times New Roman"/>
                      <w:color w:val="auto"/>
                      <w:lang w:val="en-US" w:eastAsia="zh-CN"/>
                    </w:rPr>
                  </w:pPr>
                  <w:r>
                    <w:rPr>
                      <w:rFonts w:hint="eastAsia"/>
                      <w:color w:val="auto"/>
                      <w:szCs w:val="21"/>
                    </w:rPr>
                    <w:t>回用于生产</w:t>
                  </w:r>
                </w:p>
              </w:tc>
              <w:tc>
                <w:tcPr>
                  <w:tcW w:w="929" w:type="dxa"/>
                  <w:shd w:val="clear" w:color="auto" w:fill="auto"/>
                  <w:vAlign w:val="center"/>
                </w:tcPr>
                <w:p w14:paraId="24E72707">
                  <w:pPr>
                    <w:jc w:val="center"/>
                    <w:rPr>
                      <w:rFonts w:hint="eastAsia" w:cs="Times New Roman"/>
                      <w:color w:val="auto"/>
                      <w:lang w:val="en-US" w:eastAsia="zh-CN"/>
                    </w:rPr>
                  </w:pPr>
                  <w:r>
                    <w:rPr>
                      <w:rFonts w:hint="eastAsia" w:cs="Times New Roman"/>
                      <w:color w:val="auto"/>
                      <w:lang w:val="en-US" w:eastAsia="zh-CN"/>
                    </w:rPr>
                    <w:t>50</w:t>
                  </w:r>
                  <w:r>
                    <w:rPr>
                      <w:color w:val="auto"/>
                      <w:szCs w:val="21"/>
                    </w:rPr>
                    <w:t>t/a</w:t>
                  </w:r>
                </w:p>
              </w:tc>
            </w:tr>
            <w:tr w14:paraId="734A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 w:hRule="atLeast"/>
                <w:jc w:val="center"/>
              </w:trPr>
              <w:tc>
                <w:tcPr>
                  <w:tcW w:w="978" w:type="dxa"/>
                  <w:shd w:val="clear" w:color="auto" w:fill="auto"/>
                  <w:vAlign w:val="center"/>
                </w:tcPr>
                <w:p w14:paraId="3A2FB2C2">
                  <w:pPr>
                    <w:jc w:val="center"/>
                    <w:rPr>
                      <w:rFonts w:hint="default" w:cs="Times New Roman"/>
                      <w:color w:val="auto"/>
                      <w:lang w:val="en-US" w:eastAsia="zh-CN"/>
                    </w:rPr>
                  </w:pPr>
                  <w:r>
                    <w:rPr>
                      <w:rFonts w:hint="eastAsia" w:cs="Times New Roman"/>
                      <w:color w:val="auto"/>
                      <w:lang w:val="en-US" w:eastAsia="zh-CN"/>
                    </w:rPr>
                    <w:t>烘干</w:t>
                  </w:r>
                </w:p>
              </w:tc>
              <w:tc>
                <w:tcPr>
                  <w:tcW w:w="756" w:type="dxa"/>
                  <w:shd w:val="clear" w:color="auto" w:fill="auto"/>
                  <w:vAlign w:val="center"/>
                </w:tcPr>
                <w:p w14:paraId="4303B1FE">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134C8A95">
                  <w:pPr>
                    <w:jc w:val="center"/>
                    <w:rPr>
                      <w:rFonts w:hint="default" w:cs="Times New Roman"/>
                      <w:color w:val="auto"/>
                      <w:lang w:val="en-US" w:eastAsia="zh-CN"/>
                    </w:rPr>
                  </w:pPr>
                  <w:r>
                    <w:rPr>
                      <w:rFonts w:hint="eastAsia" w:cs="Times New Roman"/>
                      <w:color w:val="auto"/>
                      <w:lang w:val="en-US" w:eastAsia="zh-CN"/>
                    </w:rPr>
                    <w:t>废树脂</w:t>
                  </w:r>
                </w:p>
              </w:tc>
              <w:tc>
                <w:tcPr>
                  <w:tcW w:w="540" w:type="dxa"/>
                  <w:vMerge w:val="continue"/>
                  <w:shd w:val="clear" w:color="auto" w:fill="auto"/>
                  <w:vAlign w:val="center"/>
                </w:tcPr>
                <w:p w14:paraId="45EE94D3">
                  <w:pPr>
                    <w:jc w:val="center"/>
                    <w:rPr>
                      <w:rFonts w:hint="eastAsia" w:cs="Times New Roman"/>
                      <w:color w:val="auto"/>
                      <w:lang w:val="en-US" w:eastAsia="zh-CN"/>
                    </w:rPr>
                  </w:pPr>
                </w:p>
              </w:tc>
              <w:tc>
                <w:tcPr>
                  <w:tcW w:w="1180" w:type="dxa"/>
                  <w:shd w:val="clear" w:color="auto" w:fill="auto"/>
                  <w:vAlign w:val="center"/>
                </w:tcPr>
                <w:p w14:paraId="252EB9E7">
                  <w:pPr>
                    <w:jc w:val="center"/>
                    <w:rPr>
                      <w:rFonts w:hint="eastAsia" w:ascii="Times New Roman" w:hAnsi="Times New Roman" w:eastAsia="宋体" w:cs="Times New Roman"/>
                      <w:color w:val="auto"/>
                      <w:kern w:val="2"/>
                      <w:sz w:val="21"/>
                      <w:szCs w:val="24"/>
                      <w:lang w:val="en-US" w:eastAsia="zh-CN" w:bidi="ar-SA"/>
                    </w:rPr>
                  </w:pPr>
                  <w:r>
                    <w:rPr>
                      <w:color w:val="auto"/>
                      <w:szCs w:val="21"/>
                    </w:rPr>
                    <w:t>类比法</w:t>
                  </w:r>
                </w:p>
              </w:tc>
              <w:tc>
                <w:tcPr>
                  <w:tcW w:w="867" w:type="dxa"/>
                  <w:shd w:val="clear" w:color="auto" w:fill="auto"/>
                  <w:vAlign w:val="center"/>
                </w:tcPr>
                <w:p w14:paraId="4DA92C77">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0.65</w:t>
                  </w:r>
                  <w:r>
                    <w:rPr>
                      <w:color w:val="auto"/>
                      <w:szCs w:val="21"/>
                    </w:rPr>
                    <w:t>t/a</w:t>
                  </w:r>
                </w:p>
              </w:tc>
              <w:tc>
                <w:tcPr>
                  <w:tcW w:w="2169" w:type="dxa"/>
                  <w:shd w:val="clear" w:color="auto" w:fill="auto"/>
                  <w:vAlign w:val="center"/>
                </w:tcPr>
                <w:p w14:paraId="1FF3DB5D">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rPr>
                    <w:t>外售给资源回收公司</w:t>
                  </w:r>
                </w:p>
              </w:tc>
              <w:tc>
                <w:tcPr>
                  <w:tcW w:w="929" w:type="dxa"/>
                  <w:shd w:val="clear" w:color="auto" w:fill="auto"/>
                  <w:vAlign w:val="center"/>
                </w:tcPr>
                <w:p w14:paraId="7FC129CF">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0.65</w:t>
                  </w:r>
                  <w:r>
                    <w:rPr>
                      <w:color w:val="auto"/>
                      <w:szCs w:val="21"/>
                    </w:rPr>
                    <w:t>t/a</w:t>
                  </w:r>
                </w:p>
              </w:tc>
            </w:tr>
            <w:tr w14:paraId="5A90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restart"/>
                  <w:shd w:val="clear" w:color="auto" w:fill="auto"/>
                  <w:vAlign w:val="center"/>
                </w:tcPr>
                <w:p w14:paraId="7C76B53D">
                  <w:pPr>
                    <w:jc w:val="center"/>
                    <w:rPr>
                      <w:color w:val="auto"/>
                      <w:szCs w:val="21"/>
                    </w:rPr>
                  </w:pPr>
                  <w:r>
                    <w:rPr>
                      <w:rFonts w:hint="eastAsia"/>
                      <w:color w:val="auto"/>
                      <w:szCs w:val="21"/>
                    </w:rPr>
                    <w:t>设备维护</w:t>
                  </w:r>
                </w:p>
              </w:tc>
              <w:tc>
                <w:tcPr>
                  <w:tcW w:w="756" w:type="dxa"/>
                  <w:shd w:val="clear" w:color="auto" w:fill="auto"/>
                  <w:vAlign w:val="center"/>
                </w:tcPr>
                <w:p w14:paraId="1885719C">
                  <w:pPr>
                    <w:jc w:val="center"/>
                    <w:rPr>
                      <w:color w:val="auto"/>
                      <w:szCs w:val="21"/>
                    </w:rPr>
                  </w:pPr>
                  <w:r>
                    <w:rPr>
                      <w:rFonts w:hint="eastAsia"/>
                      <w:color w:val="auto"/>
                      <w:szCs w:val="21"/>
                    </w:rPr>
                    <w:t>/</w:t>
                  </w:r>
                </w:p>
              </w:tc>
              <w:tc>
                <w:tcPr>
                  <w:tcW w:w="1402" w:type="dxa"/>
                  <w:shd w:val="clear" w:color="auto" w:fill="auto"/>
                  <w:vAlign w:val="center"/>
                </w:tcPr>
                <w:p w14:paraId="5BCFE8A6">
                  <w:pPr>
                    <w:pStyle w:val="83"/>
                    <w:ind w:left="0" w:firstLine="0"/>
                    <w:rPr>
                      <w:rFonts w:ascii="Times New Roman" w:hAnsi="Times New Roman" w:cs="Times New Roman"/>
                      <w:color w:val="auto"/>
                      <w:lang w:val="en-US" w:bidi="ar-SA"/>
                    </w:rPr>
                  </w:pPr>
                  <w:r>
                    <w:rPr>
                      <w:rFonts w:hint="eastAsia" w:cs="Times New Roman"/>
                      <w:color w:val="auto"/>
                      <w:lang w:val="en-US"/>
                    </w:rPr>
                    <w:t>废润滑油</w:t>
                  </w:r>
                </w:p>
              </w:tc>
              <w:tc>
                <w:tcPr>
                  <w:tcW w:w="540" w:type="dxa"/>
                  <w:vMerge w:val="restart"/>
                  <w:shd w:val="clear" w:color="auto" w:fill="auto"/>
                  <w:vAlign w:val="center"/>
                </w:tcPr>
                <w:p w14:paraId="2722879C">
                  <w:pPr>
                    <w:jc w:val="center"/>
                    <w:rPr>
                      <w:rFonts w:hint="default" w:eastAsia="宋体"/>
                      <w:color w:val="auto"/>
                      <w:szCs w:val="21"/>
                      <w:lang w:val="en-US" w:eastAsia="zh-CN"/>
                    </w:rPr>
                  </w:pPr>
                  <w:r>
                    <w:rPr>
                      <w:rFonts w:hint="eastAsia"/>
                      <w:color w:val="auto"/>
                      <w:szCs w:val="21"/>
                      <w:lang w:val="en-US" w:eastAsia="zh-CN"/>
                    </w:rPr>
                    <w:t>危险废物</w:t>
                  </w:r>
                </w:p>
              </w:tc>
              <w:tc>
                <w:tcPr>
                  <w:tcW w:w="1180" w:type="dxa"/>
                  <w:shd w:val="clear" w:color="auto" w:fill="auto"/>
                  <w:vAlign w:val="center"/>
                </w:tcPr>
                <w:p w14:paraId="37684F1D">
                  <w:pPr>
                    <w:jc w:val="center"/>
                    <w:rPr>
                      <w:color w:val="auto"/>
                      <w:szCs w:val="21"/>
                    </w:rPr>
                  </w:pPr>
                  <w:r>
                    <w:rPr>
                      <w:color w:val="auto"/>
                      <w:szCs w:val="21"/>
                    </w:rPr>
                    <w:t>类比法</w:t>
                  </w:r>
                </w:p>
              </w:tc>
              <w:tc>
                <w:tcPr>
                  <w:tcW w:w="867" w:type="dxa"/>
                  <w:shd w:val="clear" w:color="auto" w:fill="auto"/>
                  <w:vAlign w:val="center"/>
                </w:tcPr>
                <w:p w14:paraId="1B86ADB2">
                  <w:pPr>
                    <w:jc w:val="center"/>
                    <w:rPr>
                      <w:color w:val="auto"/>
                      <w:szCs w:val="21"/>
                    </w:rPr>
                  </w:pPr>
                  <w:r>
                    <w:rPr>
                      <w:rFonts w:hint="eastAsia"/>
                      <w:color w:val="auto"/>
                      <w:szCs w:val="21"/>
                    </w:rPr>
                    <w:t>20kg</w:t>
                  </w:r>
                  <w:r>
                    <w:rPr>
                      <w:color w:val="auto"/>
                      <w:szCs w:val="21"/>
                    </w:rPr>
                    <w:t>/a</w:t>
                  </w:r>
                </w:p>
              </w:tc>
              <w:tc>
                <w:tcPr>
                  <w:tcW w:w="2169" w:type="dxa"/>
                  <w:shd w:val="clear" w:color="auto" w:fill="auto"/>
                  <w:vAlign w:val="center"/>
                </w:tcPr>
                <w:p w14:paraId="0DDC5365">
                  <w:pPr>
                    <w:jc w:val="center"/>
                    <w:rPr>
                      <w:color w:val="auto"/>
                      <w:szCs w:val="21"/>
                    </w:rPr>
                  </w:pPr>
                  <w:r>
                    <w:rPr>
                      <w:color w:val="auto"/>
                      <w:szCs w:val="21"/>
                    </w:rPr>
                    <w:t>交由有资质单位处理</w:t>
                  </w:r>
                </w:p>
              </w:tc>
              <w:tc>
                <w:tcPr>
                  <w:tcW w:w="929" w:type="dxa"/>
                  <w:shd w:val="clear" w:color="auto" w:fill="auto"/>
                  <w:vAlign w:val="center"/>
                </w:tcPr>
                <w:p w14:paraId="435ADF70">
                  <w:pPr>
                    <w:jc w:val="center"/>
                    <w:rPr>
                      <w:color w:val="auto"/>
                      <w:szCs w:val="21"/>
                    </w:rPr>
                  </w:pPr>
                  <w:r>
                    <w:rPr>
                      <w:rFonts w:hint="eastAsia"/>
                      <w:color w:val="auto"/>
                      <w:szCs w:val="21"/>
                    </w:rPr>
                    <w:t>20kg</w:t>
                  </w:r>
                  <w:r>
                    <w:rPr>
                      <w:color w:val="auto"/>
                      <w:szCs w:val="21"/>
                    </w:rPr>
                    <w:t>/a</w:t>
                  </w:r>
                </w:p>
              </w:tc>
            </w:tr>
            <w:tr w14:paraId="2E6B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continue"/>
                  <w:shd w:val="clear" w:color="auto" w:fill="auto"/>
                  <w:vAlign w:val="center"/>
                </w:tcPr>
                <w:p w14:paraId="5937044F">
                  <w:pPr>
                    <w:jc w:val="center"/>
                    <w:rPr>
                      <w:color w:val="auto"/>
                      <w:szCs w:val="21"/>
                    </w:rPr>
                  </w:pPr>
                </w:p>
              </w:tc>
              <w:tc>
                <w:tcPr>
                  <w:tcW w:w="756" w:type="dxa"/>
                  <w:shd w:val="clear" w:color="auto" w:fill="auto"/>
                  <w:vAlign w:val="center"/>
                </w:tcPr>
                <w:p w14:paraId="1811C6D1">
                  <w:pPr>
                    <w:jc w:val="center"/>
                    <w:rPr>
                      <w:color w:val="auto"/>
                      <w:szCs w:val="21"/>
                    </w:rPr>
                  </w:pPr>
                  <w:r>
                    <w:rPr>
                      <w:rFonts w:hint="eastAsia"/>
                      <w:color w:val="auto"/>
                      <w:szCs w:val="21"/>
                    </w:rPr>
                    <w:t>/</w:t>
                  </w:r>
                </w:p>
              </w:tc>
              <w:tc>
                <w:tcPr>
                  <w:tcW w:w="1402" w:type="dxa"/>
                  <w:shd w:val="clear" w:color="auto" w:fill="auto"/>
                  <w:vAlign w:val="center"/>
                </w:tcPr>
                <w:p w14:paraId="1D20FEFF">
                  <w:pPr>
                    <w:pStyle w:val="83"/>
                    <w:ind w:left="0" w:firstLine="0"/>
                    <w:rPr>
                      <w:rFonts w:ascii="Times New Roman" w:hAnsi="Times New Roman" w:cs="Times New Roman"/>
                      <w:color w:val="auto"/>
                      <w:lang w:val="en-US" w:bidi="ar-SA"/>
                    </w:rPr>
                  </w:pPr>
                  <w:r>
                    <w:rPr>
                      <w:rFonts w:hint="eastAsia" w:cs="Times New Roman"/>
                      <w:color w:val="auto"/>
                      <w:lang w:val="en-US"/>
                    </w:rPr>
                    <w:t>废润滑油桶</w:t>
                  </w:r>
                </w:p>
              </w:tc>
              <w:tc>
                <w:tcPr>
                  <w:tcW w:w="540" w:type="dxa"/>
                  <w:vMerge w:val="continue"/>
                  <w:shd w:val="clear" w:color="auto" w:fill="auto"/>
                  <w:vAlign w:val="center"/>
                </w:tcPr>
                <w:p w14:paraId="1E6420C7">
                  <w:pPr>
                    <w:jc w:val="center"/>
                    <w:rPr>
                      <w:color w:val="auto"/>
                      <w:szCs w:val="21"/>
                    </w:rPr>
                  </w:pPr>
                </w:p>
              </w:tc>
              <w:tc>
                <w:tcPr>
                  <w:tcW w:w="1180" w:type="dxa"/>
                  <w:shd w:val="clear" w:color="auto" w:fill="auto"/>
                  <w:vAlign w:val="center"/>
                </w:tcPr>
                <w:p w14:paraId="74F98394">
                  <w:pPr>
                    <w:jc w:val="center"/>
                    <w:rPr>
                      <w:color w:val="auto"/>
                      <w:szCs w:val="21"/>
                    </w:rPr>
                  </w:pPr>
                  <w:r>
                    <w:rPr>
                      <w:color w:val="auto"/>
                      <w:szCs w:val="21"/>
                    </w:rPr>
                    <w:t>类比法</w:t>
                  </w:r>
                </w:p>
              </w:tc>
              <w:tc>
                <w:tcPr>
                  <w:tcW w:w="867" w:type="dxa"/>
                  <w:shd w:val="clear" w:color="auto" w:fill="auto"/>
                  <w:vAlign w:val="center"/>
                </w:tcPr>
                <w:p w14:paraId="603E4DB9">
                  <w:pPr>
                    <w:jc w:val="center"/>
                    <w:rPr>
                      <w:color w:val="auto"/>
                      <w:szCs w:val="21"/>
                    </w:rPr>
                  </w:pPr>
                  <w:r>
                    <w:rPr>
                      <w:rFonts w:hint="eastAsia"/>
                      <w:color w:val="auto"/>
                      <w:szCs w:val="21"/>
                    </w:rPr>
                    <w:t>25.6kg</w:t>
                  </w:r>
                  <w:r>
                    <w:rPr>
                      <w:color w:val="auto"/>
                      <w:szCs w:val="21"/>
                    </w:rPr>
                    <w:t>/a</w:t>
                  </w:r>
                </w:p>
              </w:tc>
              <w:tc>
                <w:tcPr>
                  <w:tcW w:w="2169" w:type="dxa"/>
                  <w:shd w:val="clear" w:color="auto" w:fill="auto"/>
                  <w:vAlign w:val="center"/>
                </w:tcPr>
                <w:p w14:paraId="6BAE0EA1">
                  <w:pPr>
                    <w:jc w:val="center"/>
                    <w:rPr>
                      <w:color w:val="auto"/>
                      <w:szCs w:val="21"/>
                    </w:rPr>
                  </w:pPr>
                  <w:r>
                    <w:rPr>
                      <w:color w:val="auto"/>
                      <w:szCs w:val="21"/>
                    </w:rPr>
                    <w:t>交由有资质单位处理</w:t>
                  </w:r>
                </w:p>
              </w:tc>
              <w:tc>
                <w:tcPr>
                  <w:tcW w:w="929" w:type="dxa"/>
                  <w:shd w:val="clear" w:color="auto" w:fill="auto"/>
                  <w:vAlign w:val="center"/>
                </w:tcPr>
                <w:p w14:paraId="72C1810B">
                  <w:pPr>
                    <w:jc w:val="center"/>
                    <w:rPr>
                      <w:color w:val="auto"/>
                      <w:szCs w:val="21"/>
                    </w:rPr>
                  </w:pPr>
                  <w:r>
                    <w:rPr>
                      <w:rFonts w:hint="eastAsia"/>
                      <w:color w:val="auto"/>
                      <w:szCs w:val="21"/>
                    </w:rPr>
                    <w:t>25.6kg</w:t>
                  </w:r>
                  <w:r>
                    <w:rPr>
                      <w:color w:val="auto"/>
                      <w:szCs w:val="21"/>
                    </w:rPr>
                    <w:t>/a</w:t>
                  </w:r>
                </w:p>
              </w:tc>
            </w:tr>
          </w:tbl>
          <w:p w14:paraId="1CE27D92">
            <w:pPr>
              <w:widowControl/>
              <w:adjustRightInd w:val="0"/>
              <w:snapToGrid w:val="0"/>
              <w:spacing w:line="360" w:lineRule="auto"/>
              <w:contextualSpacing/>
              <w:jc w:val="center"/>
              <w:rPr>
                <w:b/>
                <w:color w:val="auto"/>
                <w:kern w:val="0"/>
                <w:sz w:val="24"/>
              </w:rPr>
            </w:pPr>
            <w:r>
              <w:rPr>
                <w:b/>
                <w:color w:val="auto"/>
                <w:kern w:val="0"/>
                <w:sz w:val="24"/>
              </w:rPr>
              <w:t>表4-</w:t>
            </w:r>
            <w:r>
              <w:rPr>
                <w:rFonts w:hint="eastAsia"/>
                <w:b/>
                <w:color w:val="auto"/>
                <w:kern w:val="0"/>
                <w:sz w:val="24"/>
              </w:rPr>
              <w:t>20</w:t>
            </w:r>
            <w:r>
              <w:rPr>
                <w:b/>
                <w:color w:val="auto"/>
                <w:kern w:val="0"/>
                <w:sz w:val="24"/>
              </w:rPr>
              <w:t xml:space="preserve">  项目运营期危险废物汇总表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10"/>
              <w:gridCol w:w="774"/>
              <w:gridCol w:w="1085"/>
              <w:gridCol w:w="1005"/>
              <w:gridCol w:w="728"/>
              <w:gridCol w:w="487"/>
              <w:gridCol w:w="980"/>
              <w:gridCol w:w="948"/>
              <w:gridCol w:w="527"/>
              <w:gridCol w:w="464"/>
              <w:gridCol w:w="682"/>
            </w:tblGrid>
            <w:tr w14:paraId="5763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64532496">
                  <w:pPr>
                    <w:jc w:val="center"/>
                    <w:rPr>
                      <w:b/>
                      <w:bCs/>
                      <w:color w:val="auto"/>
                      <w:szCs w:val="21"/>
                    </w:rPr>
                  </w:pPr>
                  <w:r>
                    <w:rPr>
                      <w:b/>
                      <w:bCs/>
                      <w:color w:val="auto"/>
                      <w:szCs w:val="21"/>
                    </w:rPr>
                    <w:t>序号</w:t>
                  </w:r>
                </w:p>
              </w:tc>
              <w:tc>
                <w:tcPr>
                  <w:tcW w:w="710" w:type="dxa"/>
                  <w:vAlign w:val="center"/>
                </w:tcPr>
                <w:p w14:paraId="2BED8AD8">
                  <w:pPr>
                    <w:jc w:val="center"/>
                    <w:rPr>
                      <w:b/>
                      <w:bCs/>
                      <w:color w:val="auto"/>
                      <w:szCs w:val="21"/>
                    </w:rPr>
                  </w:pPr>
                  <w:r>
                    <w:rPr>
                      <w:b/>
                      <w:bCs/>
                      <w:color w:val="auto"/>
                      <w:szCs w:val="21"/>
                    </w:rPr>
                    <w:t>危险废物名称</w:t>
                  </w:r>
                </w:p>
              </w:tc>
              <w:tc>
                <w:tcPr>
                  <w:tcW w:w="774" w:type="dxa"/>
                  <w:vAlign w:val="center"/>
                </w:tcPr>
                <w:p w14:paraId="45BA1F82">
                  <w:pPr>
                    <w:jc w:val="center"/>
                    <w:rPr>
                      <w:b/>
                      <w:bCs/>
                      <w:color w:val="auto"/>
                      <w:szCs w:val="21"/>
                    </w:rPr>
                  </w:pPr>
                  <w:r>
                    <w:rPr>
                      <w:b/>
                      <w:bCs/>
                      <w:color w:val="auto"/>
                      <w:szCs w:val="21"/>
                    </w:rPr>
                    <w:t>危险废物类别</w:t>
                  </w:r>
                </w:p>
              </w:tc>
              <w:tc>
                <w:tcPr>
                  <w:tcW w:w="1085" w:type="dxa"/>
                  <w:vAlign w:val="center"/>
                </w:tcPr>
                <w:p w14:paraId="4AE85BB2">
                  <w:pPr>
                    <w:jc w:val="center"/>
                    <w:rPr>
                      <w:b/>
                      <w:bCs/>
                      <w:color w:val="auto"/>
                      <w:szCs w:val="21"/>
                    </w:rPr>
                  </w:pPr>
                  <w:r>
                    <w:rPr>
                      <w:b/>
                      <w:bCs/>
                      <w:color w:val="auto"/>
                      <w:szCs w:val="21"/>
                    </w:rPr>
                    <w:t>危险废物代码</w:t>
                  </w:r>
                </w:p>
              </w:tc>
              <w:tc>
                <w:tcPr>
                  <w:tcW w:w="1005" w:type="dxa"/>
                  <w:vAlign w:val="center"/>
                </w:tcPr>
                <w:p w14:paraId="4C8B9C3A">
                  <w:pPr>
                    <w:jc w:val="center"/>
                    <w:rPr>
                      <w:b/>
                      <w:bCs/>
                      <w:color w:val="auto"/>
                      <w:szCs w:val="21"/>
                    </w:rPr>
                  </w:pPr>
                  <w:r>
                    <w:rPr>
                      <w:b/>
                      <w:bCs/>
                      <w:color w:val="auto"/>
                      <w:szCs w:val="21"/>
                    </w:rPr>
                    <w:t>产生量</w:t>
                  </w:r>
                </w:p>
              </w:tc>
              <w:tc>
                <w:tcPr>
                  <w:tcW w:w="728" w:type="dxa"/>
                  <w:vAlign w:val="center"/>
                </w:tcPr>
                <w:p w14:paraId="7CE6FBF3">
                  <w:pPr>
                    <w:jc w:val="center"/>
                    <w:rPr>
                      <w:b/>
                      <w:bCs/>
                      <w:color w:val="auto"/>
                      <w:szCs w:val="21"/>
                    </w:rPr>
                  </w:pPr>
                  <w:r>
                    <w:rPr>
                      <w:b/>
                      <w:bCs/>
                      <w:color w:val="auto"/>
                      <w:szCs w:val="21"/>
                    </w:rPr>
                    <w:t>产生工序及装置</w:t>
                  </w:r>
                </w:p>
              </w:tc>
              <w:tc>
                <w:tcPr>
                  <w:tcW w:w="487" w:type="dxa"/>
                  <w:vAlign w:val="center"/>
                </w:tcPr>
                <w:p w14:paraId="6B79187C">
                  <w:pPr>
                    <w:jc w:val="center"/>
                    <w:rPr>
                      <w:b/>
                      <w:bCs/>
                      <w:color w:val="auto"/>
                      <w:szCs w:val="21"/>
                    </w:rPr>
                  </w:pPr>
                  <w:r>
                    <w:rPr>
                      <w:b/>
                      <w:bCs/>
                      <w:color w:val="auto"/>
                      <w:szCs w:val="21"/>
                    </w:rPr>
                    <w:t>形态</w:t>
                  </w:r>
                </w:p>
              </w:tc>
              <w:tc>
                <w:tcPr>
                  <w:tcW w:w="980" w:type="dxa"/>
                  <w:vAlign w:val="center"/>
                </w:tcPr>
                <w:p w14:paraId="619D061B">
                  <w:pPr>
                    <w:jc w:val="center"/>
                    <w:rPr>
                      <w:b/>
                      <w:bCs/>
                      <w:color w:val="auto"/>
                      <w:szCs w:val="21"/>
                    </w:rPr>
                  </w:pPr>
                  <w:r>
                    <w:rPr>
                      <w:b/>
                      <w:bCs/>
                      <w:color w:val="auto"/>
                      <w:szCs w:val="21"/>
                    </w:rPr>
                    <w:t>主要成分</w:t>
                  </w:r>
                </w:p>
              </w:tc>
              <w:tc>
                <w:tcPr>
                  <w:tcW w:w="948" w:type="dxa"/>
                  <w:vAlign w:val="center"/>
                </w:tcPr>
                <w:p w14:paraId="7FD58625">
                  <w:pPr>
                    <w:jc w:val="center"/>
                    <w:rPr>
                      <w:b/>
                      <w:bCs/>
                      <w:color w:val="auto"/>
                      <w:szCs w:val="21"/>
                    </w:rPr>
                  </w:pPr>
                  <w:r>
                    <w:rPr>
                      <w:b/>
                      <w:bCs/>
                      <w:color w:val="auto"/>
                      <w:szCs w:val="21"/>
                    </w:rPr>
                    <w:t>有害成分</w:t>
                  </w:r>
                </w:p>
              </w:tc>
              <w:tc>
                <w:tcPr>
                  <w:tcW w:w="527" w:type="dxa"/>
                  <w:vAlign w:val="center"/>
                </w:tcPr>
                <w:p w14:paraId="6AB51F4C">
                  <w:pPr>
                    <w:jc w:val="center"/>
                    <w:rPr>
                      <w:b/>
                      <w:bCs/>
                      <w:color w:val="auto"/>
                      <w:szCs w:val="21"/>
                    </w:rPr>
                  </w:pPr>
                  <w:r>
                    <w:rPr>
                      <w:b/>
                      <w:bCs/>
                      <w:color w:val="auto"/>
                      <w:szCs w:val="21"/>
                    </w:rPr>
                    <w:t>产废周期</w:t>
                  </w:r>
                </w:p>
              </w:tc>
              <w:tc>
                <w:tcPr>
                  <w:tcW w:w="464" w:type="dxa"/>
                  <w:vAlign w:val="center"/>
                </w:tcPr>
                <w:p w14:paraId="59826A38">
                  <w:pPr>
                    <w:jc w:val="center"/>
                    <w:rPr>
                      <w:b/>
                      <w:bCs/>
                      <w:color w:val="auto"/>
                      <w:szCs w:val="21"/>
                    </w:rPr>
                  </w:pPr>
                  <w:r>
                    <w:rPr>
                      <w:b/>
                      <w:bCs/>
                      <w:color w:val="auto"/>
                      <w:szCs w:val="21"/>
                    </w:rPr>
                    <w:t>危险特性</w:t>
                  </w:r>
                </w:p>
              </w:tc>
              <w:tc>
                <w:tcPr>
                  <w:tcW w:w="682" w:type="dxa"/>
                  <w:vAlign w:val="center"/>
                </w:tcPr>
                <w:p w14:paraId="2FC34D35">
                  <w:pPr>
                    <w:jc w:val="center"/>
                    <w:rPr>
                      <w:b/>
                      <w:bCs/>
                      <w:color w:val="auto"/>
                      <w:szCs w:val="21"/>
                    </w:rPr>
                  </w:pPr>
                  <w:r>
                    <w:rPr>
                      <w:b/>
                      <w:bCs/>
                      <w:color w:val="auto"/>
                      <w:szCs w:val="21"/>
                    </w:rPr>
                    <w:t>污染防治措施</w:t>
                  </w:r>
                </w:p>
              </w:tc>
            </w:tr>
            <w:tr w14:paraId="03B5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5B15AAD6">
                  <w:pPr>
                    <w:jc w:val="center"/>
                    <w:rPr>
                      <w:rFonts w:hint="eastAsia" w:eastAsia="宋体"/>
                      <w:color w:val="auto"/>
                      <w:szCs w:val="21"/>
                      <w:lang w:eastAsia="zh-CN"/>
                    </w:rPr>
                  </w:pPr>
                  <w:r>
                    <w:rPr>
                      <w:rFonts w:hint="eastAsia"/>
                      <w:color w:val="auto"/>
                      <w:szCs w:val="21"/>
                      <w:lang w:val="en-US" w:eastAsia="zh-CN"/>
                    </w:rPr>
                    <w:t>1</w:t>
                  </w:r>
                </w:p>
              </w:tc>
              <w:tc>
                <w:tcPr>
                  <w:tcW w:w="710" w:type="dxa"/>
                  <w:vAlign w:val="center"/>
                </w:tcPr>
                <w:p w14:paraId="2835F867">
                  <w:pPr>
                    <w:jc w:val="center"/>
                    <w:rPr>
                      <w:color w:val="auto"/>
                      <w:szCs w:val="21"/>
                    </w:rPr>
                  </w:pPr>
                  <w:r>
                    <w:rPr>
                      <w:rFonts w:hint="eastAsia"/>
                      <w:color w:val="auto"/>
                      <w:szCs w:val="21"/>
                    </w:rPr>
                    <w:t>废润滑油</w:t>
                  </w:r>
                </w:p>
              </w:tc>
              <w:tc>
                <w:tcPr>
                  <w:tcW w:w="774" w:type="dxa"/>
                  <w:vAlign w:val="center"/>
                </w:tcPr>
                <w:p w14:paraId="1A9C01F6">
                  <w:pPr>
                    <w:jc w:val="center"/>
                    <w:rPr>
                      <w:color w:val="auto"/>
                      <w:szCs w:val="21"/>
                    </w:rPr>
                  </w:pPr>
                  <w:r>
                    <w:rPr>
                      <w:color w:val="auto"/>
                      <w:szCs w:val="21"/>
                    </w:rPr>
                    <w:t>HW08</w:t>
                  </w:r>
                </w:p>
              </w:tc>
              <w:tc>
                <w:tcPr>
                  <w:tcW w:w="1085" w:type="dxa"/>
                  <w:vAlign w:val="center"/>
                </w:tcPr>
                <w:p w14:paraId="53595FC5">
                  <w:pPr>
                    <w:jc w:val="center"/>
                    <w:rPr>
                      <w:color w:val="auto"/>
                      <w:szCs w:val="21"/>
                    </w:rPr>
                  </w:pPr>
                  <w:r>
                    <w:rPr>
                      <w:color w:val="auto"/>
                      <w:szCs w:val="21"/>
                    </w:rPr>
                    <w:t>900-214-08</w:t>
                  </w:r>
                </w:p>
              </w:tc>
              <w:tc>
                <w:tcPr>
                  <w:tcW w:w="1005" w:type="dxa"/>
                  <w:vAlign w:val="center"/>
                </w:tcPr>
                <w:p w14:paraId="1E0BD814">
                  <w:pPr>
                    <w:jc w:val="center"/>
                    <w:rPr>
                      <w:color w:val="auto"/>
                      <w:szCs w:val="21"/>
                    </w:rPr>
                  </w:pPr>
                  <w:r>
                    <w:rPr>
                      <w:rFonts w:hint="eastAsia"/>
                      <w:color w:val="auto"/>
                      <w:szCs w:val="21"/>
                    </w:rPr>
                    <w:t>20kg</w:t>
                  </w:r>
                  <w:r>
                    <w:rPr>
                      <w:color w:val="auto"/>
                      <w:szCs w:val="21"/>
                    </w:rPr>
                    <w:t>/a</w:t>
                  </w:r>
                </w:p>
              </w:tc>
              <w:tc>
                <w:tcPr>
                  <w:tcW w:w="728" w:type="dxa"/>
                  <w:vMerge w:val="restart"/>
                  <w:vAlign w:val="center"/>
                </w:tcPr>
                <w:p w14:paraId="5B3A6FA3">
                  <w:pPr>
                    <w:jc w:val="center"/>
                    <w:rPr>
                      <w:color w:val="auto"/>
                      <w:szCs w:val="21"/>
                    </w:rPr>
                  </w:pPr>
                  <w:r>
                    <w:rPr>
                      <w:rFonts w:hint="eastAsia"/>
                      <w:color w:val="auto"/>
                      <w:szCs w:val="21"/>
                    </w:rPr>
                    <w:t>设备维护</w:t>
                  </w:r>
                </w:p>
              </w:tc>
              <w:tc>
                <w:tcPr>
                  <w:tcW w:w="487" w:type="dxa"/>
                  <w:vAlign w:val="center"/>
                </w:tcPr>
                <w:p w14:paraId="66AB1082">
                  <w:pPr>
                    <w:jc w:val="center"/>
                    <w:rPr>
                      <w:color w:val="auto"/>
                      <w:szCs w:val="21"/>
                    </w:rPr>
                  </w:pPr>
                  <w:r>
                    <w:rPr>
                      <w:rFonts w:hint="eastAsia"/>
                      <w:color w:val="auto"/>
                      <w:szCs w:val="21"/>
                    </w:rPr>
                    <w:t>半固态</w:t>
                  </w:r>
                </w:p>
              </w:tc>
              <w:tc>
                <w:tcPr>
                  <w:tcW w:w="980" w:type="dxa"/>
                  <w:vAlign w:val="center"/>
                </w:tcPr>
                <w:p w14:paraId="42DA5C8D">
                  <w:pPr>
                    <w:jc w:val="center"/>
                    <w:rPr>
                      <w:color w:val="auto"/>
                      <w:szCs w:val="21"/>
                    </w:rPr>
                  </w:pPr>
                  <w:r>
                    <w:rPr>
                      <w:rFonts w:hint="eastAsia"/>
                      <w:color w:val="auto"/>
                      <w:szCs w:val="21"/>
                    </w:rPr>
                    <w:t>润滑油</w:t>
                  </w:r>
                </w:p>
              </w:tc>
              <w:tc>
                <w:tcPr>
                  <w:tcW w:w="948" w:type="dxa"/>
                  <w:vAlign w:val="center"/>
                </w:tcPr>
                <w:p w14:paraId="024DEF0A">
                  <w:pPr>
                    <w:jc w:val="center"/>
                    <w:rPr>
                      <w:color w:val="auto"/>
                      <w:szCs w:val="21"/>
                    </w:rPr>
                  </w:pPr>
                  <w:r>
                    <w:rPr>
                      <w:rFonts w:hint="eastAsia"/>
                      <w:color w:val="auto"/>
                      <w:szCs w:val="21"/>
                    </w:rPr>
                    <w:t>润滑油</w:t>
                  </w:r>
                </w:p>
              </w:tc>
              <w:tc>
                <w:tcPr>
                  <w:tcW w:w="527" w:type="dxa"/>
                  <w:vAlign w:val="center"/>
                </w:tcPr>
                <w:p w14:paraId="75CC5EC2">
                  <w:pPr>
                    <w:jc w:val="center"/>
                    <w:rPr>
                      <w:color w:val="auto"/>
                      <w:szCs w:val="21"/>
                    </w:rPr>
                  </w:pPr>
                  <w:r>
                    <w:rPr>
                      <w:rFonts w:hint="eastAsia"/>
                      <w:color w:val="auto"/>
                      <w:szCs w:val="21"/>
                    </w:rPr>
                    <w:t>6</w:t>
                  </w:r>
                  <w:r>
                    <w:rPr>
                      <w:color w:val="auto"/>
                      <w:szCs w:val="21"/>
                    </w:rPr>
                    <w:t>个月</w:t>
                  </w:r>
                </w:p>
              </w:tc>
              <w:tc>
                <w:tcPr>
                  <w:tcW w:w="464" w:type="dxa"/>
                  <w:vAlign w:val="center"/>
                </w:tcPr>
                <w:p w14:paraId="7BA0A51B">
                  <w:pPr>
                    <w:jc w:val="center"/>
                    <w:rPr>
                      <w:color w:val="auto"/>
                      <w:szCs w:val="21"/>
                    </w:rPr>
                  </w:pPr>
                  <w:r>
                    <w:rPr>
                      <w:color w:val="auto"/>
                      <w:szCs w:val="21"/>
                    </w:rPr>
                    <w:t>T</w:t>
                  </w:r>
                </w:p>
              </w:tc>
              <w:tc>
                <w:tcPr>
                  <w:tcW w:w="682" w:type="dxa"/>
                  <w:vMerge w:val="restart"/>
                  <w:vAlign w:val="center"/>
                </w:tcPr>
                <w:p w14:paraId="613C79BA">
                  <w:pPr>
                    <w:jc w:val="center"/>
                    <w:rPr>
                      <w:b/>
                      <w:bCs/>
                      <w:color w:val="auto"/>
                      <w:szCs w:val="21"/>
                    </w:rPr>
                  </w:pPr>
                  <w:r>
                    <w:rPr>
                      <w:b/>
                      <w:bCs/>
                      <w:color w:val="auto"/>
                      <w:szCs w:val="21"/>
                    </w:rPr>
                    <w:t>委托有资质单位回收处置</w:t>
                  </w:r>
                </w:p>
              </w:tc>
            </w:tr>
            <w:tr w14:paraId="1CE4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7F1EF606">
                  <w:pPr>
                    <w:jc w:val="center"/>
                    <w:rPr>
                      <w:rFonts w:hint="eastAsia" w:eastAsia="宋体"/>
                      <w:color w:val="auto"/>
                      <w:szCs w:val="21"/>
                      <w:lang w:eastAsia="zh-CN"/>
                    </w:rPr>
                  </w:pPr>
                  <w:r>
                    <w:rPr>
                      <w:rFonts w:hint="eastAsia"/>
                      <w:color w:val="auto"/>
                      <w:szCs w:val="21"/>
                      <w:lang w:val="en-US" w:eastAsia="zh-CN"/>
                    </w:rPr>
                    <w:t>2</w:t>
                  </w:r>
                </w:p>
              </w:tc>
              <w:tc>
                <w:tcPr>
                  <w:tcW w:w="710" w:type="dxa"/>
                  <w:vAlign w:val="center"/>
                </w:tcPr>
                <w:p w14:paraId="020720F0">
                  <w:pPr>
                    <w:jc w:val="center"/>
                    <w:rPr>
                      <w:color w:val="auto"/>
                      <w:szCs w:val="21"/>
                    </w:rPr>
                  </w:pPr>
                  <w:r>
                    <w:rPr>
                      <w:rFonts w:hint="eastAsia"/>
                      <w:color w:val="auto"/>
                      <w:szCs w:val="21"/>
                    </w:rPr>
                    <w:t>润滑油桶</w:t>
                  </w:r>
                </w:p>
              </w:tc>
              <w:tc>
                <w:tcPr>
                  <w:tcW w:w="774" w:type="dxa"/>
                  <w:vAlign w:val="center"/>
                </w:tcPr>
                <w:p w14:paraId="1CB06854">
                  <w:pPr>
                    <w:jc w:val="center"/>
                    <w:rPr>
                      <w:color w:val="auto"/>
                      <w:szCs w:val="21"/>
                    </w:rPr>
                  </w:pPr>
                  <w:r>
                    <w:rPr>
                      <w:color w:val="auto"/>
                      <w:szCs w:val="21"/>
                    </w:rPr>
                    <w:t>HW</w:t>
                  </w:r>
                  <w:r>
                    <w:rPr>
                      <w:rFonts w:hint="eastAsia"/>
                      <w:color w:val="auto"/>
                      <w:szCs w:val="21"/>
                    </w:rPr>
                    <w:t>49</w:t>
                  </w:r>
                </w:p>
              </w:tc>
              <w:tc>
                <w:tcPr>
                  <w:tcW w:w="1085" w:type="dxa"/>
                  <w:vAlign w:val="center"/>
                </w:tcPr>
                <w:p w14:paraId="320CA6BC">
                  <w:pPr>
                    <w:jc w:val="center"/>
                    <w:rPr>
                      <w:color w:val="auto"/>
                      <w:szCs w:val="21"/>
                    </w:rPr>
                  </w:pPr>
                  <w:r>
                    <w:rPr>
                      <w:color w:val="auto"/>
                      <w:szCs w:val="21"/>
                    </w:rPr>
                    <w:t>900-</w:t>
                  </w:r>
                  <w:r>
                    <w:rPr>
                      <w:rFonts w:hint="eastAsia"/>
                      <w:color w:val="auto"/>
                      <w:szCs w:val="21"/>
                    </w:rPr>
                    <w:t>041</w:t>
                  </w:r>
                  <w:r>
                    <w:rPr>
                      <w:color w:val="auto"/>
                      <w:szCs w:val="21"/>
                    </w:rPr>
                    <w:t>-</w:t>
                  </w:r>
                  <w:r>
                    <w:rPr>
                      <w:rFonts w:hint="eastAsia"/>
                      <w:color w:val="auto"/>
                      <w:szCs w:val="21"/>
                    </w:rPr>
                    <w:t>49</w:t>
                  </w:r>
                </w:p>
              </w:tc>
              <w:tc>
                <w:tcPr>
                  <w:tcW w:w="1005" w:type="dxa"/>
                  <w:vAlign w:val="center"/>
                </w:tcPr>
                <w:p w14:paraId="4E27323D">
                  <w:pPr>
                    <w:jc w:val="center"/>
                    <w:rPr>
                      <w:color w:val="auto"/>
                      <w:szCs w:val="21"/>
                    </w:rPr>
                  </w:pPr>
                  <w:r>
                    <w:rPr>
                      <w:rFonts w:hint="eastAsia"/>
                      <w:color w:val="auto"/>
                      <w:szCs w:val="21"/>
                    </w:rPr>
                    <w:t>25.6kg</w:t>
                  </w:r>
                  <w:r>
                    <w:rPr>
                      <w:color w:val="auto"/>
                      <w:szCs w:val="21"/>
                    </w:rPr>
                    <w:t>/a</w:t>
                  </w:r>
                </w:p>
              </w:tc>
              <w:tc>
                <w:tcPr>
                  <w:tcW w:w="728" w:type="dxa"/>
                  <w:vMerge w:val="continue"/>
                  <w:vAlign w:val="center"/>
                </w:tcPr>
                <w:p w14:paraId="4D8E62B9">
                  <w:pPr>
                    <w:jc w:val="center"/>
                    <w:rPr>
                      <w:color w:val="auto"/>
                      <w:szCs w:val="21"/>
                    </w:rPr>
                  </w:pPr>
                </w:p>
              </w:tc>
              <w:tc>
                <w:tcPr>
                  <w:tcW w:w="487" w:type="dxa"/>
                  <w:vAlign w:val="center"/>
                </w:tcPr>
                <w:p w14:paraId="38F21661">
                  <w:pPr>
                    <w:jc w:val="center"/>
                    <w:rPr>
                      <w:color w:val="auto"/>
                      <w:szCs w:val="21"/>
                    </w:rPr>
                  </w:pPr>
                  <w:r>
                    <w:rPr>
                      <w:rFonts w:hint="eastAsia"/>
                      <w:color w:val="auto"/>
                      <w:szCs w:val="21"/>
                    </w:rPr>
                    <w:t>固态</w:t>
                  </w:r>
                </w:p>
              </w:tc>
              <w:tc>
                <w:tcPr>
                  <w:tcW w:w="980" w:type="dxa"/>
                  <w:vAlign w:val="center"/>
                </w:tcPr>
                <w:p w14:paraId="182F9B12">
                  <w:pPr>
                    <w:jc w:val="center"/>
                    <w:rPr>
                      <w:color w:val="auto"/>
                      <w:szCs w:val="21"/>
                    </w:rPr>
                  </w:pPr>
                  <w:r>
                    <w:rPr>
                      <w:rFonts w:hint="eastAsia"/>
                      <w:color w:val="auto"/>
                      <w:szCs w:val="21"/>
                    </w:rPr>
                    <w:t>润滑油</w:t>
                  </w:r>
                </w:p>
              </w:tc>
              <w:tc>
                <w:tcPr>
                  <w:tcW w:w="948" w:type="dxa"/>
                  <w:vAlign w:val="center"/>
                </w:tcPr>
                <w:p w14:paraId="138018E1">
                  <w:pPr>
                    <w:jc w:val="center"/>
                    <w:rPr>
                      <w:color w:val="auto"/>
                      <w:szCs w:val="21"/>
                    </w:rPr>
                  </w:pPr>
                  <w:r>
                    <w:rPr>
                      <w:rFonts w:hint="eastAsia"/>
                      <w:color w:val="auto"/>
                      <w:szCs w:val="21"/>
                    </w:rPr>
                    <w:t>润滑油</w:t>
                  </w:r>
                </w:p>
              </w:tc>
              <w:tc>
                <w:tcPr>
                  <w:tcW w:w="527" w:type="dxa"/>
                  <w:vAlign w:val="center"/>
                </w:tcPr>
                <w:p w14:paraId="19254F64">
                  <w:pPr>
                    <w:jc w:val="center"/>
                    <w:rPr>
                      <w:color w:val="auto"/>
                      <w:szCs w:val="21"/>
                    </w:rPr>
                  </w:pPr>
                  <w:r>
                    <w:rPr>
                      <w:rFonts w:hint="eastAsia"/>
                      <w:color w:val="auto"/>
                      <w:szCs w:val="21"/>
                    </w:rPr>
                    <w:t>6</w:t>
                  </w:r>
                  <w:r>
                    <w:rPr>
                      <w:color w:val="auto"/>
                      <w:szCs w:val="21"/>
                    </w:rPr>
                    <w:t>个月</w:t>
                  </w:r>
                </w:p>
              </w:tc>
              <w:tc>
                <w:tcPr>
                  <w:tcW w:w="464" w:type="dxa"/>
                  <w:vAlign w:val="center"/>
                </w:tcPr>
                <w:p w14:paraId="11B4987D">
                  <w:pPr>
                    <w:jc w:val="center"/>
                    <w:rPr>
                      <w:color w:val="auto"/>
                      <w:szCs w:val="21"/>
                    </w:rPr>
                  </w:pPr>
                  <w:r>
                    <w:rPr>
                      <w:color w:val="auto"/>
                      <w:szCs w:val="21"/>
                    </w:rPr>
                    <w:t>T</w:t>
                  </w:r>
                </w:p>
              </w:tc>
              <w:tc>
                <w:tcPr>
                  <w:tcW w:w="682" w:type="dxa"/>
                  <w:vMerge w:val="continue"/>
                  <w:vAlign w:val="center"/>
                </w:tcPr>
                <w:p w14:paraId="52D75245">
                  <w:pPr>
                    <w:jc w:val="center"/>
                    <w:rPr>
                      <w:b/>
                      <w:bCs/>
                      <w:color w:val="auto"/>
                      <w:szCs w:val="21"/>
                    </w:rPr>
                  </w:pPr>
                </w:p>
              </w:tc>
            </w:tr>
          </w:tbl>
          <w:p w14:paraId="30369E38">
            <w:pPr>
              <w:adjustRightInd w:val="0"/>
              <w:snapToGrid w:val="0"/>
              <w:spacing w:line="360" w:lineRule="auto"/>
              <w:ind w:firstLine="442" w:firstLineChars="200"/>
              <w:rPr>
                <w:b/>
                <w:bCs/>
                <w:color w:val="auto"/>
                <w:spacing w:val="-10"/>
                <w:sz w:val="24"/>
              </w:rPr>
            </w:pPr>
            <w:r>
              <w:rPr>
                <w:b/>
                <w:bCs/>
                <w:color w:val="auto"/>
                <w:spacing w:val="-10"/>
                <w:sz w:val="24"/>
              </w:rPr>
              <w:t>2、处置去向及环境管理要求</w:t>
            </w:r>
          </w:p>
          <w:p w14:paraId="15FA37F5">
            <w:pPr>
              <w:widowControl/>
              <w:adjustRightInd w:val="0"/>
              <w:snapToGrid w:val="0"/>
              <w:spacing w:line="360" w:lineRule="auto"/>
              <w:ind w:firstLine="480" w:firstLineChars="200"/>
              <w:rPr>
                <w:color w:val="auto"/>
                <w:kern w:val="0"/>
                <w:sz w:val="24"/>
              </w:rPr>
            </w:pPr>
            <w:r>
              <w:rPr>
                <w:color w:val="auto"/>
                <w:kern w:val="0"/>
                <w:sz w:val="24"/>
              </w:rPr>
              <w:t>项目固体废物有</w:t>
            </w:r>
            <w:r>
              <w:rPr>
                <w:rFonts w:hint="eastAsia"/>
                <w:color w:val="auto"/>
                <w:kern w:val="0"/>
                <w:sz w:val="24"/>
                <w:lang w:val="en-US" w:eastAsia="zh-CN"/>
              </w:rPr>
              <w:t>边角料</w:t>
            </w:r>
            <w:r>
              <w:rPr>
                <w:rFonts w:hint="eastAsia"/>
                <w:color w:val="auto"/>
                <w:kern w:val="0"/>
                <w:sz w:val="24"/>
              </w:rPr>
              <w:t>、</w:t>
            </w:r>
            <w:r>
              <w:rPr>
                <w:rFonts w:hint="eastAsia"/>
                <w:color w:val="auto"/>
                <w:sz w:val="24"/>
                <w:lang w:val="en-US" w:eastAsia="zh-CN"/>
              </w:rPr>
              <w:t>炉渣</w:t>
            </w:r>
            <w:r>
              <w:rPr>
                <w:rFonts w:hint="eastAsia"/>
                <w:color w:val="auto"/>
                <w:kern w:val="0"/>
                <w:sz w:val="24"/>
              </w:rPr>
              <w:t>、</w:t>
            </w:r>
            <w:r>
              <w:rPr>
                <w:rFonts w:hint="eastAsia"/>
                <w:color w:val="auto"/>
                <w:kern w:val="0"/>
                <w:sz w:val="24"/>
                <w:lang w:val="en-US" w:eastAsia="zh-CN"/>
              </w:rPr>
              <w:t>布袋除尘器收尘、废树脂、</w:t>
            </w:r>
            <w:r>
              <w:rPr>
                <w:color w:val="auto"/>
                <w:sz w:val="24"/>
              </w:rPr>
              <w:t>废</w:t>
            </w:r>
            <w:r>
              <w:rPr>
                <w:rFonts w:hint="eastAsia"/>
                <w:color w:val="auto"/>
                <w:sz w:val="24"/>
              </w:rPr>
              <w:t>润滑油桶、废润滑油</w:t>
            </w:r>
            <w:r>
              <w:rPr>
                <w:color w:val="auto"/>
                <w:kern w:val="0"/>
                <w:sz w:val="24"/>
              </w:rPr>
              <w:t>以及生活垃圾。</w:t>
            </w:r>
          </w:p>
          <w:p w14:paraId="0E3BD6CE">
            <w:pPr>
              <w:widowControl/>
              <w:adjustRightInd w:val="0"/>
              <w:snapToGrid w:val="0"/>
              <w:spacing w:line="360" w:lineRule="auto"/>
              <w:ind w:firstLine="480" w:firstLineChars="200"/>
              <w:rPr>
                <w:color w:val="auto"/>
                <w:kern w:val="0"/>
                <w:sz w:val="24"/>
              </w:rPr>
            </w:pPr>
            <w:r>
              <w:rPr>
                <w:color w:val="auto"/>
                <w:kern w:val="0"/>
                <w:sz w:val="24"/>
              </w:rPr>
              <w:t>建设单位应将生活垃圾进行妥善分类收集，交由环卫部门统一处理；</w:t>
            </w:r>
            <w:r>
              <w:rPr>
                <w:rFonts w:hint="eastAsia"/>
                <w:color w:val="auto"/>
                <w:kern w:val="0"/>
                <w:sz w:val="24"/>
                <w:lang w:val="en-US" w:eastAsia="zh-CN"/>
              </w:rPr>
              <w:t>废树脂</w:t>
            </w:r>
            <w:r>
              <w:rPr>
                <w:rFonts w:hint="eastAsia"/>
                <w:color w:val="auto"/>
                <w:sz w:val="24"/>
                <w:lang w:val="en-US" w:eastAsia="zh-CN"/>
              </w:rPr>
              <w:t>收集后外售给资源回收公司；</w:t>
            </w:r>
            <w:r>
              <w:rPr>
                <w:rFonts w:hint="eastAsia"/>
                <w:color w:val="auto"/>
                <w:kern w:val="0"/>
                <w:sz w:val="24"/>
              </w:rPr>
              <w:t>布袋除尘器收尘</w:t>
            </w:r>
            <w:r>
              <w:rPr>
                <w:rFonts w:hint="eastAsia"/>
                <w:color w:val="auto"/>
                <w:kern w:val="0"/>
                <w:sz w:val="24"/>
                <w:lang w:eastAsia="zh-CN"/>
              </w:rPr>
              <w:t>、</w:t>
            </w:r>
            <w:r>
              <w:rPr>
                <w:rFonts w:hint="eastAsia"/>
                <w:b w:val="0"/>
                <w:bCs w:val="0"/>
                <w:color w:val="auto"/>
                <w:sz w:val="24"/>
                <w:lang w:val="en-US" w:eastAsia="zh-CN"/>
              </w:rPr>
              <w:t>边角料</w:t>
            </w:r>
            <w:r>
              <w:rPr>
                <w:color w:val="auto"/>
                <w:kern w:val="0"/>
                <w:sz w:val="24"/>
              </w:rPr>
              <w:t>收集后</w:t>
            </w:r>
            <w:r>
              <w:rPr>
                <w:rFonts w:hint="eastAsia"/>
                <w:color w:val="auto"/>
                <w:kern w:val="0"/>
                <w:sz w:val="24"/>
              </w:rPr>
              <w:t>回用于生产</w:t>
            </w:r>
            <w:r>
              <w:rPr>
                <w:rFonts w:hint="eastAsia"/>
                <w:color w:val="auto"/>
                <w:kern w:val="0"/>
                <w:sz w:val="24"/>
                <w:lang w:eastAsia="zh-CN"/>
              </w:rPr>
              <w:t>；</w:t>
            </w:r>
            <w:r>
              <w:rPr>
                <w:rFonts w:hint="eastAsia"/>
                <w:color w:val="auto"/>
                <w:sz w:val="24"/>
                <w:lang w:val="en-US" w:eastAsia="zh-CN"/>
              </w:rPr>
              <w:t>炉渣收集后作为农肥处理；</w:t>
            </w:r>
            <w:r>
              <w:rPr>
                <w:color w:val="auto"/>
                <w:sz w:val="24"/>
              </w:rPr>
              <w:t>废</w:t>
            </w:r>
            <w:r>
              <w:rPr>
                <w:rFonts w:hint="eastAsia"/>
                <w:color w:val="auto"/>
                <w:sz w:val="24"/>
              </w:rPr>
              <w:t>润滑油桶和废润滑油</w:t>
            </w:r>
            <w:r>
              <w:rPr>
                <w:color w:val="auto"/>
                <w:kern w:val="0"/>
                <w:sz w:val="24"/>
              </w:rPr>
              <w:t>属于危险废物，将其交由具处理资质的单位回收处理。</w:t>
            </w:r>
          </w:p>
          <w:p w14:paraId="28A1205F">
            <w:pPr>
              <w:widowControl/>
              <w:adjustRightInd w:val="0"/>
              <w:snapToGrid w:val="0"/>
              <w:spacing w:line="360" w:lineRule="auto"/>
              <w:contextualSpacing/>
              <w:jc w:val="center"/>
              <w:rPr>
                <w:b/>
                <w:color w:val="auto"/>
                <w:kern w:val="0"/>
                <w:sz w:val="24"/>
              </w:rPr>
            </w:pPr>
            <w:r>
              <w:rPr>
                <w:b/>
                <w:color w:val="auto"/>
                <w:kern w:val="0"/>
                <w:sz w:val="24"/>
              </w:rPr>
              <w:t>表4-</w:t>
            </w:r>
            <w:r>
              <w:rPr>
                <w:rFonts w:hint="eastAsia"/>
                <w:b/>
                <w:color w:val="auto"/>
                <w:kern w:val="0"/>
                <w:sz w:val="24"/>
              </w:rPr>
              <w:t>21</w:t>
            </w:r>
            <w:r>
              <w:rPr>
                <w:b/>
                <w:color w:val="auto"/>
                <w:kern w:val="0"/>
                <w:sz w:val="24"/>
              </w:rPr>
              <w:t xml:space="preserve">  项目危险废物贮存场所（设施）基本情况表</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14"/>
              <w:gridCol w:w="1285"/>
              <w:gridCol w:w="987"/>
              <w:gridCol w:w="1195"/>
              <w:gridCol w:w="833"/>
              <w:gridCol w:w="764"/>
              <w:gridCol w:w="783"/>
              <w:gridCol w:w="812"/>
              <w:gridCol w:w="715"/>
            </w:tblGrid>
            <w:tr w14:paraId="2B08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7F5A458D">
                  <w:pPr>
                    <w:jc w:val="center"/>
                    <w:rPr>
                      <w:b/>
                      <w:bCs/>
                      <w:color w:val="auto"/>
                      <w:szCs w:val="21"/>
                    </w:rPr>
                  </w:pPr>
                  <w:r>
                    <w:rPr>
                      <w:b/>
                      <w:bCs/>
                      <w:color w:val="auto"/>
                      <w:szCs w:val="21"/>
                    </w:rPr>
                    <w:t>序号</w:t>
                  </w:r>
                </w:p>
              </w:tc>
              <w:tc>
                <w:tcPr>
                  <w:tcW w:w="1014" w:type="dxa"/>
                  <w:vAlign w:val="center"/>
                </w:tcPr>
                <w:p w14:paraId="229A782D">
                  <w:pPr>
                    <w:jc w:val="center"/>
                    <w:rPr>
                      <w:b/>
                      <w:bCs/>
                      <w:color w:val="auto"/>
                      <w:szCs w:val="21"/>
                    </w:rPr>
                  </w:pPr>
                  <w:r>
                    <w:rPr>
                      <w:b/>
                      <w:bCs/>
                      <w:color w:val="auto"/>
                      <w:szCs w:val="21"/>
                    </w:rPr>
                    <w:t>贮存场所（设施）名称</w:t>
                  </w:r>
                </w:p>
              </w:tc>
              <w:tc>
                <w:tcPr>
                  <w:tcW w:w="1285" w:type="dxa"/>
                  <w:vAlign w:val="center"/>
                </w:tcPr>
                <w:p w14:paraId="081B38BD">
                  <w:pPr>
                    <w:jc w:val="center"/>
                    <w:rPr>
                      <w:b/>
                      <w:bCs/>
                      <w:color w:val="auto"/>
                      <w:szCs w:val="21"/>
                    </w:rPr>
                  </w:pPr>
                  <w:r>
                    <w:rPr>
                      <w:b/>
                      <w:bCs/>
                      <w:color w:val="auto"/>
                      <w:szCs w:val="21"/>
                    </w:rPr>
                    <w:t>危险废物名称</w:t>
                  </w:r>
                </w:p>
              </w:tc>
              <w:tc>
                <w:tcPr>
                  <w:tcW w:w="987" w:type="dxa"/>
                  <w:vAlign w:val="center"/>
                </w:tcPr>
                <w:p w14:paraId="5C99F144">
                  <w:pPr>
                    <w:jc w:val="center"/>
                    <w:rPr>
                      <w:b/>
                      <w:bCs/>
                      <w:color w:val="auto"/>
                      <w:szCs w:val="21"/>
                    </w:rPr>
                  </w:pPr>
                  <w:r>
                    <w:rPr>
                      <w:b/>
                      <w:bCs/>
                      <w:color w:val="auto"/>
                      <w:szCs w:val="21"/>
                    </w:rPr>
                    <w:t>危险废物类别</w:t>
                  </w:r>
                </w:p>
              </w:tc>
              <w:tc>
                <w:tcPr>
                  <w:tcW w:w="1195" w:type="dxa"/>
                  <w:vAlign w:val="center"/>
                </w:tcPr>
                <w:p w14:paraId="6C4358F3">
                  <w:pPr>
                    <w:jc w:val="center"/>
                    <w:rPr>
                      <w:b/>
                      <w:bCs/>
                      <w:color w:val="auto"/>
                      <w:szCs w:val="21"/>
                    </w:rPr>
                  </w:pPr>
                  <w:r>
                    <w:rPr>
                      <w:b/>
                      <w:bCs/>
                      <w:color w:val="auto"/>
                      <w:szCs w:val="21"/>
                    </w:rPr>
                    <w:t>危险废物代码</w:t>
                  </w:r>
                </w:p>
              </w:tc>
              <w:tc>
                <w:tcPr>
                  <w:tcW w:w="833" w:type="dxa"/>
                  <w:vAlign w:val="center"/>
                </w:tcPr>
                <w:p w14:paraId="16F7BE06">
                  <w:pPr>
                    <w:jc w:val="center"/>
                    <w:rPr>
                      <w:b/>
                      <w:bCs/>
                      <w:color w:val="auto"/>
                      <w:szCs w:val="21"/>
                    </w:rPr>
                  </w:pPr>
                  <w:r>
                    <w:rPr>
                      <w:b/>
                      <w:bCs/>
                      <w:color w:val="auto"/>
                      <w:szCs w:val="21"/>
                    </w:rPr>
                    <w:t>位置</w:t>
                  </w:r>
                </w:p>
              </w:tc>
              <w:tc>
                <w:tcPr>
                  <w:tcW w:w="764" w:type="dxa"/>
                  <w:vAlign w:val="center"/>
                </w:tcPr>
                <w:p w14:paraId="19DF1364">
                  <w:pPr>
                    <w:jc w:val="center"/>
                    <w:rPr>
                      <w:b/>
                      <w:bCs/>
                      <w:color w:val="auto"/>
                      <w:szCs w:val="21"/>
                    </w:rPr>
                  </w:pPr>
                  <w:r>
                    <w:rPr>
                      <w:b/>
                      <w:bCs/>
                      <w:color w:val="auto"/>
                      <w:szCs w:val="21"/>
                    </w:rPr>
                    <w:t>占地面积</w:t>
                  </w:r>
                </w:p>
              </w:tc>
              <w:tc>
                <w:tcPr>
                  <w:tcW w:w="783" w:type="dxa"/>
                  <w:vAlign w:val="center"/>
                </w:tcPr>
                <w:p w14:paraId="26BC9A30">
                  <w:pPr>
                    <w:jc w:val="center"/>
                    <w:rPr>
                      <w:b/>
                      <w:bCs/>
                      <w:color w:val="auto"/>
                      <w:szCs w:val="21"/>
                    </w:rPr>
                  </w:pPr>
                  <w:r>
                    <w:rPr>
                      <w:b/>
                      <w:bCs/>
                      <w:color w:val="auto"/>
                      <w:szCs w:val="21"/>
                    </w:rPr>
                    <w:t>贮存方式</w:t>
                  </w:r>
                </w:p>
              </w:tc>
              <w:tc>
                <w:tcPr>
                  <w:tcW w:w="812" w:type="dxa"/>
                  <w:vAlign w:val="center"/>
                </w:tcPr>
                <w:p w14:paraId="22457BD6">
                  <w:pPr>
                    <w:jc w:val="center"/>
                    <w:rPr>
                      <w:b/>
                      <w:bCs/>
                      <w:color w:val="auto"/>
                      <w:szCs w:val="21"/>
                    </w:rPr>
                  </w:pPr>
                  <w:r>
                    <w:rPr>
                      <w:b/>
                      <w:bCs/>
                      <w:color w:val="auto"/>
                      <w:szCs w:val="21"/>
                    </w:rPr>
                    <w:t>贮存能力/t</w:t>
                  </w:r>
                </w:p>
              </w:tc>
              <w:tc>
                <w:tcPr>
                  <w:tcW w:w="715" w:type="dxa"/>
                  <w:vAlign w:val="center"/>
                </w:tcPr>
                <w:p w14:paraId="00B681BB">
                  <w:pPr>
                    <w:jc w:val="center"/>
                    <w:rPr>
                      <w:b/>
                      <w:bCs/>
                      <w:color w:val="auto"/>
                      <w:szCs w:val="21"/>
                    </w:rPr>
                  </w:pPr>
                  <w:r>
                    <w:rPr>
                      <w:b/>
                      <w:bCs/>
                      <w:color w:val="auto"/>
                      <w:szCs w:val="21"/>
                    </w:rPr>
                    <w:t>贮存周期</w:t>
                  </w:r>
                </w:p>
              </w:tc>
            </w:tr>
            <w:tr w14:paraId="0145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681035EC">
                  <w:pPr>
                    <w:jc w:val="center"/>
                    <w:rPr>
                      <w:color w:val="auto"/>
                      <w:szCs w:val="21"/>
                    </w:rPr>
                  </w:pPr>
                  <w:r>
                    <w:rPr>
                      <w:color w:val="auto"/>
                      <w:szCs w:val="21"/>
                    </w:rPr>
                    <w:t>1</w:t>
                  </w:r>
                </w:p>
              </w:tc>
              <w:tc>
                <w:tcPr>
                  <w:tcW w:w="1014" w:type="dxa"/>
                  <w:vMerge w:val="restart"/>
                  <w:vAlign w:val="center"/>
                </w:tcPr>
                <w:p w14:paraId="367CF8F7">
                  <w:pPr>
                    <w:jc w:val="center"/>
                    <w:rPr>
                      <w:color w:val="auto"/>
                      <w:szCs w:val="21"/>
                    </w:rPr>
                  </w:pPr>
                  <w:r>
                    <w:rPr>
                      <w:color w:val="auto"/>
                      <w:szCs w:val="21"/>
                    </w:rPr>
                    <w:t>危废暂存间</w:t>
                  </w:r>
                </w:p>
              </w:tc>
              <w:tc>
                <w:tcPr>
                  <w:tcW w:w="1285" w:type="dxa"/>
                  <w:vAlign w:val="center"/>
                </w:tcPr>
                <w:p w14:paraId="5C1EFC63">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废润滑油</w:t>
                  </w:r>
                </w:p>
              </w:tc>
              <w:tc>
                <w:tcPr>
                  <w:tcW w:w="987" w:type="dxa"/>
                  <w:vAlign w:val="center"/>
                </w:tcPr>
                <w:p w14:paraId="51158CC0">
                  <w:pPr>
                    <w:jc w:val="center"/>
                    <w:rPr>
                      <w:rFonts w:ascii="Times New Roman" w:hAnsi="Times New Roman" w:eastAsia="宋体" w:cs="Times New Roman"/>
                      <w:color w:val="auto"/>
                      <w:kern w:val="2"/>
                      <w:sz w:val="21"/>
                      <w:szCs w:val="21"/>
                      <w:lang w:val="en-US" w:eastAsia="zh-CN" w:bidi="ar-SA"/>
                    </w:rPr>
                  </w:pPr>
                  <w:r>
                    <w:rPr>
                      <w:color w:val="auto"/>
                      <w:szCs w:val="21"/>
                    </w:rPr>
                    <w:t>HW08</w:t>
                  </w:r>
                </w:p>
              </w:tc>
              <w:tc>
                <w:tcPr>
                  <w:tcW w:w="1195" w:type="dxa"/>
                  <w:vAlign w:val="center"/>
                </w:tcPr>
                <w:p w14:paraId="7E76942C">
                  <w:pPr>
                    <w:jc w:val="center"/>
                    <w:rPr>
                      <w:rFonts w:ascii="Times New Roman" w:hAnsi="Times New Roman" w:eastAsia="宋体" w:cs="Times New Roman"/>
                      <w:color w:val="auto"/>
                      <w:kern w:val="2"/>
                      <w:sz w:val="21"/>
                      <w:szCs w:val="21"/>
                      <w:lang w:val="en-US" w:eastAsia="zh-CN" w:bidi="ar-SA"/>
                    </w:rPr>
                  </w:pPr>
                  <w:r>
                    <w:rPr>
                      <w:color w:val="auto"/>
                      <w:szCs w:val="21"/>
                    </w:rPr>
                    <w:t>900-214-08</w:t>
                  </w:r>
                </w:p>
              </w:tc>
              <w:tc>
                <w:tcPr>
                  <w:tcW w:w="833" w:type="dxa"/>
                  <w:vMerge w:val="restart"/>
                  <w:vAlign w:val="center"/>
                </w:tcPr>
                <w:p w14:paraId="5CD7811B">
                  <w:pPr>
                    <w:jc w:val="center"/>
                    <w:rPr>
                      <w:color w:val="auto"/>
                      <w:szCs w:val="21"/>
                    </w:rPr>
                  </w:pPr>
                  <w:r>
                    <w:rPr>
                      <w:rFonts w:hint="eastAsia"/>
                      <w:color w:val="auto"/>
                      <w:szCs w:val="21"/>
                    </w:rPr>
                    <w:t>厂区</w:t>
                  </w:r>
                  <w:r>
                    <w:rPr>
                      <w:rFonts w:hint="eastAsia"/>
                      <w:color w:val="auto"/>
                      <w:szCs w:val="21"/>
                      <w:lang w:val="en-US" w:eastAsia="zh-CN"/>
                    </w:rPr>
                    <w:t>东北</w:t>
                  </w:r>
                  <w:r>
                    <w:rPr>
                      <w:rFonts w:hint="eastAsia"/>
                      <w:color w:val="auto"/>
                      <w:szCs w:val="21"/>
                    </w:rPr>
                    <w:t>侧</w:t>
                  </w:r>
                </w:p>
              </w:tc>
              <w:tc>
                <w:tcPr>
                  <w:tcW w:w="764" w:type="dxa"/>
                  <w:vMerge w:val="restart"/>
                  <w:vAlign w:val="center"/>
                </w:tcPr>
                <w:p w14:paraId="6085CB0F">
                  <w:pPr>
                    <w:jc w:val="center"/>
                    <w:rPr>
                      <w:color w:val="auto"/>
                      <w:szCs w:val="21"/>
                    </w:rPr>
                  </w:pPr>
                  <w:r>
                    <w:rPr>
                      <w:rFonts w:hint="eastAsia"/>
                      <w:color w:val="auto"/>
                      <w:szCs w:val="21"/>
                      <w:lang w:val="en-US" w:eastAsia="zh-CN"/>
                    </w:rPr>
                    <w:t>1</w:t>
                  </w:r>
                  <w:r>
                    <w:rPr>
                      <w:color w:val="auto"/>
                      <w:szCs w:val="21"/>
                    </w:rPr>
                    <w:t>0m</w:t>
                  </w:r>
                  <w:r>
                    <w:rPr>
                      <w:rFonts w:hint="eastAsia"/>
                      <w:color w:val="auto"/>
                      <w:szCs w:val="21"/>
                      <w:vertAlign w:val="superscript"/>
                    </w:rPr>
                    <w:t>2</w:t>
                  </w:r>
                </w:p>
              </w:tc>
              <w:tc>
                <w:tcPr>
                  <w:tcW w:w="783" w:type="dxa"/>
                  <w:vAlign w:val="center"/>
                </w:tcPr>
                <w:p w14:paraId="078F42AB">
                  <w:pPr>
                    <w:jc w:val="center"/>
                    <w:rPr>
                      <w:color w:val="auto"/>
                      <w:szCs w:val="21"/>
                    </w:rPr>
                  </w:pPr>
                  <w:r>
                    <w:rPr>
                      <w:rFonts w:hint="eastAsia"/>
                      <w:color w:val="auto"/>
                      <w:szCs w:val="21"/>
                    </w:rPr>
                    <w:t>桶装</w:t>
                  </w:r>
                </w:p>
              </w:tc>
              <w:tc>
                <w:tcPr>
                  <w:tcW w:w="812" w:type="dxa"/>
                  <w:vMerge w:val="restart"/>
                  <w:vAlign w:val="center"/>
                </w:tcPr>
                <w:p w14:paraId="50B521C1">
                  <w:pPr>
                    <w:jc w:val="center"/>
                    <w:rPr>
                      <w:rFonts w:hint="eastAsia" w:eastAsia="宋体"/>
                      <w:color w:val="auto"/>
                      <w:szCs w:val="21"/>
                      <w:lang w:eastAsia="zh-CN"/>
                    </w:rPr>
                  </w:pPr>
                  <w:r>
                    <w:rPr>
                      <w:rFonts w:hint="eastAsia"/>
                      <w:color w:val="auto"/>
                      <w:szCs w:val="21"/>
                    </w:rPr>
                    <w:t>1</w:t>
                  </w:r>
                  <w:r>
                    <w:rPr>
                      <w:rFonts w:hint="eastAsia"/>
                      <w:color w:val="auto"/>
                      <w:szCs w:val="21"/>
                      <w:lang w:val="en-US" w:eastAsia="zh-CN"/>
                    </w:rPr>
                    <w:t>0</w:t>
                  </w:r>
                </w:p>
              </w:tc>
              <w:tc>
                <w:tcPr>
                  <w:tcW w:w="715" w:type="dxa"/>
                  <w:vMerge w:val="restart"/>
                  <w:vAlign w:val="center"/>
                </w:tcPr>
                <w:p w14:paraId="36A0B143">
                  <w:pPr>
                    <w:jc w:val="center"/>
                    <w:rPr>
                      <w:color w:val="auto"/>
                      <w:szCs w:val="21"/>
                    </w:rPr>
                  </w:pPr>
                  <w:r>
                    <w:rPr>
                      <w:color w:val="auto"/>
                      <w:szCs w:val="21"/>
                    </w:rPr>
                    <w:t>3个月</w:t>
                  </w:r>
                </w:p>
              </w:tc>
            </w:tr>
            <w:tr w14:paraId="1C80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5AC5EE6F">
                  <w:pPr>
                    <w:jc w:val="center"/>
                    <w:rPr>
                      <w:color w:val="auto"/>
                      <w:szCs w:val="21"/>
                    </w:rPr>
                  </w:pPr>
                  <w:r>
                    <w:rPr>
                      <w:rFonts w:hint="eastAsia"/>
                      <w:color w:val="auto"/>
                      <w:szCs w:val="21"/>
                    </w:rPr>
                    <w:t>2</w:t>
                  </w:r>
                </w:p>
              </w:tc>
              <w:tc>
                <w:tcPr>
                  <w:tcW w:w="1014" w:type="dxa"/>
                  <w:vMerge w:val="continue"/>
                  <w:vAlign w:val="center"/>
                </w:tcPr>
                <w:p w14:paraId="7431F8B2">
                  <w:pPr>
                    <w:jc w:val="center"/>
                    <w:rPr>
                      <w:color w:val="auto"/>
                      <w:szCs w:val="21"/>
                    </w:rPr>
                  </w:pPr>
                </w:p>
              </w:tc>
              <w:tc>
                <w:tcPr>
                  <w:tcW w:w="1285" w:type="dxa"/>
                  <w:vAlign w:val="center"/>
                </w:tcPr>
                <w:p w14:paraId="0297D372">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废润滑油桶</w:t>
                  </w:r>
                </w:p>
              </w:tc>
              <w:tc>
                <w:tcPr>
                  <w:tcW w:w="987" w:type="dxa"/>
                  <w:vAlign w:val="center"/>
                </w:tcPr>
                <w:p w14:paraId="3E38FD33">
                  <w:pPr>
                    <w:jc w:val="center"/>
                    <w:rPr>
                      <w:rFonts w:ascii="Times New Roman" w:hAnsi="Times New Roman" w:eastAsia="宋体" w:cs="Times New Roman"/>
                      <w:color w:val="auto"/>
                      <w:kern w:val="2"/>
                      <w:sz w:val="21"/>
                      <w:szCs w:val="21"/>
                      <w:lang w:val="en-US" w:eastAsia="zh-CN" w:bidi="ar-SA"/>
                    </w:rPr>
                  </w:pPr>
                  <w:r>
                    <w:rPr>
                      <w:color w:val="auto"/>
                      <w:szCs w:val="21"/>
                    </w:rPr>
                    <w:t>HW</w:t>
                  </w:r>
                  <w:r>
                    <w:rPr>
                      <w:rFonts w:hint="eastAsia"/>
                      <w:color w:val="auto"/>
                      <w:szCs w:val="21"/>
                    </w:rPr>
                    <w:t>49</w:t>
                  </w:r>
                </w:p>
              </w:tc>
              <w:tc>
                <w:tcPr>
                  <w:tcW w:w="1195" w:type="dxa"/>
                  <w:vAlign w:val="center"/>
                </w:tcPr>
                <w:p w14:paraId="5BA83678">
                  <w:pPr>
                    <w:jc w:val="center"/>
                    <w:rPr>
                      <w:rFonts w:ascii="Times New Roman" w:hAnsi="Times New Roman" w:eastAsia="宋体" w:cs="Times New Roman"/>
                      <w:color w:val="auto"/>
                      <w:kern w:val="2"/>
                      <w:sz w:val="21"/>
                      <w:szCs w:val="21"/>
                      <w:lang w:val="en-US" w:eastAsia="zh-CN" w:bidi="ar-SA"/>
                    </w:rPr>
                  </w:pPr>
                  <w:r>
                    <w:rPr>
                      <w:color w:val="auto"/>
                      <w:szCs w:val="21"/>
                    </w:rPr>
                    <w:t>900-</w:t>
                  </w:r>
                  <w:r>
                    <w:rPr>
                      <w:rFonts w:hint="eastAsia"/>
                      <w:color w:val="auto"/>
                      <w:szCs w:val="21"/>
                    </w:rPr>
                    <w:t>041</w:t>
                  </w:r>
                  <w:r>
                    <w:rPr>
                      <w:color w:val="auto"/>
                      <w:szCs w:val="21"/>
                    </w:rPr>
                    <w:t>-</w:t>
                  </w:r>
                  <w:r>
                    <w:rPr>
                      <w:rFonts w:hint="eastAsia"/>
                      <w:color w:val="auto"/>
                      <w:szCs w:val="21"/>
                    </w:rPr>
                    <w:t>49</w:t>
                  </w:r>
                </w:p>
              </w:tc>
              <w:tc>
                <w:tcPr>
                  <w:tcW w:w="833" w:type="dxa"/>
                  <w:vMerge w:val="continue"/>
                  <w:vAlign w:val="center"/>
                </w:tcPr>
                <w:p w14:paraId="61B8EF7B">
                  <w:pPr>
                    <w:jc w:val="center"/>
                    <w:rPr>
                      <w:color w:val="auto"/>
                      <w:szCs w:val="21"/>
                    </w:rPr>
                  </w:pPr>
                </w:p>
              </w:tc>
              <w:tc>
                <w:tcPr>
                  <w:tcW w:w="764" w:type="dxa"/>
                  <w:vMerge w:val="continue"/>
                  <w:vAlign w:val="center"/>
                </w:tcPr>
                <w:p w14:paraId="1D2D317B">
                  <w:pPr>
                    <w:jc w:val="center"/>
                    <w:rPr>
                      <w:color w:val="auto"/>
                      <w:szCs w:val="21"/>
                    </w:rPr>
                  </w:pPr>
                </w:p>
              </w:tc>
              <w:tc>
                <w:tcPr>
                  <w:tcW w:w="783" w:type="dxa"/>
                  <w:vAlign w:val="center"/>
                </w:tcPr>
                <w:p w14:paraId="77BF95F1">
                  <w:pPr>
                    <w:jc w:val="center"/>
                    <w:rPr>
                      <w:color w:val="auto"/>
                      <w:szCs w:val="21"/>
                    </w:rPr>
                  </w:pPr>
                  <w:r>
                    <w:rPr>
                      <w:rFonts w:hint="eastAsia"/>
                      <w:color w:val="auto"/>
                      <w:szCs w:val="21"/>
                    </w:rPr>
                    <w:t>桶装</w:t>
                  </w:r>
                </w:p>
              </w:tc>
              <w:tc>
                <w:tcPr>
                  <w:tcW w:w="812" w:type="dxa"/>
                  <w:vMerge w:val="continue"/>
                  <w:vAlign w:val="center"/>
                </w:tcPr>
                <w:p w14:paraId="3A42EA33">
                  <w:pPr>
                    <w:jc w:val="center"/>
                    <w:rPr>
                      <w:b/>
                      <w:bCs/>
                      <w:color w:val="auto"/>
                      <w:szCs w:val="21"/>
                    </w:rPr>
                  </w:pPr>
                </w:p>
              </w:tc>
              <w:tc>
                <w:tcPr>
                  <w:tcW w:w="715" w:type="dxa"/>
                  <w:vMerge w:val="continue"/>
                  <w:vAlign w:val="center"/>
                </w:tcPr>
                <w:p w14:paraId="30F3FA33">
                  <w:pPr>
                    <w:jc w:val="center"/>
                    <w:rPr>
                      <w:b/>
                      <w:bCs/>
                      <w:color w:val="auto"/>
                      <w:szCs w:val="21"/>
                    </w:rPr>
                  </w:pPr>
                </w:p>
              </w:tc>
            </w:tr>
          </w:tbl>
          <w:p w14:paraId="299657BF">
            <w:pPr>
              <w:adjustRightInd w:val="0"/>
              <w:snapToGrid w:val="0"/>
              <w:spacing w:line="360" w:lineRule="auto"/>
              <w:ind w:firstLine="442" w:firstLineChars="200"/>
              <w:rPr>
                <w:b/>
                <w:bCs/>
                <w:color w:val="auto"/>
                <w:spacing w:val="-10"/>
                <w:sz w:val="24"/>
              </w:rPr>
            </w:pPr>
            <w:r>
              <w:rPr>
                <w:rFonts w:hint="eastAsia"/>
                <w:b/>
                <w:bCs/>
                <w:color w:val="auto"/>
                <w:spacing w:val="-10"/>
                <w:sz w:val="24"/>
              </w:rPr>
              <w:t>3、</w:t>
            </w:r>
            <w:r>
              <w:rPr>
                <w:b/>
                <w:bCs/>
                <w:color w:val="auto"/>
                <w:spacing w:val="-10"/>
                <w:sz w:val="24"/>
              </w:rPr>
              <w:t>一般工业固废环境影响分析和保护措施</w:t>
            </w:r>
          </w:p>
          <w:p w14:paraId="0B20AD7A">
            <w:pPr>
              <w:spacing w:line="360" w:lineRule="auto"/>
              <w:ind w:firstLine="480" w:firstLineChars="200"/>
              <w:rPr>
                <w:color w:val="auto"/>
                <w:sz w:val="24"/>
                <w:lang w:bidi="ar"/>
              </w:rPr>
            </w:pPr>
            <w:r>
              <w:rPr>
                <w:color w:val="auto"/>
                <w:sz w:val="24"/>
                <w:lang w:bidi="ar"/>
              </w:rPr>
              <w:t>一般工业固废临时堆放场应按照《中华人民共和国固体废物污染环境防治法》要求进行管理，固废临时贮存场应满足如下要求：</w:t>
            </w:r>
          </w:p>
          <w:p w14:paraId="52B5CD51">
            <w:pPr>
              <w:spacing w:line="360" w:lineRule="auto"/>
              <w:ind w:firstLine="480" w:firstLineChars="200"/>
              <w:rPr>
                <w:color w:val="auto"/>
                <w:sz w:val="24"/>
                <w:lang w:bidi="ar"/>
              </w:rPr>
            </w:pPr>
            <w:r>
              <w:rPr>
                <w:color w:val="auto"/>
                <w:sz w:val="24"/>
                <w:lang w:bidi="ar"/>
              </w:rPr>
              <w:t>①临时堆放场应选在防渗性能好的地基上天然基础层地表距地下水位的距离不得小于1.5m。临时堆放场四周应建有围墙，防止固废流失以及造成粉尘污染。</w:t>
            </w:r>
          </w:p>
          <w:p w14:paraId="5360F583">
            <w:pPr>
              <w:spacing w:line="360" w:lineRule="auto"/>
              <w:ind w:firstLine="480" w:firstLineChars="200"/>
              <w:rPr>
                <w:color w:val="auto"/>
                <w:sz w:val="24"/>
                <w:lang w:bidi="ar"/>
              </w:rPr>
            </w:pPr>
            <w:r>
              <w:rPr>
                <w:color w:val="auto"/>
                <w:sz w:val="24"/>
                <w:lang w:bidi="ar"/>
              </w:rPr>
              <w:t>②临时堆放场应建有防雨淋、防渗透措施。本项目一般固废暂存间位于</w:t>
            </w:r>
            <w:r>
              <w:rPr>
                <w:rFonts w:hint="eastAsia"/>
                <w:color w:val="auto"/>
                <w:sz w:val="24"/>
                <w:lang w:bidi="ar"/>
              </w:rPr>
              <w:t>厂区</w:t>
            </w:r>
            <w:r>
              <w:rPr>
                <w:rFonts w:hint="eastAsia"/>
                <w:color w:val="auto"/>
                <w:sz w:val="24"/>
                <w:lang w:val="en-US" w:eastAsia="zh-CN" w:bidi="ar"/>
              </w:rPr>
              <w:t>东北</w:t>
            </w:r>
            <w:r>
              <w:rPr>
                <w:rFonts w:hint="eastAsia"/>
                <w:color w:val="auto"/>
                <w:sz w:val="24"/>
                <w:lang w:bidi="ar"/>
              </w:rPr>
              <w:t>侧</w:t>
            </w:r>
            <w:r>
              <w:rPr>
                <w:color w:val="auto"/>
                <w:sz w:val="24"/>
                <w:lang w:bidi="ar"/>
              </w:rPr>
              <w:t>，建筑面积约</w:t>
            </w:r>
            <w:r>
              <w:rPr>
                <w:rFonts w:hint="eastAsia"/>
                <w:color w:val="auto"/>
                <w:sz w:val="24"/>
                <w:lang w:val="en-US" w:eastAsia="zh-CN" w:bidi="ar"/>
              </w:rPr>
              <w:t>1</w:t>
            </w:r>
            <w:r>
              <w:rPr>
                <w:color w:val="auto"/>
                <w:sz w:val="24"/>
                <w:lang w:bidi="ar"/>
              </w:rPr>
              <w:t>0m</w:t>
            </w:r>
            <w:r>
              <w:rPr>
                <w:color w:val="auto"/>
                <w:sz w:val="24"/>
                <w:vertAlign w:val="superscript"/>
                <w:lang w:bidi="ar"/>
              </w:rPr>
              <w:t>2</w:t>
            </w:r>
            <w:r>
              <w:rPr>
                <w:color w:val="auto"/>
                <w:sz w:val="24"/>
                <w:lang w:bidi="ar"/>
              </w:rPr>
              <w:t>，地面进行硬化，可以满足防雨淋、防渗透要求。</w:t>
            </w:r>
          </w:p>
          <w:p w14:paraId="6DF7BB0B">
            <w:pPr>
              <w:spacing w:line="360" w:lineRule="auto"/>
              <w:ind w:firstLine="480" w:firstLineChars="200"/>
              <w:rPr>
                <w:color w:val="auto"/>
                <w:sz w:val="24"/>
                <w:lang w:bidi="ar"/>
              </w:rPr>
            </w:pPr>
            <w:r>
              <w:rPr>
                <w:color w:val="auto"/>
                <w:sz w:val="24"/>
                <w:lang w:bidi="ar"/>
              </w:rPr>
              <w:t>③为了便于管理，临时堆放场应《环境保护图形标识—固体废物贮存（处置）场》（按GB15562.2-1995）设置环境保护图形标志。</w:t>
            </w:r>
          </w:p>
          <w:p w14:paraId="22178AF0">
            <w:pPr>
              <w:spacing w:line="360" w:lineRule="auto"/>
              <w:ind w:firstLine="480" w:firstLineChars="200"/>
              <w:rPr>
                <w:color w:val="auto"/>
                <w:sz w:val="24"/>
                <w:lang w:bidi="ar"/>
              </w:rPr>
            </w:pPr>
            <w:r>
              <w:rPr>
                <w:color w:val="auto"/>
                <w:sz w:val="24"/>
                <w:lang w:bidi="ar"/>
              </w:rPr>
              <w:t>企业在生产过程中，应加强现有一般固废暂存间的管理，定点收集堆存，并及时处理，不会对环境造成不利影响。</w:t>
            </w:r>
          </w:p>
          <w:p w14:paraId="25F1F00E">
            <w:pPr>
              <w:adjustRightInd w:val="0"/>
              <w:snapToGrid w:val="0"/>
              <w:spacing w:line="360" w:lineRule="auto"/>
              <w:ind w:firstLine="442" w:firstLineChars="200"/>
              <w:rPr>
                <w:b/>
                <w:bCs/>
                <w:color w:val="auto"/>
                <w:spacing w:val="-10"/>
                <w:sz w:val="24"/>
              </w:rPr>
            </w:pPr>
            <w:r>
              <w:rPr>
                <w:rFonts w:hint="eastAsia"/>
                <w:b/>
                <w:bCs/>
                <w:color w:val="auto"/>
                <w:spacing w:val="-10"/>
                <w:sz w:val="24"/>
              </w:rPr>
              <w:t>4、</w:t>
            </w:r>
            <w:r>
              <w:rPr>
                <w:b/>
                <w:bCs/>
                <w:color w:val="auto"/>
                <w:spacing w:val="-10"/>
                <w:sz w:val="24"/>
              </w:rPr>
              <w:t>危险废物环境影响分析和保护措施</w:t>
            </w:r>
          </w:p>
          <w:p w14:paraId="38AB3D8D">
            <w:pPr>
              <w:spacing w:line="360" w:lineRule="auto"/>
              <w:ind w:firstLine="480" w:firstLineChars="200"/>
              <w:rPr>
                <w:color w:val="auto"/>
                <w:sz w:val="24"/>
                <w:lang w:bidi="ar"/>
              </w:rPr>
            </w:pPr>
            <w:r>
              <w:rPr>
                <w:color w:val="auto"/>
                <w:sz w:val="24"/>
                <w:lang w:bidi="ar"/>
              </w:rPr>
              <w:t>（1）危险废物的储存</w:t>
            </w:r>
          </w:p>
          <w:p w14:paraId="6DAB974F">
            <w:pPr>
              <w:spacing w:line="360" w:lineRule="auto"/>
              <w:ind w:firstLine="480" w:firstLineChars="200"/>
              <w:rPr>
                <w:color w:val="auto"/>
                <w:sz w:val="24"/>
              </w:rPr>
            </w:pPr>
            <w:r>
              <w:rPr>
                <w:color w:val="auto"/>
                <w:sz w:val="24"/>
                <w:lang w:bidi="ar"/>
              </w:rPr>
              <w:t>项目新建1间独立危废间，位于</w:t>
            </w:r>
            <w:r>
              <w:rPr>
                <w:rFonts w:hint="eastAsia"/>
                <w:color w:val="auto"/>
                <w:sz w:val="24"/>
                <w:lang w:bidi="ar"/>
              </w:rPr>
              <w:t>厂区</w:t>
            </w:r>
            <w:r>
              <w:rPr>
                <w:rFonts w:hint="eastAsia"/>
                <w:color w:val="auto"/>
                <w:sz w:val="24"/>
                <w:lang w:val="en-US" w:eastAsia="zh-CN" w:bidi="ar"/>
              </w:rPr>
              <w:t>东北</w:t>
            </w:r>
            <w:r>
              <w:rPr>
                <w:rFonts w:hint="eastAsia"/>
                <w:color w:val="auto"/>
                <w:sz w:val="24"/>
                <w:lang w:bidi="ar"/>
              </w:rPr>
              <w:t>侧</w:t>
            </w:r>
            <w:r>
              <w:rPr>
                <w:color w:val="auto"/>
                <w:sz w:val="24"/>
                <w:lang w:bidi="ar"/>
              </w:rPr>
              <w:t>，建筑面积约</w:t>
            </w:r>
            <w:r>
              <w:rPr>
                <w:rFonts w:hint="eastAsia"/>
                <w:color w:val="auto"/>
                <w:sz w:val="24"/>
                <w:lang w:val="en-US" w:eastAsia="zh-CN" w:bidi="ar"/>
              </w:rPr>
              <w:t>1</w:t>
            </w:r>
            <w:r>
              <w:rPr>
                <w:color w:val="auto"/>
                <w:sz w:val="24"/>
                <w:lang w:bidi="ar"/>
              </w:rPr>
              <w:t>0m</w:t>
            </w:r>
            <w:r>
              <w:rPr>
                <w:color w:val="auto"/>
                <w:sz w:val="24"/>
                <w:vertAlign w:val="superscript"/>
                <w:lang w:bidi="ar"/>
              </w:rPr>
              <w:t>2</w:t>
            </w:r>
            <w:r>
              <w:rPr>
                <w:color w:val="auto"/>
                <w:sz w:val="24"/>
                <w:lang w:bidi="ar"/>
              </w:rPr>
              <w:t>，</w:t>
            </w:r>
            <w:r>
              <w:rPr>
                <w:rFonts w:hint="eastAsia"/>
                <w:color w:val="auto"/>
                <w:sz w:val="24"/>
                <w:lang w:bidi="ar"/>
              </w:rPr>
              <w:t>储存周期三个月，</w:t>
            </w:r>
            <w:r>
              <w:rPr>
                <w:color w:val="auto"/>
                <w:sz w:val="24"/>
                <w:lang w:bidi="ar"/>
              </w:rPr>
              <w:t>一次最大存储量</w:t>
            </w:r>
            <w:r>
              <w:rPr>
                <w:rFonts w:hint="eastAsia"/>
                <w:color w:val="auto"/>
                <w:sz w:val="24"/>
                <w:lang w:bidi="ar"/>
              </w:rPr>
              <w:t>1</w:t>
            </w:r>
            <w:r>
              <w:rPr>
                <w:rFonts w:hint="eastAsia"/>
                <w:color w:val="auto"/>
                <w:sz w:val="24"/>
                <w:lang w:val="en-US" w:eastAsia="zh-CN" w:bidi="ar"/>
              </w:rPr>
              <w:t>0</w:t>
            </w:r>
            <w:r>
              <w:rPr>
                <w:color w:val="auto"/>
                <w:sz w:val="24"/>
                <w:lang w:bidi="ar"/>
              </w:rPr>
              <w:t>t</w:t>
            </w:r>
            <w:r>
              <w:rPr>
                <w:rFonts w:hint="eastAsia"/>
                <w:color w:val="auto"/>
                <w:sz w:val="24"/>
                <w:lang w:bidi="ar"/>
              </w:rPr>
              <w:t>，</w:t>
            </w:r>
            <w:r>
              <w:rPr>
                <w:color w:val="auto"/>
                <w:sz w:val="24"/>
                <w:lang w:bidi="ar"/>
              </w:rPr>
              <w:t>可满足</w:t>
            </w:r>
            <w:r>
              <w:rPr>
                <w:rFonts w:hint="eastAsia"/>
                <w:color w:val="auto"/>
                <w:sz w:val="24"/>
                <w:lang w:bidi="ar"/>
              </w:rPr>
              <w:t>项目</w:t>
            </w:r>
            <w:r>
              <w:rPr>
                <w:color w:val="auto"/>
                <w:sz w:val="24"/>
                <w:lang w:bidi="ar"/>
              </w:rPr>
              <w:t>需求。</w:t>
            </w:r>
          </w:p>
          <w:p w14:paraId="13F52901">
            <w:pPr>
              <w:adjustRightInd w:val="0"/>
              <w:snapToGrid w:val="0"/>
              <w:spacing w:line="360" w:lineRule="auto"/>
              <w:ind w:firstLine="480" w:firstLineChars="200"/>
              <w:rPr>
                <w:color w:val="auto"/>
                <w:sz w:val="24"/>
                <w:lang w:bidi="ar"/>
              </w:rPr>
            </w:pPr>
            <w:r>
              <w:rPr>
                <w:color w:val="auto"/>
                <w:sz w:val="24"/>
                <w:lang w:bidi="ar"/>
              </w:rPr>
              <w:t>本项目危废暂存于危废暂存间，委托有资质单位处理。危废暂存间严格执行临时废物贮存设施应符合《危险废物贮存污染控制标准》（GB18597-2023）中的相关要求。具体如下：</w:t>
            </w:r>
          </w:p>
          <w:p w14:paraId="42796783">
            <w:pPr>
              <w:adjustRightInd w:val="0"/>
              <w:snapToGrid w:val="0"/>
              <w:spacing w:line="360" w:lineRule="auto"/>
              <w:ind w:firstLine="480" w:firstLineChars="200"/>
              <w:rPr>
                <w:color w:val="auto"/>
                <w:sz w:val="24"/>
                <w:lang w:bidi="ar"/>
              </w:rPr>
            </w:pPr>
            <w:r>
              <w:rPr>
                <w:color w:val="auto"/>
                <w:sz w:val="24"/>
                <w:lang w:bidi="ar"/>
              </w:rPr>
              <w:t>①贮存设施应根据危险废物的形态、物理化学性质、包装形式和污染物迁移途径，采取必要的防风、防晒、防雨、防漏、防渗、防腐以及其他环境污染防治措施，不应露天堆放危险废物。</w:t>
            </w:r>
          </w:p>
          <w:p w14:paraId="72564638">
            <w:pPr>
              <w:adjustRightInd w:val="0"/>
              <w:snapToGrid w:val="0"/>
              <w:spacing w:line="360" w:lineRule="auto"/>
              <w:ind w:firstLine="480" w:firstLineChars="200"/>
              <w:rPr>
                <w:color w:val="auto"/>
                <w:sz w:val="24"/>
                <w:lang w:bidi="ar"/>
              </w:rPr>
            </w:pPr>
            <w:r>
              <w:rPr>
                <w:color w:val="auto"/>
                <w:sz w:val="24"/>
                <w:lang w:bidi="ar"/>
              </w:rPr>
              <w:t>②贮存设施应根据危险废物的类别、数量、形态、物理化学性质和污染防治等要求设置必要的贮存分区，避免不相容的危险废物接触、混合。</w:t>
            </w:r>
          </w:p>
          <w:p w14:paraId="13C6146D">
            <w:pPr>
              <w:adjustRightInd w:val="0"/>
              <w:snapToGrid w:val="0"/>
              <w:spacing w:line="360" w:lineRule="auto"/>
              <w:ind w:firstLine="480" w:firstLineChars="200"/>
              <w:rPr>
                <w:color w:val="auto"/>
                <w:sz w:val="24"/>
                <w:lang w:bidi="ar"/>
              </w:rPr>
            </w:pPr>
            <w:r>
              <w:rPr>
                <w:color w:val="auto"/>
                <w:sz w:val="24"/>
                <w:lang w:bidi="ar"/>
              </w:rPr>
              <w:t>③贮存设施或贮存分区内地面、墙面裙脚、堵截泄漏的围堰、接触危险废物的隔板和墙体等应采用坚固的材料建造，表面无裂缝。</w:t>
            </w:r>
          </w:p>
          <w:p w14:paraId="7D01B822">
            <w:pPr>
              <w:adjustRightInd w:val="0"/>
              <w:snapToGrid w:val="0"/>
              <w:spacing w:line="360" w:lineRule="auto"/>
              <w:ind w:firstLine="480" w:firstLineChars="200"/>
              <w:rPr>
                <w:color w:val="auto"/>
                <w:sz w:val="24"/>
                <w:lang w:bidi="ar"/>
              </w:rPr>
            </w:pPr>
            <w:r>
              <w:rPr>
                <w:color w:val="auto"/>
                <w:sz w:val="24"/>
                <w:lang w:bidi="ar"/>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1m 厚黏土层（渗透系数不大于 10</w:t>
            </w:r>
            <w:r>
              <w:rPr>
                <w:rFonts w:hint="eastAsia"/>
                <w:color w:val="auto"/>
                <w:sz w:val="24"/>
                <w:vertAlign w:val="superscript"/>
                <w:lang w:bidi="ar"/>
              </w:rPr>
              <w:t>-</w:t>
            </w:r>
            <w:r>
              <w:rPr>
                <w:color w:val="auto"/>
                <w:sz w:val="24"/>
                <w:vertAlign w:val="superscript"/>
                <w:lang w:bidi="ar"/>
              </w:rPr>
              <w:t>7</w:t>
            </w:r>
            <w:r>
              <w:rPr>
                <w:color w:val="auto"/>
                <w:sz w:val="24"/>
                <w:lang w:bidi="ar"/>
              </w:rPr>
              <w:t>cm/s），或至少2mm厚高密度聚乙烯膜等人工防渗材料（渗透系数不大于 10</w:t>
            </w:r>
            <w:r>
              <w:rPr>
                <w:rFonts w:hint="eastAsia"/>
                <w:color w:val="auto"/>
                <w:sz w:val="24"/>
                <w:vertAlign w:val="superscript"/>
                <w:lang w:bidi="ar"/>
              </w:rPr>
              <w:t>-</w:t>
            </w:r>
            <w:r>
              <w:rPr>
                <w:color w:val="auto"/>
                <w:sz w:val="24"/>
                <w:vertAlign w:val="superscript"/>
                <w:lang w:bidi="ar"/>
              </w:rPr>
              <w:t>10</w:t>
            </w:r>
            <w:r>
              <w:rPr>
                <w:color w:val="auto"/>
                <w:sz w:val="24"/>
                <w:lang w:bidi="ar"/>
              </w:rPr>
              <w:t>cm/s），或其他防渗性能等效的材料。</w:t>
            </w:r>
          </w:p>
          <w:p w14:paraId="2B01979F">
            <w:pPr>
              <w:adjustRightInd w:val="0"/>
              <w:snapToGrid w:val="0"/>
              <w:spacing w:line="360" w:lineRule="auto"/>
              <w:ind w:firstLine="480" w:firstLineChars="200"/>
              <w:rPr>
                <w:color w:val="auto"/>
                <w:sz w:val="24"/>
                <w:lang w:bidi="ar"/>
              </w:rPr>
            </w:pPr>
            <w:r>
              <w:rPr>
                <w:color w:val="auto"/>
                <w:sz w:val="24"/>
                <w:lang w:bidi="ar"/>
              </w:rPr>
              <w:t>⑤同一贮存设施宜采用相同的防渗、防腐工艺（包括防渗、防腐结构或材料），防渗、防腐材料应覆盖所有可能与废物及其渗滤液、渗漏液等接触的构筑物表面；采用不同防渗、防腐工艺应分别建设贮存分区。</w:t>
            </w:r>
          </w:p>
          <w:p w14:paraId="0E3B717F">
            <w:pPr>
              <w:adjustRightInd w:val="0"/>
              <w:snapToGrid w:val="0"/>
              <w:spacing w:line="360" w:lineRule="auto"/>
              <w:ind w:firstLine="480" w:firstLineChars="200"/>
              <w:rPr>
                <w:color w:val="auto"/>
                <w:sz w:val="24"/>
                <w:lang w:bidi="ar"/>
              </w:rPr>
            </w:pPr>
            <w:r>
              <w:rPr>
                <w:color w:val="auto"/>
                <w:sz w:val="24"/>
                <w:lang w:bidi="ar"/>
              </w:rPr>
              <w:t>⑥贮存设施应采取技术和管理措施防止无关人员进入</w:t>
            </w:r>
            <w:r>
              <w:rPr>
                <w:rFonts w:hint="eastAsia"/>
                <w:color w:val="auto"/>
                <w:sz w:val="24"/>
                <w:lang w:bidi="ar"/>
              </w:rPr>
              <w:t>。</w:t>
            </w:r>
          </w:p>
          <w:p w14:paraId="554A91A7">
            <w:pPr>
              <w:adjustRightInd w:val="0"/>
              <w:snapToGrid w:val="0"/>
              <w:spacing w:line="360" w:lineRule="auto"/>
              <w:ind w:firstLine="480" w:firstLineChars="200"/>
              <w:rPr>
                <w:color w:val="auto"/>
                <w:sz w:val="24"/>
              </w:rPr>
            </w:pPr>
            <w:r>
              <w:rPr>
                <w:color w:val="auto"/>
                <w:sz w:val="24"/>
              </w:rPr>
              <w:t>（2）危险废物的运输</w:t>
            </w:r>
          </w:p>
          <w:p w14:paraId="5A13FA7F">
            <w:pPr>
              <w:adjustRightInd w:val="0"/>
              <w:snapToGrid w:val="0"/>
              <w:spacing w:line="360" w:lineRule="auto"/>
              <w:ind w:firstLine="480" w:firstLineChars="200"/>
              <w:rPr>
                <w:color w:val="auto"/>
                <w:sz w:val="24"/>
              </w:rPr>
            </w:pPr>
            <w:r>
              <w:rPr>
                <w:color w:val="auto"/>
                <w:sz w:val="24"/>
              </w:rPr>
              <w:t>本项目产生的危险废物应由危废单位负责运输，并配备受过专业培训的工作人员，司机和押运人员须携带上岗证、准运证，并持有危险废物转移联单。运输均采用专用车辆，运输工具表面按标准设立危险废物标识，不得超载，有发生撞车、翻车等事故的应急措施。按照物料的不同危险特性，采用适当的装运措施，运输危险废物的车辆应严格遵守危险品交通运输法律法规的要求，在可能情况下绕过城市主要街道、居住区、疗养区、饮用水源保护区、自然保护区等。一般情况下，在运输途中不会产生物料的散落或泄漏，不会对沿途环境造成不利影响。</w:t>
            </w:r>
          </w:p>
          <w:p w14:paraId="1D6CEDCA">
            <w:pPr>
              <w:adjustRightInd w:val="0"/>
              <w:snapToGrid w:val="0"/>
              <w:spacing w:line="360" w:lineRule="auto"/>
              <w:ind w:firstLine="480" w:firstLineChars="200"/>
              <w:rPr>
                <w:color w:val="auto"/>
                <w:sz w:val="24"/>
              </w:rPr>
            </w:pPr>
            <w:r>
              <w:rPr>
                <w:color w:val="auto"/>
                <w:sz w:val="24"/>
              </w:rPr>
              <w:t>在进行危废贮存、处理和运输的过程中，需要严格落实《危险废物污染防治技术政策》，危废暂存间建设满足《危险废物贮存污染控制标准》（GB18597-2023）的要求，危险废物的转运应由有资质单位承担，危险废物运输过程中应严格执行《危险废物收集贮存运输技术规范》（HJ2025-2012）和《危险废物转移联单管理办法》。</w:t>
            </w:r>
          </w:p>
          <w:p w14:paraId="49B28612">
            <w:pPr>
              <w:adjustRightInd w:val="0"/>
              <w:snapToGrid w:val="0"/>
              <w:spacing w:line="360" w:lineRule="auto"/>
              <w:ind w:firstLine="480" w:firstLineChars="200"/>
              <w:rPr>
                <w:color w:val="auto"/>
                <w:sz w:val="24"/>
              </w:rPr>
            </w:pPr>
            <w:r>
              <w:rPr>
                <w:color w:val="auto"/>
                <w:sz w:val="24"/>
              </w:rPr>
              <w:t>（3）危险废物的去向</w:t>
            </w:r>
          </w:p>
          <w:p w14:paraId="7488A715">
            <w:pPr>
              <w:adjustRightInd w:val="0"/>
              <w:snapToGrid w:val="0"/>
              <w:spacing w:line="360" w:lineRule="auto"/>
              <w:ind w:firstLine="480" w:firstLineChars="200"/>
              <w:rPr>
                <w:color w:val="auto"/>
                <w:sz w:val="24"/>
              </w:rPr>
            </w:pPr>
            <w:r>
              <w:rPr>
                <w:color w:val="auto"/>
                <w:sz w:val="24"/>
              </w:rPr>
              <w:t>本项目危险废物托有资质单位定期处理。</w:t>
            </w:r>
          </w:p>
          <w:p w14:paraId="03E1E66B">
            <w:pPr>
              <w:adjustRightInd w:val="0"/>
              <w:snapToGrid w:val="0"/>
              <w:spacing w:line="360" w:lineRule="auto"/>
              <w:ind w:firstLine="480" w:firstLineChars="200"/>
              <w:rPr>
                <w:color w:val="auto"/>
                <w:kern w:val="1"/>
                <w:sz w:val="24"/>
              </w:rPr>
            </w:pPr>
            <w:r>
              <w:rPr>
                <w:color w:val="auto"/>
                <w:sz w:val="24"/>
              </w:rPr>
              <w:t>综上所述，在落实上述危险废物管理要求后，本项目各类危废从收集、转运、运输、处理处置环节均可以得到有效的控制，能够确保妥善处置，对周边环境影响较小。</w:t>
            </w:r>
          </w:p>
          <w:p w14:paraId="07FB6A1F">
            <w:pPr>
              <w:spacing w:line="360" w:lineRule="auto"/>
              <w:ind w:firstLine="482" w:firstLineChars="200"/>
              <w:rPr>
                <w:b/>
                <w:color w:val="auto"/>
                <w:sz w:val="24"/>
              </w:rPr>
            </w:pPr>
            <w:r>
              <w:rPr>
                <w:b/>
                <w:color w:val="auto"/>
                <w:sz w:val="24"/>
              </w:rPr>
              <w:t>五、地下水</w:t>
            </w:r>
            <w:r>
              <w:rPr>
                <w:rFonts w:hint="eastAsia"/>
                <w:b/>
                <w:color w:val="auto"/>
                <w:sz w:val="24"/>
              </w:rPr>
              <w:t>和土壤</w:t>
            </w:r>
            <w:r>
              <w:rPr>
                <w:b/>
                <w:color w:val="auto"/>
                <w:sz w:val="24"/>
              </w:rPr>
              <w:t>环境影响分析</w:t>
            </w:r>
          </w:p>
          <w:p w14:paraId="551968EF">
            <w:pPr>
              <w:wordWrap w:val="0"/>
              <w:topLinePunct/>
              <w:spacing w:line="360" w:lineRule="auto"/>
              <w:ind w:firstLine="600" w:firstLineChars="250"/>
              <w:rPr>
                <w:color w:val="auto"/>
                <w:sz w:val="24"/>
              </w:rPr>
            </w:pPr>
            <w:r>
              <w:rPr>
                <w:rFonts w:hint="eastAsia"/>
                <w:color w:val="auto"/>
                <w:sz w:val="24"/>
              </w:rPr>
              <w:t>针对可能对地下水造成影响的各环节，按照“考虑重点，辐射全面”的防腐防渗原则，按照《环境影响评价技术导则 地下水环境》（HJ610-2016）中提出的根据建设项目场地天然包气带防污性能、污染控制难易程度和污染物特性，防渗技术要求进行划分。本项目厂内不同区域实施分区防治，污染区划分为一般防渗区、重点防渗区。</w:t>
            </w:r>
          </w:p>
          <w:p w14:paraId="6C16EAD5">
            <w:pPr>
              <w:wordWrap w:val="0"/>
              <w:topLinePunct/>
              <w:spacing w:line="360" w:lineRule="auto"/>
              <w:ind w:firstLine="602" w:firstLineChars="250"/>
              <w:rPr>
                <w:b/>
                <w:bCs/>
                <w:color w:val="auto"/>
                <w:sz w:val="24"/>
              </w:rPr>
            </w:pPr>
            <w:r>
              <w:rPr>
                <w:rFonts w:hint="eastAsia"/>
                <w:b/>
                <w:bCs/>
                <w:color w:val="auto"/>
                <w:sz w:val="24"/>
              </w:rPr>
              <w:t>1、污染环节分析</w:t>
            </w:r>
          </w:p>
          <w:p w14:paraId="60FB4EB0">
            <w:pPr>
              <w:wordWrap w:val="0"/>
              <w:topLinePunct/>
              <w:spacing w:line="360" w:lineRule="auto"/>
              <w:ind w:firstLine="600" w:firstLineChars="250"/>
              <w:rPr>
                <w:color w:val="auto"/>
                <w:sz w:val="24"/>
              </w:rPr>
            </w:pPr>
            <w:r>
              <w:rPr>
                <w:rFonts w:hint="eastAsia"/>
                <w:color w:val="auto"/>
                <w:sz w:val="24"/>
              </w:rPr>
              <w:t>项目生产过程中使用和产生的污染物主要为危险废物泄漏及污水通过包气带中的裂隙、孔隙向地下垂直渗漏和渗透。泄漏物质在遇砂性土会较快进入地下水体，如遇粘性土，载体则沿层面做水平运动，使污染范围扩大，当遇到下渗通道时再垂向渗漏，进入地下水体。包气带的防护能力大小，直接影响着地下水的防护，包气带防护条件与包气带厚度、岩性结构、弱渗透性地层的渗透性能及厚度有关，若包气带粘性土厚度小，且分布不连续、不稳定，则地下水自然防护条件就差，渗漏就易对地下水产生污染，若包气带粘性土厚度建设项目使虽小，但分布连续，稳定，则地下水自然防护条件相对就好些，污染物对地下水影响就相对小些。</w:t>
            </w:r>
          </w:p>
          <w:p w14:paraId="2C2B3315">
            <w:pPr>
              <w:wordWrap w:val="0"/>
              <w:topLinePunct/>
              <w:spacing w:line="360" w:lineRule="auto"/>
              <w:ind w:firstLine="600" w:firstLineChars="250"/>
              <w:rPr>
                <w:color w:val="auto"/>
                <w:sz w:val="24"/>
              </w:rPr>
            </w:pPr>
            <w:r>
              <w:rPr>
                <w:rFonts w:hint="eastAsia"/>
                <w:color w:val="auto"/>
                <w:sz w:val="24"/>
              </w:rPr>
              <w:t>本项目地下水污染途径主要是危险废物的渗漏对浅层地下水的影响。对土壤的污染途径主要为项目产生的颗粒物通过大气沉降对土壤环境造成污染。</w:t>
            </w:r>
          </w:p>
          <w:p w14:paraId="2E56EBEB">
            <w:pPr>
              <w:widowControl/>
              <w:adjustRightInd w:val="0"/>
              <w:snapToGrid w:val="0"/>
              <w:spacing w:line="360" w:lineRule="auto"/>
              <w:contextualSpacing/>
              <w:jc w:val="center"/>
              <w:rPr>
                <w:b/>
                <w:color w:val="auto"/>
                <w:kern w:val="0"/>
                <w:sz w:val="24"/>
              </w:rPr>
            </w:pPr>
            <w:r>
              <w:rPr>
                <w:b/>
                <w:color w:val="auto"/>
                <w:kern w:val="0"/>
                <w:sz w:val="24"/>
              </w:rPr>
              <w:t>表4-</w:t>
            </w:r>
            <w:r>
              <w:rPr>
                <w:rFonts w:hint="eastAsia"/>
                <w:b/>
                <w:color w:val="auto"/>
                <w:kern w:val="0"/>
                <w:sz w:val="24"/>
              </w:rPr>
              <w:t>22</w:t>
            </w:r>
            <w:r>
              <w:rPr>
                <w:b/>
                <w:color w:val="auto"/>
                <w:kern w:val="0"/>
                <w:sz w:val="24"/>
              </w:rPr>
              <w:t xml:space="preserve">  项目可能产生的渗漏环节表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22"/>
              <w:gridCol w:w="2309"/>
              <w:gridCol w:w="1774"/>
              <w:gridCol w:w="2149"/>
            </w:tblGrid>
            <w:tr w14:paraId="475D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vAlign w:val="center"/>
                </w:tcPr>
                <w:p w14:paraId="2A10DF87">
                  <w:pPr>
                    <w:jc w:val="center"/>
                    <w:rPr>
                      <w:b/>
                      <w:color w:val="auto"/>
                    </w:rPr>
                  </w:pPr>
                  <w:r>
                    <w:rPr>
                      <w:b/>
                      <w:color w:val="auto"/>
                    </w:rPr>
                    <w:t>序号</w:t>
                  </w:r>
                </w:p>
              </w:tc>
              <w:tc>
                <w:tcPr>
                  <w:tcW w:w="1822" w:type="dxa"/>
                  <w:vAlign w:val="center"/>
                </w:tcPr>
                <w:p w14:paraId="575EE714">
                  <w:pPr>
                    <w:jc w:val="center"/>
                    <w:rPr>
                      <w:b/>
                      <w:color w:val="auto"/>
                    </w:rPr>
                  </w:pPr>
                  <w:r>
                    <w:rPr>
                      <w:rFonts w:hint="eastAsia"/>
                      <w:b/>
                      <w:color w:val="auto"/>
                    </w:rPr>
                    <w:t>主要环节</w:t>
                  </w:r>
                </w:p>
              </w:tc>
              <w:tc>
                <w:tcPr>
                  <w:tcW w:w="2309" w:type="dxa"/>
                  <w:vAlign w:val="center"/>
                </w:tcPr>
                <w:p w14:paraId="5E2A2CA0">
                  <w:pPr>
                    <w:jc w:val="center"/>
                    <w:rPr>
                      <w:b/>
                      <w:color w:val="auto"/>
                    </w:rPr>
                  </w:pPr>
                  <w:r>
                    <w:rPr>
                      <w:rFonts w:hint="eastAsia"/>
                      <w:b/>
                      <w:color w:val="auto"/>
                    </w:rPr>
                    <w:t>涉及物质</w:t>
                  </w:r>
                </w:p>
              </w:tc>
              <w:tc>
                <w:tcPr>
                  <w:tcW w:w="1774" w:type="dxa"/>
                  <w:vAlign w:val="center"/>
                </w:tcPr>
                <w:p w14:paraId="6D5BC2AF">
                  <w:pPr>
                    <w:jc w:val="center"/>
                    <w:rPr>
                      <w:b/>
                      <w:color w:val="auto"/>
                    </w:rPr>
                  </w:pPr>
                  <w:r>
                    <w:rPr>
                      <w:rFonts w:hint="eastAsia"/>
                      <w:b/>
                      <w:color w:val="auto"/>
                    </w:rPr>
                    <w:t>设施</w:t>
                  </w:r>
                </w:p>
              </w:tc>
              <w:tc>
                <w:tcPr>
                  <w:tcW w:w="2149" w:type="dxa"/>
                  <w:vAlign w:val="center"/>
                </w:tcPr>
                <w:p w14:paraId="43888143">
                  <w:pPr>
                    <w:jc w:val="center"/>
                    <w:rPr>
                      <w:b/>
                      <w:color w:val="auto"/>
                    </w:rPr>
                  </w:pPr>
                  <w:r>
                    <w:rPr>
                      <w:rFonts w:hint="eastAsia"/>
                      <w:b/>
                      <w:color w:val="auto"/>
                    </w:rPr>
                    <w:t>污染途径</w:t>
                  </w:r>
                </w:p>
              </w:tc>
            </w:tr>
            <w:tr w14:paraId="0891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vAlign w:val="center"/>
                </w:tcPr>
                <w:p w14:paraId="0CCFD420">
                  <w:pPr>
                    <w:jc w:val="center"/>
                    <w:rPr>
                      <w:bCs/>
                      <w:color w:val="auto"/>
                    </w:rPr>
                  </w:pPr>
                  <w:r>
                    <w:rPr>
                      <w:bCs/>
                      <w:color w:val="auto"/>
                    </w:rPr>
                    <w:t>1</w:t>
                  </w:r>
                </w:p>
              </w:tc>
              <w:tc>
                <w:tcPr>
                  <w:tcW w:w="1822" w:type="dxa"/>
                  <w:vAlign w:val="center"/>
                </w:tcPr>
                <w:p w14:paraId="0F663500">
                  <w:pPr>
                    <w:jc w:val="center"/>
                    <w:rPr>
                      <w:bCs/>
                      <w:color w:val="auto"/>
                    </w:rPr>
                  </w:pPr>
                  <w:r>
                    <w:rPr>
                      <w:bCs/>
                      <w:color w:val="auto"/>
                    </w:rPr>
                    <w:t>危废</w:t>
                  </w:r>
                  <w:r>
                    <w:rPr>
                      <w:rFonts w:hint="eastAsia"/>
                      <w:bCs/>
                      <w:color w:val="auto"/>
                    </w:rPr>
                    <w:t>存放</w:t>
                  </w:r>
                </w:p>
              </w:tc>
              <w:tc>
                <w:tcPr>
                  <w:tcW w:w="2309" w:type="dxa"/>
                  <w:vAlign w:val="center"/>
                </w:tcPr>
                <w:p w14:paraId="1B47E474">
                  <w:pPr>
                    <w:jc w:val="center"/>
                    <w:rPr>
                      <w:bCs/>
                      <w:color w:val="auto"/>
                    </w:rPr>
                  </w:pPr>
                  <w:r>
                    <w:rPr>
                      <w:rFonts w:hint="eastAsia"/>
                      <w:bCs/>
                      <w:color w:val="auto"/>
                    </w:rPr>
                    <w:t>废润滑油、废润滑油桶</w:t>
                  </w:r>
                </w:p>
              </w:tc>
              <w:tc>
                <w:tcPr>
                  <w:tcW w:w="1774" w:type="dxa"/>
                  <w:vAlign w:val="center"/>
                </w:tcPr>
                <w:p w14:paraId="2F6875BC">
                  <w:pPr>
                    <w:jc w:val="center"/>
                    <w:rPr>
                      <w:bCs/>
                      <w:color w:val="auto"/>
                    </w:rPr>
                  </w:pPr>
                  <w:r>
                    <w:rPr>
                      <w:rFonts w:hint="eastAsia"/>
                      <w:bCs/>
                      <w:color w:val="auto"/>
                    </w:rPr>
                    <w:t>危废间</w:t>
                  </w:r>
                </w:p>
              </w:tc>
              <w:tc>
                <w:tcPr>
                  <w:tcW w:w="2149" w:type="dxa"/>
                  <w:vAlign w:val="center"/>
                </w:tcPr>
                <w:p w14:paraId="66748435">
                  <w:pPr>
                    <w:jc w:val="center"/>
                    <w:rPr>
                      <w:bCs/>
                      <w:color w:val="auto"/>
                    </w:rPr>
                  </w:pPr>
                  <w:r>
                    <w:rPr>
                      <w:bCs/>
                      <w:color w:val="auto"/>
                    </w:rPr>
                    <w:t>危废泄漏</w:t>
                  </w:r>
                </w:p>
              </w:tc>
            </w:tr>
          </w:tbl>
          <w:p w14:paraId="689CC7ED">
            <w:pPr>
              <w:wordWrap w:val="0"/>
              <w:topLinePunct/>
              <w:spacing w:line="360" w:lineRule="auto"/>
              <w:ind w:firstLine="602" w:firstLineChars="250"/>
              <w:rPr>
                <w:b/>
                <w:bCs/>
                <w:color w:val="auto"/>
                <w:sz w:val="24"/>
              </w:rPr>
            </w:pPr>
            <w:r>
              <w:rPr>
                <w:rFonts w:hint="eastAsia"/>
                <w:b/>
                <w:bCs/>
                <w:color w:val="auto"/>
                <w:sz w:val="24"/>
              </w:rPr>
              <w:t>2、污染防治措施</w:t>
            </w:r>
          </w:p>
          <w:p w14:paraId="1E4F897C">
            <w:pPr>
              <w:wordWrap w:val="0"/>
              <w:topLinePunct/>
              <w:spacing w:line="360" w:lineRule="auto"/>
              <w:ind w:firstLine="600" w:firstLineChars="250"/>
              <w:rPr>
                <w:color w:val="auto"/>
                <w:sz w:val="24"/>
              </w:rPr>
            </w:pPr>
            <w:r>
              <w:rPr>
                <w:rFonts w:hint="eastAsia"/>
                <w:color w:val="auto"/>
                <w:sz w:val="24"/>
              </w:rPr>
              <w:t>（1）源头控制</w:t>
            </w:r>
          </w:p>
          <w:p w14:paraId="2ABFDC7F">
            <w:pPr>
              <w:wordWrap w:val="0"/>
              <w:topLinePunct/>
              <w:spacing w:line="360" w:lineRule="auto"/>
              <w:ind w:firstLine="600" w:firstLineChars="250"/>
              <w:rPr>
                <w:color w:val="auto"/>
                <w:sz w:val="24"/>
              </w:rPr>
            </w:pPr>
            <w:r>
              <w:rPr>
                <w:rFonts w:hint="eastAsia"/>
                <w:color w:val="auto"/>
                <w:sz w:val="24"/>
              </w:rPr>
              <w:t>①优先选择先进、成熟、可靠的工艺技术和较清洁的原辅材料，并对产生的各类废物进行合理的回用和治理，尽可能从源头上减少污染物的产生和排放。</w:t>
            </w:r>
          </w:p>
          <w:p w14:paraId="32E85962">
            <w:pPr>
              <w:wordWrap w:val="0"/>
              <w:topLinePunct/>
              <w:spacing w:line="360" w:lineRule="auto"/>
              <w:ind w:firstLine="600" w:firstLineChars="250"/>
              <w:rPr>
                <w:color w:val="auto"/>
                <w:sz w:val="24"/>
              </w:rPr>
            </w:pPr>
            <w:r>
              <w:rPr>
                <w:rFonts w:hint="eastAsia"/>
                <w:color w:val="auto"/>
                <w:sz w:val="24"/>
              </w:rPr>
              <w:t>②严格按照国家相关规范要求，采取相应措施，防止和降低污染物的跑、冒、滴、漏，将污染物泄漏的环境风险降到最低程度。</w:t>
            </w:r>
          </w:p>
          <w:p w14:paraId="3125FEB3">
            <w:pPr>
              <w:wordWrap w:val="0"/>
              <w:topLinePunct/>
              <w:spacing w:line="360" w:lineRule="auto"/>
              <w:ind w:firstLine="600" w:firstLineChars="250"/>
              <w:rPr>
                <w:color w:val="auto"/>
                <w:sz w:val="24"/>
              </w:rPr>
            </w:pPr>
            <w:r>
              <w:rPr>
                <w:rFonts w:hint="eastAsia"/>
                <w:color w:val="auto"/>
                <w:sz w:val="24"/>
              </w:rPr>
              <w:t>③堆放各种危险废物临时存放场所要按照国家相关规范要求，采取严格的防泄漏、防溢流、防腐蚀等措施，严格危险化学品和危险废物的管理。</w:t>
            </w:r>
          </w:p>
          <w:p w14:paraId="39E6B153">
            <w:pPr>
              <w:wordWrap w:val="0"/>
              <w:topLinePunct/>
              <w:spacing w:line="360" w:lineRule="auto"/>
              <w:ind w:firstLine="600" w:firstLineChars="250"/>
              <w:rPr>
                <w:color w:val="auto"/>
                <w:sz w:val="24"/>
              </w:rPr>
            </w:pPr>
            <w:r>
              <w:rPr>
                <w:rFonts w:hint="eastAsia"/>
                <w:color w:val="auto"/>
                <w:sz w:val="24"/>
              </w:rPr>
              <w:t>④对可能泄漏有害介质和污染物的设备和管道铺设尽量采用“可视化”原则，即管道尽可能地上铺设，做到污染物“早发现、早处理”，以减少由于埋地管道泄漏而可能造成的地下水污染。</w:t>
            </w:r>
          </w:p>
          <w:p w14:paraId="7583BD53">
            <w:pPr>
              <w:wordWrap w:val="0"/>
              <w:topLinePunct/>
              <w:spacing w:line="360" w:lineRule="auto"/>
              <w:ind w:firstLine="600" w:firstLineChars="250"/>
              <w:rPr>
                <w:color w:val="auto"/>
                <w:sz w:val="24"/>
              </w:rPr>
            </w:pPr>
            <w:r>
              <w:rPr>
                <w:rFonts w:hint="eastAsia"/>
                <w:color w:val="auto"/>
                <w:sz w:val="24"/>
              </w:rPr>
              <w:t>（2）分区防治措施</w:t>
            </w:r>
          </w:p>
          <w:p w14:paraId="6BD02D32">
            <w:pPr>
              <w:wordWrap w:val="0"/>
              <w:topLinePunct/>
              <w:spacing w:line="360" w:lineRule="auto"/>
              <w:ind w:firstLine="600" w:firstLineChars="250"/>
              <w:rPr>
                <w:color w:val="auto"/>
                <w:sz w:val="24"/>
              </w:rPr>
            </w:pPr>
            <w:r>
              <w:rPr>
                <w:rFonts w:hint="eastAsia"/>
                <w:color w:val="auto"/>
                <w:sz w:val="24"/>
              </w:rPr>
              <w:t>根据项目各功能单元是否可能对地下水造成污染及其风险程度，将项目划分为重点防渗区、一般防渗区和简单防渗区。重点防渗区是可能会泄漏污染物对地下水造成污染，泄漏不能及时发现和处理，需要重点防治或者需要重点保护的区域，主要是地下或半地下工程，包括危废暂存间；一般防渗区是可能会对地下水造成污染，但危害性或风险程度相对较低的区域，包括生产区、原料库、成品库、一般固废暂存间；简单防渗区为不会对地下水造成污染的区域，一般为非生产区域。</w:t>
            </w:r>
          </w:p>
          <w:p w14:paraId="75F8B01F">
            <w:pPr>
              <w:wordWrap w:val="0"/>
              <w:topLinePunct/>
              <w:spacing w:line="360" w:lineRule="auto"/>
              <w:ind w:firstLine="600" w:firstLineChars="250"/>
              <w:rPr>
                <w:color w:val="auto"/>
                <w:sz w:val="24"/>
              </w:rPr>
            </w:pPr>
            <w:r>
              <w:rPr>
                <w:rFonts w:hint="eastAsia"/>
                <w:color w:val="auto"/>
                <w:sz w:val="24"/>
              </w:rPr>
              <w:t>针对可能对地下水造成影响的各环节，按照“考虑重点，辐射全面”的防腐防渗原则，本项目防腐、防渗等防止地下水、土壤污染预防措施见下表。</w:t>
            </w:r>
          </w:p>
          <w:p w14:paraId="264A82CD">
            <w:pPr>
              <w:pStyle w:val="6"/>
              <w:numPr>
                <w:ilvl w:val="2"/>
                <w:numId w:val="0"/>
              </w:numPr>
              <w:tabs>
                <w:tab w:val="left" w:pos="720"/>
              </w:tabs>
              <w:spacing w:line="240" w:lineRule="auto"/>
              <w:ind w:left="210" w:leftChars="100"/>
              <w:jc w:val="center"/>
              <w:rPr>
                <w:b w:val="0"/>
                <w:bCs w:val="0"/>
                <w:color w:val="auto"/>
                <w:sz w:val="24"/>
                <w:szCs w:val="24"/>
              </w:rPr>
            </w:pPr>
            <w:r>
              <w:rPr>
                <w:color w:val="auto"/>
                <w:sz w:val="24"/>
                <w:szCs w:val="24"/>
              </w:rPr>
              <w:t>表</w:t>
            </w:r>
            <w:r>
              <w:rPr>
                <w:rFonts w:hint="eastAsia"/>
                <w:color w:val="auto"/>
                <w:sz w:val="24"/>
                <w:szCs w:val="24"/>
              </w:rPr>
              <w:t>4-23 分区防渗划分一览表</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444"/>
              <w:gridCol w:w="5254"/>
            </w:tblGrid>
            <w:tr w14:paraId="2AD1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Align w:val="center"/>
                </w:tcPr>
                <w:p w14:paraId="0B88C299">
                  <w:pPr>
                    <w:adjustRightInd w:val="0"/>
                    <w:snapToGrid w:val="0"/>
                    <w:jc w:val="center"/>
                    <w:rPr>
                      <w:b/>
                      <w:bCs/>
                      <w:color w:val="auto"/>
                      <w:szCs w:val="21"/>
                    </w:rPr>
                  </w:pPr>
                  <w:r>
                    <w:rPr>
                      <w:rFonts w:hint="eastAsia"/>
                      <w:b/>
                      <w:bCs/>
                      <w:color w:val="auto"/>
                      <w:szCs w:val="21"/>
                    </w:rPr>
                    <w:t>防渗分区</w:t>
                  </w:r>
                </w:p>
              </w:tc>
              <w:tc>
                <w:tcPr>
                  <w:tcW w:w="1385" w:type="pct"/>
                  <w:vAlign w:val="center"/>
                </w:tcPr>
                <w:p w14:paraId="208875CC">
                  <w:pPr>
                    <w:adjustRightInd w:val="0"/>
                    <w:snapToGrid w:val="0"/>
                    <w:jc w:val="center"/>
                    <w:rPr>
                      <w:b/>
                      <w:bCs/>
                      <w:color w:val="auto"/>
                      <w:szCs w:val="21"/>
                    </w:rPr>
                  </w:pPr>
                  <w:r>
                    <w:rPr>
                      <w:rFonts w:hint="eastAsia"/>
                      <w:b/>
                      <w:bCs/>
                      <w:color w:val="auto"/>
                      <w:szCs w:val="21"/>
                    </w:rPr>
                    <w:t>厂内分区</w:t>
                  </w:r>
                </w:p>
              </w:tc>
              <w:tc>
                <w:tcPr>
                  <w:tcW w:w="2979" w:type="pct"/>
                  <w:vAlign w:val="center"/>
                </w:tcPr>
                <w:p w14:paraId="47E14C21">
                  <w:pPr>
                    <w:adjustRightInd w:val="0"/>
                    <w:snapToGrid w:val="0"/>
                    <w:jc w:val="center"/>
                    <w:rPr>
                      <w:b/>
                      <w:bCs/>
                      <w:color w:val="auto"/>
                      <w:szCs w:val="21"/>
                    </w:rPr>
                  </w:pPr>
                  <w:r>
                    <w:rPr>
                      <w:rFonts w:hint="eastAsia"/>
                      <w:b/>
                      <w:bCs/>
                      <w:color w:val="auto"/>
                      <w:szCs w:val="21"/>
                    </w:rPr>
                    <w:t>需采取措施</w:t>
                  </w:r>
                </w:p>
              </w:tc>
            </w:tr>
            <w:tr w14:paraId="2009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Align w:val="center"/>
                </w:tcPr>
                <w:p w14:paraId="0E026021">
                  <w:pPr>
                    <w:adjustRightInd w:val="0"/>
                    <w:snapToGrid w:val="0"/>
                    <w:jc w:val="center"/>
                    <w:rPr>
                      <w:color w:val="auto"/>
                      <w:szCs w:val="21"/>
                    </w:rPr>
                  </w:pPr>
                  <w:r>
                    <w:rPr>
                      <w:rFonts w:hint="eastAsia"/>
                      <w:color w:val="auto"/>
                      <w:szCs w:val="21"/>
                    </w:rPr>
                    <w:t>重点防渗区</w:t>
                  </w:r>
                </w:p>
              </w:tc>
              <w:tc>
                <w:tcPr>
                  <w:tcW w:w="1385" w:type="pct"/>
                  <w:vAlign w:val="center"/>
                </w:tcPr>
                <w:p w14:paraId="648E4D85">
                  <w:pPr>
                    <w:adjustRightInd w:val="0"/>
                    <w:snapToGrid w:val="0"/>
                    <w:jc w:val="center"/>
                    <w:rPr>
                      <w:color w:val="auto"/>
                      <w:szCs w:val="21"/>
                    </w:rPr>
                  </w:pPr>
                  <w:r>
                    <w:rPr>
                      <w:rFonts w:hint="eastAsia"/>
                      <w:color w:val="auto"/>
                      <w:szCs w:val="21"/>
                    </w:rPr>
                    <w:t>危废间</w:t>
                  </w:r>
                </w:p>
              </w:tc>
              <w:tc>
                <w:tcPr>
                  <w:tcW w:w="2979" w:type="pct"/>
                  <w:vAlign w:val="center"/>
                </w:tcPr>
                <w:p w14:paraId="5FD9068F">
                  <w:pPr>
                    <w:adjustRightInd w:val="0"/>
                    <w:snapToGrid w:val="0"/>
                    <w:jc w:val="center"/>
                    <w:rPr>
                      <w:color w:val="auto"/>
                      <w:szCs w:val="21"/>
                    </w:rPr>
                  </w:pPr>
                  <w:r>
                    <w:rPr>
                      <w:rFonts w:hint="eastAsia"/>
                      <w:color w:val="auto"/>
                      <w:szCs w:val="21"/>
                    </w:rPr>
                    <w:t>基础必须防渗，防渗层为至少1m厚黏土层（渗透系数≤10</w:t>
                  </w:r>
                  <w:r>
                    <w:rPr>
                      <w:rFonts w:hint="eastAsia"/>
                      <w:color w:val="auto"/>
                      <w:szCs w:val="21"/>
                      <w:vertAlign w:val="superscript"/>
                    </w:rPr>
                    <w:t>-7</w:t>
                  </w:r>
                  <w:r>
                    <w:rPr>
                      <w:rFonts w:hint="eastAsia"/>
                      <w:color w:val="auto"/>
                      <w:szCs w:val="21"/>
                    </w:rPr>
                    <w:t>cm/s），或2mm厚高密度聚乙烯，或至少2mm厚的其他人工材料，渗透系数≤10</w:t>
                  </w:r>
                  <w:r>
                    <w:rPr>
                      <w:rFonts w:hint="eastAsia"/>
                      <w:color w:val="auto"/>
                      <w:szCs w:val="21"/>
                      <w:vertAlign w:val="superscript"/>
                    </w:rPr>
                    <w:t>-7</w:t>
                  </w:r>
                  <w:r>
                    <w:rPr>
                      <w:rFonts w:hint="eastAsia"/>
                      <w:color w:val="auto"/>
                      <w:szCs w:val="21"/>
                    </w:rPr>
                    <w:t>cm/s，或参照GB18597执行</w:t>
                  </w:r>
                </w:p>
              </w:tc>
            </w:tr>
            <w:tr w14:paraId="110C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Align w:val="center"/>
                </w:tcPr>
                <w:p w14:paraId="210431A2">
                  <w:pPr>
                    <w:adjustRightInd w:val="0"/>
                    <w:snapToGrid w:val="0"/>
                    <w:jc w:val="center"/>
                    <w:rPr>
                      <w:color w:val="auto"/>
                      <w:szCs w:val="21"/>
                    </w:rPr>
                  </w:pPr>
                  <w:r>
                    <w:rPr>
                      <w:rFonts w:hint="eastAsia"/>
                      <w:color w:val="auto"/>
                      <w:szCs w:val="21"/>
                    </w:rPr>
                    <w:t>一般防渗区</w:t>
                  </w:r>
                </w:p>
              </w:tc>
              <w:tc>
                <w:tcPr>
                  <w:tcW w:w="1385" w:type="pct"/>
                  <w:vAlign w:val="center"/>
                </w:tcPr>
                <w:p w14:paraId="050109FA">
                  <w:pPr>
                    <w:adjustRightInd w:val="0"/>
                    <w:snapToGrid w:val="0"/>
                    <w:jc w:val="center"/>
                    <w:rPr>
                      <w:color w:val="auto"/>
                      <w:szCs w:val="21"/>
                    </w:rPr>
                  </w:pPr>
                  <w:r>
                    <w:rPr>
                      <w:rFonts w:hint="eastAsia"/>
                      <w:color w:val="auto"/>
                      <w:szCs w:val="21"/>
                    </w:rPr>
                    <w:t>生产车间、一般固废堆放点</w:t>
                  </w:r>
                </w:p>
              </w:tc>
              <w:tc>
                <w:tcPr>
                  <w:tcW w:w="2979" w:type="pct"/>
                  <w:vAlign w:val="center"/>
                </w:tcPr>
                <w:p w14:paraId="6FC0C608">
                  <w:pPr>
                    <w:adjustRightInd w:val="0"/>
                    <w:snapToGrid w:val="0"/>
                    <w:jc w:val="center"/>
                    <w:rPr>
                      <w:color w:val="auto"/>
                      <w:szCs w:val="21"/>
                    </w:rPr>
                  </w:pPr>
                  <w:r>
                    <w:rPr>
                      <w:rFonts w:hint="eastAsia"/>
                      <w:color w:val="auto"/>
                      <w:szCs w:val="21"/>
                    </w:rPr>
                    <w:t>地面防渗需满足：等效黏土防渗层Mb≥1.5m，K≤1×10</w:t>
                  </w:r>
                  <w:r>
                    <w:rPr>
                      <w:rFonts w:hint="eastAsia"/>
                      <w:color w:val="auto"/>
                      <w:szCs w:val="21"/>
                      <w:vertAlign w:val="superscript"/>
                    </w:rPr>
                    <w:t>-7</w:t>
                  </w:r>
                  <w:r>
                    <w:rPr>
                      <w:rFonts w:hint="eastAsia"/>
                      <w:color w:val="auto"/>
                      <w:szCs w:val="21"/>
                    </w:rPr>
                    <w:t>cm/s，或参照GB16889执行</w:t>
                  </w:r>
                </w:p>
              </w:tc>
            </w:tr>
          </w:tbl>
          <w:p w14:paraId="4B78440A">
            <w:pPr>
              <w:spacing w:line="360" w:lineRule="auto"/>
              <w:ind w:firstLine="480" w:firstLineChars="200"/>
              <w:rPr>
                <w:color w:val="auto"/>
                <w:kern w:val="0"/>
                <w:sz w:val="24"/>
                <w:szCs w:val="20"/>
              </w:rPr>
            </w:pPr>
            <w:r>
              <w:rPr>
                <w:rFonts w:hint="eastAsia"/>
                <w:color w:val="auto"/>
                <w:kern w:val="0"/>
                <w:sz w:val="24"/>
                <w:szCs w:val="20"/>
              </w:rPr>
              <w:t>综上分析，项目采取上述的分区防渗措施后，正常运营状况下可以有效防止地下水、土壤污染。</w:t>
            </w:r>
          </w:p>
          <w:p w14:paraId="0847F153">
            <w:pPr>
              <w:adjustRightInd w:val="0"/>
              <w:snapToGrid w:val="0"/>
              <w:spacing w:line="360" w:lineRule="auto"/>
              <w:ind w:firstLine="482" w:firstLineChars="200"/>
              <w:rPr>
                <w:b/>
                <w:bCs/>
                <w:color w:val="auto"/>
                <w:sz w:val="24"/>
              </w:rPr>
            </w:pPr>
            <w:r>
              <w:rPr>
                <w:rFonts w:hint="eastAsia"/>
                <w:b/>
                <w:bCs/>
                <w:color w:val="auto"/>
                <w:sz w:val="24"/>
              </w:rPr>
              <w:t>六</w:t>
            </w:r>
            <w:r>
              <w:rPr>
                <w:b/>
                <w:bCs/>
                <w:color w:val="auto"/>
                <w:sz w:val="24"/>
              </w:rPr>
              <w:t>、环境风险</w:t>
            </w:r>
          </w:p>
          <w:p w14:paraId="08BD86C7">
            <w:pPr>
              <w:widowControl/>
              <w:adjustRightInd w:val="0"/>
              <w:snapToGrid w:val="0"/>
              <w:spacing w:line="360" w:lineRule="auto"/>
              <w:ind w:left="101" w:leftChars="48" w:right="120" w:firstLine="424" w:firstLineChars="177"/>
              <w:rPr>
                <w:color w:val="auto"/>
                <w:kern w:val="0"/>
                <w:sz w:val="24"/>
              </w:rPr>
            </w:pPr>
            <w:r>
              <w:rPr>
                <w:color w:val="auto"/>
                <w:kern w:val="0"/>
                <w:sz w:val="24"/>
              </w:rPr>
              <w:t>环境风险评价的目的是分析和预测建设项目存在的潜在危险、有害因素、建设项目的建设和运行期间可能发生的突发性事件或事故（一般不包括人为破坏及自然灾害）引起有毒有害和易燃易爆等物质泄漏所造成的人身安全与环境影响和损害程度，并提出合理可行的防范、应急与减缓措施，以使建设项目事故率、损失和环境影响达到可接受的水平。</w:t>
            </w:r>
          </w:p>
          <w:p w14:paraId="4A757CED">
            <w:pPr>
              <w:widowControl/>
              <w:adjustRightInd w:val="0"/>
              <w:snapToGrid w:val="0"/>
              <w:spacing w:line="360" w:lineRule="auto"/>
              <w:ind w:left="101" w:leftChars="48" w:right="120" w:firstLine="426" w:firstLineChars="177"/>
              <w:rPr>
                <w:b/>
                <w:color w:val="auto"/>
                <w:kern w:val="0"/>
                <w:sz w:val="24"/>
              </w:rPr>
            </w:pPr>
            <w:r>
              <w:rPr>
                <w:b/>
                <w:color w:val="auto"/>
                <w:kern w:val="0"/>
                <w:sz w:val="24"/>
              </w:rPr>
              <w:t>1、评价依据</w:t>
            </w:r>
          </w:p>
          <w:p w14:paraId="313D480B">
            <w:pPr>
              <w:widowControl/>
              <w:adjustRightInd w:val="0"/>
              <w:snapToGrid w:val="0"/>
              <w:spacing w:line="360" w:lineRule="auto"/>
              <w:ind w:left="101" w:leftChars="48" w:right="120" w:firstLine="424" w:firstLineChars="177"/>
              <w:rPr>
                <w:b/>
                <w:bCs/>
                <w:color w:val="auto"/>
                <w:kern w:val="0"/>
                <w:sz w:val="24"/>
              </w:rPr>
            </w:pPr>
            <w:r>
              <w:rPr>
                <w:color w:val="auto"/>
                <w:kern w:val="0"/>
                <w:sz w:val="24"/>
              </w:rPr>
              <w:t>环境风险评价的目的是分析和预测建设项目存在的潜在危险、有害因素、建设项目的建设和运行期间可能发生的突发性事件或事故（一般不包括人为破坏及自然灾害）引起有毒有害和易燃易爆等物质泄漏所造成的人身安全与环境影响和损害程度，并提出合理可行的防范、应急与减缓措施，以使建设项目事故率、损失和环境影响达到可接受的水平。</w:t>
            </w:r>
          </w:p>
          <w:p w14:paraId="6715DC0A">
            <w:pPr>
              <w:widowControl/>
              <w:adjustRightInd w:val="0"/>
              <w:snapToGrid w:val="0"/>
              <w:spacing w:line="360" w:lineRule="auto"/>
              <w:ind w:left="101" w:leftChars="48" w:right="120" w:firstLine="426" w:firstLineChars="177"/>
              <w:rPr>
                <w:b/>
                <w:bCs/>
                <w:color w:val="auto"/>
                <w:kern w:val="0"/>
                <w:sz w:val="24"/>
              </w:rPr>
            </w:pPr>
            <w:r>
              <w:rPr>
                <w:b/>
                <w:bCs/>
                <w:color w:val="auto"/>
                <w:kern w:val="0"/>
                <w:sz w:val="24"/>
              </w:rPr>
              <w:t>（1）风险调查</w:t>
            </w:r>
          </w:p>
          <w:p w14:paraId="57D245C5">
            <w:pPr>
              <w:widowControl/>
              <w:adjustRightInd w:val="0"/>
              <w:snapToGrid w:val="0"/>
              <w:spacing w:line="360" w:lineRule="auto"/>
              <w:ind w:left="101" w:leftChars="48" w:right="120" w:firstLine="424" w:firstLineChars="177"/>
              <w:rPr>
                <w:color w:val="auto"/>
                <w:kern w:val="0"/>
                <w:sz w:val="24"/>
              </w:rPr>
            </w:pPr>
            <w:r>
              <w:rPr>
                <w:color w:val="auto"/>
                <w:kern w:val="0"/>
                <w:sz w:val="24"/>
              </w:rPr>
              <w:t>经查询《建设项目环境风险评价技术导则》（HJ169-2018）附录B表B.1、《化学品分类和标签规范 第18部分：急性毒性》（GB 30000.18-2013）及危险化学品重大危险源辨识(GB18218-2018)，本项目所使用的原辅材料中</w:t>
            </w:r>
            <w:r>
              <w:rPr>
                <w:rFonts w:hint="eastAsia"/>
                <w:color w:val="auto"/>
                <w:kern w:val="0"/>
                <w:sz w:val="24"/>
              </w:rPr>
              <w:t>润滑油</w:t>
            </w:r>
            <w:r>
              <w:rPr>
                <w:color w:val="auto"/>
                <w:sz w:val="24"/>
              </w:rPr>
              <w:t>属于健康危险急性毒性物质</w:t>
            </w:r>
            <w:r>
              <w:rPr>
                <w:color w:val="auto"/>
                <w:kern w:val="0"/>
                <w:sz w:val="24"/>
              </w:rPr>
              <w:t>。</w:t>
            </w:r>
          </w:p>
          <w:p w14:paraId="678FABD8">
            <w:pPr>
              <w:widowControl/>
              <w:adjustRightInd w:val="0"/>
              <w:snapToGrid w:val="0"/>
              <w:spacing w:line="360" w:lineRule="auto"/>
              <w:ind w:left="101" w:leftChars="48" w:right="120" w:firstLine="426" w:firstLineChars="177"/>
              <w:rPr>
                <w:b/>
                <w:bCs/>
                <w:color w:val="auto"/>
                <w:kern w:val="0"/>
                <w:sz w:val="24"/>
              </w:rPr>
            </w:pPr>
            <w:r>
              <w:rPr>
                <w:b/>
                <w:bCs/>
                <w:color w:val="auto"/>
                <w:kern w:val="0"/>
                <w:sz w:val="24"/>
              </w:rPr>
              <w:t>（2）风险潜势初判</w:t>
            </w:r>
          </w:p>
          <w:p w14:paraId="5153B300">
            <w:pPr>
              <w:widowControl/>
              <w:adjustRightInd w:val="0"/>
              <w:snapToGrid w:val="0"/>
              <w:spacing w:line="360" w:lineRule="auto"/>
              <w:ind w:left="101" w:leftChars="48" w:right="120" w:firstLine="424" w:firstLineChars="177"/>
              <w:rPr>
                <w:color w:val="auto"/>
                <w:kern w:val="0"/>
                <w:sz w:val="24"/>
              </w:rPr>
            </w:pPr>
            <w:r>
              <w:rPr>
                <w:color w:val="auto"/>
                <w:kern w:val="0"/>
                <w:sz w:val="24"/>
              </w:rPr>
              <w:t>根据《建设项目环境风险评价技术导则》（HJ169-2018），项目涉及的危险化学品名称、临界量及实际最大储存量见下表。</w:t>
            </w:r>
          </w:p>
          <w:p w14:paraId="20ADE123">
            <w:pPr>
              <w:widowControl/>
              <w:adjustRightInd w:val="0"/>
              <w:snapToGrid w:val="0"/>
              <w:spacing w:line="360" w:lineRule="auto"/>
              <w:jc w:val="center"/>
              <w:rPr>
                <w:b/>
                <w:bCs/>
                <w:color w:val="auto"/>
                <w:kern w:val="0"/>
                <w:sz w:val="24"/>
              </w:rPr>
            </w:pPr>
            <w:r>
              <w:rPr>
                <w:b/>
                <w:bCs/>
                <w:color w:val="auto"/>
                <w:kern w:val="0"/>
                <w:sz w:val="24"/>
              </w:rPr>
              <w:t>表4-</w:t>
            </w:r>
            <w:r>
              <w:rPr>
                <w:rFonts w:hint="eastAsia"/>
                <w:b/>
                <w:bCs/>
                <w:color w:val="auto"/>
                <w:kern w:val="0"/>
                <w:sz w:val="24"/>
              </w:rPr>
              <w:t>24</w:t>
            </w:r>
            <w:r>
              <w:rPr>
                <w:b/>
                <w:bCs/>
                <w:color w:val="auto"/>
                <w:kern w:val="0"/>
                <w:sz w:val="24"/>
              </w:rPr>
              <w:t xml:space="preserve">  临界量与实际量对比一览表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2513"/>
              <w:gridCol w:w="1559"/>
              <w:gridCol w:w="1620"/>
              <w:gridCol w:w="2453"/>
            </w:tblGrid>
            <w:tr w14:paraId="3056B7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83" w:hRule="atLeast"/>
                <w:jc w:val="center"/>
              </w:trPr>
              <w:tc>
                <w:tcPr>
                  <w:tcW w:w="380" w:type="pct"/>
                  <w:tcBorders>
                    <w:tl2br w:val="nil"/>
                    <w:tr2bl w:val="nil"/>
                  </w:tcBorders>
                  <w:vAlign w:val="center"/>
                </w:tcPr>
                <w:p w14:paraId="7521559F">
                  <w:pPr>
                    <w:jc w:val="center"/>
                    <w:rPr>
                      <w:b/>
                      <w:bCs/>
                      <w:color w:val="auto"/>
                      <w:szCs w:val="21"/>
                    </w:rPr>
                  </w:pPr>
                  <w:r>
                    <w:rPr>
                      <w:b/>
                      <w:bCs/>
                      <w:color w:val="auto"/>
                      <w:szCs w:val="21"/>
                    </w:rPr>
                    <w:t>序号</w:t>
                  </w:r>
                </w:p>
              </w:tc>
              <w:tc>
                <w:tcPr>
                  <w:tcW w:w="1425" w:type="pct"/>
                  <w:tcBorders>
                    <w:tl2br w:val="nil"/>
                    <w:tr2bl w:val="nil"/>
                  </w:tcBorders>
                  <w:vAlign w:val="center"/>
                </w:tcPr>
                <w:p w14:paraId="031626FD">
                  <w:pPr>
                    <w:jc w:val="center"/>
                    <w:rPr>
                      <w:b/>
                      <w:bCs/>
                      <w:color w:val="auto"/>
                      <w:szCs w:val="21"/>
                    </w:rPr>
                  </w:pPr>
                  <w:r>
                    <w:rPr>
                      <w:b/>
                      <w:bCs/>
                      <w:color w:val="auto"/>
                      <w:szCs w:val="21"/>
                    </w:rPr>
                    <w:t>原辅材料名称</w:t>
                  </w:r>
                </w:p>
              </w:tc>
              <w:tc>
                <w:tcPr>
                  <w:tcW w:w="884" w:type="pct"/>
                  <w:tcBorders>
                    <w:tl2br w:val="nil"/>
                    <w:tr2bl w:val="nil"/>
                  </w:tcBorders>
                  <w:vAlign w:val="center"/>
                </w:tcPr>
                <w:p w14:paraId="32445685">
                  <w:pPr>
                    <w:jc w:val="center"/>
                    <w:rPr>
                      <w:b/>
                      <w:bCs/>
                      <w:color w:val="auto"/>
                      <w:szCs w:val="21"/>
                    </w:rPr>
                  </w:pPr>
                  <w:r>
                    <w:rPr>
                      <w:b/>
                      <w:bCs/>
                      <w:color w:val="auto"/>
                      <w:szCs w:val="21"/>
                    </w:rPr>
                    <w:t>一次最大储量t</w:t>
                  </w:r>
                </w:p>
              </w:tc>
              <w:tc>
                <w:tcPr>
                  <w:tcW w:w="918" w:type="pct"/>
                  <w:tcBorders>
                    <w:tl2br w:val="nil"/>
                    <w:tr2bl w:val="nil"/>
                  </w:tcBorders>
                  <w:vAlign w:val="center"/>
                </w:tcPr>
                <w:p w14:paraId="4C157917">
                  <w:pPr>
                    <w:jc w:val="center"/>
                    <w:rPr>
                      <w:b/>
                      <w:bCs/>
                      <w:color w:val="auto"/>
                      <w:szCs w:val="21"/>
                    </w:rPr>
                  </w:pPr>
                  <w:r>
                    <w:rPr>
                      <w:b/>
                      <w:color w:val="auto"/>
                      <w:szCs w:val="21"/>
                    </w:rPr>
                    <w:t>临界量（t）</w:t>
                  </w:r>
                </w:p>
              </w:tc>
              <w:tc>
                <w:tcPr>
                  <w:tcW w:w="1391" w:type="pct"/>
                  <w:tcBorders>
                    <w:tl2br w:val="nil"/>
                    <w:tr2bl w:val="nil"/>
                  </w:tcBorders>
                  <w:vAlign w:val="center"/>
                </w:tcPr>
                <w:p w14:paraId="17CA9EEF">
                  <w:pPr>
                    <w:jc w:val="center"/>
                    <w:rPr>
                      <w:b/>
                      <w:bCs/>
                      <w:color w:val="auto"/>
                      <w:szCs w:val="21"/>
                    </w:rPr>
                  </w:pPr>
                  <w:r>
                    <w:rPr>
                      <w:b/>
                      <w:color w:val="auto"/>
                      <w:szCs w:val="21"/>
                    </w:rPr>
                    <w:t>危险物质数量与临界量比值（Qn）</w:t>
                  </w:r>
                </w:p>
              </w:tc>
            </w:tr>
            <w:tr w14:paraId="06609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380" w:type="pct"/>
                  <w:tcBorders>
                    <w:tl2br w:val="nil"/>
                    <w:tr2bl w:val="nil"/>
                  </w:tcBorders>
                  <w:vAlign w:val="center"/>
                </w:tcPr>
                <w:p w14:paraId="10442A74">
                  <w:pPr>
                    <w:jc w:val="center"/>
                    <w:rPr>
                      <w:color w:val="auto"/>
                      <w:szCs w:val="21"/>
                    </w:rPr>
                  </w:pPr>
                  <w:r>
                    <w:rPr>
                      <w:rFonts w:hint="eastAsia"/>
                      <w:color w:val="auto"/>
                      <w:szCs w:val="21"/>
                    </w:rPr>
                    <w:t>1</w:t>
                  </w:r>
                </w:p>
              </w:tc>
              <w:tc>
                <w:tcPr>
                  <w:tcW w:w="1425" w:type="pct"/>
                  <w:tcBorders>
                    <w:tl2br w:val="nil"/>
                    <w:tr2bl w:val="nil"/>
                  </w:tcBorders>
                  <w:vAlign w:val="center"/>
                </w:tcPr>
                <w:p w14:paraId="1ECF1196">
                  <w:pPr>
                    <w:jc w:val="center"/>
                    <w:rPr>
                      <w:color w:val="auto"/>
                      <w:szCs w:val="21"/>
                    </w:rPr>
                  </w:pPr>
                  <w:r>
                    <w:rPr>
                      <w:rFonts w:hint="eastAsia"/>
                      <w:color w:val="auto"/>
                      <w:szCs w:val="21"/>
                    </w:rPr>
                    <w:t>润滑油</w:t>
                  </w:r>
                </w:p>
              </w:tc>
              <w:tc>
                <w:tcPr>
                  <w:tcW w:w="884" w:type="pct"/>
                  <w:tcBorders>
                    <w:tl2br w:val="nil"/>
                    <w:tr2bl w:val="nil"/>
                  </w:tcBorders>
                  <w:vAlign w:val="center"/>
                </w:tcPr>
                <w:p w14:paraId="3CF2DBBD">
                  <w:pPr>
                    <w:jc w:val="center"/>
                    <w:rPr>
                      <w:color w:val="auto"/>
                      <w:szCs w:val="21"/>
                    </w:rPr>
                  </w:pPr>
                  <w:r>
                    <w:rPr>
                      <w:rFonts w:hint="eastAsia"/>
                      <w:color w:val="auto"/>
                      <w:szCs w:val="21"/>
                    </w:rPr>
                    <w:t>0.08</w:t>
                  </w:r>
                </w:p>
              </w:tc>
              <w:tc>
                <w:tcPr>
                  <w:tcW w:w="918" w:type="pct"/>
                  <w:tcBorders>
                    <w:tl2br w:val="nil"/>
                    <w:tr2bl w:val="nil"/>
                  </w:tcBorders>
                  <w:vAlign w:val="center"/>
                </w:tcPr>
                <w:p w14:paraId="21D83BB8">
                  <w:pPr>
                    <w:jc w:val="center"/>
                    <w:rPr>
                      <w:color w:val="auto"/>
                      <w:szCs w:val="21"/>
                    </w:rPr>
                  </w:pPr>
                  <w:r>
                    <w:rPr>
                      <w:color w:val="auto"/>
                      <w:szCs w:val="21"/>
                    </w:rPr>
                    <w:t>2500</w:t>
                  </w:r>
                </w:p>
              </w:tc>
              <w:tc>
                <w:tcPr>
                  <w:tcW w:w="1391" w:type="pct"/>
                  <w:tcBorders>
                    <w:tl2br w:val="nil"/>
                    <w:tr2bl w:val="nil"/>
                  </w:tcBorders>
                  <w:vAlign w:val="center"/>
                </w:tcPr>
                <w:p w14:paraId="166335C3">
                  <w:pPr>
                    <w:widowControl/>
                    <w:jc w:val="center"/>
                    <w:textAlignment w:val="center"/>
                    <w:rPr>
                      <w:color w:val="auto"/>
                      <w:kern w:val="0"/>
                      <w:szCs w:val="21"/>
                      <w:lang w:bidi="ar"/>
                    </w:rPr>
                  </w:pPr>
                  <w:r>
                    <w:rPr>
                      <w:rFonts w:hint="eastAsia"/>
                      <w:color w:val="auto"/>
                      <w:kern w:val="0"/>
                      <w:szCs w:val="21"/>
                      <w:lang w:bidi="ar"/>
                    </w:rPr>
                    <w:t>0.000032</w:t>
                  </w:r>
                </w:p>
              </w:tc>
            </w:tr>
            <w:tr w14:paraId="6BDCC2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380" w:type="pct"/>
                  <w:tcBorders>
                    <w:tl2br w:val="nil"/>
                    <w:tr2bl w:val="nil"/>
                  </w:tcBorders>
                  <w:vAlign w:val="center"/>
                </w:tcPr>
                <w:p w14:paraId="0C32C0B5">
                  <w:pPr>
                    <w:widowControl/>
                    <w:jc w:val="center"/>
                    <w:textAlignment w:val="center"/>
                    <w:rPr>
                      <w:rFonts w:hint="eastAsia" w:eastAsia="宋体"/>
                      <w:color w:val="auto"/>
                      <w:szCs w:val="21"/>
                      <w:lang w:val="en-US" w:eastAsia="zh-CN"/>
                    </w:rPr>
                  </w:pPr>
                  <w:r>
                    <w:rPr>
                      <w:rFonts w:hint="eastAsia"/>
                      <w:color w:val="auto"/>
                      <w:szCs w:val="21"/>
                      <w:lang w:val="en-US" w:eastAsia="zh-CN"/>
                    </w:rPr>
                    <w:t>2</w:t>
                  </w:r>
                </w:p>
              </w:tc>
              <w:tc>
                <w:tcPr>
                  <w:tcW w:w="1425" w:type="pct"/>
                  <w:tcBorders>
                    <w:tl2br w:val="nil"/>
                    <w:tr2bl w:val="nil"/>
                  </w:tcBorders>
                  <w:vAlign w:val="center"/>
                </w:tcPr>
                <w:p w14:paraId="1AE1E55A">
                  <w:pPr>
                    <w:widowControl/>
                    <w:jc w:val="center"/>
                    <w:textAlignment w:val="center"/>
                    <w:rPr>
                      <w:rFonts w:hint="eastAsia" w:eastAsia="宋体"/>
                      <w:color w:val="auto"/>
                      <w:szCs w:val="21"/>
                      <w:lang w:val="en-US" w:eastAsia="zh-CN"/>
                    </w:rPr>
                  </w:pPr>
                  <w:r>
                    <w:rPr>
                      <w:rFonts w:hint="eastAsia"/>
                      <w:color w:val="auto"/>
                      <w:szCs w:val="21"/>
                      <w:lang w:val="en-US" w:eastAsia="zh-CN"/>
                    </w:rPr>
                    <w:t>废润滑油</w:t>
                  </w:r>
                </w:p>
              </w:tc>
              <w:tc>
                <w:tcPr>
                  <w:tcW w:w="884" w:type="pct"/>
                  <w:tcBorders>
                    <w:tl2br w:val="nil"/>
                    <w:tr2bl w:val="nil"/>
                  </w:tcBorders>
                  <w:vAlign w:val="center"/>
                </w:tcPr>
                <w:p w14:paraId="76633BC3">
                  <w:pPr>
                    <w:widowControl/>
                    <w:jc w:val="center"/>
                    <w:textAlignment w:val="center"/>
                    <w:rPr>
                      <w:rFonts w:hint="default" w:eastAsia="宋体"/>
                      <w:color w:val="auto"/>
                      <w:szCs w:val="21"/>
                      <w:lang w:val="en-US" w:eastAsia="zh-CN"/>
                    </w:rPr>
                  </w:pPr>
                  <w:r>
                    <w:rPr>
                      <w:rFonts w:hint="eastAsia"/>
                      <w:color w:val="auto"/>
                      <w:szCs w:val="21"/>
                      <w:lang w:val="en-US" w:eastAsia="zh-CN"/>
                    </w:rPr>
                    <w:t>0.01</w:t>
                  </w:r>
                </w:p>
              </w:tc>
              <w:tc>
                <w:tcPr>
                  <w:tcW w:w="918" w:type="pct"/>
                  <w:tcBorders>
                    <w:tl2br w:val="nil"/>
                    <w:tr2bl w:val="nil"/>
                  </w:tcBorders>
                  <w:vAlign w:val="center"/>
                </w:tcPr>
                <w:p w14:paraId="747E445E">
                  <w:pPr>
                    <w:widowControl/>
                    <w:jc w:val="center"/>
                    <w:textAlignment w:val="center"/>
                    <w:rPr>
                      <w:rFonts w:hint="default" w:eastAsia="宋体"/>
                      <w:color w:val="auto"/>
                      <w:szCs w:val="21"/>
                      <w:lang w:val="en-US" w:eastAsia="zh-CN"/>
                    </w:rPr>
                  </w:pPr>
                  <w:r>
                    <w:rPr>
                      <w:rFonts w:hint="eastAsia"/>
                      <w:color w:val="auto"/>
                      <w:szCs w:val="21"/>
                      <w:lang w:val="en-US" w:eastAsia="zh-CN"/>
                    </w:rPr>
                    <w:t>2500</w:t>
                  </w:r>
                </w:p>
              </w:tc>
              <w:tc>
                <w:tcPr>
                  <w:tcW w:w="1391" w:type="pct"/>
                  <w:tcBorders>
                    <w:tl2br w:val="nil"/>
                    <w:tr2bl w:val="nil"/>
                  </w:tcBorders>
                  <w:vAlign w:val="center"/>
                </w:tcPr>
                <w:p w14:paraId="6ED550EA">
                  <w:pPr>
                    <w:widowControl/>
                    <w:jc w:val="center"/>
                    <w:textAlignment w:val="center"/>
                    <w:rPr>
                      <w:rFonts w:hint="default" w:eastAsia="宋体"/>
                      <w:color w:val="auto"/>
                      <w:szCs w:val="21"/>
                      <w:lang w:val="en-US" w:eastAsia="zh-CN"/>
                    </w:rPr>
                  </w:pPr>
                  <w:r>
                    <w:rPr>
                      <w:rFonts w:hint="eastAsia"/>
                      <w:color w:val="auto"/>
                      <w:szCs w:val="21"/>
                      <w:lang w:val="en-US" w:eastAsia="zh-CN"/>
                    </w:rPr>
                    <w:t>0.000004</w:t>
                  </w:r>
                </w:p>
              </w:tc>
            </w:tr>
            <w:tr w14:paraId="0E437E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08" w:type="pct"/>
                  <w:gridSpan w:val="4"/>
                  <w:tcBorders>
                    <w:tl2br w:val="nil"/>
                    <w:tr2bl w:val="nil"/>
                  </w:tcBorders>
                  <w:vAlign w:val="center"/>
                </w:tcPr>
                <w:p w14:paraId="5F8726E8">
                  <w:pPr>
                    <w:jc w:val="center"/>
                    <w:rPr>
                      <w:color w:val="auto"/>
                      <w:szCs w:val="21"/>
                    </w:rPr>
                  </w:pPr>
                  <w:r>
                    <w:rPr>
                      <w:color w:val="auto"/>
                      <w:szCs w:val="21"/>
                    </w:rPr>
                    <w:t>合计</w:t>
                  </w:r>
                </w:p>
              </w:tc>
              <w:tc>
                <w:tcPr>
                  <w:tcW w:w="1391" w:type="pct"/>
                  <w:tcBorders>
                    <w:tl2br w:val="nil"/>
                    <w:tr2bl w:val="nil"/>
                  </w:tcBorders>
                  <w:vAlign w:val="center"/>
                </w:tcPr>
                <w:p w14:paraId="29EED75B">
                  <w:pPr>
                    <w:widowControl/>
                    <w:jc w:val="center"/>
                    <w:textAlignment w:val="center"/>
                    <w:rPr>
                      <w:rFonts w:hint="eastAsia" w:eastAsia="宋体"/>
                      <w:color w:val="auto"/>
                      <w:szCs w:val="21"/>
                      <w:lang w:val="en-US" w:eastAsia="zh-CN"/>
                    </w:rPr>
                  </w:pPr>
                  <w:r>
                    <w:rPr>
                      <w:rFonts w:hint="eastAsia"/>
                      <w:color w:val="auto"/>
                      <w:kern w:val="0"/>
                      <w:szCs w:val="21"/>
                      <w:lang w:bidi="ar"/>
                    </w:rPr>
                    <w:t>0.00003</w:t>
                  </w:r>
                  <w:r>
                    <w:rPr>
                      <w:rFonts w:hint="eastAsia"/>
                      <w:color w:val="auto"/>
                      <w:kern w:val="0"/>
                      <w:szCs w:val="21"/>
                      <w:lang w:val="en-US" w:eastAsia="zh-CN" w:bidi="ar"/>
                    </w:rPr>
                    <w:t>6</w:t>
                  </w:r>
                </w:p>
              </w:tc>
            </w:tr>
          </w:tbl>
          <w:p w14:paraId="2A1C16FA">
            <w:pPr>
              <w:autoSpaceDE w:val="0"/>
              <w:autoSpaceDN w:val="0"/>
              <w:adjustRightInd w:val="0"/>
              <w:spacing w:line="360" w:lineRule="auto"/>
              <w:ind w:firstLine="482" w:firstLineChars="200"/>
              <w:rPr>
                <w:b/>
                <w:color w:val="auto"/>
                <w:sz w:val="24"/>
              </w:rPr>
            </w:pPr>
            <w:r>
              <w:rPr>
                <w:b/>
                <w:color w:val="auto"/>
                <w:sz w:val="24"/>
              </w:rPr>
              <w:t>2、环境风险识别</w:t>
            </w:r>
          </w:p>
          <w:p w14:paraId="3366375B">
            <w:pPr>
              <w:autoSpaceDE w:val="0"/>
              <w:autoSpaceDN w:val="0"/>
              <w:adjustRightInd w:val="0"/>
              <w:spacing w:line="360" w:lineRule="auto"/>
              <w:ind w:firstLine="480" w:firstLineChars="200"/>
              <w:rPr>
                <w:bCs/>
                <w:color w:val="auto"/>
                <w:sz w:val="24"/>
              </w:rPr>
            </w:pPr>
            <w:r>
              <w:rPr>
                <w:bCs/>
                <w:color w:val="auto"/>
                <w:sz w:val="24"/>
              </w:rPr>
              <w:t>①运输、装卸过程</w:t>
            </w:r>
          </w:p>
          <w:p w14:paraId="298EA33B">
            <w:pPr>
              <w:autoSpaceDE w:val="0"/>
              <w:autoSpaceDN w:val="0"/>
              <w:adjustRightInd w:val="0"/>
              <w:spacing w:line="360" w:lineRule="auto"/>
              <w:ind w:firstLine="480" w:firstLineChars="200"/>
              <w:rPr>
                <w:bCs/>
                <w:color w:val="auto"/>
                <w:sz w:val="24"/>
              </w:rPr>
            </w:pPr>
            <w:r>
              <w:rPr>
                <w:bCs/>
                <w:color w:val="auto"/>
                <w:sz w:val="24"/>
              </w:rPr>
              <w:t>本项目</w:t>
            </w:r>
            <w:r>
              <w:rPr>
                <w:rFonts w:hint="eastAsia"/>
                <w:bCs/>
                <w:color w:val="auto"/>
                <w:sz w:val="24"/>
              </w:rPr>
              <w:t>设备维护使用的润滑油，</w:t>
            </w:r>
            <w:r>
              <w:rPr>
                <w:bCs/>
                <w:color w:val="auto"/>
                <w:sz w:val="24"/>
              </w:rPr>
              <w:t>定期委托外单位送货到厂。在运输、装卸过程中可能存在的风险事故为：</w:t>
            </w:r>
          </w:p>
          <w:p w14:paraId="7CFCF36A">
            <w:pPr>
              <w:autoSpaceDE w:val="0"/>
              <w:autoSpaceDN w:val="0"/>
              <w:adjustRightInd w:val="0"/>
              <w:spacing w:line="360" w:lineRule="auto"/>
              <w:ind w:firstLine="480" w:firstLineChars="200"/>
              <w:rPr>
                <w:bCs/>
                <w:color w:val="auto"/>
                <w:sz w:val="24"/>
              </w:rPr>
            </w:pPr>
            <w:r>
              <w:rPr>
                <w:bCs/>
                <w:color w:val="auto"/>
                <w:sz w:val="24"/>
              </w:rPr>
              <w:t>A、最为严重但几率很小的是运输过程中因意外交通事故，造成火灾、爆炸或泄露，周围人员烧伤等情况。</w:t>
            </w:r>
          </w:p>
          <w:p w14:paraId="0541A778">
            <w:pPr>
              <w:autoSpaceDE w:val="0"/>
              <w:autoSpaceDN w:val="0"/>
              <w:adjustRightInd w:val="0"/>
              <w:spacing w:line="360" w:lineRule="auto"/>
              <w:ind w:firstLine="480" w:firstLineChars="200"/>
              <w:rPr>
                <w:bCs/>
                <w:color w:val="auto"/>
                <w:sz w:val="24"/>
              </w:rPr>
            </w:pPr>
            <w:r>
              <w:rPr>
                <w:bCs/>
                <w:color w:val="auto"/>
                <w:sz w:val="24"/>
              </w:rPr>
              <w:t>B、运输过程中因包装桶老化、封盖密闭不严等原因而造成泄漏，遇火源引起爆炸现象。</w:t>
            </w:r>
          </w:p>
          <w:p w14:paraId="69ED6D5E">
            <w:pPr>
              <w:pStyle w:val="16"/>
              <w:autoSpaceDE w:val="0"/>
              <w:autoSpaceDN w:val="0"/>
              <w:spacing w:after="0" w:line="360" w:lineRule="auto"/>
              <w:ind w:left="0" w:leftChars="0" w:firstLine="480"/>
              <w:rPr>
                <w:color w:val="auto"/>
                <w:szCs w:val="32"/>
              </w:rPr>
            </w:pPr>
            <w:r>
              <w:rPr>
                <w:color w:val="auto"/>
                <w:szCs w:val="32"/>
              </w:rPr>
              <w:t>C、因卸料等原因造成冲击较大，造成泄漏，当有点火源存在时，将可能导致火灾、爆炸事故的发生、人员灼伤等现象。</w:t>
            </w:r>
          </w:p>
          <w:p w14:paraId="0C41242A">
            <w:pPr>
              <w:pStyle w:val="16"/>
              <w:autoSpaceDE w:val="0"/>
              <w:autoSpaceDN w:val="0"/>
              <w:spacing w:after="0" w:line="360" w:lineRule="auto"/>
              <w:ind w:left="0" w:leftChars="0" w:firstLine="480"/>
              <w:rPr>
                <w:color w:val="auto"/>
                <w:szCs w:val="32"/>
              </w:rPr>
            </w:pPr>
            <w:r>
              <w:rPr>
                <w:color w:val="auto"/>
                <w:szCs w:val="32"/>
              </w:rPr>
              <w:t>D、项目因员工操作不当而造成危险废物流失。</w:t>
            </w:r>
          </w:p>
          <w:p w14:paraId="6ADCF003">
            <w:pPr>
              <w:pStyle w:val="16"/>
              <w:autoSpaceDE w:val="0"/>
              <w:autoSpaceDN w:val="0"/>
              <w:spacing w:after="0" w:line="360" w:lineRule="auto"/>
              <w:ind w:left="0" w:leftChars="0" w:firstLine="480"/>
              <w:rPr>
                <w:color w:val="auto"/>
                <w:szCs w:val="32"/>
              </w:rPr>
            </w:pPr>
            <w:r>
              <w:rPr>
                <w:color w:val="auto"/>
                <w:szCs w:val="32"/>
              </w:rPr>
              <w:t>②贮存与使用过程</w:t>
            </w:r>
          </w:p>
          <w:p w14:paraId="75D5C680">
            <w:pPr>
              <w:pStyle w:val="16"/>
              <w:autoSpaceDE w:val="0"/>
              <w:autoSpaceDN w:val="0"/>
              <w:spacing w:after="0" w:line="360" w:lineRule="auto"/>
              <w:ind w:left="0" w:leftChars="0" w:firstLine="480"/>
              <w:rPr>
                <w:color w:val="auto"/>
                <w:szCs w:val="32"/>
              </w:rPr>
            </w:pPr>
            <w:r>
              <w:rPr>
                <w:color w:val="auto"/>
                <w:szCs w:val="32"/>
              </w:rPr>
              <w:t>在贮存过程中可能存在的风险事故为：管理人员失误或不可抗拒因素等造成物料泄漏引发污染事故：在生产过程中由于包装桶封盖老化或操作未按规范，致使物料泄漏逸散，导致遇火源发生燃烧甚至爆炸。</w:t>
            </w:r>
          </w:p>
          <w:p w14:paraId="155745A1">
            <w:pPr>
              <w:pStyle w:val="16"/>
              <w:autoSpaceDE w:val="0"/>
              <w:autoSpaceDN w:val="0"/>
              <w:spacing w:after="0" w:line="360" w:lineRule="auto"/>
              <w:ind w:left="0" w:leftChars="0" w:firstLine="480"/>
              <w:rPr>
                <w:color w:val="auto"/>
                <w:szCs w:val="32"/>
              </w:rPr>
            </w:pPr>
            <w:r>
              <w:rPr>
                <w:color w:val="auto"/>
                <w:szCs w:val="32"/>
              </w:rPr>
              <w:t>容器等本身设计不合格，或制造存在缺陷，造成其耐压能力不够，发生破裂，导致危险化学品泄漏，遇点火源则发生火灾、爆炸事故；另外，容器在防雷设施失效的情况下遭受雷击、遭受电火花或在贮存区内违禁使用明火、违规操作等情况，也易诱发火灾、爆炸事故。</w:t>
            </w:r>
          </w:p>
          <w:p w14:paraId="0FABBC8B">
            <w:pPr>
              <w:pStyle w:val="16"/>
              <w:autoSpaceDE w:val="0"/>
              <w:autoSpaceDN w:val="0"/>
              <w:spacing w:after="0" w:line="360" w:lineRule="auto"/>
              <w:ind w:left="0" w:leftChars="0" w:firstLine="480"/>
              <w:rPr>
                <w:color w:val="auto"/>
                <w:szCs w:val="32"/>
              </w:rPr>
            </w:pPr>
            <w:r>
              <w:rPr>
                <w:color w:val="auto"/>
                <w:szCs w:val="32"/>
              </w:rPr>
              <w:t>危险化学品在使用过程中可能存在的风险事故为：原料使用过程中，由于使用量较大时，滴漏到设备的电气元件上，电气元件产生的火花引起火灾。设备维修过程中动用明火时，未及时移开盛装的容器，造成火灾等。</w:t>
            </w:r>
          </w:p>
          <w:p w14:paraId="6488DE2D">
            <w:pPr>
              <w:pStyle w:val="16"/>
              <w:autoSpaceDE w:val="0"/>
              <w:autoSpaceDN w:val="0"/>
              <w:spacing w:after="0" w:line="360" w:lineRule="auto"/>
              <w:ind w:left="0" w:leftChars="0" w:firstLine="482"/>
              <w:rPr>
                <w:b/>
                <w:bCs/>
                <w:color w:val="auto"/>
                <w:szCs w:val="32"/>
              </w:rPr>
            </w:pPr>
            <w:r>
              <w:rPr>
                <w:b/>
                <w:bCs/>
                <w:color w:val="auto"/>
                <w:szCs w:val="32"/>
              </w:rPr>
              <w:t>3、最大可信事故</w:t>
            </w:r>
          </w:p>
          <w:p w14:paraId="63BC08BB">
            <w:pPr>
              <w:pStyle w:val="16"/>
              <w:autoSpaceDE w:val="0"/>
              <w:autoSpaceDN w:val="0"/>
              <w:spacing w:after="0" w:line="360" w:lineRule="auto"/>
              <w:ind w:left="0" w:leftChars="0" w:firstLine="480"/>
              <w:rPr>
                <w:color w:val="auto"/>
                <w:szCs w:val="32"/>
              </w:rPr>
            </w:pPr>
            <w:r>
              <w:rPr>
                <w:color w:val="auto"/>
                <w:szCs w:val="32"/>
              </w:rPr>
              <w:t>最大可信事故指事故所造成的危害在所有预测的事故中最严重，而且发生该事故的概率不为0的事故。本次风险评价不考虑工程外部事故风险因素（如地震、雷电、战争、人为蓄意破环等），主要考虑原辅材料区物料泄漏可能对厂区外居民和周围环境造成污染危害的事故。</w:t>
            </w:r>
          </w:p>
          <w:p w14:paraId="5FEE766C">
            <w:pPr>
              <w:pStyle w:val="16"/>
              <w:autoSpaceDE w:val="0"/>
              <w:autoSpaceDN w:val="0"/>
              <w:spacing w:after="0" w:line="360" w:lineRule="auto"/>
              <w:ind w:left="0" w:leftChars="0" w:firstLine="480"/>
              <w:rPr>
                <w:color w:val="auto"/>
                <w:szCs w:val="32"/>
              </w:rPr>
            </w:pPr>
            <w:r>
              <w:rPr>
                <w:color w:val="auto"/>
                <w:szCs w:val="32"/>
              </w:rPr>
              <w:t>项目所用的</w:t>
            </w:r>
            <w:r>
              <w:rPr>
                <w:rFonts w:hint="eastAsia"/>
                <w:bCs/>
                <w:color w:val="auto"/>
                <w:szCs w:val="24"/>
              </w:rPr>
              <w:t>润滑油</w:t>
            </w:r>
            <w:r>
              <w:rPr>
                <w:color w:val="auto"/>
                <w:szCs w:val="32"/>
              </w:rPr>
              <w:t>等由供货厂家负责运送到厂，到厂后有专用仓库并有专人负责管理，在加强厂区防火管理、完善事故应急预案的基础上，事故发生概率很低，事故一旦发生立即启动应急预案，可以使事故造成的后果影响控制在很小范围内，类比同类企业，风险值远低于10</w:t>
            </w:r>
            <w:r>
              <w:rPr>
                <w:color w:val="auto"/>
                <w:szCs w:val="32"/>
                <w:vertAlign w:val="superscript"/>
              </w:rPr>
              <w:t>-6</w:t>
            </w:r>
            <w:r>
              <w:rPr>
                <w:color w:val="auto"/>
                <w:szCs w:val="32"/>
              </w:rPr>
              <w:t>，建设项目的风险水平是可以接受的。</w:t>
            </w:r>
          </w:p>
          <w:p w14:paraId="62E4396C">
            <w:pPr>
              <w:autoSpaceDE w:val="0"/>
              <w:autoSpaceDN w:val="0"/>
              <w:adjustRightInd w:val="0"/>
              <w:spacing w:line="360" w:lineRule="auto"/>
              <w:ind w:firstLine="482" w:firstLineChars="200"/>
              <w:rPr>
                <w:b/>
                <w:bCs/>
                <w:color w:val="auto"/>
                <w:sz w:val="24"/>
                <w:szCs w:val="32"/>
                <w:lang w:bidi="ar"/>
              </w:rPr>
            </w:pPr>
            <w:r>
              <w:rPr>
                <w:rFonts w:hint="eastAsia"/>
                <w:b/>
                <w:bCs/>
                <w:color w:val="auto"/>
                <w:sz w:val="24"/>
                <w:szCs w:val="32"/>
                <w:lang w:bidi="ar"/>
              </w:rPr>
              <w:t>4</w:t>
            </w:r>
            <w:r>
              <w:rPr>
                <w:b/>
                <w:bCs/>
                <w:color w:val="auto"/>
                <w:sz w:val="24"/>
                <w:szCs w:val="32"/>
                <w:lang w:bidi="ar"/>
              </w:rPr>
              <w:t>、小结</w:t>
            </w:r>
          </w:p>
          <w:p w14:paraId="1915F37F">
            <w:pPr>
              <w:pStyle w:val="88"/>
              <w:spacing w:line="360" w:lineRule="auto"/>
              <w:ind w:firstLine="480" w:firstLineChars="200"/>
              <w:jc w:val="both"/>
              <w:rPr>
                <w:rFonts w:ascii="Times New Roman" w:hAnsi="Times New Roman"/>
                <w:color w:val="auto"/>
                <w:kern w:val="2"/>
                <w:szCs w:val="32"/>
                <w:lang w:bidi="ar"/>
              </w:rPr>
            </w:pPr>
            <w:r>
              <w:rPr>
                <w:rFonts w:ascii="Times New Roman" w:hAnsi="Times New Roman"/>
                <w:color w:val="auto"/>
                <w:kern w:val="2"/>
                <w:szCs w:val="32"/>
                <w:lang w:bidi="ar"/>
              </w:rPr>
              <w:t>综上所述，项目厂内使用</w:t>
            </w:r>
            <w:r>
              <w:rPr>
                <w:rFonts w:ascii="Times New Roman" w:hAnsi="Times New Roman"/>
                <w:color w:val="auto"/>
                <w:kern w:val="2"/>
                <w:szCs w:val="24"/>
              </w:rPr>
              <w:t>的化学品不构成危险化学品重大危险源。</w:t>
            </w:r>
            <w:r>
              <w:rPr>
                <w:rFonts w:hint="eastAsia" w:ascii="Times New Roman" w:hAnsi="Times New Roman"/>
                <w:color w:val="auto"/>
                <w:kern w:val="2"/>
                <w:szCs w:val="24"/>
              </w:rPr>
              <w:t>危废间</w:t>
            </w:r>
            <w:r>
              <w:rPr>
                <w:rFonts w:ascii="Times New Roman" w:hAnsi="Times New Roman"/>
                <w:color w:val="auto"/>
                <w:kern w:val="2"/>
                <w:szCs w:val="24"/>
              </w:rPr>
              <w:t>地面均采取防渗设计，有专人看管，一旦发现泄漏及时采取措施清理现场，加强</w:t>
            </w:r>
            <w:r>
              <w:rPr>
                <w:rFonts w:ascii="Times New Roman" w:hAnsi="Times New Roman"/>
                <w:color w:val="auto"/>
                <w:kern w:val="2"/>
                <w:szCs w:val="32"/>
                <w:lang w:bidi="ar"/>
              </w:rPr>
              <w:t>员工培训教育，使用时严格按规范操作，轻拿轻放，车间内严禁吸烟。由于化学品储存量小，采取风险防范措施后，发生泄漏事故不会对区域环境质量造成影响。在落实各项风险防范措施和设置切实可行的应急预案和区域联动机制后，能降低事故发生概率和控制影响程度，总体而言风险水平可以接受。</w:t>
            </w:r>
          </w:p>
          <w:p w14:paraId="62B22EF8">
            <w:pPr>
              <w:pStyle w:val="88"/>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i w:val="0"/>
                <w:iCs w:val="0"/>
                <w:color w:val="auto"/>
                <w:kern w:val="2"/>
                <w:sz w:val="24"/>
                <w:szCs w:val="24"/>
                <w:lang w:val="en-US" w:eastAsia="zh-CN" w:bidi="ar"/>
              </w:rPr>
            </w:pPr>
            <w:r>
              <w:rPr>
                <w:rFonts w:hint="eastAsia" w:ascii="Times New Roman" w:hAnsi="Times New Roman" w:eastAsia="宋体" w:cs="Times New Roman"/>
                <w:b/>
                <w:bCs/>
                <w:i w:val="0"/>
                <w:iCs w:val="0"/>
                <w:color w:val="auto"/>
                <w:kern w:val="2"/>
                <w:sz w:val="24"/>
                <w:szCs w:val="24"/>
                <w:lang w:val="en-US" w:eastAsia="zh-CN" w:bidi="ar"/>
              </w:rPr>
              <w:t>七、环保投资</w:t>
            </w:r>
          </w:p>
          <w:p w14:paraId="034C009E">
            <w:pPr>
              <w:spacing w:line="360" w:lineRule="auto"/>
              <w:jc w:val="center"/>
              <w:rPr>
                <w:rFonts w:hint="default" w:ascii="Times New Roman" w:hAnsi="Times New Roman" w:eastAsia="宋体" w:cs="Times New Roman"/>
                <w:b/>
                <w:bCs/>
                <w:i w:val="0"/>
                <w:iCs w:val="0"/>
                <w:color w:val="auto"/>
                <w:kern w:val="2"/>
                <w:sz w:val="24"/>
                <w:szCs w:val="24"/>
                <w:lang w:val="en-US" w:eastAsia="zh-CN" w:bidi="ar"/>
              </w:rPr>
            </w:pPr>
            <w:r>
              <w:rPr>
                <w:rFonts w:hint="default" w:ascii="Times New Roman" w:hAnsi="Times New Roman" w:eastAsia="宋体" w:cs="Times New Roman"/>
                <w:b/>
                <w:bCs/>
                <w:i w:val="0"/>
                <w:iCs w:val="0"/>
                <w:color w:val="auto"/>
                <w:kern w:val="2"/>
                <w:sz w:val="24"/>
                <w:szCs w:val="24"/>
                <w:lang w:val="en-US" w:eastAsia="zh-CN" w:bidi="ar"/>
              </w:rPr>
              <w:t>表4-</w:t>
            </w:r>
            <w:r>
              <w:rPr>
                <w:rFonts w:hint="eastAsia" w:cs="Times New Roman"/>
                <w:b/>
                <w:bCs/>
                <w:i w:val="0"/>
                <w:iCs w:val="0"/>
                <w:color w:val="auto"/>
                <w:kern w:val="2"/>
                <w:sz w:val="24"/>
                <w:szCs w:val="24"/>
                <w:lang w:val="en-US" w:eastAsia="zh-CN" w:bidi="ar"/>
              </w:rPr>
              <w:t>25</w:t>
            </w:r>
            <w:r>
              <w:rPr>
                <w:rFonts w:hint="default" w:ascii="Times New Roman" w:hAnsi="Times New Roman" w:eastAsia="宋体" w:cs="Times New Roman"/>
                <w:b/>
                <w:bCs/>
                <w:i w:val="0"/>
                <w:iCs w:val="0"/>
                <w:color w:val="auto"/>
                <w:kern w:val="2"/>
                <w:sz w:val="24"/>
                <w:szCs w:val="24"/>
                <w:lang w:val="en-US" w:eastAsia="zh-CN" w:bidi="ar"/>
              </w:rPr>
              <w:t xml:space="preserve">  项目环保投资表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803"/>
              <w:gridCol w:w="2336"/>
              <w:gridCol w:w="3016"/>
              <w:gridCol w:w="899"/>
              <w:gridCol w:w="1330"/>
            </w:tblGrid>
            <w:tr w14:paraId="7F89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245" w:type="pct"/>
                  <w:noWrap w:val="0"/>
                  <w:tcMar>
                    <w:top w:w="0" w:type="dxa"/>
                    <w:left w:w="108" w:type="dxa"/>
                    <w:bottom w:w="0" w:type="dxa"/>
                    <w:right w:w="108" w:type="dxa"/>
                  </w:tcMar>
                  <w:vAlign w:val="center"/>
                </w:tcPr>
                <w:p w14:paraId="75AC99B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55" w:type="pct"/>
                  <w:noWrap w:val="0"/>
                  <w:tcMar>
                    <w:top w:w="0" w:type="dxa"/>
                    <w:left w:w="108" w:type="dxa"/>
                    <w:bottom w:w="0" w:type="dxa"/>
                    <w:right w:w="108" w:type="dxa"/>
                  </w:tcMar>
                  <w:vAlign w:val="center"/>
                </w:tcPr>
                <w:p w14:paraId="34B2D0C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1324" w:type="pct"/>
                  <w:noWrap w:val="0"/>
                  <w:tcMar>
                    <w:top w:w="0" w:type="dxa"/>
                    <w:left w:w="108" w:type="dxa"/>
                    <w:bottom w:w="0" w:type="dxa"/>
                    <w:right w:w="108" w:type="dxa"/>
                  </w:tcMar>
                  <w:vAlign w:val="center"/>
                </w:tcPr>
                <w:p w14:paraId="7F3A2B9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治理对象</w:t>
                  </w:r>
                </w:p>
              </w:tc>
              <w:tc>
                <w:tcPr>
                  <w:tcW w:w="1710" w:type="pct"/>
                  <w:noWrap w:val="0"/>
                  <w:tcMar>
                    <w:top w:w="0" w:type="dxa"/>
                    <w:left w:w="108" w:type="dxa"/>
                    <w:bottom w:w="0" w:type="dxa"/>
                    <w:right w:w="108" w:type="dxa"/>
                  </w:tcMar>
                  <w:vAlign w:val="center"/>
                </w:tcPr>
                <w:p w14:paraId="0FA7A5C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治理方案</w:t>
                  </w:r>
                </w:p>
              </w:tc>
              <w:tc>
                <w:tcPr>
                  <w:tcW w:w="509" w:type="pct"/>
                  <w:noWrap w:val="0"/>
                  <w:tcMar>
                    <w:top w:w="0" w:type="dxa"/>
                    <w:left w:w="108" w:type="dxa"/>
                    <w:bottom w:w="0" w:type="dxa"/>
                    <w:right w:w="108" w:type="dxa"/>
                  </w:tcMar>
                  <w:vAlign w:val="center"/>
                </w:tcPr>
                <w:p w14:paraId="0C08C9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投资（万元）</w:t>
                  </w:r>
                </w:p>
              </w:tc>
              <w:tc>
                <w:tcPr>
                  <w:tcW w:w="754" w:type="pct"/>
                  <w:noWrap w:val="0"/>
                  <w:vAlign w:val="center"/>
                </w:tcPr>
                <w:p w14:paraId="5379165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治理效果</w:t>
                  </w:r>
                </w:p>
              </w:tc>
            </w:tr>
            <w:tr w14:paraId="0E51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245" w:type="pct"/>
                  <w:vMerge w:val="restart"/>
                  <w:noWrap w:val="0"/>
                  <w:tcMar>
                    <w:top w:w="0" w:type="dxa"/>
                    <w:left w:w="108" w:type="dxa"/>
                    <w:bottom w:w="0" w:type="dxa"/>
                    <w:right w:w="108" w:type="dxa"/>
                  </w:tcMar>
                  <w:vAlign w:val="center"/>
                </w:tcPr>
                <w:p w14:paraId="696515A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55" w:type="pct"/>
                  <w:vMerge w:val="restart"/>
                  <w:noWrap w:val="0"/>
                  <w:tcMar>
                    <w:top w:w="0" w:type="dxa"/>
                    <w:left w:w="108" w:type="dxa"/>
                    <w:bottom w:w="0" w:type="dxa"/>
                    <w:right w:w="108" w:type="dxa"/>
                  </w:tcMar>
                  <w:vAlign w:val="center"/>
                </w:tcPr>
                <w:p w14:paraId="19C6C03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废气治理</w:t>
                  </w:r>
                </w:p>
              </w:tc>
              <w:tc>
                <w:tcPr>
                  <w:tcW w:w="1324" w:type="pct"/>
                  <w:noWrap w:val="0"/>
                  <w:tcMar>
                    <w:top w:w="0" w:type="dxa"/>
                    <w:left w:w="108" w:type="dxa"/>
                    <w:bottom w:w="0" w:type="dxa"/>
                    <w:right w:w="108" w:type="dxa"/>
                  </w:tcMar>
                  <w:vAlign w:val="center"/>
                </w:tcPr>
                <w:p w14:paraId="09C9F7F9">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有组织废气</w:t>
                  </w:r>
                </w:p>
              </w:tc>
              <w:tc>
                <w:tcPr>
                  <w:tcW w:w="1710" w:type="pct"/>
                  <w:noWrap w:val="0"/>
                  <w:tcMar>
                    <w:top w:w="0" w:type="dxa"/>
                    <w:left w:w="108" w:type="dxa"/>
                    <w:bottom w:w="0" w:type="dxa"/>
                    <w:right w:w="108" w:type="dxa"/>
                  </w:tcMar>
                  <w:vAlign w:val="center"/>
                </w:tcPr>
                <w:p w14:paraId="50F95690">
                  <w:pPr>
                    <w:jc w:val="center"/>
                    <w:rPr>
                      <w:rFonts w:hint="eastAsia" w:ascii="Times New Roman" w:hAnsi="Times New Roman" w:eastAsia="宋体" w:cs="Times New Roman"/>
                      <w:color w:val="auto"/>
                      <w:sz w:val="21"/>
                      <w:szCs w:val="21"/>
                      <w:lang w:eastAsia="zh-CN"/>
                    </w:rPr>
                  </w:pPr>
                  <w:r>
                    <w:rPr>
                      <w:rFonts w:hint="eastAsia" w:cs="Times New Roman"/>
                      <w:color w:val="auto"/>
                      <w:szCs w:val="21"/>
                      <w:lang w:val="en-US" w:eastAsia="zh-CN"/>
                    </w:rPr>
                    <w:t>破碎粉尘和造粒废气经集气罩收集后</w:t>
                  </w:r>
                  <w:r>
                    <w:rPr>
                      <w:rFonts w:hint="eastAsia"/>
                      <w:color w:val="auto"/>
                      <w:szCs w:val="21"/>
                    </w:rPr>
                    <w:t>，</w:t>
                  </w:r>
                  <w:r>
                    <w:rPr>
                      <w:rFonts w:hint="eastAsia"/>
                      <w:color w:val="auto"/>
                      <w:szCs w:val="21"/>
                      <w:lang w:val="en-US" w:eastAsia="zh-CN"/>
                    </w:rPr>
                    <w:t>一同经布袋除尘器</w:t>
                  </w:r>
                  <w:r>
                    <w:rPr>
                      <w:rFonts w:hint="eastAsia"/>
                      <w:color w:val="auto"/>
                      <w:szCs w:val="21"/>
                    </w:rPr>
                    <w:t>处理后，由一根15m高的</w:t>
                  </w:r>
                  <w:r>
                    <w:rPr>
                      <w:color w:val="auto"/>
                      <w:szCs w:val="21"/>
                    </w:rPr>
                    <w:t>排气筒（DA00</w:t>
                  </w:r>
                  <w:r>
                    <w:rPr>
                      <w:rFonts w:hint="eastAsia"/>
                      <w:color w:val="auto"/>
                      <w:szCs w:val="21"/>
                      <w:lang w:val="en-US" w:eastAsia="zh-CN"/>
                    </w:rPr>
                    <w:t>1</w:t>
                  </w:r>
                  <w:r>
                    <w:rPr>
                      <w:color w:val="auto"/>
                      <w:szCs w:val="21"/>
                    </w:rPr>
                    <w:t>）</w:t>
                  </w:r>
                  <w:r>
                    <w:rPr>
                      <w:rFonts w:hint="eastAsia"/>
                      <w:color w:val="auto"/>
                      <w:szCs w:val="21"/>
                    </w:rPr>
                    <w:t>排放</w:t>
                  </w:r>
                  <w:r>
                    <w:rPr>
                      <w:rFonts w:hint="eastAsia"/>
                      <w:color w:val="auto"/>
                      <w:szCs w:val="21"/>
                      <w:lang w:eastAsia="zh-CN"/>
                    </w:rPr>
                    <w:t>；</w:t>
                  </w:r>
                  <w:r>
                    <w:rPr>
                      <w:rFonts w:hint="eastAsia"/>
                      <w:color w:val="auto"/>
                      <w:szCs w:val="21"/>
                      <w:lang w:val="en-US" w:eastAsia="zh-CN"/>
                    </w:rPr>
                    <w:t>燃烧</w:t>
                  </w:r>
                  <w:r>
                    <w:rPr>
                      <w:rFonts w:hint="eastAsia"/>
                      <w:color w:val="auto"/>
                      <w:szCs w:val="21"/>
                    </w:rPr>
                    <w:t>废气经</w:t>
                  </w:r>
                  <w:r>
                    <w:rPr>
                      <w:rFonts w:hint="eastAsia"/>
                      <w:color w:val="auto"/>
                      <w:szCs w:val="21"/>
                      <w:lang w:val="en-US" w:eastAsia="zh-CN"/>
                    </w:rPr>
                    <w:t>管道</w:t>
                  </w:r>
                  <w:r>
                    <w:rPr>
                      <w:rFonts w:hint="eastAsia"/>
                      <w:color w:val="auto"/>
                      <w:szCs w:val="21"/>
                    </w:rPr>
                    <w:t>收集后，通过布袋除尘器处理，处理后由15m高度排气筒</w:t>
                  </w:r>
                  <w:r>
                    <w:rPr>
                      <w:color w:val="auto"/>
                      <w:szCs w:val="21"/>
                    </w:rPr>
                    <w:t>（DA00</w:t>
                  </w:r>
                  <w:r>
                    <w:rPr>
                      <w:rFonts w:hint="eastAsia"/>
                      <w:color w:val="auto"/>
                      <w:szCs w:val="21"/>
                      <w:lang w:val="en-US" w:eastAsia="zh-CN"/>
                    </w:rPr>
                    <w:t>2</w:t>
                  </w:r>
                  <w:r>
                    <w:rPr>
                      <w:color w:val="auto"/>
                      <w:szCs w:val="21"/>
                    </w:rPr>
                    <w:t>）</w:t>
                  </w:r>
                  <w:r>
                    <w:rPr>
                      <w:rFonts w:hint="eastAsia"/>
                      <w:color w:val="auto"/>
                      <w:szCs w:val="21"/>
                    </w:rPr>
                    <w:t>排放</w:t>
                  </w:r>
                </w:p>
              </w:tc>
              <w:tc>
                <w:tcPr>
                  <w:tcW w:w="509" w:type="pct"/>
                  <w:vMerge w:val="restart"/>
                  <w:noWrap w:val="0"/>
                  <w:tcMar>
                    <w:top w:w="0" w:type="dxa"/>
                    <w:left w:w="108" w:type="dxa"/>
                    <w:bottom w:w="0" w:type="dxa"/>
                    <w:right w:w="108" w:type="dxa"/>
                  </w:tcMar>
                  <w:vAlign w:val="center"/>
                </w:tcPr>
                <w:p w14:paraId="5A35DA3B">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754" w:type="pct"/>
                  <w:vMerge w:val="restart"/>
                  <w:noWrap w:val="0"/>
                  <w:vAlign w:val="center"/>
                </w:tcPr>
                <w:p w14:paraId="5B49C25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达标排放</w:t>
                  </w:r>
                </w:p>
              </w:tc>
            </w:tr>
            <w:tr w14:paraId="568A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245" w:type="pct"/>
                  <w:vMerge w:val="continue"/>
                  <w:noWrap w:val="0"/>
                  <w:tcMar>
                    <w:top w:w="0" w:type="dxa"/>
                    <w:left w:w="108" w:type="dxa"/>
                    <w:bottom w:w="0" w:type="dxa"/>
                    <w:right w:w="108" w:type="dxa"/>
                  </w:tcMar>
                  <w:vAlign w:val="center"/>
                </w:tcPr>
                <w:p w14:paraId="02C6C629">
                  <w:pPr>
                    <w:jc w:val="center"/>
                    <w:rPr>
                      <w:color w:val="auto"/>
                    </w:rPr>
                  </w:pPr>
                </w:p>
              </w:tc>
              <w:tc>
                <w:tcPr>
                  <w:tcW w:w="455" w:type="pct"/>
                  <w:vMerge w:val="continue"/>
                  <w:noWrap w:val="0"/>
                  <w:tcMar>
                    <w:top w:w="0" w:type="dxa"/>
                    <w:left w:w="108" w:type="dxa"/>
                    <w:bottom w:w="0" w:type="dxa"/>
                    <w:right w:w="108" w:type="dxa"/>
                  </w:tcMar>
                  <w:vAlign w:val="center"/>
                </w:tcPr>
                <w:p w14:paraId="16DBCAB6">
                  <w:pPr>
                    <w:jc w:val="center"/>
                    <w:rPr>
                      <w:color w:val="auto"/>
                    </w:rPr>
                  </w:pPr>
                </w:p>
              </w:tc>
              <w:tc>
                <w:tcPr>
                  <w:tcW w:w="1324" w:type="pct"/>
                  <w:noWrap w:val="0"/>
                  <w:tcMar>
                    <w:top w:w="0" w:type="dxa"/>
                    <w:left w:w="108" w:type="dxa"/>
                    <w:bottom w:w="0" w:type="dxa"/>
                    <w:right w:w="108" w:type="dxa"/>
                  </w:tcMar>
                  <w:vAlign w:val="center"/>
                </w:tcPr>
                <w:p w14:paraId="370A2D49">
                  <w:pPr>
                    <w:jc w:val="center"/>
                    <w:rPr>
                      <w:rFonts w:hint="eastAsia" w:cs="Times New Roman"/>
                      <w:color w:val="auto"/>
                      <w:sz w:val="21"/>
                      <w:szCs w:val="21"/>
                      <w:lang w:val="en-US" w:eastAsia="zh-CN"/>
                    </w:rPr>
                  </w:pPr>
                  <w:r>
                    <w:rPr>
                      <w:rFonts w:hint="eastAsia" w:cs="Times New Roman"/>
                      <w:color w:val="auto"/>
                      <w:sz w:val="21"/>
                      <w:szCs w:val="21"/>
                      <w:lang w:val="en-US" w:eastAsia="zh-CN"/>
                    </w:rPr>
                    <w:t>无组织废气</w:t>
                  </w:r>
                </w:p>
              </w:tc>
              <w:tc>
                <w:tcPr>
                  <w:tcW w:w="1710" w:type="pct"/>
                  <w:noWrap w:val="0"/>
                  <w:tcMar>
                    <w:top w:w="0" w:type="dxa"/>
                    <w:left w:w="108" w:type="dxa"/>
                    <w:bottom w:w="0" w:type="dxa"/>
                    <w:right w:w="108" w:type="dxa"/>
                  </w:tcMar>
                  <w:vAlign w:val="center"/>
                </w:tcPr>
                <w:p w14:paraId="669F3094">
                  <w:pPr>
                    <w:jc w:val="center"/>
                    <w:rPr>
                      <w:rFonts w:hint="default" w:eastAsia="宋体" w:cs="Times New Roman"/>
                      <w:color w:val="auto"/>
                      <w:sz w:val="21"/>
                      <w:szCs w:val="21"/>
                      <w:lang w:val="en-US" w:eastAsia="zh-CN"/>
                    </w:rPr>
                  </w:pPr>
                  <w:r>
                    <w:rPr>
                      <w:rFonts w:hint="eastAsia" w:cs="Times New Roman"/>
                      <w:color w:val="auto"/>
                      <w:sz w:val="21"/>
                      <w:szCs w:val="21"/>
                      <w:lang w:val="en-US" w:eastAsia="zh-CN"/>
                    </w:rPr>
                    <w:t>加强车间密闭</w:t>
                  </w:r>
                </w:p>
              </w:tc>
              <w:tc>
                <w:tcPr>
                  <w:tcW w:w="509" w:type="pct"/>
                  <w:vMerge w:val="continue"/>
                  <w:noWrap w:val="0"/>
                  <w:tcMar>
                    <w:top w:w="0" w:type="dxa"/>
                    <w:left w:w="108" w:type="dxa"/>
                    <w:bottom w:w="0" w:type="dxa"/>
                    <w:right w:w="108" w:type="dxa"/>
                  </w:tcMar>
                  <w:vAlign w:val="center"/>
                </w:tcPr>
                <w:p w14:paraId="0FC2E7E9">
                  <w:pPr>
                    <w:jc w:val="center"/>
                    <w:rPr>
                      <w:rFonts w:hint="eastAsia" w:cs="Times New Roman"/>
                      <w:color w:val="FF0000"/>
                      <w:sz w:val="21"/>
                      <w:szCs w:val="21"/>
                      <w:lang w:val="en-US" w:eastAsia="zh-CN"/>
                    </w:rPr>
                  </w:pPr>
                </w:p>
              </w:tc>
              <w:tc>
                <w:tcPr>
                  <w:tcW w:w="754" w:type="pct"/>
                  <w:vMerge w:val="continue"/>
                  <w:noWrap w:val="0"/>
                  <w:vAlign w:val="center"/>
                </w:tcPr>
                <w:p w14:paraId="4357D16E">
                  <w:pPr>
                    <w:jc w:val="center"/>
                    <w:rPr>
                      <w:rFonts w:hint="eastAsia" w:cs="Times New Roman"/>
                      <w:color w:val="FF0000"/>
                      <w:sz w:val="21"/>
                      <w:szCs w:val="21"/>
                      <w:lang w:val="en-US" w:eastAsia="zh-CN"/>
                    </w:rPr>
                  </w:pPr>
                </w:p>
              </w:tc>
            </w:tr>
            <w:tr w14:paraId="0D45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45" w:type="pct"/>
                  <w:noWrap w:val="0"/>
                  <w:tcMar>
                    <w:top w:w="0" w:type="dxa"/>
                    <w:left w:w="108" w:type="dxa"/>
                    <w:bottom w:w="0" w:type="dxa"/>
                    <w:right w:w="108" w:type="dxa"/>
                  </w:tcMar>
                  <w:vAlign w:val="center"/>
                </w:tcPr>
                <w:p w14:paraId="16DAAA89">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p>
              </w:tc>
              <w:tc>
                <w:tcPr>
                  <w:tcW w:w="455" w:type="pct"/>
                  <w:noWrap w:val="0"/>
                  <w:tcMar>
                    <w:top w:w="0" w:type="dxa"/>
                    <w:left w:w="108" w:type="dxa"/>
                    <w:bottom w:w="0" w:type="dxa"/>
                    <w:right w:w="108" w:type="dxa"/>
                  </w:tcMar>
                  <w:vAlign w:val="center"/>
                </w:tcPr>
                <w:p w14:paraId="15056684">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噪声治理</w:t>
                  </w:r>
                </w:p>
              </w:tc>
              <w:tc>
                <w:tcPr>
                  <w:tcW w:w="1324" w:type="pct"/>
                  <w:noWrap w:val="0"/>
                  <w:tcMar>
                    <w:top w:w="0" w:type="dxa"/>
                    <w:left w:w="108" w:type="dxa"/>
                    <w:bottom w:w="0" w:type="dxa"/>
                    <w:right w:w="108" w:type="dxa"/>
                  </w:tcMar>
                  <w:vAlign w:val="center"/>
                </w:tcPr>
                <w:p w14:paraId="39D2575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设备运行产生的噪声</w:t>
                  </w:r>
                </w:p>
              </w:tc>
              <w:tc>
                <w:tcPr>
                  <w:tcW w:w="1710" w:type="pct"/>
                  <w:noWrap w:val="0"/>
                  <w:tcMar>
                    <w:top w:w="0" w:type="dxa"/>
                    <w:left w:w="108" w:type="dxa"/>
                    <w:bottom w:w="0" w:type="dxa"/>
                    <w:right w:w="108" w:type="dxa"/>
                  </w:tcMar>
                  <w:vAlign w:val="center"/>
                </w:tcPr>
                <w:p w14:paraId="6BC0D0FD">
                  <w:pPr>
                    <w:jc w:val="center"/>
                    <w:rPr>
                      <w:rFonts w:hint="default" w:ascii="Times New Roman" w:hAnsi="Times New Roman" w:eastAsia="宋体" w:cs="Times New Roman"/>
                      <w:color w:val="auto"/>
                      <w:sz w:val="21"/>
                      <w:szCs w:val="21"/>
                      <w:lang w:val="en-US" w:eastAsia="zh-CN"/>
                    </w:rPr>
                  </w:pPr>
                  <w:r>
                    <w:rPr>
                      <w:color w:val="auto"/>
                      <w:szCs w:val="21"/>
                    </w:rPr>
                    <w:t>采取减</w:t>
                  </w:r>
                  <w:r>
                    <w:rPr>
                      <w:rFonts w:hint="eastAsia"/>
                      <w:color w:val="auto"/>
                      <w:szCs w:val="21"/>
                    </w:rPr>
                    <w:t>振</w:t>
                  </w:r>
                  <w:r>
                    <w:rPr>
                      <w:color w:val="auto"/>
                      <w:szCs w:val="21"/>
                    </w:rPr>
                    <w:t>、隔声等措施</w:t>
                  </w:r>
                </w:p>
              </w:tc>
              <w:tc>
                <w:tcPr>
                  <w:tcW w:w="509" w:type="pct"/>
                  <w:noWrap w:val="0"/>
                  <w:tcMar>
                    <w:top w:w="0" w:type="dxa"/>
                    <w:left w:w="108" w:type="dxa"/>
                    <w:bottom w:w="0" w:type="dxa"/>
                    <w:right w:w="108" w:type="dxa"/>
                  </w:tcMar>
                  <w:vAlign w:val="center"/>
                </w:tcPr>
                <w:p w14:paraId="4F62FDBF">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3</w:t>
                  </w:r>
                </w:p>
              </w:tc>
              <w:tc>
                <w:tcPr>
                  <w:tcW w:w="754" w:type="pct"/>
                  <w:noWrap w:val="0"/>
                  <w:vAlign w:val="center"/>
                </w:tcPr>
                <w:p w14:paraId="71C1ADA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噪声达标排放</w:t>
                  </w:r>
                </w:p>
              </w:tc>
            </w:tr>
            <w:tr w14:paraId="6A96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45" w:type="pct"/>
                  <w:noWrap w:val="0"/>
                  <w:tcMar>
                    <w:top w:w="0" w:type="dxa"/>
                    <w:left w:w="108" w:type="dxa"/>
                    <w:bottom w:w="0" w:type="dxa"/>
                    <w:right w:w="108" w:type="dxa"/>
                  </w:tcMar>
                  <w:vAlign w:val="center"/>
                </w:tcPr>
                <w:p w14:paraId="45AEC267">
                  <w:pPr>
                    <w:jc w:val="center"/>
                    <w:rPr>
                      <w:rFonts w:hint="eastAsia" w:eastAsia="宋体"/>
                      <w:color w:val="auto"/>
                      <w:lang w:val="en-US" w:eastAsia="zh-CN"/>
                    </w:rPr>
                  </w:pPr>
                  <w:r>
                    <w:rPr>
                      <w:rFonts w:hint="eastAsia"/>
                      <w:color w:val="auto"/>
                      <w:lang w:val="en-US" w:eastAsia="zh-CN"/>
                    </w:rPr>
                    <w:t>3</w:t>
                  </w:r>
                </w:p>
              </w:tc>
              <w:tc>
                <w:tcPr>
                  <w:tcW w:w="455" w:type="pct"/>
                  <w:noWrap w:val="0"/>
                  <w:tcMar>
                    <w:top w:w="0" w:type="dxa"/>
                    <w:left w:w="108" w:type="dxa"/>
                    <w:bottom w:w="0" w:type="dxa"/>
                    <w:right w:w="108" w:type="dxa"/>
                  </w:tcMar>
                  <w:vAlign w:val="center"/>
                </w:tcPr>
                <w:p w14:paraId="5295F689">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废水治理</w:t>
                  </w:r>
                </w:p>
              </w:tc>
              <w:tc>
                <w:tcPr>
                  <w:tcW w:w="1324" w:type="pct"/>
                  <w:noWrap w:val="0"/>
                  <w:tcMar>
                    <w:top w:w="0" w:type="dxa"/>
                    <w:left w:w="108" w:type="dxa"/>
                    <w:bottom w:w="0" w:type="dxa"/>
                    <w:right w:w="108" w:type="dxa"/>
                  </w:tcMar>
                  <w:vAlign w:val="center"/>
                </w:tcPr>
                <w:p w14:paraId="1A5FD83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w:t>
                  </w:r>
                </w:p>
              </w:tc>
              <w:tc>
                <w:tcPr>
                  <w:tcW w:w="1710" w:type="pct"/>
                  <w:noWrap w:val="0"/>
                  <w:tcMar>
                    <w:top w:w="0" w:type="dxa"/>
                    <w:left w:w="108" w:type="dxa"/>
                    <w:bottom w:w="0" w:type="dxa"/>
                    <w:right w:w="108" w:type="dxa"/>
                  </w:tcMar>
                  <w:vAlign w:val="center"/>
                </w:tcPr>
                <w:p w14:paraId="55F867B7">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生活污水经化粪池处理后，通过地埋式污水处理设施处理，处理后的废水用于厂区绿化灌溉</w:t>
                  </w:r>
                  <w:r>
                    <w:rPr>
                      <w:rFonts w:hint="eastAsia" w:cs="Times New Roman"/>
                      <w:color w:val="auto"/>
                      <w:sz w:val="21"/>
                      <w:szCs w:val="21"/>
                      <w:lang w:val="en-US" w:eastAsia="zh-CN"/>
                    </w:rPr>
                    <w:t>；</w:t>
                  </w:r>
                  <w:r>
                    <w:rPr>
                      <w:rFonts w:hint="eastAsia"/>
                      <w:bCs/>
                      <w:color w:val="auto"/>
                      <w:szCs w:val="21"/>
                    </w:rPr>
                    <w:t>锅炉</w:t>
                  </w:r>
                  <w:r>
                    <w:rPr>
                      <w:rFonts w:hint="eastAsia"/>
                      <w:bCs/>
                      <w:color w:val="auto"/>
                      <w:szCs w:val="21"/>
                      <w:lang w:val="en-US" w:eastAsia="zh-CN"/>
                    </w:rPr>
                    <w:t>废</w:t>
                  </w:r>
                  <w:r>
                    <w:rPr>
                      <w:rFonts w:hint="eastAsia"/>
                      <w:bCs/>
                      <w:color w:val="auto"/>
                      <w:szCs w:val="21"/>
                    </w:rPr>
                    <w:t>水通过地埋式污水处理设施处理，处理后的废水用于厂区绿化灌溉</w:t>
                  </w:r>
                </w:p>
              </w:tc>
              <w:tc>
                <w:tcPr>
                  <w:tcW w:w="509" w:type="pct"/>
                  <w:noWrap w:val="0"/>
                  <w:tcMar>
                    <w:top w:w="0" w:type="dxa"/>
                    <w:left w:w="108" w:type="dxa"/>
                    <w:bottom w:w="0" w:type="dxa"/>
                    <w:right w:w="108" w:type="dxa"/>
                  </w:tcMar>
                  <w:vAlign w:val="center"/>
                </w:tcPr>
                <w:p w14:paraId="37130967">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754" w:type="pct"/>
                  <w:noWrap w:val="0"/>
                  <w:vAlign w:val="center"/>
                </w:tcPr>
                <w:p w14:paraId="2FB46181">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r>
            <w:tr w14:paraId="51C1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245" w:type="pct"/>
                  <w:vMerge w:val="restart"/>
                  <w:noWrap w:val="0"/>
                  <w:tcMar>
                    <w:top w:w="0" w:type="dxa"/>
                    <w:left w:w="108" w:type="dxa"/>
                    <w:bottom w:w="0" w:type="dxa"/>
                    <w:right w:w="108" w:type="dxa"/>
                  </w:tcMar>
                  <w:vAlign w:val="center"/>
                </w:tcPr>
                <w:p w14:paraId="35F3E315">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455" w:type="pct"/>
                  <w:vMerge w:val="restart"/>
                  <w:noWrap w:val="0"/>
                  <w:tcMar>
                    <w:top w:w="0" w:type="dxa"/>
                    <w:left w:w="108" w:type="dxa"/>
                    <w:bottom w:w="0" w:type="dxa"/>
                    <w:right w:w="108" w:type="dxa"/>
                  </w:tcMar>
                  <w:vAlign w:val="center"/>
                </w:tcPr>
                <w:p w14:paraId="45382B0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1324" w:type="pct"/>
                  <w:noWrap w:val="0"/>
                  <w:tcMar>
                    <w:top w:w="0" w:type="dxa"/>
                    <w:left w:w="108" w:type="dxa"/>
                    <w:bottom w:w="0" w:type="dxa"/>
                    <w:right w:w="108" w:type="dxa"/>
                  </w:tcMar>
                  <w:vAlign w:val="center"/>
                </w:tcPr>
                <w:p w14:paraId="0D7A4425">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一般固废</w:t>
                  </w:r>
                </w:p>
              </w:tc>
              <w:tc>
                <w:tcPr>
                  <w:tcW w:w="3016" w:type="dxa"/>
                  <w:noWrap w:val="0"/>
                  <w:tcMar>
                    <w:top w:w="0" w:type="dxa"/>
                    <w:left w:w="108" w:type="dxa"/>
                    <w:bottom w:w="0" w:type="dxa"/>
                    <w:right w:w="108" w:type="dxa"/>
                  </w:tcMar>
                  <w:vAlign w:val="center"/>
                </w:tcPr>
                <w:p w14:paraId="071B7139">
                  <w:pPr>
                    <w:jc w:val="center"/>
                    <w:rPr>
                      <w:rFonts w:hint="default" w:ascii="Times New Roman" w:hAnsi="Times New Roman" w:eastAsia="宋体" w:cs="Times New Roman"/>
                      <w:color w:val="auto"/>
                      <w:sz w:val="21"/>
                      <w:szCs w:val="21"/>
                    </w:rPr>
                  </w:pPr>
                  <w:r>
                    <w:rPr>
                      <w:rFonts w:hint="eastAsia"/>
                      <w:color w:val="auto"/>
                      <w:kern w:val="0"/>
                      <w:szCs w:val="21"/>
                    </w:rPr>
                    <w:t>在</w:t>
                  </w:r>
                  <w:r>
                    <w:rPr>
                      <w:rFonts w:hint="eastAsia"/>
                      <w:color w:val="auto"/>
                      <w:kern w:val="0"/>
                      <w:szCs w:val="21"/>
                      <w:lang w:val="en-US" w:eastAsia="zh-CN"/>
                    </w:rPr>
                    <w:t>厂区东北</w:t>
                  </w:r>
                  <w:r>
                    <w:rPr>
                      <w:rFonts w:hint="eastAsia"/>
                      <w:color w:val="auto"/>
                      <w:kern w:val="0"/>
                      <w:szCs w:val="21"/>
                    </w:rPr>
                    <w:t>侧新建</w:t>
                  </w:r>
                  <w:r>
                    <w:rPr>
                      <w:rFonts w:hint="eastAsia"/>
                      <w:color w:val="auto"/>
                      <w:kern w:val="0"/>
                      <w:szCs w:val="21"/>
                      <w:lang w:val="en-US" w:eastAsia="zh-CN"/>
                    </w:rPr>
                    <w:t>1</w:t>
                  </w:r>
                  <w:r>
                    <w:rPr>
                      <w:rFonts w:hint="eastAsia"/>
                      <w:color w:val="auto"/>
                      <w:kern w:val="0"/>
                      <w:szCs w:val="21"/>
                    </w:rPr>
                    <w:t>0</w:t>
                  </w:r>
                  <w:r>
                    <w:rPr>
                      <w:rFonts w:hint="eastAsia"/>
                      <w:bCs/>
                      <w:color w:val="auto"/>
                      <w:kern w:val="0"/>
                      <w:szCs w:val="21"/>
                    </w:rPr>
                    <w:t>m</w:t>
                  </w:r>
                  <w:r>
                    <w:rPr>
                      <w:rFonts w:hint="eastAsia"/>
                      <w:bCs/>
                      <w:color w:val="auto"/>
                      <w:kern w:val="0"/>
                      <w:szCs w:val="21"/>
                      <w:vertAlign w:val="superscript"/>
                    </w:rPr>
                    <w:t>2</w:t>
                  </w:r>
                  <w:r>
                    <w:rPr>
                      <w:rFonts w:hint="eastAsia"/>
                      <w:bCs/>
                      <w:color w:val="auto"/>
                      <w:kern w:val="0"/>
                      <w:szCs w:val="21"/>
                    </w:rPr>
                    <w:t>的一般固废暂存间</w:t>
                  </w:r>
                </w:p>
              </w:tc>
              <w:tc>
                <w:tcPr>
                  <w:tcW w:w="509" w:type="pct"/>
                  <w:vMerge w:val="restart"/>
                  <w:noWrap w:val="0"/>
                  <w:tcMar>
                    <w:top w:w="0" w:type="dxa"/>
                    <w:left w:w="108" w:type="dxa"/>
                    <w:bottom w:w="0" w:type="dxa"/>
                    <w:right w:w="108" w:type="dxa"/>
                  </w:tcMar>
                  <w:vAlign w:val="center"/>
                </w:tcPr>
                <w:p w14:paraId="7B3B03B6">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p>
              </w:tc>
              <w:tc>
                <w:tcPr>
                  <w:tcW w:w="754" w:type="pct"/>
                  <w:vMerge w:val="restart"/>
                  <w:noWrap w:val="0"/>
                  <w:vAlign w:val="center"/>
                </w:tcPr>
                <w:p w14:paraId="3075A5D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确保固废得到妥善处置，不产生二次污染</w:t>
                  </w:r>
                </w:p>
              </w:tc>
            </w:tr>
            <w:tr w14:paraId="1EF0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vMerge w:val="continue"/>
                  <w:noWrap w:val="0"/>
                  <w:tcMar>
                    <w:top w:w="0" w:type="dxa"/>
                    <w:left w:w="108" w:type="dxa"/>
                    <w:bottom w:w="0" w:type="dxa"/>
                    <w:right w:w="108" w:type="dxa"/>
                  </w:tcMar>
                  <w:vAlign w:val="center"/>
                </w:tcPr>
                <w:p w14:paraId="569514B8">
                  <w:pPr>
                    <w:jc w:val="center"/>
                    <w:rPr>
                      <w:rFonts w:hint="default" w:ascii="Times New Roman" w:hAnsi="Times New Roman" w:eastAsia="宋体" w:cs="Times New Roman"/>
                      <w:color w:val="auto"/>
                      <w:sz w:val="21"/>
                      <w:szCs w:val="21"/>
                    </w:rPr>
                  </w:pPr>
                </w:p>
              </w:tc>
              <w:tc>
                <w:tcPr>
                  <w:tcW w:w="455" w:type="pct"/>
                  <w:vMerge w:val="continue"/>
                  <w:noWrap w:val="0"/>
                  <w:tcMar>
                    <w:top w:w="0" w:type="dxa"/>
                    <w:left w:w="108" w:type="dxa"/>
                    <w:bottom w:w="0" w:type="dxa"/>
                    <w:right w:w="108" w:type="dxa"/>
                  </w:tcMar>
                  <w:vAlign w:val="center"/>
                </w:tcPr>
                <w:p w14:paraId="2DFA312F">
                  <w:pPr>
                    <w:jc w:val="center"/>
                    <w:rPr>
                      <w:rFonts w:hint="default" w:ascii="Times New Roman" w:hAnsi="Times New Roman" w:eastAsia="宋体" w:cs="Times New Roman"/>
                      <w:color w:val="auto"/>
                      <w:sz w:val="21"/>
                      <w:szCs w:val="21"/>
                    </w:rPr>
                  </w:pPr>
                </w:p>
              </w:tc>
              <w:tc>
                <w:tcPr>
                  <w:tcW w:w="1324" w:type="pct"/>
                  <w:noWrap w:val="0"/>
                  <w:tcMar>
                    <w:top w:w="0" w:type="dxa"/>
                    <w:left w:w="108" w:type="dxa"/>
                    <w:bottom w:w="0" w:type="dxa"/>
                    <w:right w:w="108" w:type="dxa"/>
                  </w:tcMar>
                  <w:vAlign w:val="center"/>
                </w:tcPr>
                <w:p w14:paraId="3E154EF7">
                  <w:pPr>
                    <w:jc w:val="center"/>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危险废物</w:t>
                  </w:r>
                </w:p>
              </w:tc>
              <w:tc>
                <w:tcPr>
                  <w:tcW w:w="3016" w:type="dxa"/>
                  <w:noWrap w:val="0"/>
                  <w:tcMar>
                    <w:top w:w="0" w:type="dxa"/>
                    <w:left w:w="108" w:type="dxa"/>
                    <w:bottom w:w="0" w:type="dxa"/>
                    <w:right w:w="108" w:type="dxa"/>
                  </w:tcMar>
                  <w:vAlign w:val="center"/>
                </w:tcPr>
                <w:p w14:paraId="64DC1D93">
                  <w:pPr>
                    <w:jc w:val="center"/>
                    <w:rPr>
                      <w:rFonts w:hint="eastAsia" w:ascii="Times New Roman" w:hAnsi="Times New Roman" w:eastAsia="宋体" w:cs="Times New Roman"/>
                      <w:color w:val="auto"/>
                      <w:sz w:val="21"/>
                      <w:szCs w:val="21"/>
                      <w:lang w:val="en-US" w:eastAsia="zh-CN"/>
                    </w:rPr>
                  </w:pPr>
                  <w:r>
                    <w:rPr>
                      <w:rFonts w:hint="eastAsia"/>
                      <w:color w:val="auto"/>
                      <w:kern w:val="0"/>
                      <w:szCs w:val="21"/>
                    </w:rPr>
                    <w:t>在</w:t>
                  </w:r>
                  <w:r>
                    <w:rPr>
                      <w:rFonts w:hint="eastAsia"/>
                      <w:color w:val="auto"/>
                      <w:kern w:val="0"/>
                      <w:szCs w:val="21"/>
                      <w:lang w:val="en-US" w:eastAsia="zh-CN"/>
                    </w:rPr>
                    <w:t>厂区东北</w:t>
                  </w:r>
                  <w:r>
                    <w:rPr>
                      <w:rFonts w:hint="eastAsia"/>
                      <w:color w:val="auto"/>
                      <w:kern w:val="0"/>
                      <w:szCs w:val="21"/>
                    </w:rPr>
                    <w:t>侧新建</w:t>
                  </w:r>
                  <w:r>
                    <w:rPr>
                      <w:rFonts w:hint="eastAsia"/>
                      <w:color w:val="auto"/>
                      <w:kern w:val="0"/>
                      <w:szCs w:val="21"/>
                      <w:lang w:val="en-US" w:eastAsia="zh-CN"/>
                    </w:rPr>
                    <w:t>1</w:t>
                  </w:r>
                  <w:r>
                    <w:rPr>
                      <w:rFonts w:hint="eastAsia"/>
                      <w:color w:val="auto"/>
                      <w:kern w:val="0"/>
                      <w:szCs w:val="21"/>
                    </w:rPr>
                    <w:t>0</w:t>
                  </w:r>
                  <w:r>
                    <w:rPr>
                      <w:rFonts w:hint="eastAsia"/>
                      <w:bCs/>
                      <w:color w:val="auto"/>
                      <w:kern w:val="0"/>
                      <w:szCs w:val="21"/>
                    </w:rPr>
                    <w:t>m</w:t>
                  </w:r>
                  <w:r>
                    <w:rPr>
                      <w:rFonts w:hint="eastAsia"/>
                      <w:bCs/>
                      <w:color w:val="auto"/>
                      <w:kern w:val="0"/>
                      <w:szCs w:val="21"/>
                      <w:vertAlign w:val="superscript"/>
                    </w:rPr>
                    <w:t>2</w:t>
                  </w:r>
                  <w:r>
                    <w:rPr>
                      <w:rFonts w:hint="eastAsia"/>
                      <w:bCs/>
                      <w:color w:val="auto"/>
                      <w:kern w:val="0"/>
                      <w:szCs w:val="21"/>
                    </w:rPr>
                    <w:t>的</w:t>
                  </w:r>
                  <w:r>
                    <w:rPr>
                      <w:rFonts w:hint="eastAsia"/>
                      <w:bCs/>
                      <w:color w:val="auto"/>
                      <w:kern w:val="0"/>
                      <w:szCs w:val="21"/>
                      <w:lang w:val="en-US" w:eastAsia="zh-CN"/>
                    </w:rPr>
                    <w:t>危废间</w:t>
                  </w:r>
                </w:p>
              </w:tc>
              <w:tc>
                <w:tcPr>
                  <w:tcW w:w="509" w:type="pct"/>
                  <w:vMerge w:val="continue"/>
                  <w:noWrap w:val="0"/>
                  <w:tcMar>
                    <w:top w:w="0" w:type="dxa"/>
                    <w:left w:w="108" w:type="dxa"/>
                    <w:bottom w:w="0" w:type="dxa"/>
                    <w:right w:w="108" w:type="dxa"/>
                  </w:tcMar>
                  <w:vAlign w:val="center"/>
                </w:tcPr>
                <w:p w14:paraId="690AFD4C">
                  <w:pPr>
                    <w:jc w:val="center"/>
                    <w:rPr>
                      <w:rFonts w:hint="default" w:ascii="Times New Roman" w:hAnsi="Times New Roman" w:eastAsia="宋体" w:cs="Times New Roman"/>
                      <w:color w:val="auto"/>
                      <w:sz w:val="21"/>
                      <w:szCs w:val="21"/>
                    </w:rPr>
                  </w:pPr>
                </w:p>
              </w:tc>
              <w:tc>
                <w:tcPr>
                  <w:tcW w:w="754" w:type="pct"/>
                  <w:vMerge w:val="continue"/>
                  <w:noWrap w:val="0"/>
                  <w:vAlign w:val="center"/>
                </w:tcPr>
                <w:p w14:paraId="350C3DC5">
                  <w:pPr>
                    <w:jc w:val="center"/>
                    <w:rPr>
                      <w:rFonts w:hint="default" w:ascii="Times New Roman" w:hAnsi="Times New Roman" w:eastAsia="宋体" w:cs="Times New Roman"/>
                      <w:color w:val="auto"/>
                      <w:sz w:val="21"/>
                      <w:szCs w:val="21"/>
                    </w:rPr>
                  </w:pPr>
                </w:p>
              </w:tc>
            </w:tr>
            <w:tr w14:paraId="3707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245" w:type="pct"/>
                  <w:vMerge w:val="continue"/>
                  <w:noWrap w:val="0"/>
                  <w:tcMar>
                    <w:top w:w="0" w:type="dxa"/>
                    <w:left w:w="108" w:type="dxa"/>
                    <w:bottom w:w="0" w:type="dxa"/>
                    <w:right w:w="108" w:type="dxa"/>
                  </w:tcMar>
                  <w:vAlign w:val="center"/>
                </w:tcPr>
                <w:p w14:paraId="1B028A6A">
                  <w:pPr>
                    <w:jc w:val="center"/>
                    <w:rPr>
                      <w:rFonts w:hint="default" w:ascii="Times New Roman" w:hAnsi="Times New Roman" w:eastAsia="宋体" w:cs="Times New Roman"/>
                      <w:color w:val="auto"/>
                      <w:sz w:val="21"/>
                      <w:szCs w:val="21"/>
                    </w:rPr>
                  </w:pPr>
                </w:p>
              </w:tc>
              <w:tc>
                <w:tcPr>
                  <w:tcW w:w="455" w:type="pct"/>
                  <w:vMerge w:val="continue"/>
                  <w:noWrap w:val="0"/>
                  <w:tcMar>
                    <w:top w:w="0" w:type="dxa"/>
                    <w:left w:w="108" w:type="dxa"/>
                    <w:bottom w:w="0" w:type="dxa"/>
                    <w:right w:w="108" w:type="dxa"/>
                  </w:tcMar>
                  <w:vAlign w:val="center"/>
                </w:tcPr>
                <w:p w14:paraId="1F40E779">
                  <w:pPr>
                    <w:jc w:val="center"/>
                    <w:rPr>
                      <w:rFonts w:hint="default" w:ascii="Times New Roman" w:hAnsi="Times New Roman" w:eastAsia="宋体" w:cs="Times New Roman"/>
                      <w:color w:val="auto"/>
                      <w:sz w:val="21"/>
                      <w:szCs w:val="21"/>
                    </w:rPr>
                  </w:pPr>
                </w:p>
              </w:tc>
              <w:tc>
                <w:tcPr>
                  <w:tcW w:w="1324" w:type="pct"/>
                  <w:noWrap w:val="0"/>
                  <w:tcMar>
                    <w:top w:w="0" w:type="dxa"/>
                    <w:left w:w="108" w:type="dxa"/>
                    <w:bottom w:w="0" w:type="dxa"/>
                    <w:right w:w="108" w:type="dxa"/>
                  </w:tcMar>
                  <w:vAlign w:val="center"/>
                </w:tcPr>
                <w:p w14:paraId="60EEAD4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3016" w:type="dxa"/>
                  <w:noWrap w:val="0"/>
                  <w:tcMar>
                    <w:top w:w="0" w:type="dxa"/>
                    <w:left w:w="108" w:type="dxa"/>
                    <w:bottom w:w="0" w:type="dxa"/>
                    <w:right w:w="108" w:type="dxa"/>
                  </w:tcMar>
                  <w:vAlign w:val="center"/>
                </w:tcPr>
                <w:p w14:paraId="783C8D16">
                  <w:pPr>
                    <w:jc w:val="center"/>
                    <w:rPr>
                      <w:rFonts w:hint="default" w:ascii="Times New Roman" w:hAnsi="Times New Roman" w:eastAsia="宋体" w:cs="Times New Roman"/>
                      <w:color w:val="auto"/>
                      <w:sz w:val="21"/>
                      <w:szCs w:val="21"/>
                    </w:rPr>
                  </w:pPr>
                  <w:r>
                    <w:rPr>
                      <w:rFonts w:hint="eastAsia"/>
                      <w:bCs/>
                      <w:color w:val="auto"/>
                      <w:kern w:val="0"/>
                      <w:szCs w:val="21"/>
                    </w:rPr>
                    <w:t>交环卫部门定期清运</w:t>
                  </w:r>
                </w:p>
              </w:tc>
              <w:tc>
                <w:tcPr>
                  <w:tcW w:w="509" w:type="pct"/>
                  <w:vMerge w:val="continue"/>
                  <w:noWrap w:val="0"/>
                  <w:tcMar>
                    <w:top w:w="0" w:type="dxa"/>
                    <w:left w:w="108" w:type="dxa"/>
                    <w:bottom w:w="0" w:type="dxa"/>
                    <w:right w:w="108" w:type="dxa"/>
                  </w:tcMar>
                  <w:vAlign w:val="center"/>
                </w:tcPr>
                <w:p w14:paraId="56CB5AFD">
                  <w:pPr>
                    <w:jc w:val="center"/>
                    <w:rPr>
                      <w:rFonts w:hint="default" w:ascii="Times New Roman" w:hAnsi="Times New Roman" w:eastAsia="宋体" w:cs="Times New Roman"/>
                      <w:color w:val="auto"/>
                      <w:sz w:val="21"/>
                      <w:szCs w:val="21"/>
                    </w:rPr>
                  </w:pPr>
                </w:p>
              </w:tc>
              <w:tc>
                <w:tcPr>
                  <w:tcW w:w="754" w:type="pct"/>
                  <w:vMerge w:val="continue"/>
                  <w:noWrap w:val="0"/>
                  <w:vAlign w:val="center"/>
                </w:tcPr>
                <w:p w14:paraId="6D3F572F">
                  <w:pPr>
                    <w:jc w:val="center"/>
                    <w:rPr>
                      <w:rFonts w:hint="default" w:ascii="Times New Roman" w:hAnsi="Times New Roman" w:eastAsia="宋体" w:cs="Times New Roman"/>
                      <w:color w:val="auto"/>
                      <w:sz w:val="21"/>
                      <w:szCs w:val="21"/>
                    </w:rPr>
                  </w:pPr>
                </w:p>
              </w:tc>
            </w:tr>
            <w:tr w14:paraId="3E25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3735" w:type="pct"/>
                  <w:gridSpan w:val="4"/>
                  <w:noWrap w:val="0"/>
                  <w:tcMar>
                    <w:top w:w="0" w:type="dxa"/>
                    <w:left w:w="108" w:type="dxa"/>
                    <w:bottom w:w="0" w:type="dxa"/>
                    <w:right w:w="108" w:type="dxa"/>
                  </w:tcMar>
                  <w:vAlign w:val="center"/>
                </w:tcPr>
                <w:p w14:paraId="53E0235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509" w:type="pct"/>
                  <w:noWrap w:val="0"/>
                  <w:tcMar>
                    <w:top w:w="0" w:type="dxa"/>
                    <w:left w:w="108" w:type="dxa"/>
                    <w:bottom w:w="0" w:type="dxa"/>
                    <w:right w:w="108" w:type="dxa"/>
                  </w:tcMar>
                  <w:vAlign w:val="center"/>
                </w:tcPr>
                <w:p w14:paraId="3B563234">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754" w:type="pct"/>
                  <w:noWrap w:val="0"/>
                  <w:vAlign w:val="center"/>
                </w:tcPr>
                <w:p w14:paraId="769FD3E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14:paraId="782C551F">
            <w:pPr>
              <w:pStyle w:val="16"/>
              <w:ind w:left="0" w:leftChars="0" w:firstLine="482"/>
              <w:rPr>
                <w:b/>
                <w:bCs/>
                <w:color w:val="auto"/>
                <w:kern w:val="2"/>
                <w:szCs w:val="24"/>
                <w:lang w:bidi="ar"/>
              </w:rPr>
            </w:pPr>
            <w:r>
              <w:rPr>
                <w:rFonts w:hint="eastAsia"/>
                <w:b/>
                <w:bCs/>
                <w:color w:val="auto"/>
                <w:kern w:val="2"/>
                <w:szCs w:val="24"/>
                <w:lang w:val="en-US" w:eastAsia="zh-CN" w:bidi="ar"/>
              </w:rPr>
              <w:t>八</w:t>
            </w:r>
            <w:r>
              <w:rPr>
                <w:b/>
                <w:bCs/>
                <w:color w:val="auto"/>
                <w:kern w:val="2"/>
                <w:szCs w:val="24"/>
                <w:lang w:bidi="ar"/>
              </w:rPr>
              <w:t>、建设项目环境影响评价与排污许可联动</w:t>
            </w:r>
          </w:p>
          <w:p w14:paraId="287CCF8D">
            <w:pPr>
              <w:spacing w:line="360" w:lineRule="auto"/>
              <w:ind w:firstLine="480" w:firstLineChars="200"/>
              <w:rPr>
                <w:color w:val="auto"/>
                <w:sz w:val="24"/>
                <w:lang w:bidi="ar"/>
              </w:rPr>
            </w:pPr>
            <w:r>
              <w:rPr>
                <w:color w:val="auto"/>
                <w:sz w:val="24"/>
                <w:lang w:bidi="ar"/>
              </w:rPr>
              <w:t xml:space="preserve">根据《排污许可管理条例》(中华人民共和国国务院令第736号) </w:t>
            </w:r>
            <w:r>
              <w:rPr>
                <w:rFonts w:hint="eastAsia"/>
                <w:color w:val="auto"/>
                <w:sz w:val="24"/>
                <w:lang w:bidi="ar"/>
              </w:rPr>
              <w:t>：</w:t>
            </w:r>
            <w:r>
              <w:rPr>
                <w:color w:val="auto"/>
                <w:sz w:val="24"/>
                <w:lang w:bidi="ar"/>
              </w:rPr>
              <w:t xml:space="preserve">依照法律规定实行排污许可管理的企业事业单位和其他生产经营者(以下称排污单位) </w:t>
            </w:r>
            <w:r>
              <w:rPr>
                <w:rFonts w:hint="eastAsia"/>
                <w:color w:val="auto"/>
                <w:sz w:val="24"/>
                <w:lang w:bidi="ar"/>
              </w:rPr>
              <w:t>，</w:t>
            </w:r>
            <w:r>
              <w:rPr>
                <w:color w:val="auto"/>
                <w:sz w:val="24"/>
                <w:lang w:bidi="ar"/>
              </w:rPr>
              <w:t>应当依照本条例规定申请取得排污许可证</w:t>
            </w:r>
            <w:r>
              <w:rPr>
                <w:rFonts w:hint="eastAsia"/>
                <w:color w:val="auto"/>
                <w:sz w:val="24"/>
                <w:lang w:bidi="ar"/>
              </w:rPr>
              <w:t>；</w:t>
            </w:r>
            <w:r>
              <w:rPr>
                <w:color w:val="auto"/>
                <w:sz w:val="24"/>
                <w:lang w:bidi="ar"/>
              </w:rPr>
              <w:t>未取得排污许可证的不得排放污染物</w:t>
            </w:r>
            <w:r>
              <w:rPr>
                <w:rFonts w:hint="eastAsia"/>
                <w:color w:val="auto"/>
                <w:sz w:val="24"/>
                <w:lang w:bidi="ar"/>
              </w:rPr>
              <w:t>；</w:t>
            </w:r>
            <w:r>
              <w:rPr>
                <w:color w:val="auto"/>
                <w:sz w:val="24"/>
                <w:lang w:bidi="ar"/>
              </w:rPr>
              <w:t xml:space="preserve">根据污染物产生量、排放量、对环境影响程度等因素，对排污单位实行排污许可分类管理。根据《安徽省生态环境厅关于统筹做好固定污染源排污许可日常监管工作的通知》(皖环发 (2021) 7号) </w:t>
            </w:r>
            <w:r>
              <w:rPr>
                <w:rFonts w:hint="eastAsia"/>
                <w:color w:val="auto"/>
                <w:sz w:val="24"/>
                <w:lang w:bidi="ar"/>
              </w:rPr>
              <w:t>：</w:t>
            </w:r>
            <w:r>
              <w:rPr>
                <w:color w:val="auto"/>
                <w:sz w:val="24"/>
                <w:lang w:bidi="ar"/>
              </w:rPr>
              <w:t>属于现行《固定污染源排污许可分类管理名录》内重点管理和简化管理的行业，建设单位在组织编制建设项目环境影响报告书(表)时，可结合相应行业排污许可证申请与核发技术规范，在环评文件中一并明确建设项目环境影响评价和排污许可联动内容和《建设项目排污许可申请与填报信息表》。</w:t>
            </w:r>
          </w:p>
          <w:p w14:paraId="5E95F0A3">
            <w:pPr>
              <w:snapToGrid w:val="0"/>
              <w:spacing w:line="360" w:lineRule="auto"/>
              <w:ind w:firstLine="480" w:firstLineChars="200"/>
              <w:rPr>
                <w:color w:val="auto"/>
                <w:sz w:val="24"/>
              </w:rPr>
            </w:pPr>
            <w:r>
              <w:rPr>
                <w:color w:val="auto"/>
                <w:sz w:val="24"/>
                <w:lang w:bidi="ar"/>
              </w:rPr>
              <w:t>根据《国民经济行业分类》(GB/T 4754-2017)，</w:t>
            </w:r>
            <w:r>
              <w:rPr>
                <w:rFonts w:hint="eastAsia"/>
                <w:color w:val="auto"/>
                <w:sz w:val="24"/>
              </w:rPr>
              <w:t>本项目属于</w:t>
            </w:r>
            <w:r>
              <w:rPr>
                <w:rFonts w:hint="eastAsia"/>
                <w:color w:val="auto"/>
                <w:sz w:val="24"/>
                <w:lang w:eastAsia="zh-CN"/>
              </w:rPr>
              <w:t>C2542生物质致密成型燃料加工</w:t>
            </w:r>
            <w:r>
              <w:rPr>
                <w:rFonts w:hint="eastAsia"/>
                <w:color w:val="auto"/>
                <w:sz w:val="24"/>
              </w:rPr>
              <w:t>。根据《固定污染源排污许可分类管理名录》（2019年版）中相关内容。本次新建项目属于排污许可中“</w:t>
            </w:r>
            <w:r>
              <w:rPr>
                <w:rFonts w:hint="eastAsia"/>
                <w:color w:val="auto"/>
                <w:sz w:val="24"/>
                <w:lang w:val="en-US" w:eastAsia="zh-CN"/>
              </w:rPr>
              <w:t>登记管理</w:t>
            </w:r>
            <w:r>
              <w:rPr>
                <w:rFonts w:hint="eastAsia"/>
                <w:color w:val="auto"/>
                <w:sz w:val="24"/>
              </w:rPr>
              <w:t>”。</w:t>
            </w:r>
          </w:p>
          <w:p w14:paraId="3CAF7A6C">
            <w:pPr>
              <w:pStyle w:val="96"/>
              <w:spacing w:line="360" w:lineRule="auto"/>
              <w:rPr>
                <w:color w:val="auto"/>
              </w:rPr>
            </w:pPr>
            <w:r>
              <w:rPr>
                <w:bCs w:val="0"/>
                <w:color w:val="auto"/>
                <w:kern w:val="2"/>
                <w:sz w:val="24"/>
                <w:szCs w:val="21"/>
              </w:rPr>
              <w:t>表</w:t>
            </w:r>
            <w:r>
              <w:rPr>
                <w:rFonts w:hint="eastAsia"/>
                <w:bCs w:val="0"/>
                <w:color w:val="auto"/>
                <w:kern w:val="2"/>
                <w:sz w:val="24"/>
                <w:szCs w:val="21"/>
              </w:rPr>
              <w:t>4</w:t>
            </w:r>
            <w:r>
              <w:rPr>
                <w:bCs w:val="0"/>
                <w:color w:val="auto"/>
                <w:kern w:val="2"/>
                <w:sz w:val="24"/>
                <w:szCs w:val="21"/>
              </w:rPr>
              <w:t>-</w:t>
            </w:r>
            <w:r>
              <w:rPr>
                <w:rFonts w:hint="eastAsia"/>
                <w:bCs w:val="0"/>
                <w:color w:val="auto"/>
                <w:kern w:val="2"/>
                <w:sz w:val="24"/>
                <w:szCs w:val="21"/>
              </w:rPr>
              <w:t>2</w:t>
            </w:r>
            <w:r>
              <w:rPr>
                <w:rFonts w:hint="eastAsia"/>
                <w:bCs w:val="0"/>
                <w:color w:val="auto"/>
                <w:kern w:val="2"/>
                <w:sz w:val="24"/>
                <w:szCs w:val="21"/>
                <w:lang w:val="en-US" w:eastAsia="zh-CN"/>
              </w:rPr>
              <w:t>6</w:t>
            </w:r>
            <w:r>
              <w:rPr>
                <w:rFonts w:hint="eastAsia"/>
                <w:bCs w:val="0"/>
                <w:color w:val="auto"/>
                <w:kern w:val="2"/>
                <w:sz w:val="24"/>
                <w:szCs w:val="21"/>
              </w:rPr>
              <w:t>固定污染源</w:t>
            </w:r>
            <w:r>
              <w:rPr>
                <w:bCs w:val="0"/>
                <w:color w:val="auto"/>
                <w:kern w:val="2"/>
                <w:sz w:val="24"/>
                <w:szCs w:val="21"/>
              </w:rPr>
              <w:t>分类管理名录（20</w:t>
            </w:r>
            <w:r>
              <w:rPr>
                <w:rFonts w:hint="eastAsia"/>
                <w:bCs w:val="0"/>
                <w:color w:val="auto"/>
                <w:kern w:val="2"/>
                <w:sz w:val="24"/>
                <w:szCs w:val="21"/>
              </w:rPr>
              <w:t>19</w:t>
            </w:r>
            <w:r>
              <w:rPr>
                <w:bCs w:val="0"/>
                <w:color w:val="auto"/>
                <w:kern w:val="2"/>
                <w:sz w:val="24"/>
                <w:szCs w:val="21"/>
              </w:rPr>
              <w:t>年版，摘录）</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44"/>
              <w:gridCol w:w="1868"/>
              <w:gridCol w:w="3908"/>
              <w:gridCol w:w="921"/>
            </w:tblGrid>
            <w:tr w14:paraId="7A66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6" w:type="dxa"/>
                  <w:gridSpan w:val="2"/>
                  <w:tcBorders>
                    <w:tl2br w:val="single" w:color="auto" w:sz="4" w:space="0"/>
                  </w:tcBorders>
                  <w:shd w:val="clear" w:color="auto" w:fill="auto"/>
                </w:tcPr>
                <w:p w14:paraId="75F8923D">
                  <w:pPr>
                    <w:jc w:val="center"/>
                    <w:rPr>
                      <w:b/>
                      <w:color w:val="auto"/>
                    </w:rPr>
                  </w:pPr>
                  <w:r>
                    <w:rPr>
                      <w:rFonts w:hint="eastAsia"/>
                      <w:b/>
                      <w:color w:val="auto"/>
                    </w:rPr>
                    <w:t>管理类别</w:t>
                  </w:r>
                </w:p>
                <w:p w14:paraId="5863D814">
                  <w:pPr>
                    <w:jc w:val="center"/>
                    <w:rPr>
                      <w:b/>
                      <w:color w:val="auto"/>
                    </w:rPr>
                  </w:pPr>
                  <w:r>
                    <w:rPr>
                      <w:rFonts w:hint="eastAsia"/>
                      <w:b/>
                      <w:color w:val="auto"/>
                    </w:rPr>
                    <w:t>行业类别</w:t>
                  </w:r>
                </w:p>
              </w:tc>
              <w:tc>
                <w:tcPr>
                  <w:tcW w:w="1773" w:type="dxa"/>
                  <w:shd w:val="clear" w:color="auto" w:fill="auto"/>
                  <w:vAlign w:val="center"/>
                </w:tcPr>
                <w:p w14:paraId="238299C4">
                  <w:pPr>
                    <w:jc w:val="center"/>
                    <w:rPr>
                      <w:b/>
                      <w:color w:val="auto"/>
                    </w:rPr>
                  </w:pPr>
                  <w:r>
                    <w:rPr>
                      <w:rFonts w:hint="eastAsia"/>
                      <w:b/>
                      <w:color w:val="auto"/>
                    </w:rPr>
                    <w:t>重点管理</w:t>
                  </w:r>
                </w:p>
              </w:tc>
              <w:tc>
                <w:tcPr>
                  <w:tcW w:w="3709" w:type="dxa"/>
                  <w:shd w:val="clear" w:color="auto" w:fill="auto"/>
                  <w:vAlign w:val="center"/>
                </w:tcPr>
                <w:p w14:paraId="3E63873D">
                  <w:pPr>
                    <w:jc w:val="center"/>
                    <w:rPr>
                      <w:b/>
                      <w:color w:val="auto"/>
                    </w:rPr>
                  </w:pPr>
                  <w:r>
                    <w:rPr>
                      <w:rFonts w:hint="eastAsia"/>
                      <w:b/>
                      <w:color w:val="auto"/>
                    </w:rPr>
                    <w:t>简化管理</w:t>
                  </w:r>
                </w:p>
              </w:tc>
              <w:tc>
                <w:tcPr>
                  <w:tcW w:w="874" w:type="dxa"/>
                  <w:shd w:val="clear" w:color="auto" w:fill="auto"/>
                  <w:vAlign w:val="center"/>
                </w:tcPr>
                <w:p w14:paraId="7E095BE7">
                  <w:pPr>
                    <w:jc w:val="center"/>
                    <w:rPr>
                      <w:b/>
                      <w:color w:val="auto"/>
                    </w:rPr>
                  </w:pPr>
                  <w:r>
                    <w:rPr>
                      <w:rFonts w:hint="eastAsia"/>
                      <w:b/>
                      <w:color w:val="auto"/>
                    </w:rPr>
                    <w:t>登记管理</w:t>
                  </w:r>
                </w:p>
              </w:tc>
            </w:tr>
            <w:tr w14:paraId="0DAF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372" w:type="dxa"/>
                  <w:gridSpan w:val="5"/>
                  <w:shd w:val="clear" w:color="auto" w:fill="auto"/>
                  <w:vAlign w:val="center"/>
                </w:tcPr>
                <w:p w14:paraId="1AF42F7E">
                  <w:pPr>
                    <w:jc w:val="center"/>
                    <w:rPr>
                      <w:bCs/>
                      <w:color w:val="auto"/>
                    </w:rPr>
                  </w:pPr>
                  <w:r>
                    <w:rPr>
                      <w:rFonts w:hint="eastAsia"/>
                      <w:bCs/>
                      <w:color w:val="auto"/>
                    </w:rPr>
                    <w:t>二十、石油、煤炭及其他燃料加工业 25</w:t>
                  </w:r>
                </w:p>
              </w:tc>
            </w:tr>
            <w:tr w14:paraId="682B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45" w:type="dxa"/>
                  <w:shd w:val="clear" w:color="auto" w:fill="auto"/>
                  <w:vAlign w:val="center"/>
                </w:tcPr>
                <w:p w14:paraId="7940B7A2">
                  <w:pPr>
                    <w:jc w:val="center"/>
                    <w:rPr>
                      <w:rFonts w:hint="default" w:eastAsia="宋体"/>
                      <w:bCs/>
                      <w:color w:val="auto"/>
                      <w:lang w:val="en-US" w:eastAsia="zh-CN"/>
                    </w:rPr>
                  </w:pPr>
                  <w:r>
                    <w:rPr>
                      <w:rFonts w:hint="eastAsia"/>
                      <w:bCs/>
                      <w:color w:val="auto"/>
                      <w:lang w:val="en-US" w:eastAsia="zh-CN"/>
                    </w:rPr>
                    <w:t>44</w:t>
                  </w:r>
                </w:p>
              </w:tc>
              <w:tc>
                <w:tcPr>
                  <w:tcW w:w="1371" w:type="dxa"/>
                  <w:shd w:val="clear" w:color="auto" w:fill="auto"/>
                  <w:vAlign w:val="center"/>
                </w:tcPr>
                <w:p w14:paraId="6DF33669">
                  <w:pPr>
                    <w:jc w:val="center"/>
                    <w:rPr>
                      <w:bCs/>
                      <w:color w:val="auto"/>
                    </w:rPr>
                  </w:pPr>
                  <w:r>
                    <w:rPr>
                      <w:rFonts w:hint="eastAsia"/>
                      <w:bCs/>
                      <w:color w:val="auto"/>
                    </w:rPr>
                    <w:t>生物质燃料加工 254</w:t>
                  </w:r>
                </w:p>
              </w:tc>
              <w:tc>
                <w:tcPr>
                  <w:tcW w:w="1773" w:type="dxa"/>
                  <w:shd w:val="clear" w:color="auto" w:fill="auto"/>
                  <w:vAlign w:val="center"/>
                </w:tcPr>
                <w:p w14:paraId="16C1459D">
                  <w:pPr>
                    <w:jc w:val="center"/>
                    <w:rPr>
                      <w:bCs/>
                      <w:color w:val="auto"/>
                    </w:rPr>
                  </w:pPr>
                  <w:r>
                    <w:rPr>
                      <w:rFonts w:hint="eastAsia"/>
                      <w:bCs/>
                      <w:color w:val="auto"/>
                    </w:rPr>
                    <w:t>涉及通用工序重点管理的</w:t>
                  </w:r>
                </w:p>
              </w:tc>
              <w:tc>
                <w:tcPr>
                  <w:tcW w:w="3709" w:type="dxa"/>
                  <w:shd w:val="clear" w:color="auto" w:fill="auto"/>
                  <w:vAlign w:val="center"/>
                </w:tcPr>
                <w:p w14:paraId="3555A552">
                  <w:pPr>
                    <w:jc w:val="center"/>
                    <w:rPr>
                      <w:bCs/>
                      <w:color w:val="auto"/>
                    </w:rPr>
                  </w:pPr>
                  <w:r>
                    <w:rPr>
                      <w:rFonts w:hint="eastAsia"/>
                      <w:b w:val="0"/>
                      <w:bCs/>
                      <w:color w:val="auto"/>
                    </w:rPr>
                    <w:t>涉及通用工序简化管理的</w:t>
                  </w:r>
                </w:p>
              </w:tc>
              <w:tc>
                <w:tcPr>
                  <w:tcW w:w="874" w:type="dxa"/>
                  <w:shd w:val="clear" w:color="auto" w:fill="FFFFFF" w:themeFill="background1"/>
                  <w:vAlign w:val="center"/>
                </w:tcPr>
                <w:p w14:paraId="29C23203">
                  <w:pPr>
                    <w:jc w:val="center"/>
                    <w:rPr>
                      <w:bCs/>
                      <w:color w:val="auto"/>
                    </w:rPr>
                  </w:pPr>
                  <w:r>
                    <w:rPr>
                      <w:rFonts w:hint="eastAsia"/>
                      <w:b/>
                      <w:bCs w:val="0"/>
                      <w:color w:val="auto"/>
                    </w:rPr>
                    <w:t>其他</w:t>
                  </w:r>
                </w:p>
              </w:tc>
            </w:tr>
          </w:tbl>
          <w:p w14:paraId="512F9D7D">
            <w:pPr>
              <w:pStyle w:val="16"/>
              <w:ind w:left="0" w:leftChars="0" w:firstLine="0" w:firstLineChars="0"/>
              <w:rPr>
                <w:color w:val="FF0000"/>
              </w:rPr>
            </w:pPr>
          </w:p>
        </w:tc>
      </w:tr>
    </w:tbl>
    <w:p w14:paraId="73B27500">
      <w:pPr>
        <w:pStyle w:val="27"/>
        <w:spacing w:before="0" w:beforeAutospacing="0" w:after="0" w:afterAutospacing="0" w:line="360" w:lineRule="auto"/>
        <w:jc w:val="center"/>
        <w:outlineLvl w:val="0"/>
        <w:rPr>
          <w:rFonts w:ascii="Times New Roman" w:hAnsi="Times New Roman"/>
          <w:b/>
          <w:bCs/>
          <w:snapToGrid w:val="0"/>
          <w:color w:val="FF0000"/>
          <w:sz w:val="32"/>
          <w:szCs w:val="32"/>
        </w:rPr>
        <w:sectPr>
          <w:pgSz w:w="11905" w:h="16838"/>
          <w:pgMar w:top="1417" w:right="1417" w:bottom="1417" w:left="1417" w:header="851" w:footer="850" w:gutter="0"/>
          <w:cols w:space="0" w:num="1"/>
          <w:docGrid w:linePitch="312" w:charSpace="0"/>
        </w:sectPr>
      </w:pPr>
    </w:p>
    <w:p w14:paraId="36E4A39B">
      <w:pPr>
        <w:pStyle w:val="27"/>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五、</w:t>
      </w:r>
      <w:bookmarkStart w:id="4" w:name="_Hlk54167917"/>
      <w:r>
        <w:rPr>
          <w:rFonts w:ascii="Times New Roman" w:hAnsi="Times New Roman"/>
          <w:b/>
          <w:bCs/>
          <w:snapToGrid w:val="0"/>
          <w:color w:val="auto"/>
          <w:sz w:val="32"/>
          <w:szCs w:val="32"/>
        </w:rPr>
        <w:t>环境保护措施监督检查清单</w:t>
      </w:r>
      <w:bookmarkEnd w:id="4"/>
    </w:p>
    <w:tbl>
      <w:tblPr>
        <w:tblStyle w:val="30"/>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15"/>
        <w:gridCol w:w="888"/>
        <w:gridCol w:w="3270"/>
        <w:gridCol w:w="2598"/>
      </w:tblGrid>
      <w:tr w14:paraId="03191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tcBorders>
              <w:tl2br w:val="single" w:color="auto" w:sz="4" w:space="0"/>
            </w:tcBorders>
          </w:tcPr>
          <w:p w14:paraId="00292702">
            <w:pPr>
              <w:adjustRightInd w:val="0"/>
              <w:snapToGrid w:val="0"/>
              <w:ind w:firstLine="210" w:firstLineChars="100"/>
              <w:rPr>
                <w:color w:val="auto"/>
                <w:szCs w:val="21"/>
              </w:rPr>
            </w:pPr>
            <w:r>
              <w:rPr>
                <w:color w:val="auto"/>
                <w:szCs w:val="21"/>
              </w:rPr>
              <w:t>内容</w:t>
            </w:r>
          </w:p>
          <w:p w14:paraId="5D45FCE9">
            <w:pPr>
              <w:adjustRightInd w:val="0"/>
              <w:snapToGrid w:val="0"/>
              <w:rPr>
                <w:color w:val="auto"/>
                <w:szCs w:val="21"/>
              </w:rPr>
            </w:pPr>
            <w:r>
              <w:rPr>
                <w:color w:val="auto"/>
                <w:szCs w:val="21"/>
              </w:rPr>
              <w:t>要素</w:t>
            </w:r>
          </w:p>
        </w:tc>
        <w:tc>
          <w:tcPr>
            <w:tcW w:w="816" w:type="pct"/>
            <w:vAlign w:val="center"/>
          </w:tcPr>
          <w:p w14:paraId="3C7D1830">
            <w:pPr>
              <w:adjustRightInd w:val="0"/>
              <w:snapToGrid w:val="0"/>
              <w:jc w:val="center"/>
              <w:rPr>
                <w:color w:val="auto"/>
                <w:szCs w:val="21"/>
              </w:rPr>
            </w:pPr>
            <w:r>
              <w:rPr>
                <w:color w:val="auto"/>
                <w:szCs w:val="21"/>
              </w:rPr>
              <w:t>排放口(编号、名称)/污染源</w:t>
            </w:r>
          </w:p>
        </w:tc>
        <w:tc>
          <w:tcPr>
            <w:tcW w:w="478" w:type="pct"/>
            <w:vAlign w:val="center"/>
          </w:tcPr>
          <w:p w14:paraId="39AAAEC3">
            <w:pPr>
              <w:adjustRightInd w:val="0"/>
              <w:snapToGrid w:val="0"/>
              <w:jc w:val="center"/>
              <w:rPr>
                <w:color w:val="auto"/>
                <w:szCs w:val="21"/>
              </w:rPr>
            </w:pPr>
            <w:r>
              <w:rPr>
                <w:color w:val="auto"/>
                <w:szCs w:val="21"/>
              </w:rPr>
              <w:t>污染物项目</w:t>
            </w:r>
          </w:p>
        </w:tc>
        <w:tc>
          <w:tcPr>
            <w:tcW w:w="1761" w:type="pct"/>
            <w:vAlign w:val="center"/>
          </w:tcPr>
          <w:p w14:paraId="5FFF09CF">
            <w:pPr>
              <w:adjustRightInd w:val="0"/>
              <w:snapToGrid w:val="0"/>
              <w:jc w:val="center"/>
              <w:rPr>
                <w:color w:val="auto"/>
                <w:szCs w:val="21"/>
              </w:rPr>
            </w:pPr>
            <w:r>
              <w:rPr>
                <w:color w:val="auto"/>
                <w:szCs w:val="21"/>
              </w:rPr>
              <w:t>环境保护措施</w:t>
            </w:r>
          </w:p>
        </w:tc>
        <w:tc>
          <w:tcPr>
            <w:tcW w:w="1399" w:type="pct"/>
            <w:vAlign w:val="center"/>
          </w:tcPr>
          <w:p w14:paraId="0ABC53CF">
            <w:pPr>
              <w:adjustRightInd w:val="0"/>
              <w:snapToGrid w:val="0"/>
              <w:jc w:val="center"/>
              <w:rPr>
                <w:color w:val="auto"/>
                <w:szCs w:val="21"/>
              </w:rPr>
            </w:pPr>
            <w:r>
              <w:rPr>
                <w:color w:val="auto"/>
                <w:szCs w:val="21"/>
              </w:rPr>
              <w:t>执行标准</w:t>
            </w:r>
          </w:p>
        </w:tc>
      </w:tr>
      <w:tr w14:paraId="0031E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43" w:type="pct"/>
            <w:vMerge w:val="restart"/>
            <w:vAlign w:val="center"/>
          </w:tcPr>
          <w:p w14:paraId="27BE805D">
            <w:pPr>
              <w:adjustRightInd w:val="0"/>
              <w:snapToGrid w:val="0"/>
              <w:jc w:val="center"/>
              <w:rPr>
                <w:color w:val="auto"/>
                <w:szCs w:val="21"/>
              </w:rPr>
            </w:pPr>
            <w:r>
              <w:rPr>
                <w:color w:val="auto"/>
                <w:szCs w:val="21"/>
              </w:rPr>
              <w:t>大气环境</w:t>
            </w:r>
          </w:p>
        </w:tc>
        <w:tc>
          <w:tcPr>
            <w:tcW w:w="816" w:type="pct"/>
            <w:vAlign w:val="center"/>
          </w:tcPr>
          <w:p w14:paraId="4C8A1680">
            <w:pPr>
              <w:adjustRightInd w:val="0"/>
              <w:snapToGrid w:val="0"/>
              <w:jc w:val="center"/>
              <w:rPr>
                <w:rFonts w:hint="eastAsia" w:eastAsia="宋体"/>
                <w:color w:val="auto"/>
                <w:kern w:val="0"/>
                <w:szCs w:val="21"/>
                <w:lang w:eastAsia="zh-CN"/>
              </w:rPr>
            </w:pPr>
            <w:r>
              <w:rPr>
                <w:color w:val="auto"/>
                <w:szCs w:val="21"/>
              </w:rPr>
              <w:t>DA00</w:t>
            </w:r>
            <w:r>
              <w:rPr>
                <w:rFonts w:hint="eastAsia"/>
                <w:color w:val="auto"/>
                <w:szCs w:val="21"/>
                <w:lang w:val="en-US" w:eastAsia="zh-CN"/>
              </w:rPr>
              <w:t>1</w:t>
            </w:r>
          </w:p>
        </w:tc>
        <w:tc>
          <w:tcPr>
            <w:tcW w:w="478" w:type="pct"/>
            <w:tcBorders>
              <w:bottom w:val="single" w:color="auto" w:sz="4" w:space="0"/>
            </w:tcBorders>
            <w:vAlign w:val="center"/>
          </w:tcPr>
          <w:p w14:paraId="449776D5">
            <w:pPr>
              <w:adjustRightInd w:val="0"/>
              <w:snapToGrid w:val="0"/>
              <w:jc w:val="center"/>
              <w:rPr>
                <w:color w:val="auto"/>
                <w:szCs w:val="21"/>
              </w:rPr>
            </w:pPr>
            <w:r>
              <w:rPr>
                <w:color w:val="auto"/>
                <w:kern w:val="0"/>
                <w:szCs w:val="21"/>
              </w:rPr>
              <w:t>颗粒物</w:t>
            </w:r>
          </w:p>
        </w:tc>
        <w:tc>
          <w:tcPr>
            <w:tcW w:w="1761" w:type="pct"/>
            <w:vAlign w:val="center"/>
          </w:tcPr>
          <w:p w14:paraId="66F60C36">
            <w:pPr>
              <w:adjustRightInd w:val="0"/>
              <w:snapToGrid w:val="0"/>
              <w:jc w:val="center"/>
              <w:rPr>
                <w:color w:val="auto"/>
                <w:szCs w:val="21"/>
              </w:rPr>
            </w:pPr>
            <w:r>
              <w:rPr>
                <w:rFonts w:hint="eastAsia"/>
                <w:color w:val="auto"/>
                <w:szCs w:val="21"/>
                <w:lang w:val="en-US" w:eastAsia="zh-CN"/>
              </w:rPr>
              <w:t>破</w:t>
            </w:r>
            <w:r>
              <w:rPr>
                <w:rFonts w:hint="eastAsia"/>
                <w:color w:val="auto"/>
                <w:szCs w:val="21"/>
                <w:lang w:eastAsia="zh-CN"/>
              </w:rPr>
              <w:t>碎、</w:t>
            </w:r>
            <w:r>
              <w:rPr>
                <w:rFonts w:hint="eastAsia"/>
                <w:color w:val="auto"/>
                <w:szCs w:val="21"/>
                <w:lang w:val="en-US" w:eastAsia="zh-CN"/>
              </w:rPr>
              <w:t>造粒、烘干</w:t>
            </w:r>
            <w:r>
              <w:rPr>
                <w:rFonts w:hint="eastAsia"/>
                <w:color w:val="auto"/>
                <w:szCs w:val="21"/>
              </w:rPr>
              <w:t>工序</w:t>
            </w:r>
            <w:r>
              <w:rPr>
                <w:color w:val="auto"/>
                <w:szCs w:val="21"/>
              </w:rPr>
              <w:t>产生的</w:t>
            </w:r>
            <w:r>
              <w:rPr>
                <w:rFonts w:hint="eastAsia"/>
                <w:color w:val="auto"/>
                <w:szCs w:val="21"/>
              </w:rPr>
              <w:t>粉尘</w:t>
            </w:r>
            <w:r>
              <w:rPr>
                <w:color w:val="auto"/>
                <w:szCs w:val="21"/>
              </w:rPr>
              <w:t>经</w:t>
            </w:r>
            <w:r>
              <w:rPr>
                <w:rFonts w:hint="eastAsia"/>
                <w:color w:val="auto"/>
                <w:szCs w:val="21"/>
              </w:rPr>
              <w:t>收集后，通过布袋除尘器处理，处理效率为9</w:t>
            </w:r>
            <w:r>
              <w:rPr>
                <w:rFonts w:hint="eastAsia"/>
                <w:color w:val="auto"/>
                <w:szCs w:val="21"/>
                <w:lang w:val="en-US" w:eastAsia="zh-CN"/>
              </w:rPr>
              <w:t>9</w:t>
            </w:r>
            <w:r>
              <w:rPr>
                <w:rFonts w:hint="eastAsia"/>
                <w:color w:val="auto"/>
                <w:szCs w:val="21"/>
              </w:rPr>
              <w:t>%，处理后由一根15m高的</w:t>
            </w:r>
            <w:r>
              <w:rPr>
                <w:color w:val="auto"/>
                <w:szCs w:val="21"/>
              </w:rPr>
              <w:t>排气筒（DA00</w:t>
            </w:r>
            <w:r>
              <w:rPr>
                <w:rFonts w:hint="eastAsia"/>
                <w:color w:val="auto"/>
                <w:szCs w:val="21"/>
                <w:lang w:val="en-US" w:eastAsia="zh-CN"/>
              </w:rPr>
              <w:t>1</w:t>
            </w:r>
            <w:r>
              <w:rPr>
                <w:color w:val="auto"/>
                <w:szCs w:val="21"/>
              </w:rPr>
              <w:t>）排放</w:t>
            </w:r>
          </w:p>
        </w:tc>
        <w:tc>
          <w:tcPr>
            <w:tcW w:w="1399" w:type="pct"/>
            <w:vAlign w:val="center"/>
          </w:tcPr>
          <w:p w14:paraId="74EE99CE">
            <w:pPr>
              <w:adjustRightInd w:val="0"/>
              <w:snapToGrid w:val="0"/>
              <w:jc w:val="center"/>
              <w:rPr>
                <w:rFonts w:hint="eastAsia" w:eastAsia="宋体"/>
                <w:color w:val="auto"/>
                <w:szCs w:val="21"/>
                <w:lang w:eastAsia="zh-CN"/>
              </w:rPr>
            </w:pPr>
            <w:r>
              <w:rPr>
                <w:rFonts w:hint="eastAsia"/>
                <w:color w:val="auto"/>
                <w:szCs w:val="21"/>
              </w:rPr>
              <w:t>《大气污染物综合排放标准》（GB16297-1996)表2新污染源大气污染物排放限值中二级标准的排放限值</w:t>
            </w:r>
          </w:p>
        </w:tc>
      </w:tr>
      <w:tr w14:paraId="4611E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43" w:type="pct"/>
            <w:vMerge w:val="continue"/>
            <w:vAlign w:val="center"/>
          </w:tcPr>
          <w:p w14:paraId="4398C942">
            <w:pPr>
              <w:adjustRightInd w:val="0"/>
              <w:snapToGrid w:val="0"/>
              <w:jc w:val="center"/>
              <w:rPr>
                <w:color w:val="auto"/>
                <w:szCs w:val="21"/>
              </w:rPr>
            </w:pPr>
          </w:p>
        </w:tc>
        <w:tc>
          <w:tcPr>
            <w:tcW w:w="816" w:type="pct"/>
            <w:vAlign w:val="center"/>
          </w:tcPr>
          <w:p w14:paraId="2B6CB5ED">
            <w:pPr>
              <w:adjustRightInd w:val="0"/>
              <w:snapToGrid w:val="0"/>
              <w:jc w:val="center"/>
              <w:rPr>
                <w:rFonts w:hint="eastAsia" w:eastAsia="宋体"/>
                <w:color w:val="auto"/>
                <w:szCs w:val="21"/>
                <w:lang w:eastAsia="zh-CN"/>
              </w:rPr>
            </w:pPr>
            <w:r>
              <w:rPr>
                <w:color w:val="auto"/>
                <w:szCs w:val="21"/>
              </w:rPr>
              <w:t>DA00</w:t>
            </w:r>
            <w:r>
              <w:rPr>
                <w:rFonts w:hint="eastAsia"/>
                <w:color w:val="auto"/>
                <w:szCs w:val="21"/>
                <w:lang w:val="en-US" w:eastAsia="zh-CN"/>
              </w:rPr>
              <w:t>2</w:t>
            </w:r>
          </w:p>
        </w:tc>
        <w:tc>
          <w:tcPr>
            <w:tcW w:w="478" w:type="pct"/>
            <w:tcBorders>
              <w:bottom w:val="single" w:color="auto" w:sz="4" w:space="0"/>
            </w:tcBorders>
            <w:vAlign w:val="center"/>
          </w:tcPr>
          <w:p w14:paraId="55DC4915">
            <w:pPr>
              <w:adjustRightInd w:val="0"/>
              <w:snapToGrid w:val="0"/>
              <w:jc w:val="center"/>
              <w:rPr>
                <w:rFonts w:hint="default" w:eastAsia="宋体"/>
                <w:color w:val="auto"/>
                <w:szCs w:val="21"/>
                <w:lang w:val="en-US" w:eastAsia="zh-CN"/>
              </w:rPr>
            </w:pPr>
            <w:r>
              <w:rPr>
                <w:color w:val="auto"/>
                <w:kern w:val="0"/>
                <w:szCs w:val="21"/>
              </w:rPr>
              <w:t>颗粒物</w:t>
            </w:r>
            <w:r>
              <w:rPr>
                <w:rFonts w:hint="eastAsia"/>
                <w:color w:val="auto"/>
                <w:kern w:val="0"/>
                <w:szCs w:val="21"/>
                <w:lang w:eastAsia="zh-CN"/>
              </w:rPr>
              <w:t>、</w:t>
            </w:r>
            <w:r>
              <w:rPr>
                <w:rFonts w:hint="eastAsia"/>
                <w:color w:val="auto"/>
                <w:kern w:val="0"/>
                <w:szCs w:val="21"/>
                <w:lang w:val="en-US" w:eastAsia="zh-CN"/>
              </w:rPr>
              <w:t>SO</w:t>
            </w:r>
            <w:r>
              <w:rPr>
                <w:rFonts w:hint="eastAsia"/>
                <w:color w:val="auto"/>
                <w:kern w:val="0"/>
                <w:szCs w:val="21"/>
                <w:vertAlign w:val="subscript"/>
                <w:lang w:val="en-US" w:eastAsia="zh-CN"/>
              </w:rPr>
              <w:t>2</w:t>
            </w:r>
            <w:r>
              <w:rPr>
                <w:rFonts w:hint="eastAsia"/>
                <w:color w:val="auto"/>
                <w:kern w:val="0"/>
                <w:szCs w:val="21"/>
                <w:lang w:val="en-US" w:eastAsia="zh-CN"/>
              </w:rPr>
              <w:t>、NOx</w:t>
            </w:r>
          </w:p>
        </w:tc>
        <w:tc>
          <w:tcPr>
            <w:tcW w:w="1761" w:type="pct"/>
            <w:tcBorders>
              <w:bottom w:val="single" w:color="auto" w:sz="4" w:space="0"/>
            </w:tcBorders>
            <w:vAlign w:val="center"/>
          </w:tcPr>
          <w:p w14:paraId="65405549">
            <w:pPr>
              <w:adjustRightInd w:val="0"/>
              <w:snapToGrid w:val="0"/>
              <w:jc w:val="center"/>
              <w:rPr>
                <w:color w:val="auto"/>
                <w:szCs w:val="21"/>
              </w:rPr>
            </w:pPr>
            <w:r>
              <w:rPr>
                <w:rFonts w:hint="eastAsia" w:cs="Times New Roman"/>
                <w:color w:val="auto"/>
                <w:szCs w:val="21"/>
                <w:lang w:val="en-US" w:eastAsia="zh-CN"/>
              </w:rPr>
              <w:t>燃烧</w:t>
            </w:r>
            <w:r>
              <w:rPr>
                <w:rFonts w:hint="eastAsia"/>
                <w:color w:val="auto"/>
                <w:szCs w:val="21"/>
              </w:rPr>
              <w:t>工序</w:t>
            </w:r>
            <w:r>
              <w:rPr>
                <w:color w:val="auto"/>
                <w:szCs w:val="21"/>
              </w:rPr>
              <w:t>产生的</w:t>
            </w:r>
            <w:r>
              <w:rPr>
                <w:rFonts w:hint="eastAsia"/>
                <w:color w:val="auto"/>
                <w:szCs w:val="21"/>
              </w:rPr>
              <w:t>废气</w:t>
            </w:r>
            <w:r>
              <w:rPr>
                <w:color w:val="auto"/>
                <w:szCs w:val="21"/>
              </w:rPr>
              <w:t>经</w:t>
            </w:r>
            <w:r>
              <w:rPr>
                <w:rFonts w:hint="eastAsia"/>
                <w:color w:val="auto"/>
                <w:szCs w:val="21"/>
              </w:rPr>
              <w:t>收集后，通过布袋除尘器处理，处理效率为9</w:t>
            </w:r>
            <w:r>
              <w:rPr>
                <w:rFonts w:hint="eastAsia"/>
                <w:color w:val="auto"/>
                <w:szCs w:val="21"/>
                <w:lang w:val="en-US" w:eastAsia="zh-CN"/>
              </w:rPr>
              <w:t>9</w:t>
            </w:r>
            <w:r>
              <w:rPr>
                <w:rFonts w:hint="eastAsia"/>
                <w:color w:val="auto"/>
                <w:szCs w:val="21"/>
              </w:rPr>
              <w:t>%，处理后由一根15m高的</w:t>
            </w:r>
            <w:r>
              <w:rPr>
                <w:color w:val="auto"/>
                <w:szCs w:val="21"/>
              </w:rPr>
              <w:t>排气筒（DA00</w:t>
            </w:r>
            <w:r>
              <w:rPr>
                <w:rFonts w:hint="eastAsia"/>
                <w:color w:val="auto"/>
                <w:szCs w:val="21"/>
                <w:lang w:val="en-US" w:eastAsia="zh-CN"/>
              </w:rPr>
              <w:t>2</w:t>
            </w:r>
            <w:r>
              <w:rPr>
                <w:color w:val="auto"/>
                <w:szCs w:val="21"/>
              </w:rPr>
              <w:t>）排放</w:t>
            </w:r>
          </w:p>
        </w:tc>
        <w:tc>
          <w:tcPr>
            <w:tcW w:w="1399" w:type="pct"/>
            <w:tcBorders>
              <w:bottom w:val="single" w:color="auto" w:sz="4" w:space="0"/>
            </w:tcBorders>
            <w:vAlign w:val="center"/>
          </w:tcPr>
          <w:p w14:paraId="183B013D">
            <w:pPr>
              <w:adjustRightInd w:val="0"/>
              <w:snapToGrid w:val="0"/>
              <w:jc w:val="center"/>
              <w:rPr>
                <w:color w:val="auto"/>
                <w:szCs w:val="21"/>
              </w:rPr>
            </w:pPr>
            <w:r>
              <w:rPr>
                <w:rFonts w:hint="eastAsia"/>
                <w:color w:val="auto"/>
                <w:szCs w:val="21"/>
                <w:lang w:eastAsia="zh-CN"/>
              </w:rPr>
              <w:t>《锅炉大气污染排放标准》（GB13271-2014）</w:t>
            </w:r>
            <w:r>
              <w:rPr>
                <w:rFonts w:hint="eastAsia"/>
                <w:color w:val="auto"/>
                <w:szCs w:val="21"/>
              </w:rPr>
              <w:t>中排放限值要求</w:t>
            </w:r>
          </w:p>
        </w:tc>
      </w:tr>
      <w:tr w14:paraId="52099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43" w:type="pct"/>
            <w:vMerge w:val="continue"/>
            <w:tcBorders>
              <w:bottom w:val="single" w:color="auto" w:sz="4" w:space="0"/>
            </w:tcBorders>
            <w:vAlign w:val="center"/>
          </w:tcPr>
          <w:p w14:paraId="353C431E">
            <w:pPr>
              <w:adjustRightInd w:val="0"/>
              <w:snapToGrid w:val="0"/>
              <w:jc w:val="center"/>
              <w:rPr>
                <w:color w:val="auto"/>
                <w:szCs w:val="21"/>
              </w:rPr>
            </w:pPr>
          </w:p>
        </w:tc>
        <w:tc>
          <w:tcPr>
            <w:tcW w:w="816" w:type="pct"/>
            <w:vAlign w:val="center"/>
          </w:tcPr>
          <w:p w14:paraId="0D2315BC">
            <w:pPr>
              <w:adjustRightInd w:val="0"/>
              <w:snapToGrid w:val="0"/>
              <w:jc w:val="center"/>
              <w:rPr>
                <w:color w:val="auto"/>
                <w:szCs w:val="21"/>
              </w:rPr>
            </w:pPr>
            <w:r>
              <w:rPr>
                <w:color w:val="auto"/>
                <w:szCs w:val="21"/>
              </w:rPr>
              <w:t>无组织排放</w:t>
            </w:r>
          </w:p>
        </w:tc>
        <w:tc>
          <w:tcPr>
            <w:tcW w:w="478" w:type="pct"/>
            <w:tcBorders>
              <w:bottom w:val="single" w:color="auto" w:sz="4" w:space="0"/>
            </w:tcBorders>
            <w:vAlign w:val="center"/>
          </w:tcPr>
          <w:p w14:paraId="68C95794">
            <w:pPr>
              <w:adjustRightInd w:val="0"/>
              <w:snapToGrid w:val="0"/>
              <w:jc w:val="center"/>
              <w:rPr>
                <w:color w:val="auto"/>
                <w:szCs w:val="21"/>
              </w:rPr>
            </w:pPr>
            <w:r>
              <w:rPr>
                <w:color w:val="auto"/>
                <w:kern w:val="0"/>
                <w:szCs w:val="21"/>
              </w:rPr>
              <w:t>颗</w:t>
            </w:r>
            <w:r>
              <w:rPr>
                <w:color w:val="auto"/>
                <w:szCs w:val="21"/>
              </w:rPr>
              <w:t>粒物</w:t>
            </w:r>
          </w:p>
        </w:tc>
        <w:tc>
          <w:tcPr>
            <w:tcW w:w="1761" w:type="pct"/>
            <w:tcBorders>
              <w:bottom w:val="single" w:color="auto" w:sz="4" w:space="0"/>
            </w:tcBorders>
            <w:vAlign w:val="center"/>
          </w:tcPr>
          <w:p w14:paraId="65B48D6F">
            <w:pPr>
              <w:adjustRightInd w:val="0"/>
              <w:snapToGrid w:val="0"/>
              <w:jc w:val="center"/>
              <w:rPr>
                <w:color w:val="auto"/>
                <w:szCs w:val="21"/>
              </w:rPr>
            </w:pPr>
            <w:r>
              <w:rPr>
                <w:color w:val="auto"/>
                <w:szCs w:val="21"/>
              </w:rPr>
              <w:t>/</w:t>
            </w:r>
          </w:p>
        </w:tc>
        <w:tc>
          <w:tcPr>
            <w:tcW w:w="1399" w:type="pct"/>
            <w:tcBorders>
              <w:bottom w:val="single" w:color="auto" w:sz="4" w:space="0"/>
            </w:tcBorders>
            <w:vAlign w:val="center"/>
          </w:tcPr>
          <w:p w14:paraId="67539E27">
            <w:pPr>
              <w:adjustRightInd w:val="0"/>
              <w:snapToGrid w:val="0"/>
              <w:jc w:val="center"/>
              <w:rPr>
                <w:color w:val="auto"/>
                <w:szCs w:val="21"/>
              </w:rPr>
            </w:pPr>
            <w:r>
              <w:rPr>
                <w:rFonts w:hint="eastAsia"/>
                <w:color w:val="auto"/>
                <w:szCs w:val="21"/>
              </w:rPr>
              <w:t>《大气污染物综合排放标准》（GB16297-1996)表2中的排放浓度限值</w:t>
            </w:r>
          </w:p>
        </w:tc>
      </w:tr>
      <w:tr w14:paraId="6137D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43" w:type="pct"/>
            <w:vAlign w:val="center"/>
          </w:tcPr>
          <w:p w14:paraId="1235DB85">
            <w:pPr>
              <w:adjustRightInd w:val="0"/>
              <w:snapToGrid w:val="0"/>
              <w:jc w:val="center"/>
              <w:rPr>
                <w:color w:val="auto"/>
                <w:szCs w:val="21"/>
              </w:rPr>
            </w:pPr>
            <w:r>
              <w:rPr>
                <w:color w:val="auto"/>
                <w:szCs w:val="21"/>
              </w:rPr>
              <w:t>地表水环境</w:t>
            </w:r>
          </w:p>
        </w:tc>
        <w:tc>
          <w:tcPr>
            <w:tcW w:w="816" w:type="pct"/>
            <w:tcBorders>
              <w:bottom w:val="single" w:color="auto" w:sz="4" w:space="0"/>
            </w:tcBorders>
            <w:vAlign w:val="center"/>
          </w:tcPr>
          <w:p w14:paraId="67F5F8EC">
            <w:pPr>
              <w:pStyle w:val="63"/>
              <w:jc w:val="center"/>
              <w:rPr>
                <w:color w:val="auto"/>
                <w:kern w:val="0"/>
                <w:szCs w:val="21"/>
              </w:rPr>
            </w:pPr>
            <w:r>
              <w:rPr>
                <w:color w:val="auto"/>
                <w:szCs w:val="21"/>
              </w:rPr>
              <w:t>生活污水</w:t>
            </w:r>
          </w:p>
        </w:tc>
        <w:tc>
          <w:tcPr>
            <w:tcW w:w="478" w:type="pct"/>
            <w:vAlign w:val="center"/>
          </w:tcPr>
          <w:p w14:paraId="797C019B">
            <w:pPr>
              <w:pStyle w:val="63"/>
              <w:jc w:val="center"/>
              <w:rPr>
                <w:color w:val="auto"/>
                <w:kern w:val="0"/>
                <w:szCs w:val="21"/>
              </w:rPr>
            </w:pPr>
            <w:r>
              <w:rPr>
                <w:color w:val="auto"/>
                <w:szCs w:val="21"/>
              </w:rPr>
              <w:t>COD</w:t>
            </w:r>
            <w:r>
              <w:rPr>
                <w:color w:val="auto"/>
                <w:szCs w:val="21"/>
                <w:vertAlign w:val="subscript"/>
              </w:rPr>
              <w:t>Cr</w:t>
            </w:r>
            <w:r>
              <w:rPr>
                <w:color w:val="auto"/>
                <w:szCs w:val="21"/>
              </w:rPr>
              <w:t>、BOD</w:t>
            </w:r>
            <w:r>
              <w:rPr>
                <w:color w:val="auto"/>
                <w:szCs w:val="21"/>
                <w:vertAlign w:val="subscript"/>
              </w:rPr>
              <w:t>5</w:t>
            </w:r>
            <w:r>
              <w:rPr>
                <w:color w:val="auto"/>
                <w:szCs w:val="21"/>
              </w:rPr>
              <w:t>、SS、氨氮</w:t>
            </w:r>
          </w:p>
        </w:tc>
        <w:tc>
          <w:tcPr>
            <w:tcW w:w="1761" w:type="pct"/>
            <w:vAlign w:val="center"/>
          </w:tcPr>
          <w:p w14:paraId="48915327">
            <w:pPr>
              <w:jc w:val="center"/>
              <w:rPr>
                <w:color w:val="auto"/>
                <w:szCs w:val="21"/>
              </w:rPr>
            </w:pPr>
            <w:r>
              <w:rPr>
                <w:rFonts w:hint="eastAsia"/>
                <w:color w:val="auto"/>
                <w:szCs w:val="21"/>
                <w:lang w:val="en-US" w:eastAsia="zh-CN"/>
              </w:rPr>
              <w:t>生活污水经化粪池处理后，通过地埋式污水处理设施处理，处理后的废水用于厂区绿化灌溉，不外排；</w:t>
            </w:r>
            <w:r>
              <w:rPr>
                <w:rFonts w:hint="eastAsia"/>
                <w:bCs/>
                <w:color w:val="auto"/>
                <w:szCs w:val="21"/>
              </w:rPr>
              <w:t>锅炉</w:t>
            </w:r>
            <w:r>
              <w:rPr>
                <w:rFonts w:hint="eastAsia"/>
                <w:bCs/>
                <w:color w:val="auto"/>
                <w:szCs w:val="21"/>
                <w:lang w:val="en-US" w:eastAsia="zh-CN"/>
              </w:rPr>
              <w:t>废</w:t>
            </w:r>
            <w:r>
              <w:rPr>
                <w:rFonts w:hint="eastAsia"/>
                <w:bCs/>
                <w:color w:val="auto"/>
                <w:szCs w:val="21"/>
              </w:rPr>
              <w:t>水通过地埋式污水处理设施处理，处理后的废水用于厂区绿化灌溉</w:t>
            </w:r>
          </w:p>
        </w:tc>
        <w:tc>
          <w:tcPr>
            <w:tcW w:w="1399" w:type="pct"/>
            <w:vAlign w:val="center"/>
          </w:tcPr>
          <w:p w14:paraId="219A6EBF">
            <w:pPr>
              <w:pStyle w:val="86"/>
              <w:adjustRightInd w:val="0"/>
              <w:snapToGrid w:val="0"/>
              <w:jc w:val="center"/>
              <w:rPr>
                <w:rFonts w:hint="eastAsia" w:ascii="Times New Roman" w:hAnsi="Times New Roman" w:eastAsia="宋体" w:cs="Times New Roman"/>
                <w:color w:val="auto"/>
                <w:kern w:val="2"/>
                <w:sz w:val="21"/>
                <w:szCs w:val="21"/>
                <w:lang w:eastAsia="zh-CN"/>
              </w:rPr>
            </w:pPr>
            <w:r>
              <w:rPr>
                <w:rFonts w:hint="eastAsia" w:ascii="Times New Roman" w:hAnsi="Times New Roman" w:cs="Times New Roman"/>
                <w:color w:val="auto"/>
                <w:kern w:val="2"/>
                <w:sz w:val="21"/>
                <w:szCs w:val="21"/>
                <w:lang w:val="en-US" w:eastAsia="zh-CN"/>
              </w:rPr>
              <w:t>/</w:t>
            </w:r>
          </w:p>
        </w:tc>
      </w:tr>
      <w:tr w14:paraId="5FC32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tcBorders>
              <w:bottom w:val="single" w:color="auto" w:sz="4" w:space="0"/>
            </w:tcBorders>
            <w:vAlign w:val="center"/>
          </w:tcPr>
          <w:p w14:paraId="314E2143">
            <w:pPr>
              <w:adjustRightInd w:val="0"/>
              <w:snapToGrid w:val="0"/>
              <w:jc w:val="center"/>
              <w:rPr>
                <w:color w:val="auto"/>
                <w:szCs w:val="21"/>
              </w:rPr>
            </w:pPr>
            <w:r>
              <w:rPr>
                <w:color w:val="auto"/>
                <w:szCs w:val="21"/>
              </w:rPr>
              <w:t>声环境</w:t>
            </w:r>
          </w:p>
        </w:tc>
        <w:tc>
          <w:tcPr>
            <w:tcW w:w="816" w:type="pct"/>
            <w:tcBorders>
              <w:bottom w:val="single" w:color="auto" w:sz="4" w:space="0"/>
            </w:tcBorders>
            <w:vAlign w:val="center"/>
          </w:tcPr>
          <w:p w14:paraId="1E107D98">
            <w:pPr>
              <w:adjustRightInd w:val="0"/>
              <w:snapToGrid w:val="0"/>
              <w:jc w:val="center"/>
              <w:rPr>
                <w:color w:val="auto"/>
                <w:szCs w:val="21"/>
              </w:rPr>
            </w:pPr>
            <w:r>
              <w:rPr>
                <w:rFonts w:hint="eastAsia"/>
                <w:color w:val="auto"/>
                <w:szCs w:val="21"/>
                <w:lang w:val="en-US" w:eastAsia="zh-CN"/>
              </w:rPr>
              <w:t>粉碎机、电动筛网</w:t>
            </w:r>
            <w:r>
              <w:rPr>
                <w:rFonts w:hint="eastAsia"/>
                <w:color w:val="auto"/>
                <w:szCs w:val="21"/>
              </w:rPr>
              <w:t>、风机</w:t>
            </w:r>
            <w:r>
              <w:rPr>
                <w:color w:val="auto"/>
                <w:szCs w:val="21"/>
              </w:rPr>
              <w:t>等</w:t>
            </w:r>
          </w:p>
        </w:tc>
        <w:tc>
          <w:tcPr>
            <w:tcW w:w="478" w:type="pct"/>
            <w:tcBorders>
              <w:bottom w:val="single" w:color="auto" w:sz="4" w:space="0"/>
            </w:tcBorders>
            <w:vAlign w:val="center"/>
          </w:tcPr>
          <w:p w14:paraId="1DE08613">
            <w:pPr>
              <w:adjustRightInd w:val="0"/>
              <w:snapToGrid w:val="0"/>
              <w:jc w:val="center"/>
              <w:rPr>
                <w:color w:val="auto"/>
                <w:szCs w:val="21"/>
              </w:rPr>
            </w:pPr>
            <w:r>
              <w:rPr>
                <w:color w:val="auto"/>
                <w:szCs w:val="21"/>
              </w:rPr>
              <w:t>噪声</w:t>
            </w:r>
          </w:p>
        </w:tc>
        <w:tc>
          <w:tcPr>
            <w:tcW w:w="1761" w:type="pct"/>
            <w:tcBorders>
              <w:bottom w:val="single" w:color="auto" w:sz="4" w:space="0"/>
            </w:tcBorders>
            <w:vAlign w:val="center"/>
          </w:tcPr>
          <w:p w14:paraId="7E74F41C">
            <w:pPr>
              <w:adjustRightInd w:val="0"/>
              <w:snapToGrid w:val="0"/>
              <w:jc w:val="center"/>
              <w:rPr>
                <w:color w:val="auto"/>
                <w:kern w:val="0"/>
                <w:szCs w:val="21"/>
              </w:rPr>
            </w:pPr>
            <w:r>
              <w:rPr>
                <w:color w:val="auto"/>
                <w:szCs w:val="21"/>
              </w:rPr>
              <w:t>采取减</w:t>
            </w:r>
            <w:r>
              <w:rPr>
                <w:rFonts w:hint="eastAsia"/>
                <w:color w:val="auto"/>
                <w:szCs w:val="21"/>
              </w:rPr>
              <w:t>振</w:t>
            </w:r>
            <w:r>
              <w:rPr>
                <w:color w:val="auto"/>
                <w:szCs w:val="21"/>
              </w:rPr>
              <w:t>、隔声等措施</w:t>
            </w:r>
          </w:p>
        </w:tc>
        <w:tc>
          <w:tcPr>
            <w:tcW w:w="1399" w:type="pct"/>
            <w:tcBorders>
              <w:bottom w:val="single" w:color="auto" w:sz="4" w:space="0"/>
            </w:tcBorders>
            <w:vAlign w:val="center"/>
          </w:tcPr>
          <w:p w14:paraId="5D26FD21">
            <w:pPr>
              <w:adjustRightInd w:val="0"/>
              <w:snapToGrid w:val="0"/>
              <w:jc w:val="center"/>
              <w:rPr>
                <w:color w:val="auto"/>
                <w:kern w:val="0"/>
                <w:szCs w:val="21"/>
              </w:rPr>
            </w:pPr>
            <w:r>
              <w:rPr>
                <w:color w:val="auto"/>
                <w:szCs w:val="21"/>
              </w:rPr>
              <w:t>《工业企业厂界环境噪声排放标准》（GB12348-2008）中</w:t>
            </w:r>
            <w:r>
              <w:rPr>
                <w:rFonts w:hint="eastAsia"/>
                <w:color w:val="auto"/>
                <w:szCs w:val="21"/>
                <w:lang w:val="en-US" w:eastAsia="zh-CN"/>
              </w:rPr>
              <w:t>2</w:t>
            </w:r>
            <w:r>
              <w:rPr>
                <w:color w:val="auto"/>
                <w:szCs w:val="21"/>
              </w:rPr>
              <w:t>标准</w:t>
            </w:r>
          </w:p>
        </w:tc>
      </w:tr>
      <w:tr w14:paraId="221CD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tcBorders>
              <w:bottom w:val="single" w:color="auto" w:sz="4" w:space="0"/>
            </w:tcBorders>
            <w:vAlign w:val="center"/>
          </w:tcPr>
          <w:p w14:paraId="62F4BC33">
            <w:pPr>
              <w:adjustRightInd w:val="0"/>
              <w:snapToGrid w:val="0"/>
              <w:jc w:val="center"/>
              <w:rPr>
                <w:color w:val="auto"/>
                <w:szCs w:val="21"/>
              </w:rPr>
            </w:pPr>
            <w:r>
              <w:rPr>
                <w:color w:val="auto"/>
                <w:szCs w:val="21"/>
              </w:rPr>
              <w:t>电磁辐射</w:t>
            </w:r>
          </w:p>
        </w:tc>
        <w:tc>
          <w:tcPr>
            <w:tcW w:w="816" w:type="pct"/>
            <w:tcBorders>
              <w:bottom w:val="single" w:color="auto" w:sz="4" w:space="0"/>
            </w:tcBorders>
            <w:vAlign w:val="center"/>
          </w:tcPr>
          <w:p w14:paraId="21FF0752">
            <w:pPr>
              <w:adjustRightInd w:val="0"/>
              <w:snapToGrid w:val="0"/>
              <w:jc w:val="center"/>
              <w:rPr>
                <w:color w:val="auto"/>
                <w:kern w:val="0"/>
                <w:szCs w:val="21"/>
              </w:rPr>
            </w:pPr>
            <w:r>
              <w:rPr>
                <w:color w:val="auto"/>
                <w:szCs w:val="21"/>
              </w:rPr>
              <w:t>/</w:t>
            </w:r>
          </w:p>
        </w:tc>
        <w:tc>
          <w:tcPr>
            <w:tcW w:w="478" w:type="pct"/>
            <w:tcBorders>
              <w:bottom w:val="single" w:color="auto" w:sz="4" w:space="0"/>
            </w:tcBorders>
            <w:vAlign w:val="center"/>
          </w:tcPr>
          <w:p w14:paraId="7C5A0F25">
            <w:pPr>
              <w:adjustRightInd w:val="0"/>
              <w:snapToGrid w:val="0"/>
              <w:jc w:val="center"/>
              <w:rPr>
                <w:color w:val="auto"/>
                <w:kern w:val="0"/>
                <w:szCs w:val="21"/>
              </w:rPr>
            </w:pPr>
            <w:r>
              <w:rPr>
                <w:color w:val="auto"/>
                <w:szCs w:val="21"/>
              </w:rPr>
              <w:t>/</w:t>
            </w:r>
          </w:p>
        </w:tc>
        <w:tc>
          <w:tcPr>
            <w:tcW w:w="1761" w:type="pct"/>
            <w:tcBorders>
              <w:bottom w:val="single" w:color="auto" w:sz="4" w:space="0"/>
            </w:tcBorders>
            <w:vAlign w:val="center"/>
          </w:tcPr>
          <w:p w14:paraId="7D2EFBA1">
            <w:pPr>
              <w:adjustRightInd w:val="0"/>
              <w:snapToGrid w:val="0"/>
              <w:jc w:val="center"/>
              <w:rPr>
                <w:color w:val="auto"/>
                <w:kern w:val="0"/>
                <w:szCs w:val="21"/>
              </w:rPr>
            </w:pPr>
            <w:r>
              <w:rPr>
                <w:color w:val="auto"/>
                <w:szCs w:val="21"/>
              </w:rPr>
              <w:t>/</w:t>
            </w:r>
          </w:p>
        </w:tc>
        <w:tc>
          <w:tcPr>
            <w:tcW w:w="1399" w:type="pct"/>
            <w:tcBorders>
              <w:bottom w:val="single" w:color="auto" w:sz="4" w:space="0"/>
            </w:tcBorders>
            <w:vAlign w:val="center"/>
          </w:tcPr>
          <w:p w14:paraId="3662E393">
            <w:pPr>
              <w:adjustRightInd w:val="0"/>
              <w:snapToGrid w:val="0"/>
              <w:jc w:val="center"/>
              <w:rPr>
                <w:color w:val="auto"/>
                <w:kern w:val="0"/>
                <w:szCs w:val="21"/>
              </w:rPr>
            </w:pPr>
            <w:r>
              <w:rPr>
                <w:color w:val="auto"/>
                <w:szCs w:val="21"/>
              </w:rPr>
              <w:t>/</w:t>
            </w:r>
          </w:p>
        </w:tc>
      </w:tr>
      <w:tr w14:paraId="55E6F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vAlign w:val="center"/>
          </w:tcPr>
          <w:p w14:paraId="316A6D29">
            <w:pPr>
              <w:adjustRightInd w:val="0"/>
              <w:snapToGrid w:val="0"/>
              <w:jc w:val="center"/>
              <w:rPr>
                <w:color w:val="auto"/>
                <w:szCs w:val="21"/>
              </w:rPr>
            </w:pPr>
            <w:r>
              <w:rPr>
                <w:color w:val="auto"/>
                <w:szCs w:val="21"/>
              </w:rPr>
              <w:t>固体废物</w:t>
            </w:r>
          </w:p>
        </w:tc>
        <w:tc>
          <w:tcPr>
            <w:tcW w:w="4456" w:type="pct"/>
            <w:gridSpan w:val="4"/>
            <w:vAlign w:val="center"/>
          </w:tcPr>
          <w:p w14:paraId="0D4FBC89">
            <w:pPr>
              <w:adjustRightInd w:val="0"/>
              <w:snapToGrid w:val="0"/>
              <w:jc w:val="left"/>
              <w:rPr>
                <w:color w:val="auto"/>
                <w:szCs w:val="21"/>
              </w:rPr>
            </w:pPr>
            <w:r>
              <w:rPr>
                <w:color w:val="auto"/>
                <w:szCs w:val="21"/>
              </w:rPr>
              <w:t>固体废物的产生情况及处置去向：</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92"/>
              <w:gridCol w:w="689"/>
              <w:gridCol w:w="1279"/>
              <w:gridCol w:w="492"/>
              <w:gridCol w:w="1076"/>
              <w:gridCol w:w="791"/>
              <w:gridCol w:w="1978"/>
              <w:gridCol w:w="847"/>
            </w:tblGrid>
            <w:tr w14:paraId="7FE1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restart"/>
                  <w:shd w:val="clear" w:color="auto" w:fill="auto"/>
                  <w:vAlign w:val="center"/>
                </w:tcPr>
                <w:p w14:paraId="65344998">
                  <w:pPr>
                    <w:jc w:val="center"/>
                    <w:rPr>
                      <w:b/>
                      <w:bCs/>
                      <w:color w:val="auto"/>
                      <w:szCs w:val="21"/>
                    </w:rPr>
                  </w:pPr>
                  <w:r>
                    <w:rPr>
                      <w:b/>
                      <w:bCs/>
                      <w:color w:val="auto"/>
                      <w:szCs w:val="21"/>
                    </w:rPr>
                    <w:t>工序/生产线</w:t>
                  </w:r>
                </w:p>
              </w:tc>
              <w:tc>
                <w:tcPr>
                  <w:tcW w:w="756" w:type="dxa"/>
                  <w:vMerge w:val="restart"/>
                  <w:shd w:val="clear" w:color="auto" w:fill="auto"/>
                  <w:vAlign w:val="center"/>
                </w:tcPr>
                <w:p w14:paraId="2E7F9EB7">
                  <w:pPr>
                    <w:jc w:val="center"/>
                    <w:rPr>
                      <w:b/>
                      <w:bCs/>
                      <w:color w:val="auto"/>
                      <w:szCs w:val="21"/>
                    </w:rPr>
                  </w:pPr>
                  <w:r>
                    <w:rPr>
                      <w:b/>
                      <w:bCs/>
                      <w:color w:val="auto"/>
                      <w:szCs w:val="21"/>
                    </w:rPr>
                    <w:t>装置</w:t>
                  </w:r>
                </w:p>
              </w:tc>
              <w:tc>
                <w:tcPr>
                  <w:tcW w:w="1402" w:type="dxa"/>
                  <w:vMerge w:val="restart"/>
                  <w:shd w:val="clear" w:color="auto" w:fill="auto"/>
                  <w:vAlign w:val="center"/>
                </w:tcPr>
                <w:p w14:paraId="51EA417E">
                  <w:pPr>
                    <w:jc w:val="center"/>
                    <w:rPr>
                      <w:b/>
                      <w:bCs/>
                      <w:color w:val="auto"/>
                      <w:szCs w:val="21"/>
                    </w:rPr>
                  </w:pPr>
                  <w:r>
                    <w:rPr>
                      <w:b/>
                      <w:bCs/>
                      <w:color w:val="auto"/>
                      <w:szCs w:val="21"/>
                    </w:rPr>
                    <w:t>固体废物名称</w:t>
                  </w:r>
                </w:p>
              </w:tc>
              <w:tc>
                <w:tcPr>
                  <w:tcW w:w="540" w:type="dxa"/>
                  <w:vMerge w:val="restart"/>
                  <w:shd w:val="clear" w:color="auto" w:fill="auto"/>
                  <w:vAlign w:val="center"/>
                </w:tcPr>
                <w:p w14:paraId="4221098D">
                  <w:pPr>
                    <w:jc w:val="center"/>
                    <w:rPr>
                      <w:b/>
                      <w:bCs/>
                      <w:color w:val="auto"/>
                      <w:szCs w:val="21"/>
                    </w:rPr>
                  </w:pPr>
                  <w:r>
                    <w:rPr>
                      <w:b/>
                      <w:bCs/>
                      <w:color w:val="auto"/>
                      <w:szCs w:val="21"/>
                    </w:rPr>
                    <w:t>固废属性</w:t>
                  </w:r>
                </w:p>
              </w:tc>
              <w:tc>
                <w:tcPr>
                  <w:tcW w:w="2047" w:type="dxa"/>
                  <w:gridSpan w:val="2"/>
                  <w:shd w:val="clear" w:color="auto" w:fill="auto"/>
                  <w:vAlign w:val="center"/>
                </w:tcPr>
                <w:p w14:paraId="651C38B3">
                  <w:pPr>
                    <w:jc w:val="center"/>
                    <w:rPr>
                      <w:b/>
                      <w:bCs/>
                      <w:color w:val="auto"/>
                      <w:szCs w:val="21"/>
                    </w:rPr>
                  </w:pPr>
                  <w:r>
                    <w:rPr>
                      <w:b/>
                      <w:bCs/>
                      <w:color w:val="auto"/>
                      <w:szCs w:val="21"/>
                    </w:rPr>
                    <w:t>产生情况</w:t>
                  </w:r>
                </w:p>
              </w:tc>
              <w:tc>
                <w:tcPr>
                  <w:tcW w:w="3098" w:type="dxa"/>
                  <w:gridSpan w:val="2"/>
                  <w:shd w:val="clear" w:color="auto" w:fill="auto"/>
                  <w:vAlign w:val="center"/>
                </w:tcPr>
                <w:p w14:paraId="6722C73E">
                  <w:pPr>
                    <w:jc w:val="center"/>
                    <w:rPr>
                      <w:b/>
                      <w:bCs/>
                      <w:color w:val="auto"/>
                      <w:szCs w:val="21"/>
                    </w:rPr>
                  </w:pPr>
                  <w:r>
                    <w:rPr>
                      <w:b/>
                      <w:bCs/>
                      <w:color w:val="auto"/>
                      <w:szCs w:val="21"/>
                    </w:rPr>
                    <w:t>处置措施</w:t>
                  </w:r>
                </w:p>
              </w:tc>
            </w:tr>
            <w:tr w14:paraId="246F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continue"/>
                  <w:shd w:val="clear" w:color="auto" w:fill="auto"/>
                  <w:vAlign w:val="center"/>
                </w:tcPr>
                <w:p w14:paraId="1476ADC7">
                  <w:pPr>
                    <w:jc w:val="center"/>
                    <w:rPr>
                      <w:color w:val="auto"/>
                      <w:szCs w:val="21"/>
                    </w:rPr>
                  </w:pPr>
                </w:p>
              </w:tc>
              <w:tc>
                <w:tcPr>
                  <w:tcW w:w="756" w:type="dxa"/>
                  <w:vMerge w:val="continue"/>
                  <w:shd w:val="clear" w:color="auto" w:fill="auto"/>
                  <w:vAlign w:val="center"/>
                </w:tcPr>
                <w:p w14:paraId="0B07C15C">
                  <w:pPr>
                    <w:jc w:val="center"/>
                    <w:rPr>
                      <w:color w:val="auto"/>
                      <w:szCs w:val="21"/>
                    </w:rPr>
                  </w:pPr>
                </w:p>
              </w:tc>
              <w:tc>
                <w:tcPr>
                  <w:tcW w:w="1402" w:type="dxa"/>
                  <w:vMerge w:val="continue"/>
                  <w:shd w:val="clear" w:color="auto" w:fill="auto"/>
                  <w:vAlign w:val="center"/>
                </w:tcPr>
                <w:p w14:paraId="5D716EC7">
                  <w:pPr>
                    <w:jc w:val="center"/>
                    <w:rPr>
                      <w:color w:val="auto"/>
                      <w:szCs w:val="21"/>
                    </w:rPr>
                  </w:pPr>
                </w:p>
              </w:tc>
              <w:tc>
                <w:tcPr>
                  <w:tcW w:w="540" w:type="dxa"/>
                  <w:vMerge w:val="continue"/>
                  <w:shd w:val="clear" w:color="auto" w:fill="auto"/>
                  <w:vAlign w:val="center"/>
                </w:tcPr>
                <w:p w14:paraId="13703B73">
                  <w:pPr>
                    <w:jc w:val="center"/>
                    <w:rPr>
                      <w:color w:val="auto"/>
                      <w:szCs w:val="21"/>
                    </w:rPr>
                  </w:pPr>
                </w:p>
              </w:tc>
              <w:tc>
                <w:tcPr>
                  <w:tcW w:w="1180" w:type="dxa"/>
                  <w:shd w:val="clear" w:color="auto" w:fill="auto"/>
                  <w:vAlign w:val="center"/>
                </w:tcPr>
                <w:p w14:paraId="43EA46BA">
                  <w:pPr>
                    <w:jc w:val="center"/>
                    <w:rPr>
                      <w:b/>
                      <w:bCs/>
                      <w:color w:val="auto"/>
                      <w:szCs w:val="21"/>
                    </w:rPr>
                  </w:pPr>
                  <w:r>
                    <w:rPr>
                      <w:b/>
                      <w:bCs/>
                      <w:color w:val="auto"/>
                      <w:szCs w:val="21"/>
                    </w:rPr>
                    <w:t>核算方法</w:t>
                  </w:r>
                </w:p>
              </w:tc>
              <w:tc>
                <w:tcPr>
                  <w:tcW w:w="867" w:type="dxa"/>
                  <w:shd w:val="clear" w:color="auto" w:fill="auto"/>
                  <w:vAlign w:val="center"/>
                </w:tcPr>
                <w:p w14:paraId="632FF0DD">
                  <w:pPr>
                    <w:jc w:val="center"/>
                    <w:rPr>
                      <w:b/>
                      <w:bCs/>
                      <w:color w:val="auto"/>
                      <w:szCs w:val="21"/>
                    </w:rPr>
                  </w:pPr>
                  <w:r>
                    <w:rPr>
                      <w:b/>
                      <w:bCs/>
                      <w:color w:val="auto"/>
                      <w:szCs w:val="21"/>
                    </w:rPr>
                    <w:t>产生量</w:t>
                  </w:r>
                </w:p>
              </w:tc>
              <w:tc>
                <w:tcPr>
                  <w:tcW w:w="2169" w:type="dxa"/>
                  <w:shd w:val="clear" w:color="auto" w:fill="auto"/>
                  <w:vAlign w:val="center"/>
                </w:tcPr>
                <w:p w14:paraId="0E61ECC9">
                  <w:pPr>
                    <w:jc w:val="center"/>
                    <w:rPr>
                      <w:b/>
                      <w:bCs/>
                      <w:color w:val="auto"/>
                      <w:szCs w:val="21"/>
                    </w:rPr>
                  </w:pPr>
                  <w:r>
                    <w:rPr>
                      <w:b/>
                      <w:bCs/>
                      <w:color w:val="auto"/>
                      <w:szCs w:val="21"/>
                    </w:rPr>
                    <w:t>工艺</w:t>
                  </w:r>
                </w:p>
              </w:tc>
              <w:tc>
                <w:tcPr>
                  <w:tcW w:w="929" w:type="dxa"/>
                  <w:shd w:val="clear" w:color="auto" w:fill="auto"/>
                  <w:vAlign w:val="center"/>
                </w:tcPr>
                <w:p w14:paraId="48A49C8A">
                  <w:pPr>
                    <w:jc w:val="center"/>
                    <w:rPr>
                      <w:b/>
                      <w:bCs/>
                      <w:color w:val="auto"/>
                      <w:szCs w:val="21"/>
                    </w:rPr>
                  </w:pPr>
                  <w:r>
                    <w:rPr>
                      <w:b/>
                      <w:bCs/>
                      <w:color w:val="auto"/>
                      <w:szCs w:val="21"/>
                    </w:rPr>
                    <w:t>处置量</w:t>
                  </w:r>
                </w:p>
              </w:tc>
            </w:tr>
            <w:tr w14:paraId="5550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jc w:val="center"/>
              </w:trPr>
              <w:tc>
                <w:tcPr>
                  <w:tcW w:w="978" w:type="dxa"/>
                  <w:shd w:val="clear" w:color="auto" w:fill="auto"/>
                  <w:vAlign w:val="center"/>
                </w:tcPr>
                <w:p w14:paraId="0DCDA12B">
                  <w:pPr>
                    <w:jc w:val="center"/>
                    <w:rPr>
                      <w:color w:val="auto"/>
                      <w:szCs w:val="21"/>
                    </w:rPr>
                  </w:pPr>
                  <w:r>
                    <w:rPr>
                      <w:color w:val="auto"/>
                      <w:szCs w:val="21"/>
                    </w:rPr>
                    <w:t>生活</w:t>
                  </w:r>
                </w:p>
              </w:tc>
              <w:tc>
                <w:tcPr>
                  <w:tcW w:w="756" w:type="dxa"/>
                  <w:shd w:val="clear" w:color="auto" w:fill="auto"/>
                  <w:vAlign w:val="center"/>
                </w:tcPr>
                <w:p w14:paraId="0EE1FDDA">
                  <w:pPr>
                    <w:jc w:val="center"/>
                    <w:rPr>
                      <w:color w:val="auto"/>
                      <w:szCs w:val="21"/>
                    </w:rPr>
                  </w:pPr>
                  <w:r>
                    <w:rPr>
                      <w:color w:val="auto"/>
                      <w:szCs w:val="21"/>
                    </w:rPr>
                    <w:t>/</w:t>
                  </w:r>
                </w:p>
              </w:tc>
              <w:tc>
                <w:tcPr>
                  <w:tcW w:w="1402" w:type="dxa"/>
                  <w:shd w:val="clear" w:color="auto" w:fill="auto"/>
                  <w:vAlign w:val="center"/>
                </w:tcPr>
                <w:p w14:paraId="10F50960">
                  <w:pPr>
                    <w:jc w:val="center"/>
                    <w:rPr>
                      <w:color w:val="auto"/>
                      <w:szCs w:val="21"/>
                    </w:rPr>
                  </w:pPr>
                  <w:r>
                    <w:rPr>
                      <w:color w:val="auto"/>
                      <w:szCs w:val="21"/>
                    </w:rPr>
                    <w:t>生活垃圾</w:t>
                  </w:r>
                </w:p>
              </w:tc>
              <w:tc>
                <w:tcPr>
                  <w:tcW w:w="540" w:type="dxa"/>
                  <w:shd w:val="clear" w:color="auto" w:fill="auto"/>
                  <w:vAlign w:val="center"/>
                </w:tcPr>
                <w:p w14:paraId="5EE88476">
                  <w:pPr>
                    <w:jc w:val="center"/>
                    <w:rPr>
                      <w:color w:val="auto"/>
                      <w:szCs w:val="21"/>
                    </w:rPr>
                  </w:pPr>
                  <w:r>
                    <w:rPr>
                      <w:color w:val="auto"/>
                      <w:szCs w:val="21"/>
                    </w:rPr>
                    <w:t>生活垃圾</w:t>
                  </w:r>
                </w:p>
              </w:tc>
              <w:tc>
                <w:tcPr>
                  <w:tcW w:w="1180" w:type="dxa"/>
                  <w:shd w:val="clear" w:color="auto" w:fill="auto"/>
                  <w:vAlign w:val="center"/>
                </w:tcPr>
                <w:p w14:paraId="0FABAC58">
                  <w:pPr>
                    <w:jc w:val="center"/>
                    <w:rPr>
                      <w:color w:val="auto"/>
                      <w:szCs w:val="21"/>
                    </w:rPr>
                  </w:pPr>
                  <w:r>
                    <w:rPr>
                      <w:color w:val="auto"/>
                      <w:szCs w:val="21"/>
                    </w:rPr>
                    <w:t>产污系数法</w:t>
                  </w:r>
                </w:p>
              </w:tc>
              <w:tc>
                <w:tcPr>
                  <w:tcW w:w="867" w:type="dxa"/>
                  <w:shd w:val="clear" w:color="auto" w:fill="auto"/>
                  <w:vAlign w:val="center"/>
                </w:tcPr>
                <w:p w14:paraId="2122B89A">
                  <w:pPr>
                    <w:jc w:val="center"/>
                    <w:rPr>
                      <w:color w:val="auto"/>
                      <w:szCs w:val="21"/>
                    </w:rPr>
                  </w:pPr>
                  <w:r>
                    <w:rPr>
                      <w:rFonts w:hint="eastAsia"/>
                      <w:color w:val="auto"/>
                      <w:szCs w:val="21"/>
                      <w:lang w:val="en-US" w:eastAsia="zh-CN"/>
                    </w:rPr>
                    <w:t>1.5</w:t>
                  </w:r>
                  <w:r>
                    <w:rPr>
                      <w:color w:val="auto"/>
                      <w:szCs w:val="21"/>
                    </w:rPr>
                    <w:t>t/a</w:t>
                  </w:r>
                </w:p>
              </w:tc>
              <w:tc>
                <w:tcPr>
                  <w:tcW w:w="2169" w:type="dxa"/>
                  <w:shd w:val="clear" w:color="auto" w:fill="auto"/>
                  <w:vAlign w:val="center"/>
                </w:tcPr>
                <w:p w14:paraId="69A96D6C">
                  <w:pPr>
                    <w:jc w:val="center"/>
                    <w:rPr>
                      <w:color w:val="auto"/>
                      <w:szCs w:val="21"/>
                    </w:rPr>
                  </w:pPr>
                  <w:r>
                    <w:rPr>
                      <w:color w:val="auto"/>
                      <w:szCs w:val="21"/>
                    </w:rPr>
                    <w:t>交由环卫部门统一收集处理</w:t>
                  </w:r>
                </w:p>
              </w:tc>
              <w:tc>
                <w:tcPr>
                  <w:tcW w:w="929" w:type="dxa"/>
                  <w:shd w:val="clear" w:color="auto" w:fill="auto"/>
                  <w:vAlign w:val="center"/>
                </w:tcPr>
                <w:p w14:paraId="4C5DCCCC">
                  <w:pPr>
                    <w:jc w:val="center"/>
                    <w:rPr>
                      <w:color w:val="auto"/>
                      <w:szCs w:val="21"/>
                    </w:rPr>
                  </w:pPr>
                  <w:r>
                    <w:rPr>
                      <w:rFonts w:hint="eastAsia"/>
                      <w:color w:val="auto"/>
                      <w:szCs w:val="21"/>
                      <w:lang w:val="en-US" w:eastAsia="zh-CN"/>
                    </w:rPr>
                    <w:t>1.5</w:t>
                  </w:r>
                  <w:r>
                    <w:rPr>
                      <w:color w:val="auto"/>
                      <w:szCs w:val="21"/>
                    </w:rPr>
                    <w:t>t/a</w:t>
                  </w:r>
                </w:p>
              </w:tc>
            </w:tr>
            <w:tr w14:paraId="7F8D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jc w:val="center"/>
              </w:trPr>
              <w:tc>
                <w:tcPr>
                  <w:tcW w:w="978" w:type="dxa"/>
                  <w:shd w:val="clear" w:color="auto" w:fill="auto"/>
                  <w:vAlign w:val="center"/>
                </w:tcPr>
                <w:p w14:paraId="4204658E">
                  <w:pPr>
                    <w:jc w:val="center"/>
                    <w:rPr>
                      <w:color w:val="auto"/>
                      <w:szCs w:val="21"/>
                    </w:rPr>
                  </w:pPr>
                  <w:r>
                    <w:rPr>
                      <w:rFonts w:hint="eastAsia"/>
                      <w:color w:val="auto"/>
                      <w:szCs w:val="21"/>
                    </w:rPr>
                    <w:t>废气处理</w:t>
                  </w:r>
                </w:p>
              </w:tc>
              <w:tc>
                <w:tcPr>
                  <w:tcW w:w="756" w:type="dxa"/>
                  <w:shd w:val="clear" w:color="auto" w:fill="auto"/>
                  <w:vAlign w:val="center"/>
                </w:tcPr>
                <w:p w14:paraId="78033C7A">
                  <w:pPr>
                    <w:jc w:val="center"/>
                    <w:rPr>
                      <w:color w:val="auto"/>
                      <w:szCs w:val="21"/>
                    </w:rPr>
                  </w:pPr>
                  <w:r>
                    <w:rPr>
                      <w:rFonts w:hint="eastAsia"/>
                      <w:color w:val="auto"/>
                      <w:szCs w:val="21"/>
                    </w:rPr>
                    <w:t>布袋除尘器</w:t>
                  </w:r>
                </w:p>
              </w:tc>
              <w:tc>
                <w:tcPr>
                  <w:tcW w:w="1402" w:type="dxa"/>
                  <w:shd w:val="clear" w:color="auto" w:fill="auto"/>
                  <w:vAlign w:val="center"/>
                </w:tcPr>
                <w:p w14:paraId="02C7D669">
                  <w:pPr>
                    <w:jc w:val="center"/>
                    <w:rPr>
                      <w:color w:val="auto"/>
                      <w:szCs w:val="21"/>
                    </w:rPr>
                  </w:pPr>
                  <w:r>
                    <w:rPr>
                      <w:rFonts w:hint="eastAsia"/>
                      <w:color w:val="auto"/>
                      <w:szCs w:val="21"/>
                    </w:rPr>
                    <w:t>布袋除尘器收尘</w:t>
                  </w:r>
                </w:p>
              </w:tc>
              <w:tc>
                <w:tcPr>
                  <w:tcW w:w="540" w:type="dxa"/>
                  <w:vMerge w:val="restart"/>
                  <w:shd w:val="clear" w:color="auto" w:fill="auto"/>
                  <w:vAlign w:val="center"/>
                </w:tcPr>
                <w:p w14:paraId="6C704BBC">
                  <w:pPr>
                    <w:jc w:val="center"/>
                    <w:rPr>
                      <w:color w:val="auto"/>
                      <w:szCs w:val="21"/>
                    </w:rPr>
                  </w:pPr>
                  <w:r>
                    <w:rPr>
                      <w:rFonts w:hint="eastAsia"/>
                      <w:color w:val="auto"/>
                      <w:szCs w:val="21"/>
                    </w:rPr>
                    <w:t>一般固废</w:t>
                  </w:r>
                </w:p>
              </w:tc>
              <w:tc>
                <w:tcPr>
                  <w:tcW w:w="1180" w:type="dxa"/>
                  <w:shd w:val="clear" w:color="auto" w:fill="auto"/>
                  <w:vAlign w:val="center"/>
                </w:tcPr>
                <w:p w14:paraId="01C2F62D">
                  <w:pPr>
                    <w:jc w:val="center"/>
                    <w:rPr>
                      <w:color w:val="auto"/>
                      <w:szCs w:val="21"/>
                    </w:rPr>
                  </w:pPr>
                  <w:r>
                    <w:rPr>
                      <w:color w:val="auto"/>
                      <w:szCs w:val="21"/>
                    </w:rPr>
                    <w:t>产污系数法</w:t>
                  </w:r>
                </w:p>
              </w:tc>
              <w:tc>
                <w:tcPr>
                  <w:tcW w:w="867" w:type="dxa"/>
                  <w:shd w:val="clear" w:color="auto" w:fill="auto"/>
                  <w:vAlign w:val="center"/>
                </w:tcPr>
                <w:p w14:paraId="3BB051D7">
                  <w:pPr>
                    <w:jc w:val="center"/>
                    <w:rPr>
                      <w:color w:val="auto"/>
                      <w:szCs w:val="21"/>
                    </w:rPr>
                  </w:pPr>
                  <w:r>
                    <w:rPr>
                      <w:rFonts w:hint="eastAsia"/>
                      <w:color w:val="auto"/>
                      <w:szCs w:val="21"/>
                      <w:lang w:val="en-US" w:eastAsia="zh-CN"/>
                    </w:rPr>
                    <w:t>9.5218</w:t>
                  </w:r>
                  <w:r>
                    <w:rPr>
                      <w:color w:val="auto"/>
                      <w:szCs w:val="21"/>
                    </w:rPr>
                    <w:t>t/a</w:t>
                  </w:r>
                </w:p>
              </w:tc>
              <w:tc>
                <w:tcPr>
                  <w:tcW w:w="2169" w:type="dxa"/>
                  <w:shd w:val="clear" w:color="auto" w:fill="auto"/>
                  <w:vAlign w:val="center"/>
                </w:tcPr>
                <w:p w14:paraId="428319CF">
                  <w:pPr>
                    <w:jc w:val="center"/>
                    <w:rPr>
                      <w:color w:val="auto"/>
                      <w:szCs w:val="21"/>
                    </w:rPr>
                  </w:pPr>
                  <w:r>
                    <w:rPr>
                      <w:rFonts w:hint="eastAsia"/>
                      <w:color w:val="auto"/>
                      <w:szCs w:val="21"/>
                    </w:rPr>
                    <w:t>回用于生产</w:t>
                  </w:r>
                </w:p>
              </w:tc>
              <w:tc>
                <w:tcPr>
                  <w:tcW w:w="929" w:type="dxa"/>
                  <w:shd w:val="clear" w:color="auto" w:fill="auto"/>
                  <w:vAlign w:val="center"/>
                </w:tcPr>
                <w:p w14:paraId="26FCD283">
                  <w:pPr>
                    <w:jc w:val="center"/>
                    <w:rPr>
                      <w:color w:val="auto"/>
                      <w:szCs w:val="21"/>
                    </w:rPr>
                  </w:pPr>
                  <w:r>
                    <w:rPr>
                      <w:rFonts w:hint="eastAsia"/>
                      <w:color w:val="auto"/>
                      <w:szCs w:val="21"/>
                      <w:lang w:val="en-US" w:eastAsia="zh-CN"/>
                    </w:rPr>
                    <w:t>9.5218</w:t>
                  </w:r>
                  <w:r>
                    <w:rPr>
                      <w:color w:val="auto"/>
                      <w:szCs w:val="21"/>
                    </w:rPr>
                    <w:t>t/a</w:t>
                  </w:r>
                </w:p>
              </w:tc>
            </w:tr>
            <w:tr w14:paraId="0158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 w:hRule="atLeast"/>
                <w:jc w:val="center"/>
              </w:trPr>
              <w:tc>
                <w:tcPr>
                  <w:tcW w:w="978" w:type="dxa"/>
                  <w:shd w:val="clear" w:color="auto" w:fill="auto"/>
                  <w:vAlign w:val="center"/>
                </w:tcPr>
                <w:p w14:paraId="59673F12">
                  <w:pPr>
                    <w:jc w:val="center"/>
                    <w:rPr>
                      <w:rFonts w:hint="default" w:cs="Times New Roman"/>
                      <w:color w:val="auto"/>
                      <w:lang w:val="en-US" w:eastAsia="zh-CN"/>
                    </w:rPr>
                  </w:pPr>
                  <w:r>
                    <w:rPr>
                      <w:rFonts w:hint="eastAsia" w:cs="Times New Roman"/>
                      <w:color w:val="auto"/>
                      <w:lang w:val="en-US" w:eastAsia="zh-CN"/>
                    </w:rPr>
                    <w:t>烘干</w:t>
                  </w:r>
                </w:p>
              </w:tc>
              <w:tc>
                <w:tcPr>
                  <w:tcW w:w="756" w:type="dxa"/>
                  <w:shd w:val="clear" w:color="auto" w:fill="auto"/>
                  <w:vAlign w:val="center"/>
                </w:tcPr>
                <w:p w14:paraId="58FCAAAC">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733EFC90">
                  <w:pPr>
                    <w:jc w:val="center"/>
                    <w:rPr>
                      <w:rFonts w:hint="default" w:cs="Times New Roman"/>
                      <w:color w:val="auto"/>
                      <w:lang w:val="en-US" w:eastAsia="zh-CN"/>
                    </w:rPr>
                  </w:pPr>
                  <w:r>
                    <w:rPr>
                      <w:rFonts w:hint="eastAsia" w:cs="Times New Roman"/>
                      <w:color w:val="auto"/>
                      <w:lang w:val="en-US" w:eastAsia="zh-CN"/>
                    </w:rPr>
                    <w:t>炉渣</w:t>
                  </w:r>
                </w:p>
              </w:tc>
              <w:tc>
                <w:tcPr>
                  <w:tcW w:w="540" w:type="dxa"/>
                  <w:vMerge w:val="continue"/>
                  <w:shd w:val="clear" w:color="auto" w:fill="auto"/>
                  <w:vAlign w:val="center"/>
                </w:tcPr>
                <w:p w14:paraId="22B05530">
                  <w:pPr>
                    <w:jc w:val="center"/>
                    <w:rPr>
                      <w:rFonts w:hint="eastAsia" w:cs="Times New Roman"/>
                      <w:color w:val="auto"/>
                      <w:lang w:val="en-US" w:eastAsia="zh-CN"/>
                    </w:rPr>
                  </w:pPr>
                </w:p>
              </w:tc>
              <w:tc>
                <w:tcPr>
                  <w:tcW w:w="1180" w:type="dxa"/>
                  <w:shd w:val="clear" w:color="auto" w:fill="auto"/>
                  <w:vAlign w:val="center"/>
                </w:tcPr>
                <w:p w14:paraId="6FC3154A">
                  <w:pPr>
                    <w:jc w:val="center"/>
                    <w:rPr>
                      <w:rFonts w:hint="eastAsia" w:cs="Times New Roman"/>
                      <w:color w:val="auto"/>
                      <w:lang w:val="en-US" w:eastAsia="zh-CN"/>
                    </w:rPr>
                  </w:pPr>
                  <w:r>
                    <w:rPr>
                      <w:color w:val="auto"/>
                      <w:szCs w:val="21"/>
                    </w:rPr>
                    <w:t>类比法</w:t>
                  </w:r>
                </w:p>
              </w:tc>
              <w:tc>
                <w:tcPr>
                  <w:tcW w:w="867" w:type="dxa"/>
                  <w:shd w:val="clear" w:color="auto" w:fill="auto"/>
                  <w:vAlign w:val="center"/>
                </w:tcPr>
                <w:p w14:paraId="2BFFC66F">
                  <w:pPr>
                    <w:jc w:val="center"/>
                    <w:rPr>
                      <w:rFonts w:hint="default" w:cs="Times New Roman"/>
                      <w:color w:val="auto"/>
                      <w:lang w:val="en-US" w:eastAsia="zh-CN"/>
                    </w:rPr>
                  </w:pPr>
                  <w:r>
                    <w:rPr>
                      <w:rFonts w:hint="eastAsia" w:cs="Times New Roman"/>
                      <w:color w:val="auto"/>
                      <w:lang w:val="en-US" w:eastAsia="zh-CN"/>
                    </w:rPr>
                    <w:t>37.1</w:t>
                  </w:r>
                  <w:r>
                    <w:rPr>
                      <w:color w:val="auto"/>
                      <w:szCs w:val="21"/>
                    </w:rPr>
                    <w:t>t/a</w:t>
                  </w:r>
                </w:p>
              </w:tc>
              <w:tc>
                <w:tcPr>
                  <w:tcW w:w="2169" w:type="dxa"/>
                  <w:shd w:val="clear" w:color="auto" w:fill="auto"/>
                  <w:vAlign w:val="center"/>
                </w:tcPr>
                <w:p w14:paraId="72C2298A">
                  <w:pPr>
                    <w:jc w:val="center"/>
                    <w:rPr>
                      <w:rFonts w:hint="eastAsia" w:cs="Times New Roman"/>
                      <w:color w:val="auto"/>
                      <w:lang w:val="en-US" w:eastAsia="zh-CN"/>
                    </w:rPr>
                  </w:pPr>
                  <w:r>
                    <w:rPr>
                      <w:rFonts w:hint="eastAsia" w:cs="Times New Roman"/>
                      <w:color w:val="auto"/>
                      <w:lang w:val="en-US" w:eastAsia="zh-CN"/>
                    </w:rPr>
                    <w:t>作为农肥处理</w:t>
                  </w:r>
                </w:p>
              </w:tc>
              <w:tc>
                <w:tcPr>
                  <w:tcW w:w="929" w:type="dxa"/>
                  <w:shd w:val="clear" w:color="auto" w:fill="auto"/>
                  <w:vAlign w:val="center"/>
                </w:tcPr>
                <w:p w14:paraId="387BD2CE">
                  <w:pPr>
                    <w:jc w:val="center"/>
                    <w:rPr>
                      <w:rFonts w:hint="eastAsia" w:cs="Times New Roman"/>
                      <w:color w:val="auto"/>
                      <w:lang w:val="en-US" w:eastAsia="zh-CN"/>
                    </w:rPr>
                  </w:pPr>
                  <w:r>
                    <w:rPr>
                      <w:rFonts w:hint="eastAsia" w:cs="Times New Roman"/>
                      <w:color w:val="auto"/>
                      <w:lang w:val="en-US" w:eastAsia="zh-CN"/>
                    </w:rPr>
                    <w:t>37.1</w:t>
                  </w:r>
                  <w:r>
                    <w:rPr>
                      <w:color w:val="auto"/>
                      <w:szCs w:val="21"/>
                    </w:rPr>
                    <w:t>t/a</w:t>
                  </w:r>
                </w:p>
              </w:tc>
            </w:tr>
            <w:tr w14:paraId="2B15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 w:hRule="atLeast"/>
                <w:jc w:val="center"/>
              </w:trPr>
              <w:tc>
                <w:tcPr>
                  <w:tcW w:w="978" w:type="dxa"/>
                  <w:shd w:val="clear" w:color="auto" w:fill="auto"/>
                  <w:vAlign w:val="center"/>
                </w:tcPr>
                <w:p w14:paraId="76ECFCF1">
                  <w:pPr>
                    <w:jc w:val="center"/>
                    <w:rPr>
                      <w:rFonts w:hint="default" w:cs="Times New Roman"/>
                      <w:color w:val="auto"/>
                      <w:lang w:val="en-US" w:eastAsia="zh-CN"/>
                    </w:rPr>
                  </w:pPr>
                  <w:r>
                    <w:rPr>
                      <w:rFonts w:hint="eastAsia" w:cs="Times New Roman"/>
                      <w:color w:val="auto"/>
                      <w:lang w:val="en-US" w:eastAsia="zh-CN"/>
                    </w:rPr>
                    <w:t>机加工</w:t>
                  </w:r>
                </w:p>
              </w:tc>
              <w:tc>
                <w:tcPr>
                  <w:tcW w:w="756" w:type="dxa"/>
                  <w:shd w:val="clear" w:color="auto" w:fill="auto"/>
                  <w:vAlign w:val="center"/>
                </w:tcPr>
                <w:p w14:paraId="51FD07CE">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024A9EE7">
                  <w:pPr>
                    <w:jc w:val="center"/>
                    <w:rPr>
                      <w:rFonts w:hint="default" w:cs="Times New Roman"/>
                      <w:color w:val="auto"/>
                      <w:lang w:val="en-US" w:eastAsia="zh-CN"/>
                    </w:rPr>
                  </w:pPr>
                  <w:r>
                    <w:rPr>
                      <w:rFonts w:hint="eastAsia" w:cs="Times New Roman"/>
                      <w:color w:val="auto"/>
                      <w:lang w:val="en-US" w:eastAsia="zh-CN"/>
                    </w:rPr>
                    <w:t>边角料</w:t>
                  </w:r>
                </w:p>
              </w:tc>
              <w:tc>
                <w:tcPr>
                  <w:tcW w:w="540" w:type="dxa"/>
                  <w:vMerge w:val="continue"/>
                  <w:shd w:val="clear" w:color="auto" w:fill="auto"/>
                  <w:vAlign w:val="center"/>
                </w:tcPr>
                <w:p w14:paraId="058165F0">
                  <w:pPr>
                    <w:jc w:val="center"/>
                    <w:rPr>
                      <w:rFonts w:hint="eastAsia" w:cs="Times New Roman"/>
                      <w:color w:val="auto"/>
                      <w:lang w:val="en-US" w:eastAsia="zh-CN"/>
                    </w:rPr>
                  </w:pPr>
                </w:p>
              </w:tc>
              <w:tc>
                <w:tcPr>
                  <w:tcW w:w="1180" w:type="dxa"/>
                  <w:shd w:val="clear" w:color="auto" w:fill="auto"/>
                  <w:vAlign w:val="center"/>
                </w:tcPr>
                <w:p w14:paraId="0E95B31B">
                  <w:pPr>
                    <w:jc w:val="center"/>
                    <w:rPr>
                      <w:rFonts w:hint="eastAsia" w:cs="Times New Roman"/>
                      <w:color w:val="auto"/>
                      <w:lang w:val="en-US" w:eastAsia="zh-CN"/>
                    </w:rPr>
                  </w:pPr>
                  <w:r>
                    <w:rPr>
                      <w:color w:val="auto"/>
                      <w:szCs w:val="21"/>
                    </w:rPr>
                    <w:t>类比法</w:t>
                  </w:r>
                </w:p>
              </w:tc>
              <w:tc>
                <w:tcPr>
                  <w:tcW w:w="867" w:type="dxa"/>
                  <w:shd w:val="clear" w:color="auto" w:fill="auto"/>
                  <w:vAlign w:val="center"/>
                </w:tcPr>
                <w:p w14:paraId="02CED9C6">
                  <w:pPr>
                    <w:jc w:val="center"/>
                    <w:rPr>
                      <w:rFonts w:hint="default" w:cs="Times New Roman"/>
                      <w:color w:val="auto"/>
                      <w:lang w:val="en-US" w:eastAsia="zh-CN"/>
                    </w:rPr>
                  </w:pPr>
                  <w:r>
                    <w:rPr>
                      <w:rFonts w:hint="eastAsia" w:cs="Times New Roman"/>
                      <w:color w:val="auto"/>
                      <w:lang w:val="en-US" w:eastAsia="zh-CN"/>
                    </w:rPr>
                    <w:t>50</w:t>
                  </w:r>
                  <w:r>
                    <w:rPr>
                      <w:color w:val="auto"/>
                      <w:szCs w:val="21"/>
                    </w:rPr>
                    <w:t>t/a</w:t>
                  </w:r>
                </w:p>
              </w:tc>
              <w:tc>
                <w:tcPr>
                  <w:tcW w:w="2169" w:type="dxa"/>
                  <w:shd w:val="clear" w:color="auto" w:fill="auto"/>
                  <w:vAlign w:val="center"/>
                </w:tcPr>
                <w:p w14:paraId="34656691">
                  <w:pPr>
                    <w:jc w:val="center"/>
                    <w:rPr>
                      <w:rFonts w:hint="eastAsia" w:cs="Times New Roman"/>
                      <w:color w:val="auto"/>
                      <w:lang w:val="en-US" w:eastAsia="zh-CN"/>
                    </w:rPr>
                  </w:pPr>
                  <w:r>
                    <w:rPr>
                      <w:rFonts w:hint="eastAsia"/>
                      <w:color w:val="auto"/>
                      <w:szCs w:val="21"/>
                    </w:rPr>
                    <w:t>回用于生产</w:t>
                  </w:r>
                </w:p>
              </w:tc>
              <w:tc>
                <w:tcPr>
                  <w:tcW w:w="929" w:type="dxa"/>
                  <w:shd w:val="clear" w:color="auto" w:fill="auto"/>
                  <w:vAlign w:val="center"/>
                </w:tcPr>
                <w:p w14:paraId="2C3E9A62">
                  <w:pPr>
                    <w:jc w:val="center"/>
                    <w:rPr>
                      <w:rFonts w:hint="eastAsia" w:cs="Times New Roman"/>
                      <w:color w:val="auto"/>
                      <w:lang w:val="en-US" w:eastAsia="zh-CN"/>
                    </w:rPr>
                  </w:pPr>
                  <w:r>
                    <w:rPr>
                      <w:rFonts w:hint="eastAsia" w:cs="Times New Roman"/>
                      <w:color w:val="auto"/>
                      <w:lang w:val="en-US" w:eastAsia="zh-CN"/>
                    </w:rPr>
                    <w:t>50</w:t>
                  </w:r>
                  <w:r>
                    <w:rPr>
                      <w:color w:val="auto"/>
                      <w:szCs w:val="21"/>
                    </w:rPr>
                    <w:t>t/a</w:t>
                  </w:r>
                </w:p>
              </w:tc>
            </w:tr>
            <w:tr w14:paraId="5A08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 w:hRule="atLeast"/>
                <w:jc w:val="center"/>
              </w:trPr>
              <w:tc>
                <w:tcPr>
                  <w:tcW w:w="978" w:type="dxa"/>
                  <w:shd w:val="clear" w:color="auto" w:fill="auto"/>
                  <w:vAlign w:val="center"/>
                </w:tcPr>
                <w:p w14:paraId="3584122B">
                  <w:pPr>
                    <w:jc w:val="center"/>
                    <w:rPr>
                      <w:rFonts w:hint="default" w:cs="Times New Roman"/>
                      <w:color w:val="auto"/>
                      <w:lang w:val="en-US" w:eastAsia="zh-CN"/>
                    </w:rPr>
                  </w:pPr>
                  <w:r>
                    <w:rPr>
                      <w:rFonts w:hint="eastAsia" w:cs="Times New Roman"/>
                      <w:color w:val="auto"/>
                      <w:lang w:val="en-US" w:eastAsia="zh-CN"/>
                    </w:rPr>
                    <w:t>烘干</w:t>
                  </w:r>
                </w:p>
              </w:tc>
              <w:tc>
                <w:tcPr>
                  <w:tcW w:w="756" w:type="dxa"/>
                  <w:shd w:val="clear" w:color="auto" w:fill="auto"/>
                  <w:vAlign w:val="center"/>
                </w:tcPr>
                <w:p w14:paraId="7CABED4E">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21E0FE0B">
                  <w:pPr>
                    <w:jc w:val="center"/>
                    <w:rPr>
                      <w:rFonts w:hint="default" w:cs="Times New Roman"/>
                      <w:color w:val="auto"/>
                      <w:lang w:val="en-US" w:eastAsia="zh-CN"/>
                    </w:rPr>
                  </w:pPr>
                  <w:r>
                    <w:rPr>
                      <w:rFonts w:hint="eastAsia" w:cs="Times New Roman"/>
                      <w:color w:val="auto"/>
                      <w:lang w:val="en-US" w:eastAsia="zh-CN"/>
                    </w:rPr>
                    <w:t>废树脂</w:t>
                  </w:r>
                </w:p>
              </w:tc>
              <w:tc>
                <w:tcPr>
                  <w:tcW w:w="540" w:type="dxa"/>
                  <w:vMerge w:val="continue"/>
                  <w:shd w:val="clear" w:color="auto" w:fill="auto"/>
                  <w:vAlign w:val="center"/>
                </w:tcPr>
                <w:p w14:paraId="448BE2E4">
                  <w:pPr>
                    <w:jc w:val="center"/>
                    <w:rPr>
                      <w:rFonts w:hint="eastAsia" w:cs="Times New Roman"/>
                      <w:color w:val="auto"/>
                      <w:lang w:val="en-US" w:eastAsia="zh-CN"/>
                    </w:rPr>
                  </w:pPr>
                </w:p>
              </w:tc>
              <w:tc>
                <w:tcPr>
                  <w:tcW w:w="1180" w:type="dxa"/>
                  <w:shd w:val="clear" w:color="auto" w:fill="auto"/>
                  <w:vAlign w:val="center"/>
                </w:tcPr>
                <w:p w14:paraId="28E0347C">
                  <w:pPr>
                    <w:jc w:val="center"/>
                    <w:rPr>
                      <w:rFonts w:hint="eastAsia" w:ascii="Times New Roman" w:hAnsi="Times New Roman" w:eastAsia="宋体" w:cs="Times New Roman"/>
                      <w:color w:val="auto"/>
                      <w:kern w:val="2"/>
                      <w:sz w:val="21"/>
                      <w:szCs w:val="24"/>
                      <w:lang w:val="en-US" w:eastAsia="zh-CN" w:bidi="ar-SA"/>
                    </w:rPr>
                  </w:pPr>
                  <w:r>
                    <w:rPr>
                      <w:color w:val="auto"/>
                      <w:szCs w:val="21"/>
                    </w:rPr>
                    <w:t>类比法</w:t>
                  </w:r>
                </w:p>
              </w:tc>
              <w:tc>
                <w:tcPr>
                  <w:tcW w:w="867" w:type="dxa"/>
                  <w:shd w:val="clear" w:color="auto" w:fill="auto"/>
                  <w:vAlign w:val="center"/>
                </w:tcPr>
                <w:p w14:paraId="31023B4C">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0.65</w:t>
                  </w:r>
                  <w:r>
                    <w:rPr>
                      <w:color w:val="auto"/>
                      <w:szCs w:val="21"/>
                    </w:rPr>
                    <w:t>t/a</w:t>
                  </w:r>
                </w:p>
              </w:tc>
              <w:tc>
                <w:tcPr>
                  <w:tcW w:w="2169" w:type="dxa"/>
                  <w:shd w:val="clear" w:color="auto" w:fill="auto"/>
                  <w:vAlign w:val="center"/>
                </w:tcPr>
                <w:p w14:paraId="4AF7A4D6">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rPr>
                    <w:t>外售给资源回收公司</w:t>
                  </w:r>
                </w:p>
              </w:tc>
              <w:tc>
                <w:tcPr>
                  <w:tcW w:w="929" w:type="dxa"/>
                  <w:shd w:val="clear" w:color="auto" w:fill="auto"/>
                  <w:vAlign w:val="center"/>
                </w:tcPr>
                <w:p w14:paraId="1D34E6D2">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0.65</w:t>
                  </w:r>
                  <w:r>
                    <w:rPr>
                      <w:color w:val="auto"/>
                      <w:szCs w:val="21"/>
                    </w:rPr>
                    <w:t>t/a</w:t>
                  </w:r>
                </w:p>
              </w:tc>
            </w:tr>
            <w:tr w14:paraId="1E6C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restart"/>
                  <w:shd w:val="clear" w:color="auto" w:fill="auto"/>
                  <w:vAlign w:val="center"/>
                </w:tcPr>
                <w:p w14:paraId="4CAC7476">
                  <w:pPr>
                    <w:jc w:val="center"/>
                    <w:rPr>
                      <w:color w:val="auto"/>
                      <w:szCs w:val="21"/>
                    </w:rPr>
                  </w:pPr>
                  <w:r>
                    <w:rPr>
                      <w:rFonts w:hint="eastAsia"/>
                      <w:color w:val="auto"/>
                      <w:szCs w:val="21"/>
                    </w:rPr>
                    <w:t>设备维护</w:t>
                  </w:r>
                </w:p>
              </w:tc>
              <w:tc>
                <w:tcPr>
                  <w:tcW w:w="756" w:type="dxa"/>
                  <w:shd w:val="clear" w:color="auto" w:fill="auto"/>
                  <w:vAlign w:val="center"/>
                </w:tcPr>
                <w:p w14:paraId="16527EAA">
                  <w:pPr>
                    <w:jc w:val="center"/>
                    <w:rPr>
                      <w:color w:val="auto"/>
                      <w:szCs w:val="21"/>
                    </w:rPr>
                  </w:pPr>
                  <w:r>
                    <w:rPr>
                      <w:rFonts w:hint="eastAsia"/>
                      <w:color w:val="auto"/>
                      <w:szCs w:val="21"/>
                    </w:rPr>
                    <w:t>/</w:t>
                  </w:r>
                </w:p>
              </w:tc>
              <w:tc>
                <w:tcPr>
                  <w:tcW w:w="1402" w:type="dxa"/>
                  <w:shd w:val="clear" w:color="auto" w:fill="auto"/>
                  <w:vAlign w:val="center"/>
                </w:tcPr>
                <w:p w14:paraId="000B4EC3">
                  <w:pPr>
                    <w:pStyle w:val="83"/>
                    <w:ind w:left="0" w:firstLine="0"/>
                    <w:rPr>
                      <w:rFonts w:ascii="Times New Roman" w:hAnsi="Times New Roman" w:cs="Times New Roman"/>
                      <w:color w:val="auto"/>
                      <w:lang w:val="en-US" w:bidi="ar-SA"/>
                    </w:rPr>
                  </w:pPr>
                  <w:r>
                    <w:rPr>
                      <w:rFonts w:hint="eastAsia" w:cs="Times New Roman"/>
                      <w:color w:val="auto"/>
                      <w:lang w:val="en-US"/>
                    </w:rPr>
                    <w:t>废润滑油</w:t>
                  </w:r>
                </w:p>
              </w:tc>
              <w:tc>
                <w:tcPr>
                  <w:tcW w:w="540" w:type="dxa"/>
                  <w:vMerge w:val="restart"/>
                  <w:shd w:val="clear" w:color="auto" w:fill="auto"/>
                  <w:vAlign w:val="center"/>
                </w:tcPr>
                <w:p w14:paraId="266AC195">
                  <w:pPr>
                    <w:jc w:val="center"/>
                    <w:rPr>
                      <w:rFonts w:hint="default" w:eastAsia="宋体"/>
                      <w:color w:val="auto"/>
                      <w:szCs w:val="21"/>
                      <w:lang w:val="en-US" w:eastAsia="zh-CN"/>
                    </w:rPr>
                  </w:pPr>
                  <w:r>
                    <w:rPr>
                      <w:rFonts w:hint="eastAsia"/>
                      <w:color w:val="auto"/>
                      <w:szCs w:val="21"/>
                      <w:lang w:val="en-US" w:eastAsia="zh-CN"/>
                    </w:rPr>
                    <w:t>危险废物</w:t>
                  </w:r>
                </w:p>
              </w:tc>
              <w:tc>
                <w:tcPr>
                  <w:tcW w:w="1180" w:type="dxa"/>
                  <w:shd w:val="clear" w:color="auto" w:fill="auto"/>
                  <w:vAlign w:val="center"/>
                </w:tcPr>
                <w:p w14:paraId="6EB4FE6C">
                  <w:pPr>
                    <w:jc w:val="center"/>
                    <w:rPr>
                      <w:color w:val="auto"/>
                      <w:szCs w:val="21"/>
                    </w:rPr>
                  </w:pPr>
                  <w:r>
                    <w:rPr>
                      <w:color w:val="auto"/>
                      <w:szCs w:val="21"/>
                    </w:rPr>
                    <w:t>类比法</w:t>
                  </w:r>
                </w:p>
              </w:tc>
              <w:tc>
                <w:tcPr>
                  <w:tcW w:w="867" w:type="dxa"/>
                  <w:shd w:val="clear" w:color="auto" w:fill="auto"/>
                  <w:vAlign w:val="center"/>
                </w:tcPr>
                <w:p w14:paraId="6FE512D2">
                  <w:pPr>
                    <w:jc w:val="center"/>
                    <w:rPr>
                      <w:color w:val="auto"/>
                      <w:szCs w:val="21"/>
                    </w:rPr>
                  </w:pPr>
                  <w:r>
                    <w:rPr>
                      <w:rFonts w:hint="eastAsia"/>
                      <w:color w:val="auto"/>
                      <w:szCs w:val="21"/>
                    </w:rPr>
                    <w:t>20kg</w:t>
                  </w:r>
                  <w:r>
                    <w:rPr>
                      <w:color w:val="auto"/>
                      <w:szCs w:val="21"/>
                    </w:rPr>
                    <w:t>/a</w:t>
                  </w:r>
                </w:p>
              </w:tc>
              <w:tc>
                <w:tcPr>
                  <w:tcW w:w="2169" w:type="dxa"/>
                  <w:shd w:val="clear" w:color="auto" w:fill="auto"/>
                  <w:vAlign w:val="center"/>
                </w:tcPr>
                <w:p w14:paraId="770A6D98">
                  <w:pPr>
                    <w:jc w:val="center"/>
                    <w:rPr>
                      <w:color w:val="auto"/>
                      <w:szCs w:val="21"/>
                    </w:rPr>
                  </w:pPr>
                  <w:r>
                    <w:rPr>
                      <w:color w:val="auto"/>
                      <w:szCs w:val="21"/>
                    </w:rPr>
                    <w:t>交由有资质单位处理</w:t>
                  </w:r>
                </w:p>
              </w:tc>
              <w:tc>
                <w:tcPr>
                  <w:tcW w:w="929" w:type="dxa"/>
                  <w:shd w:val="clear" w:color="auto" w:fill="auto"/>
                  <w:vAlign w:val="center"/>
                </w:tcPr>
                <w:p w14:paraId="574BB0A6">
                  <w:pPr>
                    <w:jc w:val="center"/>
                    <w:rPr>
                      <w:color w:val="auto"/>
                      <w:szCs w:val="21"/>
                    </w:rPr>
                  </w:pPr>
                  <w:r>
                    <w:rPr>
                      <w:rFonts w:hint="eastAsia"/>
                      <w:color w:val="auto"/>
                      <w:szCs w:val="21"/>
                    </w:rPr>
                    <w:t>20kg</w:t>
                  </w:r>
                  <w:r>
                    <w:rPr>
                      <w:color w:val="auto"/>
                      <w:szCs w:val="21"/>
                    </w:rPr>
                    <w:t>/a</w:t>
                  </w:r>
                </w:p>
              </w:tc>
            </w:tr>
            <w:tr w14:paraId="5ABF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continue"/>
                  <w:shd w:val="clear" w:color="auto" w:fill="auto"/>
                  <w:vAlign w:val="center"/>
                </w:tcPr>
                <w:p w14:paraId="1BFC091A">
                  <w:pPr>
                    <w:jc w:val="center"/>
                    <w:rPr>
                      <w:color w:val="auto"/>
                      <w:szCs w:val="21"/>
                    </w:rPr>
                  </w:pPr>
                </w:p>
              </w:tc>
              <w:tc>
                <w:tcPr>
                  <w:tcW w:w="756" w:type="dxa"/>
                  <w:shd w:val="clear" w:color="auto" w:fill="auto"/>
                  <w:vAlign w:val="center"/>
                </w:tcPr>
                <w:p w14:paraId="73C4E2AD">
                  <w:pPr>
                    <w:jc w:val="center"/>
                    <w:rPr>
                      <w:color w:val="auto"/>
                      <w:szCs w:val="21"/>
                    </w:rPr>
                  </w:pPr>
                  <w:r>
                    <w:rPr>
                      <w:rFonts w:hint="eastAsia"/>
                      <w:color w:val="auto"/>
                      <w:szCs w:val="21"/>
                    </w:rPr>
                    <w:t>/</w:t>
                  </w:r>
                </w:p>
              </w:tc>
              <w:tc>
                <w:tcPr>
                  <w:tcW w:w="1402" w:type="dxa"/>
                  <w:shd w:val="clear" w:color="auto" w:fill="auto"/>
                  <w:vAlign w:val="center"/>
                </w:tcPr>
                <w:p w14:paraId="629C5A7B">
                  <w:pPr>
                    <w:pStyle w:val="83"/>
                    <w:ind w:left="0" w:firstLine="0"/>
                    <w:rPr>
                      <w:rFonts w:ascii="Times New Roman" w:hAnsi="Times New Roman" w:cs="Times New Roman"/>
                      <w:color w:val="auto"/>
                      <w:lang w:val="en-US" w:bidi="ar-SA"/>
                    </w:rPr>
                  </w:pPr>
                  <w:r>
                    <w:rPr>
                      <w:rFonts w:hint="eastAsia" w:cs="Times New Roman"/>
                      <w:color w:val="auto"/>
                      <w:lang w:val="en-US"/>
                    </w:rPr>
                    <w:t>废润滑油桶</w:t>
                  </w:r>
                </w:p>
              </w:tc>
              <w:tc>
                <w:tcPr>
                  <w:tcW w:w="540" w:type="dxa"/>
                  <w:vMerge w:val="continue"/>
                  <w:shd w:val="clear" w:color="auto" w:fill="auto"/>
                  <w:vAlign w:val="center"/>
                </w:tcPr>
                <w:p w14:paraId="7B79CAD5">
                  <w:pPr>
                    <w:jc w:val="center"/>
                    <w:rPr>
                      <w:color w:val="auto"/>
                      <w:szCs w:val="21"/>
                    </w:rPr>
                  </w:pPr>
                </w:p>
              </w:tc>
              <w:tc>
                <w:tcPr>
                  <w:tcW w:w="1180" w:type="dxa"/>
                  <w:shd w:val="clear" w:color="auto" w:fill="auto"/>
                  <w:vAlign w:val="center"/>
                </w:tcPr>
                <w:p w14:paraId="38577CA5">
                  <w:pPr>
                    <w:jc w:val="center"/>
                    <w:rPr>
                      <w:color w:val="auto"/>
                      <w:szCs w:val="21"/>
                    </w:rPr>
                  </w:pPr>
                  <w:r>
                    <w:rPr>
                      <w:color w:val="auto"/>
                      <w:szCs w:val="21"/>
                    </w:rPr>
                    <w:t>类比法</w:t>
                  </w:r>
                </w:p>
              </w:tc>
              <w:tc>
                <w:tcPr>
                  <w:tcW w:w="867" w:type="dxa"/>
                  <w:shd w:val="clear" w:color="auto" w:fill="auto"/>
                  <w:vAlign w:val="center"/>
                </w:tcPr>
                <w:p w14:paraId="13295722">
                  <w:pPr>
                    <w:jc w:val="center"/>
                    <w:rPr>
                      <w:color w:val="auto"/>
                      <w:szCs w:val="21"/>
                    </w:rPr>
                  </w:pPr>
                  <w:r>
                    <w:rPr>
                      <w:rFonts w:hint="eastAsia"/>
                      <w:color w:val="auto"/>
                      <w:szCs w:val="21"/>
                    </w:rPr>
                    <w:t>25.6kg</w:t>
                  </w:r>
                  <w:r>
                    <w:rPr>
                      <w:color w:val="auto"/>
                      <w:szCs w:val="21"/>
                    </w:rPr>
                    <w:t>/a</w:t>
                  </w:r>
                </w:p>
              </w:tc>
              <w:tc>
                <w:tcPr>
                  <w:tcW w:w="2169" w:type="dxa"/>
                  <w:shd w:val="clear" w:color="auto" w:fill="auto"/>
                  <w:vAlign w:val="center"/>
                </w:tcPr>
                <w:p w14:paraId="4916F5BD">
                  <w:pPr>
                    <w:jc w:val="center"/>
                    <w:rPr>
                      <w:color w:val="auto"/>
                      <w:szCs w:val="21"/>
                    </w:rPr>
                  </w:pPr>
                  <w:r>
                    <w:rPr>
                      <w:color w:val="auto"/>
                      <w:szCs w:val="21"/>
                    </w:rPr>
                    <w:t>交由有资质单位处理</w:t>
                  </w:r>
                </w:p>
              </w:tc>
              <w:tc>
                <w:tcPr>
                  <w:tcW w:w="929" w:type="dxa"/>
                  <w:shd w:val="clear" w:color="auto" w:fill="auto"/>
                  <w:vAlign w:val="center"/>
                </w:tcPr>
                <w:p w14:paraId="0AFBD19B">
                  <w:pPr>
                    <w:jc w:val="center"/>
                    <w:rPr>
                      <w:color w:val="auto"/>
                      <w:szCs w:val="21"/>
                    </w:rPr>
                  </w:pPr>
                  <w:r>
                    <w:rPr>
                      <w:rFonts w:hint="eastAsia"/>
                      <w:color w:val="auto"/>
                      <w:szCs w:val="21"/>
                    </w:rPr>
                    <w:t>25.6kg</w:t>
                  </w:r>
                  <w:r>
                    <w:rPr>
                      <w:color w:val="auto"/>
                      <w:szCs w:val="21"/>
                    </w:rPr>
                    <w:t>/a</w:t>
                  </w:r>
                </w:p>
              </w:tc>
            </w:tr>
          </w:tbl>
          <w:p w14:paraId="5CA1DB1D">
            <w:pPr>
              <w:adjustRightInd w:val="0"/>
              <w:snapToGrid w:val="0"/>
              <w:rPr>
                <w:color w:val="auto"/>
                <w:kern w:val="0"/>
                <w:szCs w:val="21"/>
              </w:rPr>
            </w:pPr>
          </w:p>
        </w:tc>
      </w:tr>
      <w:tr w14:paraId="624A6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vAlign w:val="center"/>
          </w:tcPr>
          <w:p w14:paraId="71FC9728">
            <w:pPr>
              <w:adjustRightInd w:val="0"/>
              <w:snapToGrid w:val="0"/>
              <w:jc w:val="center"/>
              <w:rPr>
                <w:color w:val="auto"/>
                <w:szCs w:val="21"/>
              </w:rPr>
            </w:pPr>
            <w:r>
              <w:rPr>
                <w:color w:val="auto"/>
                <w:szCs w:val="21"/>
              </w:rPr>
              <w:t>土壤及地下水污染防治措施</w:t>
            </w:r>
          </w:p>
        </w:tc>
        <w:tc>
          <w:tcPr>
            <w:tcW w:w="4456" w:type="pct"/>
            <w:gridSpan w:val="4"/>
            <w:vAlign w:val="center"/>
          </w:tcPr>
          <w:p w14:paraId="6C23506B">
            <w:pPr>
              <w:adjustRightInd w:val="0"/>
              <w:snapToGrid w:val="0"/>
              <w:jc w:val="center"/>
              <w:rPr>
                <w:color w:val="auto"/>
                <w:kern w:val="0"/>
                <w:szCs w:val="21"/>
              </w:rPr>
            </w:pPr>
            <w:r>
              <w:rPr>
                <w:rFonts w:hint="eastAsia"/>
                <w:color w:val="auto"/>
                <w:szCs w:val="21"/>
              </w:rPr>
              <w:t>危废间</w:t>
            </w:r>
            <w:r>
              <w:rPr>
                <w:color w:val="auto"/>
                <w:szCs w:val="21"/>
              </w:rPr>
              <w:t>基础防渗，防渗层为至少lm厚粘土层(渗透系数≤10</w:t>
            </w:r>
            <w:r>
              <w:rPr>
                <w:color w:val="auto"/>
                <w:szCs w:val="21"/>
                <w:vertAlign w:val="superscript"/>
              </w:rPr>
              <w:t>-7</w:t>
            </w:r>
            <w:r>
              <w:rPr>
                <w:color w:val="auto"/>
                <w:szCs w:val="21"/>
              </w:rPr>
              <w:t>cm/s)，或2mm厚高密度聚乙烯，或至少2mm厚的其它人工材料，渗透系数≤10</w:t>
            </w:r>
            <w:r>
              <w:rPr>
                <w:color w:val="auto"/>
                <w:szCs w:val="21"/>
                <w:vertAlign w:val="superscript"/>
              </w:rPr>
              <w:t>-10</w:t>
            </w:r>
            <w:r>
              <w:rPr>
                <w:color w:val="auto"/>
                <w:szCs w:val="21"/>
              </w:rPr>
              <w:t>cm/s；其他区域均进行水泥地面硬底化</w:t>
            </w:r>
          </w:p>
        </w:tc>
      </w:tr>
      <w:tr w14:paraId="31B62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vAlign w:val="center"/>
          </w:tcPr>
          <w:p w14:paraId="0DAA6977">
            <w:pPr>
              <w:adjustRightInd w:val="0"/>
              <w:snapToGrid w:val="0"/>
              <w:jc w:val="center"/>
              <w:rPr>
                <w:color w:val="auto"/>
                <w:szCs w:val="21"/>
              </w:rPr>
            </w:pPr>
            <w:r>
              <w:rPr>
                <w:color w:val="auto"/>
                <w:szCs w:val="21"/>
              </w:rPr>
              <w:t>生态保护措施</w:t>
            </w:r>
          </w:p>
        </w:tc>
        <w:tc>
          <w:tcPr>
            <w:tcW w:w="4456" w:type="pct"/>
            <w:gridSpan w:val="4"/>
            <w:vAlign w:val="center"/>
          </w:tcPr>
          <w:p w14:paraId="1623EEB0">
            <w:pPr>
              <w:adjustRightInd w:val="0"/>
              <w:snapToGrid w:val="0"/>
              <w:jc w:val="center"/>
              <w:rPr>
                <w:color w:val="auto"/>
                <w:kern w:val="0"/>
                <w:szCs w:val="21"/>
              </w:rPr>
            </w:pPr>
            <w:r>
              <w:rPr>
                <w:color w:val="auto"/>
                <w:szCs w:val="21"/>
              </w:rPr>
              <w:t>无</w:t>
            </w:r>
          </w:p>
        </w:tc>
      </w:tr>
      <w:tr w14:paraId="58E2E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vAlign w:val="center"/>
          </w:tcPr>
          <w:p w14:paraId="6736F956">
            <w:pPr>
              <w:adjustRightInd w:val="0"/>
              <w:snapToGrid w:val="0"/>
              <w:jc w:val="center"/>
              <w:rPr>
                <w:color w:val="auto"/>
                <w:spacing w:val="-8"/>
                <w:szCs w:val="21"/>
              </w:rPr>
            </w:pPr>
            <w:r>
              <w:rPr>
                <w:color w:val="auto"/>
                <w:spacing w:val="-8"/>
                <w:szCs w:val="21"/>
              </w:rPr>
              <w:t>环境风险防范措施</w:t>
            </w:r>
          </w:p>
        </w:tc>
        <w:tc>
          <w:tcPr>
            <w:tcW w:w="4456" w:type="pct"/>
            <w:gridSpan w:val="4"/>
            <w:vAlign w:val="center"/>
          </w:tcPr>
          <w:p w14:paraId="0CC8372C">
            <w:pPr>
              <w:widowControl/>
              <w:adjustRightInd w:val="0"/>
              <w:snapToGrid w:val="0"/>
              <w:jc w:val="left"/>
              <w:rPr>
                <w:color w:val="auto"/>
                <w:kern w:val="0"/>
                <w:szCs w:val="21"/>
              </w:rPr>
            </w:pPr>
            <w:r>
              <w:rPr>
                <w:color w:val="auto"/>
                <w:szCs w:val="21"/>
              </w:rPr>
              <w:t>（1）危险废物贮存间的设置须满足《危险废物贮存污染控制标准》（GB18597-2023）要求；</w:t>
            </w:r>
            <w:r>
              <w:rPr>
                <w:rFonts w:hint="eastAsia"/>
                <w:color w:val="auto"/>
                <w:szCs w:val="21"/>
              </w:rPr>
              <w:t>润滑油</w:t>
            </w:r>
            <w:r>
              <w:rPr>
                <w:color w:val="auto"/>
                <w:szCs w:val="21"/>
              </w:rPr>
              <w:t>须密封储存，尤其是贮存间内部地面硬底化处理，周围设置围堰，做到防风、防雨、防晒、防渗透；及时办理转移手续，尽可能减少现场贮存量和缩短贮存周期。</w:t>
            </w:r>
          </w:p>
          <w:p w14:paraId="20986BB5">
            <w:pPr>
              <w:widowControl/>
              <w:adjustRightInd w:val="0"/>
              <w:snapToGrid w:val="0"/>
              <w:jc w:val="left"/>
              <w:rPr>
                <w:color w:val="auto"/>
                <w:szCs w:val="21"/>
              </w:rPr>
            </w:pPr>
            <w:r>
              <w:rPr>
                <w:color w:val="auto"/>
                <w:szCs w:val="21"/>
              </w:rPr>
              <w:t>（</w:t>
            </w:r>
            <w:r>
              <w:rPr>
                <w:rFonts w:hint="eastAsia"/>
                <w:color w:val="auto"/>
                <w:szCs w:val="21"/>
              </w:rPr>
              <w:t>2</w:t>
            </w:r>
            <w:r>
              <w:rPr>
                <w:color w:val="auto"/>
                <w:szCs w:val="21"/>
              </w:rPr>
              <w:t>）加强用火管理，厂区内严禁烟火，配备一定数量的干粉等灭火器，并定期检查确保其可正常使用，加强电气设备及线路检查，防止线路和设备老化造成的引发事故</w:t>
            </w:r>
          </w:p>
          <w:p w14:paraId="23244789">
            <w:pPr>
              <w:widowControl/>
              <w:adjustRightInd w:val="0"/>
              <w:snapToGrid w:val="0"/>
              <w:jc w:val="left"/>
              <w:rPr>
                <w:color w:val="auto"/>
                <w:kern w:val="0"/>
                <w:szCs w:val="21"/>
              </w:rPr>
            </w:pPr>
            <w:r>
              <w:rPr>
                <w:color w:val="auto"/>
                <w:szCs w:val="21"/>
              </w:rPr>
              <w:t>（</w:t>
            </w:r>
            <w:r>
              <w:rPr>
                <w:rFonts w:hint="eastAsia"/>
                <w:color w:val="auto"/>
                <w:szCs w:val="21"/>
              </w:rPr>
              <w:t>3</w:t>
            </w:r>
            <w:r>
              <w:rPr>
                <w:color w:val="auto"/>
                <w:szCs w:val="21"/>
              </w:rPr>
              <w:t>）定严格的生产操作规程，加强作业工人的安全教育，杜绝工作失误造成的事故。</w:t>
            </w:r>
          </w:p>
        </w:tc>
      </w:tr>
      <w:tr w14:paraId="08546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543" w:type="pct"/>
            <w:vAlign w:val="center"/>
          </w:tcPr>
          <w:p w14:paraId="76B32264">
            <w:pPr>
              <w:adjustRightInd w:val="0"/>
              <w:snapToGrid w:val="0"/>
              <w:jc w:val="center"/>
              <w:rPr>
                <w:color w:val="auto"/>
                <w:spacing w:val="-8"/>
                <w:szCs w:val="21"/>
              </w:rPr>
            </w:pPr>
            <w:r>
              <w:rPr>
                <w:color w:val="auto"/>
                <w:spacing w:val="-8"/>
                <w:szCs w:val="21"/>
              </w:rPr>
              <w:t>其他环境管理要求</w:t>
            </w:r>
          </w:p>
        </w:tc>
        <w:tc>
          <w:tcPr>
            <w:tcW w:w="4456" w:type="pct"/>
            <w:gridSpan w:val="4"/>
            <w:vAlign w:val="center"/>
          </w:tcPr>
          <w:p w14:paraId="635315E4">
            <w:pPr>
              <w:widowControl/>
              <w:adjustRightInd w:val="0"/>
              <w:snapToGrid w:val="0"/>
              <w:jc w:val="left"/>
              <w:rPr>
                <w:rFonts w:ascii="Times New Roman" w:hAnsi="Times New Roman" w:eastAsia="宋体" w:cs="Times New Roman"/>
                <w:color w:val="auto"/>
                <w:szCs w:val="21"/>
              </w:rPr>
            </w:pPr>
            <w:bookmarkStart w:id="5" w:name="_Toc6810"/>
            <w:bookmarkStart w:id="6" w:name="_Toc3866"/>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排污许可</w:t>
            </w:r>
          </w:p>
          <w:p w14:paraId="6B29A53C">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根据《国民经济行业分类》(GB/T 4754-2017)，本项目属于</w:t>
            </w:r>
            <w:r>
              <w:rPr>
                <w:rFonts w:hint="eastAsia" w:cs="Times New Roman"/>
                <w:color w:val="auto"/>
                <w:szCs w:val="21"/>
                <w:lang w:eastAsia="zh-CN"/>
              </w:rPr>
              <w:t>C2542生物质致密成型燃料加工</w:t>
            </w:r>
            <w:r>
              <w:rPr>
                <w:rFonts w:ascii="Times New Roman" w:hAnsi="Times New Roman" w:eastAsia="宋体" w:cs="Times New Roman"/>
                <w:color w:val="auto"/>
                <w:szCs w:val="21"/>
              </w:rPr>
              <w:t>。根据《固定污染源排污许可分类管理名录》（2019年版）中相关内容。本次新建项目属于排污许可中</w:t>
            </w:r>
            <w:r>
              <w:rPr>
                <w:rFonts w:hint="eastAsia" w:cs="Times New Roman"/>
                <w:color w:val="auto"/>
                <w:szCs w:val="21"/>
                <w:lang w:val="en-US" w:eastAsia="zh-CN"/>
              </w:rPr>
              <w:t>登记管理</w:t>
            </w:r>
            <w:r>
              <w:rPr>
                <w:rFonts w:ascii="Times New Roman" w:hAnsi="Times New Roman" w:eastAsia="宋体" w:cs="Times New Roman"/>
                <w:color w:val="auto"/>
                <w:szCs w:val="21"/>
              </w:rPr>
              <w:t>”。企业应在实际排污前申领排污许可证。</w:t>
            </w:r>
          </w:p>
          <w:p w14:paraId="43627289">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建设单位应规范化设置排污口；按照《安徽省生态环境厅关于统筹做好固定污染源排污许可日常监管工作的通知》（皖环发〔2021〕7号）等要求，加强排污许可证申领后的日常执行管理。</w:t>
            </w:r>
          </w:p>
          <w:p w14:paraId="0EEC1C15">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（1）排污口管理：</w:t>
            </w:r>
          </w:p>
          <w:p w14:paraId="1A1EE2D7">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建设单位应在各排污口处设立较明显的排污口标志牌，其上应注明主要排放污染物的名称以警示周围群众；</w:t>
            </w:r>
          </w:p>
          <w:p w14:paraId="5E32DC8F">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建设单位应如实填写《中华人民共和国规范化排污口标志登记证》的有关内容，由环保主管部门签发登记证；</w:t>
            </w:r>
          </w:p>
          <w:p w14:paraId="7F4B8BB5">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规范化排污口的有关设置属环保设施，建设单位必须负责日常的维护保养，任何单位和个人不得擅自拆除，如果需要变更的必须报环境监察部门同意并办理变更手续；</w:t>
            </w:r>
          </w:p>
          <w:p w14:paraId="6A2975F7">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建设单位应将有关排污口的情况，如：排污口的性质、编号，排污口的位置；主要排放的污染物种类、数量、浓度、排放规律、排放去向；污染治理设施的运行情况等进行建档管理，并报送环保主管部门备案。</w:t>
            </w:r>
          </w:p>
          <w:p w14:paraId="305E85D5">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（2）台账的管理：</w:t>
            </w:r>
          </w:p>
          <w:p w14:paraId="6C102244">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根据生产特点和污染物排放特点，按照排污口和有组织排放源进行记录。台账记录保存期限不少于五年。</w:t>
            </w:r>
          </w:p>
          <w:p w14:paraId="155E6EEC">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（3）严格执行各项环境管理制度，保证各排污口的正常运行；</w:t>
            </w:r>
          </w:p>
          <w:p w14:paraId="4E81B699">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（4）对各项环保设施操作、维护定量考核，建立环保设施运行档案；</w:t>
            </w:r>
          </w:p>
          <w:p w14:paraId="2D4D02DB">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（5）按规定程序实施竣工环境保护验收，验收合格方可投入生产。</w:t>
            </w:r>
          </w:p>
          <w:p w14:paraId="1C03548D">
            <w:pPr>
              <w:widowControl/>
              <w:adjustRightInd w:val="0"/>
              <w:snapToGrid w:val="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排污口规范化设置</w:t>
            </w:r>
            <w:bookmarkEnd w:id="5"/>
            <w:bookmarkEnd w:id="6"/>
          </w:p>
          <w:p w14:paraId="2AE08819">
            <w:pPr>
              <w:widowControl/>
              <w:adjustRightInd w:val="0"/>
              <w:snapToGrid w:val="0"/>
              <w:jc w:val="left"/>
              <w:rPr>
                <w:color w:val="auto"/>
                <w:szCs w:val="21"/>
              </w:rPr>
            </w:pPr>
            <w:r>
              <w:rPr>
                <w:rFonts w:hint="eastAsia" w:ascii="Times New Roman" w:hAnsi="Times New Roman" w:eastAsia="宋体" w:cs="Times New Roman"/>
                <w:color w:val="auto"/>
                <w:szCs w:val="21"/>
              </w:rPr>
              <w:t>根据国家标准《环境保护图形标志—排放口</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源</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》和国家环保总局《排污口规范化整治要求</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试行</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》的技</w:t>
            </w:r>
            <w:r>
              <w:rPr>
                <w:rFonts w:hint="eastAsia"/>
                <w:color w:val="auto"/>
                <w:szCs w:val="21"/>
              </w:rPr>
              <w:t>术要求，企业所有排放口必须按照“便于采样、便于计量监测、便于日常现场监督检查”的原则和规范化要求，设置排污口标志牌，绘制企业排污口公布图，同时对污水排放口安装流量计，对治理设施安装运行监控装置。</w:t>
            </w:r>
          </w:p>
          <w:p w14:paraId="21A6A405">
            <w:pPr>
              <w:widowControl/>
              <w:adjustRightInd w:val="0"/>
              <w:snapToGrid w:val="0"/>
              <w:jc w:val="left"/>
              <w:rPr>
                <w:color w:val="auto"/>
                <w:szCs w:val="21"/>
              </w:rPr>
            </w:pPr>
            <w:r>
              <w:rPr>
                <w:rFonts w:hint="eastAsia"/>
                <w:color w:val="auto"/>
                <w:szCs w:val="21"/>
              </w:rPr>
              <w:t>（</w:t>
            </w:r>
            <w:r>
              <w:rPr>
                <w:color w:val="auto"/>
                <w:szCs w:val="21"/>
              </w:rPr>
              <w:t>1</w:t>
            </w:r>
            <w:r>
              <w:rPr>
                <w:rFonts w:hint="eastAsia"/>
                <w:color w:val="auto"/>
                <w:szCs w:val="21"/>
              </w:rPr>
              <w:t>）污水排放口</w:t>
            </w:r>
          </w:p>
          <w:p w14:paraId="1EED8C82">
            <w:pPr>
              <w:widowControl/>
              <w:adjustRightInd w:val="0"/>
              <w:snapToGrid w:val="0"/>
              <w:jc w:val="left"/>
              <w:rPr>
                <w:color w:val="auto"/>
                <w:szCs w:val="21"/>
              </w:rPr>
            </w:pPr>
            <w:r>
              <w:rPr>
                <w:rFonts w:hint="eastAsia"/>
                <w:color w:val="auto"/>
                <w:szCs w:val="21"/>
              </w:rPr>
              <w:t>根据排污口规范化设置要求，对厂区外排的主要水污染物进行监测，排口设置在线监测，在建设项目的总排放口设置采样点，在排污口附近醒目处，设置环境保护图形标志牌。</w:t>
            </w:r>
          </w:p>
          <w:p w14:paraId="01F90C8C">
            <w:pPr>
              <w:widowControl/>
              <w:adjustRightInd w:val="0"/>
              <w:snapToGrid w:val="0"/>
              <w:jc w:val="left"/>
              <w:rPr>
                <w:color w:val="auto"/>
                <w:szCs w:val="21"/>
              </w:rPr>
            </w:pPr>
            <w:r>
              <w:rPr>
                <w:rFonts w:hint="eastAsia"/>
                <w:color w:val="auto"/>
                <w:szCs w:val="21"/>
              </w:rPr>
              <w:t>（</w:t>
            </w:r>
            <w:r>
              <w:rPr>
                <w:color w:val="auto"/>
                <w:szCs w:val="21"/>
              </w:rPr>
              <w:t>2</w:t>
            </w:r>
            <w:r>
              <w:rPr>
                <w:rFonts w:hint="eastAsia"/>
                <w:color w:val="auto"/>
                <w:szCs w:val="21"/>
              </w:rPr>
              <w:t>）废气排放口</w:t>
            </w:r>
          </w:p>
          <w:p w14:paraId="0A6E4F7B">
            <w:pPr>
              <w:widowControl/>
              <w:adjustRightInd w:val="0"/>
              <w:snapToGrid w:val="0"/>
              <w:jc w:val="left"/>
              <w:rPr>
                <w:color w:val="auto"/>
                <w:szCs w:val="21"/>
              </w:rPr>
            </w:pPr>
            <w:r>
              <w:rPr>
                <w:rFonts w:hint="eastAsia"/>
                <w:color w:val="auto"/>
                <w:szCs w:val="21"/>
              </w:rPr>
              <w:t>废气排放口必须符合规定的高度和《污染源监测技术规范》中便于采样、监测的要求，设置直径不小于</w:t>
            </w:r>
            <w:r>
              <w:rPr>
                <w:color w:val="auto"/>
                <w:szCs w:val="21"/>
              </w:rPr>
              <w:t>75mm</w:t>
            </w:r>
            <w:r>
              <w:rPr>
                <w:rFonts w:hint="eastAsia"/>
                <w:color w:val="auto"/>
                <w:szCs w:val="21"/>
              </w:rPr>
              <w:t>的采样口，如无法满足要求的，由当地生态环境局确定。</w:t>
            </w:r>
          </w:p>
          <w:p w14:paraId="74DCCFBD">
            <w:pPr>
              <w:widowControl/>
              <w:adjustRightInd w:val="0"/>
              <w:snapToGrid w:val="0"/>
              <w:jc w:val="left"/>
              <w:rPr>
                <w:color w:val="auto"/>
                <w:szCs w:val="21"/>
              </w:rPr>
            </w:pPr>
            <w:r>
              <w:rPr>
                <w:rFonts w:hint="eastAsia"/>
                <w:color w:val="auto"/>
                <w:szCs w:val="21"/>
              </w:rPr>
              <w:t>（</w:t>
            </w:r>
            <w:r>
              <w:rPr>
                <w:color w:val="auto"/>
                <w:szCs w:val="21"/>
              </w:rPr>
              <w:t>3</w:t>
            </w:r>
            <w:r>
              <w:rPr>
                <w:rFonts w:hint="eastAsia"/>
                <w:color w:val="auto"/>
                <w:szCs w:val="21"/>
              </w:rPr>
              <w:t>）固定噪声排放源</w:t>
            </w:r>
          </w:p>
          <w:p w14:paraId="523FED0A">
            <w:pPr>
              <w:widowControl/>
              <w:adjustRightInd w:val="0"/>
              <w:snapToGrid w:val="0"/>
              <w:jc w:val="left"/>
              <w:rPr>
                <w:color w:val="auto"/>
                <w:szCs w:val="21"/>
              </w:rPr>
            </w:pPr>
            <w:r>
              <w:rPr>
                <w:color w:val="auto"/>
                <w:szCs w:val="21"/>
              </w:rPr>
              <w:t>根据不同噪声源的情况，采取减振降噪、吸声、隔声等措施，使厂界达到相应功能区的标准要求。在厂界噪声敏感且对外界影响最大处设置固定噪声源的监测点和噪声环境保护图形标志牌。</w:t>
            </w:r>
          </w:p>
          <w:p w14:paraId="352E4F59">
            <w:pPr>
              <w:widowControl/>
              <w:adjustRightInd w:val="0"/>
              <w:snapToGrid w:val="0"/>
              <w:jc w:val="left"/>
              <w:rPr>
                <w:color w:val="auto"/>
                <w:szCs w:val="21"/>
              </w:rPr>
            </w:pPr>
            <w:r>
              <w:rPr>
                <w:rFonts w:hint="eastAsia"/>
                <w:color w:val="auto"/>
                <w:szCs w:val="21"/>
              </w:rPr>
              <w:t>（</w:t>
            </w:r>
            <w:r>
              <w:rPr>
                <w:color w:val="auto"/>
                <w:szCs w:val="21"/>
              </w:rPr>
              <w:t>4</w:t>
            </w:r>
            <w:r>
              <w:rPr>
                <w:rFonts w:hint="eastAsia"/>
                <w:color w:val="auto"/>
                <w:szCs w:val="21"/>
              </w:rPr>
              <w:t>）固体废物贮存</w:t>
            </w:r>
            <w:r>
              <w:rPr>
                <w:color w:val="auto"/>
                <w:szCs w:val="21"/>
              </w:rPr>
              <w:t>(</w:t>
            </w:r>
            <w:r>
              <w:rPr>
                <w:rFonts w:hint="eastAsia"/>
                <w:color w:val="auto"/>
                <w:szCs w:val="21"/>
              </w:rPr>
              <w:t>处置</w:t>
            </w:r>
            <w:r>
              <w:rPr>
                <w:color w:val="auto"/>
                <w:szCs w:val="21"/>
              </w:rPr>
              <w:t>)</w:t>
            </w:r>
            <w:r>
              <w:rPr>
                <w:rFonts w:hint="eastAsia"/>
                <w:color w:val="auto"/>
                <w:szCs w:val="21"/>
              </w:rPr>
              <w:t>场</w:t>
            </w:r>
          </w:p>
          <w:p w14:paraId="750ACF86">
            <w:pPr>
              <w:widowControl/>
              <w:adjustRightInd w:val="0"/>
              <w:snapToGrid w:val="0"/>
              <w:jc w:val="left"/>
              <w:rPr>
                <w:color w:val="auto"/>
                <w:szCs w:val="21"/>
              </w:rPr>
            </w:pPr>
            <w:r>
              <w:rPr>
                <w:color w:val="auto"/>
                <w:szCs w:val="21"/>
              </w:rPr>
              <w:t>固体废物按照固废处理相关规定在存放场采取了严格的防渗、防流失措施；评价要求加强对固废贮存管理，并在存放场边界和进出口位置设置环保标志牌。环境保护图形标志牌设置位置应距固体废物贮存（堆放）场较近且醒目处，并能长久保留。</w:t>
            </w:r>
          </w:p>
          <w:p w14:paraId="606CDD11">
            <w:pPr>
              <w:widowControl/>
              <w:adjustRightInd w:val="0"/>
              <w:snapToGrid w:val="0"/>
              <w:jc w:val="left"/>
              <w:rPr>
                <w:color w:val="auto"/>
                <w:szCs w:val="21"/>
              </w:rPr>
            </w:pPr>
            <w:r>
              <w:rPr>
                <w:rFonts w:hint="eastAsia"/>
                <w:color w:val="auto"/>
                <w:szCs w:val="21"/>
              </w:rPr>
              <w:t>（</w:t>
            </w:r>
            <w:r>
              <w:rPr>
                <w:color w:val="auto"/>
                <w:szCs w:val="21"/>
              </w:rPr>
              <w:t>5</w:t>
            </w:r>
            <w:r>
              <w:rPr>
                <w:rFonts w:hint="eastAsia"/>
                <w:color w:val="auto"/>
                <w:szCs w:val="21"/>
              </w:rPr>
              <w:t>）设置标志牌要求</w:t>
            </w:r>
          </w:p>
          <w:p w14:paraId="473C7344">
            <w:pPr>
              <w:widowControl/>
              <w:adjustRightInd w:val="0"/>
              <w:snapToGrid w:val="0"/>
              <w:jc w:val="left"/>
              <w:rPr>
                <w:color w:val="auto"/>
                <w:szCs w:val="21"/>
              </w:rPr>
            </w:pPr>
            <w:r>
              <w:rPr>
                <w:rFonts w:hint="eastAsia"/>
                <w:color w:val="auto"/>
                <w:szCs w:val="21"/>
              </w:rPr>
              <w:t>标志牌应设置在排污口</w:t>
            </w:r>
            <w:r>
              <w:rPr>
                <w:color w:val="auto"/>
                <w:szCs w:val="21"/>
              </w:rPr>
              <w:t>(</w:t>
            </w:r>
            <w:r>
              <w:rPr>
                <w:rFonts w:hint="eastAsia"/>
                <w:color w:val="auto"/>
                <w:szCs w:val="21"/>
              </w:rPr>
              <w:t>采样点</w:t>
            </w:r>
            <w:r>
              <w:rPr>
                <w:color w:val="auto"/>
                <w:szCs w:val="21"/>
              </w:rPr>
              <w:t>)</w:t>
            </w:r>
            <w:r>
              <w:rPr>
                <w:rFonts w:hint="eastAsia"/>
                <w:color w:val="auto"/>
                <w:szCs w:val="21"/>
              </w:rPr>
              <w:t>附近且醒目处，高度为标志牌上缘离地面</w:t>
            </w:r>
            <w:r>
              <w:rPr>
                <w:color w:val="auto"/>
                <w:szCs w:val="21"/>
              </w:rPr>
              <w:t>2</w:t>
            </w:r>
            <w:r>
              <w:rPr>
                <w:rFonts w:hint="eastAsia"/>
                <w:color w:val="auto"/>
                <w:szCs w:val="21"/>
              </w:rPr>
              <w:t>米，排污口附近</w:t>
            </w:r>
            <w:r>
              <w:rPr>
                <w:color w:val="auto"/>
                <w:szCs w:val="21"/>
              </w:rPr>
              <w:t>1</w:t>
            </w:r>
            <w:r>
              <w:rPr>
                <w:rFonts w:hint="eastAsia"/>
                <w:color w:val="auto"/>
                <w:szCs w:val="21"/>
              </w:rPr>
              <w:t>米范围内有建筑物的，设平面式标志牌，无建筑物的设立式标志牌。排污口的有关设置</w:t>
            </w:r>
            <w:r>
              <w:rPr>
                <w:color w:val="auto"/>
                <w:szCs w:val="21"/>
              </w:rPr>
              <w:t>(</w:t>
            </w:r>
            <w:r>
              <w:rPr>
                <w:rFonts w:hint="eastAsia"/>
                <w:color w:val="auto"/>
                <w:szCs w:val="21"/>
              </w:rPr>
              <w:t>如力形标志牌、计量装置、监控装置等</w:t>
            </w:r>
            <w:r>
              <w:rPr>
                <w:color w:val="auto"/>
                <w:szCs w:val="21"/>
              </w:rPr>
              <w:t>)</w:t>
            </w:r>
            <w:r>
              <w:rPr>
                <w:rFonts w:hint="eastAsia"/>
                <w:color w:val="auto"/>
                <w:szCs w:val="21"/>
              </w:rPr>
              <w:t>属环保设施，排污单位必须负责日常的维护保养，任何单位和个人不得擅自拆除，如需要变更的须报当地生态环境局同意并办理变更手续。</w:t>
            </w:r>
          </w:p>
          <w:p w14:paraId="6E76CB27">
            <w:pPr>
              <w:widowControl/>
              <w:adjustRightInd w:val="0"/>
              <w:snapToGrid w:val="0"/>
              <w:jc w:val="left"/>
              <w:rPr>
                <w:color w:val="auto"/>
                <w:szCs w:val="21"/>
              </w:rPr>
            </w:pPr>
            <w:r>
              <w:rPr>
                <w:rFonts w:hint="eastAsia"/>
                <w:color w:val="auto"/>
                <w:szCs w:val="21"/>
              </w:rPr>
              <w:t>各环保标志详见下表。</w:t>
            </w:r>
          </w:p>
          <w:p w14:paraId="6664B391">
            <w:pPr>
              <w:keepNext/>
              <w:keepLines/>
              <w:jc w:val="center"/>
              <w:outlineLvl w:val="3"/>
              <w:rPr>
                <w:b/>
                <w:bCs/>
                <w:color w:val="auto"/>
                <w:szCs w:val="21"/>
              </w:rPr>
            </w:pPr>
            <w:r>
              <w:rPr>
                <w:b/>
                <w:bCs/>
                <w:color w:val="auto"/>
                <w:szCs w:val="21"/>
              </w:rPr>
              <w:t>环境保护图形标志</w:t>
            </w:r>
          </w:p>
          <w:tbl>
            <w:tblPr>
              <w:tblStyle w:val="30"/>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7" w:type="dxa"/>
                <w:bottom w:w="0" w:type="dxa"/>
                <w:right w:w="17" w:type="dxa"/>
              </w:tblCellMar>
            </w:tblPr>
            <w:tblGrid>
              <w:gridCol w:w="618"/>
              <w:gridCol w:w="1582"/>
              <w:gridCol w:w="1581"/>
              <w:gridCol w:w="1427"/>
              <w:gridCol w:w="2841"/>
            </w:tblGrid>
            <w:tr w14:paraId="0D5ED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2C8E3629">
                  <w:pPr>
                    <w:jc w:val="center"/>
                    <w:rPr>
                      <w:bCs/>
                      <w:color w:val="auto"/>
                      <w:szCs w:val="21"/>
                    </w:rPr>
                  </w:pPr>
                  <w:r>
                    <w:rPr>
                      <w:bCs/>
                      <w:color w:val="auto"/>
                      <w:szCs w:val="21"/>
                    </w:rPr>
                    <w:t>序号</w:t>
                  </w:r>
                </w:p>
              </w:tc>
              <w:tc>
                <w:tcPr>
                  <w:tcW w:w="1789" w:type="dxa"/>
                  <w:tcBorders>
                    <w:tl2br w:val="nil"/>
                    <w:tr2bl w:val="nil"/>
                  </w:tcBorders>
                  <w:vAlign w:val="center"/>
                </w:tcPr>
                <w:p w14:paraId="1BD133BD">
                  <w:pPr>
                    <w:jc w:val="center"/>
                    <w:rPr>
                      <w:bCs/>
                      <w:color w:val="auto"/>
                      <w:szCs w:val="21"/>
                    </w:rPr>
                  </w:pPr>
                  <w:r>
                    <w:rPr>
                      <w:bCs/>
                      <w:color w:val="auto"/>
                      <w:szCs w:val="21"/>
                    </w:rPr>
                    <w:t>提示图形符号</w:t>
                  </w:r>
                </w:p>
              </w:tc>
              <w:tc>
                <w:tcPr>
                  <w:tcW w:w="1789" w:type="dxa"/>
                  <w:tcBorders>
                    <w:tl2br w:val="nil"/>
                    <w:tr2bl w:val="nil"/>
                  </w:tcBorders>
                  <w:vAlign w:val="center"/>
                </w:tcPr>
                <w:p w14:paraId="4ED216E2">
                  <w:pPr>
                    <w:jc w:val="center"/>
                    <w:rPr>
                      <w:bCs/>
                      <w:color w:val="auto"/>
                      <w:szCs w:val="21"/>
                    </w:rPr>
                  </w:pPr>
                  <w:r>
                    <w:rPr>
                      <w:bCs/>
                      <w:color w:val="auto"/>
                      <w:szCs w:val="21"/>
                    </w:rPr>
                    <w:t>警告图形符号</w:t>
                  </w:r>
                </w:p>
              </w:tc>
              <w:tc>
                <w:tcPr>
                  <w:tcW w:w="1614" w:type="dxa"/>
                  <w:tcBorders>
                    <w:tl2br w:val="nil"/>
                    <w:tr2bl w:val="nil"/>
                  </w:tcBorders>
                  <w:vAlign w:val="center"/>
                </w:tcPr>
                <w:p w14:paraId="294F4EC6">
                  <w:pPr>
                    <w:jc w:val="center"/>
                    <w:rPr>
                      <w:bCs/>
                      <w:color w:val="auto"/>
                      <w:szCs w:val="21"/>
                    </w:rPr>
                  </w:pPr>
                  <w:r>
                    <w:rPr>
                      <w:bCs/>
                      <w:color w:val="auto"/>
                      <w:szCs w:val="21"/>
                    </w:rPr>
                    <w:t>名称</w:t>
                  </w:r>
                </w:p>
              </w:tc>
              <w:tc>
                <w:tcPr>
                  <w:tcW w:w="3220" w:type="dxa"/>
                  <w:tcBorders>
                    <w:tl2br w:val="nil"/>
                    <w:tr2bl w:val="nil"/>
                  </w:tcBorders>
                  <w:vAlign w:val="center"/>
                </w:tcPr>
                <w:p w14:paraId="44875FAF">
                  <w:pPr>
                    <w:jc w:val="center"/>
                    <w:rPr>
                      <w:bCs/>
                      <w:color w:val="auto"/>
                      <w:szCs w:val="21"/>
                    </w:rPr>
                  </w:pPr>
                  <w:r>
                    <w:rPr>
                      <w:bCs/>
                      <w:color w:val="auto"/>
                      <w:szCs w:val="21"/>
                    </w:rPr>
                    <w:t>功能</w:t>
                  </w:r>
                </w:p>
              </w:tc>
            </w:tr>
            <w:tr w14:paraId="17ABDE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694" w:type="dxa"/>
                  <w:tcBorders>
                    <w:tl2br w:val="nil"/>
                    <w:tr2bl w:val="nil"/>
                  </w:tcBorders>
                  <w:vAlign w:val="center"/>
                </w:tcPr>
                <w:p w14:paraId="6C850F2D">
                  <w:pPr>
                    <w:jc w:val="center"/>
                    <w:rPr>
                      <w:bCs/>
                      <w:color w:val="auto"/>
                      <w:szCs w:val="21"/>
                    </w:rPr>
                  </w:pPr>
                  <w:r>
                    <w:rPr>
                      <w:bCs/>
                      <w:color w:val="auto"/>
                      <w:szCs w:val="21"/>
                    </w:rPr>
                    <w:t>1</w:t>
                  </w:r>
                </w:p>
              </w:tc>
              <w:tc>
                <w:tcPr>
                  <w:tcW w:w="1789" w:type="dxa"/>
                  <w:tcBorders>
                    <w:tl2br w:val="nil"/>
                    <w:tr2bl w:val="nil"/>
                  </w:tcBorders>
                  <w:vAlign w:val="center"/>
                </w:tcPr>
                <w:p w14:paraId="7169C1A3">
                  <w:pPr>
                    <w:jc w:val="center"/>
                    <w:rPr>
                      <w:bCs/>
                      <w:color w:val="auto"/>
                      <w:szCs w:val="21"/>
                    </w:rPr>
                  </w:pPr>
                  <w:r>
                    <w:rPr>
                      <w:bCs/>
                      <w:color w:val="auto"/>
                      <w:szCs w:val="21"/>
                    </w:rPr>
                    <w:drawing>
                      <wp:inline distT="0" distB="0" distL="114300" distR="114300">
                        <wp:extent cx="900430" cy="905510"/>
                        <wp:effectExtent l="0" t="0" r="13970" b="8890"/>
                        <wp:docPr id="6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8"/>
                                <pic:cNvPicPr>
                                  <a:picLocks noChangeAspect="1"/>
                                </pic:cNvPicPr>
                              </pic:nvPicPr>
                              <pic:blipFill>
                                <a:blip r:embed="rId25"/>
                                <a:stretch>
                                  <a:fillRect/>
                                </a:stretch>
                              </pic:blipFill>
                              <pic:spPr>
                                <a:xfrm>
                                  <a:off x="0" y="0"/>
                                  <a:ext cx="900430" cy="905510"/>
                                </a:xfrm>
                                <a:prstGeom prst="rect">
                                  <a:avLst/>
                                </a:prstGeom>
                                <a:noFill/>
                                <a:ln>
                                  <a:noFill/>
                                </a:ln>
                              </pic:spPr>
                            </pic:pic>
                          </a:graphicData>
                        </a:graphic>
                      </wp:inline>
                    </w:drawing>
                  </w:r>
                </w:p>
              </w:tc>
              <w:tc>
                <w:tcPr>
                  <w:tcW w:w="1789" w:type="dxa"/>
                  <w:tcBorders>
                    <w:tl2br w:val="nil"/>
                    <w:tr2bl w:val="nil"/>
                  </w:tcBorders>
                  <w:vAlign w:val="center"/>
                </w:tcPr>
                <w:p w14:paraId="4205E3D1">
                  <w:pPr>
                    <w:jc w:val="center"/>
                    <w:rPr>
                      <w:bCs/>
                      <w:color w:val="auto"/>
                      <w:szCs w:val="21"/>
                    </w:rPr>
                  </w:pPr>
                  <w:r>
                    <w:rPr>
                      <w:bCs/>
                      <w:color w:val="auto"/>
                      <w:szCs w:val="21"/>
                    </w:rPr>
                    <w:drawing>
                      <wp:inline distT="0" distB="0" distL="114300" distR="114300">
                        <wp:extent cx="896620" cy="883285"/>
                        <wp:effectExtent l="0" t="0" r="17780" b="12065"/>
                        <wp:docPr id="6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9"/>
                                <pic:cNvPicPr>
                                  <a:picLocks noChangeAspect="1"/>
                                </pic:cNvPicPr>
                              </pic:nvPicPr>
                              <pic:blipFill>
                                <a:blip r:embed="rId26"/>
                                <a:stretch>
                                  <a:fillRect/>
                                </a:stretch>
                              </pic:blipFill>
                              <pic:spPr>
                                <a:xfrm>
                                  <a:off x="0" y="0"/>
                                  <a:ext cx="896620" cy="883285"/>
                                </a:xfrm>
                                <a:prstGeom prst="rect">
                                  <a:avLst/>
                                </a:prstGeom>
                                <a:noFill/>
                                <a:ln>
                                  <a:noFill/>
                                </a:ln>
                              </pic:spPr>
                            </pic:pic>
                          </a:graphicData>
                        </a:graphic>
                      </wp:inline>
                    </w:drawing>
                  </w:r>
                </w:p>
              </w:tc>
              <w:tc>
                <w:tcPr>
                  <w:tcW w:w="1614" w:type="dxa"/>
                  <w:tcBorders>
                    <w:tl2br w:val="nil"/>
                    <w:tr2bl w:val="nil"/>
                  </w:tcBorders>
                  <w:vAlign w:val="center"/>
                </w:tcPr>
                <w:p w14:paraId="6BE4B3D8">
                  <w:pPr>
                    <w:jc w:val="center"/>
                    <w:rPr>
                      <w:bCs/>
                      <w:color w:val="auto"/>
                      <w:szCs w:val="21"/>
                    </w:rPr>
                  </w:pPr>
                  <w:r>
                    <w:rPr>
                      <w:bCs/>
                      <w:color w:val="auto"/>
                      <w:szCs w:val="21"/>
                    </w:rPr>
                    <w:t>废气排放口</w:t>
                  </w:r>
                </w:p>
              </w:tc>
              <w:tc>
                <w:tcPr>
                  <w:tcW w:w="3220" w:type="dxa"/>
                  <w:tcBorders>
                    <w:tl2br w:val="nil"/>
                    <w:tr2bl w:val="nil"/>
                  </w:tcBorders>
                  <w:vAlign w:val="center"/>
                </w:tcPr>
                <w:p w14:paraId="375536BF">
                  <w:pPr>
                    <w:jc w:val="center"/>
                    <w:rPr>
                      <w:bCs/>
                      <w:color w:val="auto"/>
                      <w:szCs w:val="21"/>
                    </w:rPr>
                  </w:pPr>
                  <w:r>
                    <w:rPr>
                      <w:bCs/>
                      <w:color w:val="auto"/>
                      <w:szCs w:val="21"/>
                    </w:rPr>
                    <w:t>表示废气向大气环境排放</w:t>
                  </w:r>
                </w:p>
              </w:tc>
            </w:tr>
            <w:tr w14:paraId="2DCFFF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681C65B9">
                  <w:pPr>
                    <w:jc w:val="center"/>
                    <w:rPr>
                      <w:bCs/>
                      <w:color w:val="auto"/>
                      <w:szCs w:val="21"/>
                    </w:rPr>
                  </w:pPr>
                  <w:r>
                    <w:rPr>
                      <w:bCs/>
                      <w:color w:val="auto"/>
                      <w:szCs w:val="21"/>
                    </w:rPr>
                    <w:t>2</w:t>
                  </w:r>
                </w:p>
              </w:tc>
              <w:tc>
                <w:tcPr>
                  <w:tcW w:w="1789" w:type="dxa"/>
                  <w:tcBorders>
                    <w:tl2br w:val="nil"/>
                    <w:tr2bl w:val="nil"/>
                  </w:tcBorders>
                  <w:vAlign w:val="center"/>
                </w:tcPr>
                <w:p w14:paraId="41ABDB27">
                  <w:pPr>
                    <w:jc w:val="center"/>
                    <w:rPr>
                      <w:bCs/>
                      <w:color w:val="auto"/>
                      <w:szCs w:val="21"/>
                    </w:rPr>
                  </w:pPr>
                  <w:r>
                    <w:rPr>
                      <w:bCs/>
                      <w:color w:val="auto"/>
                      <w:szCs w:val="21"/>
                    </w:rPr>
                    <w:drawing>
                      <wp:inline distT="0" distB="0" distL="114300" distR="114300">
                        <wp:extent cx="900430" cy="905510"/>
                        <wp:effectExtent l="0" t="0" r="13970" b="8890"/>
                        <wp:docPr id="5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0"/>
                                <pic:cNvPicPr>
                                  <a:picLocks noChangeAspect="1"/>
                                </pic:cNvPicPr>
                              </pic:nvPicPr>
                              <pic:blipFill>
                                <a:blip r:embed="rId27"/>
                                <a:stretch>
                                  <a:fillRect/>
                                </a:stretch>
                              </pic:blipFill>
                              <pic:spPr>
                                <a:xfrm>
                                  <a:off x="0" y="0"/>
                                  <a:ext cx="900430" cy="905510"/>
                                </a:xfrm>
                                <a:prstGeom prst="rect">
                                  <a:avLst/>
                                </a:prstGeom>
                                <a:noFill/>
                                <a:ln>
                                  <a:noFill/>
                                </a:ln>
                              </pic:spPr>
                            </pic:pic>
                          </a:graphicData>
                        </a:graphic>
                      </wp:inline>
                    </w:drawing>
                  </w:r>
                </w:p>
              </w:tc>
              <w:tc>
                <w:tcPr>
                  <w:tcW w:w="1789" w:type="dxa"/>
                  <w:tcBorders>
                    <w:tl2br w:val="nil"/>
                    <w:tr2bl w:val="nil"/>
                  </w:tcBorders>
                  <w:vAlign w:val="center"/>
                </w:tcPr>
                <w:p w14:paraId="2291C523">
                  <w:pPr>
                    <w:jc w:val="center"/>
                    <w:rPr>
                      <w:bCs/>
                      <w:color w:val="auto"/>
                      <w:szCs w:val="21"/>
                    </w:rPr>
                  </w:pPr>
                  <w:r>
                    <w:rPr>
                      <w:bCs/>
                      <w:color w:val="auto"/>
                      <w:szCs w:val="21"/>
                    </w:rPr>
                    <w:drawing>
                      <wp:inline distT="0" distB="0" distL="114300" distR="114300">
                        <wp:extent cx="900430" cy="905510"/>
                        <wp:effectExtent l="0" t="0" r="13970" b="8890"/>
                        <wp:docPr id="5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1"/>
                                <pic:cNvPicPr>
                                  <a:picLocks noChangeAspect="1"/>
                                </pic:cNvPicPr>
                              </pic:nvPicPr>
                              <pic:blipFill>
                                <a:blip r:embed="rId28"/>
                                <a:stretch>
                                  <a:fillRect/>
                                </a:stretch>
                              </pic:blipFill>
                              <pic:spPr>
                                <a:xfrm>
                                  <a:off x="0" y="0"/>
                                  <a:ext cx="900430" cy="905510"/>
                                </a:xfrm>
                                <a:prstGeom prst="rect">
                                  <a:avLst/>
                                </a:prstGeom>
                                <a:noFill/>
                                <a:ln>
                                  <a:noFill/>
                                </a:ln>
                              </pic:spPr>
                            </pic:pic>
                          </a:graphicData>
                        </a:graphic>
                      </wp:inline>
                    </w:drawing>
                  </w:r>
                </w:p>
              </w:tc>
              <w:tc>
                <w:tcPr>
                  <w:tcW w:w="1614" w:type="dxa"/>
                  <w:tcBorders>
                    <w:tl2br w:val="nil"/>
                    <w:tr2bl w:val="nil"/>
                  </w:tcBorders>
                  <w:vAlign w:val="center"/>
                </w:tcPr>
                <w:p w14:paraId="3E3B7EAB">
                  <w:pPr>
                    <w:jc w:val="center"/>
                    <w:rPr>
                      <w:bCs/>
                      <w:color w:val="auto"/>
                      <w:szCs w:val="21"/>
                    </w:rPr>
                  </w:pPr>
                  <w:r>
                    <w:rPr>
                      <w:bCs/>
                      <w:color w:val="auto"/>
                      <w:szCs w:val="21"/>
                    </w:rPr>
                    <w:t>废水排放口</w:t>
                  </w:r>
                </w:p>
              </w:tc>
              <w:tc>
                <w:tcPr>
                  <w:tcW w:w="3220" w:type="dxa"/>
                  <w:tcBorders>
                    <w:tl2br w:val="nil"/>
                    <w:tr2bl w:val="nil"/>
                  </w:tcBorders>
                  <w:vAlign w:val="center"/>
                </w:tcPr>
                <w:p w14:paraId="272F37CE">
                  <w:pPr>
                    <w:jc w:val="center"/>
                    <w:rPr>
                      <w:bCs/>
                      <w:color w:val="auto"/>
                      <w:szCs w:val="21"/>
                    </w:rPr>
                  </w:pPr>
                  <w:r>
                    <w:rPr>
                      <w:bCs/>
                      <w:color w:val="auto"/>
                      <w:szCs w:val="21"/>
                    </w:rPr>
                    <w:t>表示废水排放</w:t>
                  </w:r>
                </w:p>
              </w:tc>
            </w:tr>
            <w:tr w14:paraId="7BB72C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0C4AE631">
                  <w:pPr>
                    <w:jc w:val="center"/>
                    <w:rPr>
                      <w:bCs/>
                      <w:color w:val="auto"/>
                      <w:szCs w:val="21"/>
                    </w:rPr>
                  </w:pPr>
                  <w:r>
                    <w:rPr>
                      <w:bCs/>
                      <w:color w:val="auto"/>
                      <w:szCs w:val="21"/>
                    </w:rPr>
                    <w:t>3</w:t>
                  </w:r>
                </w:p>
              </w:tc>
              <w:tc>
                <w:tcPr>
                  <w:tcW w:w="1789" w:type="dxa"/>
                  <w:tcBorders>
                    <w:tl2br w:val="nil"/>
                    <w:tr2bl w:val="nil"/>
                  </w:tcBorders>
                  <w:vAlign w:val="center"/>
                </w:tcPr>
                <w:p w14:paraId="34042D65">
                  <w:pPr>
                    <w:jc w:val="center"/>
                    <w:rPr>
                      <w:bCs/>
                      <w:color w:val="auto"/>
                      <w:szCs w:val="21"/>
                    </w:rPr>
                  </w:pPr>
                  <w:r>
                    <w:rPr>
                      <w:color w:val="auto"/>
                    </w:rPr>
                    <w:drawing>
                      <wp:inline distT="0" distB="0" distL="114300" distR="114300">
                        <wp:extent cx="931545" cy="822325"/>
                        <wp:effectExtent l="0" t="0" r="1905" b="15875"/>
                        <wp:docPr id="4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1"/>
                                <pic:cNvPicPr>
                                  <a:picLocks noChangeAspect="1"/>
                                </pic:cNvPicPr>
                              </pic:nvPicPr>
                              <pic:blipFill>
                                <a:blip r:embed="rId29"/>
                                <a:stretch>
                                  <a:fillRect/>
                                </a:stretch>
                              </pic:blipFill>
                              <pic:spPr>
                                <a:xfrm>
                                  <a:off x="0" y="0"/>
                                  <a:ext cx="931545" cy="822325"/>
                                </a:xfrm>
                                <a:prstGeom prst="rect">
                                  <a:avLst/>
                                </a:prstGeom>
                                <a:noFill/>
                                <a:ln>
                                  <a:noFill/>
                                </a:ln>
                              </pic:spPr>
                            </pic:pic>
                          </a:graphicData>
                        </a:graphic>
                      </wp:inline>
                    </w:drawing>
                  </w:r>
                </w:p>
              </w:tc>
              <w:tc>
                <w:tcPr>
                  <w:tcW w:w="1789" w:type="dxa"/>
                  <w:tcBorders>
                    <w:tl2br w:val="nil"/>
                    <w:tr2bl w:val="nil"/>
                  </w:tcBorders>
                  <w:vAlign w:val="center"/>
                </w:tcPr>
                <w:p w14:paraId="4ACB6B63">
                  <w:pPr>
                    <w:jc w:val="center"/>
                    <w:rPr>
                      <w:bCs/>
                      <w:color w:val="auto"/>
                      <w:szCs w:val="21"/>
                    </w:rPr>
                  </w:pPr>
                  <w:r>
                    <w:rPr>
                      <w:color w:val="auto"/>
                    </w:rPr>
                    <w:drawing>
                      <wp:inline distT="0" distB="0" distL="114300" distR="114300">
                        <wp:extent cx="911860" cy="821055"/>
                        <wp:effectExtent l="0" t="0" r="2540" b="17145"/>
                        <wp:docPr id="4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2"/>
                                <pic:cNvPicPr>
                                  <a:picLocks noChangeAspect="1"/>
                                </pic:cNvPicPr>
                              </pic:nvPicPr>
                              <pic:blipFill>
                                <a:blip r:embed="rId30"/>
                                <a:stretch>
                                  <a:fillRect/>
                                </a:stretch>
                              </pic:blipFill>
                              <pic:spPr>
                                <a:xfrm>
                                  <a:off x="0" y="0"/>
                                  <a:ext cx="911860" cy="821055"/>
                                </a:xfrm>
                                <a:prstGeom prst="rect">
                                  <a:avLst/>
                                </a:prstGeom>
                                <a:noFill/>
                                <a:ln>
                                  <a:noFill/>
                                </a:ln>
                              </pic:spPr>
                            </pic:pic>
                          </a:graphicData>
                        </a:graphic>
                      </wp:inline>
                    </w:drawing>
                  </w:r>
                </w:p>
              </w:tc>
              <w:tc>
                <w:tcPr>
                  <w:tcW w:w="1614" w:type="dxa"/>
                  <w:tcBorders>
                    <w:tl2br w:val="nil"/>
                    <w:tr2bl w:val="nil"/>
                  </w:tcBorders>
                  <w:vAlign w:val="center"/>
                </w:tcPr>
                <w:p w14:paraId="04DD7CA2">
                  <w:pPr>
                    <w:jc w:val="center"/>
                    <w:rPr>
                      <w:bCs/>
                      <w:color w:val="auto"/>
                      <w:szCs w:val="21"/>
                    </w:rPr>
                  </w:pPr>
                  <w:r>
                    <w:rPr>
                      <w:rFonts w:hint="eastAsia"/>
                      <w:bCs/>
                      <w:color w:val="auto"/>
                      <w:szCs w:val="21"/>
                    </w:rPr>
                    <w:t>雨水排放口</w:t>
                  </w:r>
                </w:p>
              </w:tc>
              <w:tc>
                <w:tcPr>
                  <w:tcW w:w="3220" w:type="dxa"/>
                  <w:tcBorders>
                    <w:tl2br w:val="nil"/>
                    <w:tr2bl w:val="nil"/>
                  </w:tcBorders>
                  <w:vAlign w:val="center"/>
                </w:tcPr>
                <w:p w14:paraId="704FF152">
                  <w:pPr>
                    <w:jc w:val="center"/>
                    <w:rPr>
                      <w:bCs/>
                      <w:color w:val="auto"/>
                      <w:szCs w:val="21"/>
                    </w:rPr>
                  </w:pPr>
                  <w:r>
                    <w:rPr>
                      <w:rFonts w:hint="eastAsia"/>
                      <w:bCs/>
                      <w:color w:val="auto"/>
                      <w:szCs w:val="21"/>
                    </w:rPr>
                    <w:t>表示雨水排放</w:t>
                  </w:r>
                </w:p>
              </w:tc>
            </w:tr>
            <w:tr w14:paraId="6865E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44C1A767">
                  <w:pPr>
                    <w:jc w:val="center"/>
                    <w:rPr>
                      <w:bCs/>
                      <w:color w:val="auto"/>
                      <w:szCs w:val="21"/>
                    </w:rPr>
                  </w:pPr>
                  <w:r>
                    <w:rPr>
                      <w:bCs/>
                      <w:color w:val="auto"/>
                      <w:szCs w:val="21"/>
                    </w:rPr>
                    <w:t>4</w:t>
                  </w:r>
                </w:p>
              </w:tc>
              <w:tc>
                <w:tcPr>
                  <w:tcW w:w="1789" w:type="dxa"/>
                  <w:tcBorders>
                    <w:tl2br w:val="nil"/>
                    <w:tr2bl w:val="nil"/>
                  </w:tcBorders>
                  <w:vAlign w:val="center"/>
                </w:tcPr>
                <w:p w14:paraId="153320F0">
                  <w:pPr>
                    <w:jc w:val="center"/>
                    <w:rPr>
                      <w:bCs/>
                      <w:color w:val="auto"/>
                      <w:szCs w:val="21"/>
                    </w:rPr>
                  </w:pPr>
                  <w:r>
                    <w:rPr>
                      <w:bCs/>
                      <w:color w:val="auto"/>
                      <w:szCs w:val="21"/>
                    </w:rPr>
                    <w:drawing>
                      <wp:inline distT="0" distB="0" distL="114300" distR="114300">
                        <wp:extent cx="879475" cy="863600"/>
                        <wp:effectExtent l="0" t="0" r="15875" b="12700"/>
                        <wp:docPr id="5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2"/>
                                <pic:cNvPicPr>
                                  <a:picLocks noChangeAspect="1"/>
                                </pic:cNvPicPr>
                              </pic:nvPicPr>
                              <pic:blipFill>
                                <a:blip r:embed="rId31"/>
                                <a:stretch>
                                  <a:fillRect/>
                                </a:stretch>
                              </pic:blipFill>
                              <pic:spPr>
                                <a:xfrm>
                                  <a:off x="0" y="0"/>
                                  <a:ext cx="879475" cy="863600"/>
                                </a:xfrm>
                                <a:prstGeom prst="rect">
                                  <a:avLst/>
                                </a:prstGeom>
                                <a:noFill/>
                                <a:ln>
                                  <a:noFill/>
                                </a:ln>
                              </pic:spPr>
                            </pic:pic>
                          </a:graphicData>
                        </a:graphic>
                      </wp:inline>
                    </w:drawing>
                  </w:r>
                </w:p>
              </w:tc>
              <w:tc>
                <w:tcPr>
                  <w:tcW w:w="1789" w:type="dxa"/>
                  <w:tcBorders>
                    <w:tl2br w:val="nil"/>
                    <w:tr2bl w:val="nil"/>
                  </w:tcBorders>
                  <w:vAlign w:val="center"/>
                </w:tcPr>
                <w:p w14:paraId="78077E60">
                  <w:pPr>
                    <w:jc w:val="center"/>
                    <w:rPr>
                      <w:bCs/>
                      <w:color w:val="auto"/>
                      <w:szCs w:val="21"/>
                    </w:rPr>
                  </w:pPr>
                  <w:r>
                    <w:rPr>
                      <w:bCs/>
                      <w:color w:val="auto"/>
                      <w:szCs w:val="21"/>
                    </w:rPr>
                    <w:drawing>
                      <wp:inline distT="0" distB="0" distL="114300" distR="114300">
                        <wp:extent cx="894715" cy="793750"/>
                        <wp:effectExtent l="0" t="0" r="635" b="6350"/>
                        <wp:docPr id="6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3"/>
                                <pic:cNvPicPr>
                                  <a:picLocks noChangeAspect="1"/>
                                </pic:cNvPicPr>
                              </pic:nvPicPr>
                              <pic:blipFill>
                                <a:blip r:embed="rId32"/>
                                <a:stretch>
                                  <a:fillRect/>
                                </a:stretch>
                              </pic:blipFill>
                              <pic:spPr>
                                <a:xfrm>
                                  <a:off x="0" y="0"/>
                                  <a:ext cx="894715" cy="793750"/>
                                </a:xfrm>
                                <a:prstGeom prst="rect">
                                  <a:avLst/>
                                </a:prstGeom>
                                <a:noFill/>
                                <a:ln>
                                  <a:noFill/>
                                </a:ln>
                              </pic:spPr>
                            </pic:pic>
                          </a:graphicData>
                        </a:graphic>
                      </wp:inline>
                    </w:drawing>
                  </w:r>
                </w:p>
              </w:tc>
              <w:tc>
                <w:tcPr>
                  <w:tcW w:w="1614" w:type="dxa"/>
                  <w:tcBorders>
                    <w:tl2br w:val="nil"/>
                    <w:tr2bl w:val="nil"/>
                  </w:tcBorders>
                  <w:vAlign w:val="center"/>
                </w:tcPr>
                <w:p w14:paraId="27F4EBE9">
                  <w:pPr>
                    <w:jc w:val="center"/>
                    <w:rPr>
                      <w:bCs/>
                      <w:color w:val="auto"/>
                      <w:szCs w:val="21"/>
                    </w:rPr>
                  </w:pPr>
                  <w:r>
                    <w:rPr>
                      <w:bCs/>
                      <w:color w:val="auto"/>
                      <w:szCs w:val="21"/>
                    </w:rPr>
                    <w:t>噪声源</w:t>
                  </w:r>
                </w:p>
              </w:tc>
              <w:tc>
                <w:tcPr>
                  <w:tcW w:w="3220" w:type="dxa"/>
                  <w:tcBorders>
                    <w:tl2br w:val="nil"/>
                    <w:tr2bl w:val="nil"/>
                  </w:tcBorders>
                  <w:vAlign w:val="center"/>
                </w:tcPr>
                <w:p w14:paraId="3688DA1C">
                  <w:pPr>
                    <w:jc w:val="center"/>
                    <w:rPr>
                      <w:bCs/>
                      <w:color w:val="auto"/>
                      <w:szCs w:val="21"/>
                    </w:rPr>
                  </w:pPr>
                  <w:r>
                    <w:rPr>
                      <w:bCs/>
                      <w:color w:val="auto"/>
                      <w:szCs w:val="21"/>
                    </w:rPr>
                    <w:t>表示噪声向外环境排放</w:t>
                  </w:r>
                </w:p>
              </w:tc>
            </w:tr>
            <w:tr w14:paraId="70B9E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1D34CFCB">
                  <w:pPr>
                    <w:jc w:val="center"/>
                    <w:rPr>
                      <w:bCs/>
                      <w:color w:val="auto"/>
                      <w:szCs w:val="21"/>
                    </w:rPr>
                  </w:pPr>
                  <w:r>
                    <w:rPr>
                      <w:rFonts w:hint="eastAsia"/>
                      <w:bCs/>
                      <w:color w:val="auto"/>
                      <w:szCs w:val="21"/>
                    </w:rPr>
                    <w:t>5</w:t>
                  </w:r>
                </w:p>
              </w:tc>
              <w:tc>
                <w:tcPr>
                  <w:tcW w:w="1789" w:type="dxa"/>
                  <w:tcBorders>
                    <w:tl2br w:val="nil"/>
                    <w:tr2bl w:val="nil"/>
                  </w:tcBorders>
                  <w:vAlign w:val="center"/>
                </w:tcPr>
                <w:p w14:paraId="31FA8620">
                  <w:pPr>
                    <w:jc w:val="center"/>
                    <w:rPr>
                      <w:bCs/>
                      <w:color w:val="auto"/>
                      <w:szCs w:val="21"/>
                    </w:rPr>
                  </w:pPr>
                  <w:r>
                    <w:rPr>
                      <w:bCs/>
                      <w:color w:val="auto"/>
                      <w:szCs w:val="21"/>
                    </w:rPr>
                    <w:drawing>
                      <wp:inline distT="0" distB="0" distL="114300" distR="114300">
                        <wp:extent cx="900430" cy="905510"/>
                        <wp:effectExtent l="0" t="0" r="13970" b="8890"/>
                        <wp:docPr id="6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4"/>
                                <pic:cNvPicPr>
                                  <a:picLocks noChangeAspect="1"/>
                                </pic:cNvPicPr>
                              </pic:nvPicPr>
                              <pic:blipFill>
                                <a:blip r:embed="rId33"/>
                                <a:stretch>
                                  <a:fillRect/>
                                </a:stretch>
                              </pic:blipFill>
                              <pic:spPr>
                                <a:xfrm>
                                  <a:off x="0" y="0"/>
                                  <a:ext cx="900430" cy="905510"/>
                                </a:xfrm>
                                <a:prstGeom prst="rect">
                                  <a:avLst/>
                                </a:prstGeom>
                                <a:noFill/>
                                <a:ln>
                                  <a:noFill/>
                                </a:ln>
                              </pic:spPr>
                            </pic:pic>
                          </a:graphicData>
                        </a:graphic>
                      </wp:inline>
                    </w:drawing>
                  </w:r>
                </w:p>
              </w:tc>
              <w:tc>
                <w:tcPr>
                  <w:tcW w:w="1789" w:type="dxa"/>
                  <w:tcBorders>
                    <w:tl2br w:val="nil"/>
                    <w:tr2bl w:val="nil"/>
                  </w:tcBorders>
                  <w:vAlign w:val="center"/>
                </w:tcPr>
                <w:p w14:paraId="63E4988F">
                  <w:pPr>
                    <w:jc w:val="center"/>
                    <w:rPr>
                      <w:bCs/>
                      <w:color w:val="auto"/>
                      <w:szCs w:val="21"/>
                    </w:rPr>
                  </w:pPr>
                  <w:r>
                    <w:rPr>
                      <w:bCs/>
                      <w:color w:val="auto"/>
                      <w:szCs w:val="21"/>
                    </w:rPr>
                    <w:drawing>
                      <wp:inline distT="0" distB="0" distL="114300" distR="114300">
                        <wp:extent cx="882650" cy="817245"/>
                        <wp:effectExtent l="0" t="0" r="12700" b="1905"/>
                        <wp:docPr id="5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5"/>
                                <pic:cNvPicPr>
                                  <a:picLocks noChangeAspect="1"/>
                                </pic:cNvPicPr>
                              </pic:nvPicPr>
                              <pic:blipFill>
                                <a:blip r:embed="rId34"/>
                                <a:stretch>
                                  <a:fillRect/>
                                </a:stretch>
                              </pic:blipFill>
                              <pic:spPr>
                                <a:xfrm>
                                  <a:off x="0" y="0"/>
                                  <a:ext cx="882650" cy="817245"/>
                                </a:xfrm>
                                <a:prstGeom prst="rect">
                                  <a:avLst/>
                                </a:prstGeom>
                                <a:noFill/>
                                <a:ln>
                                  <a:noFill/>
                                </a:ln>
                              </pic:spPr>
                            </pic:pic>
                          </a:graphicData>
                        </a:graphic>
                      </wp:inline>
                    </w:drawing>
                  </w:r>
                </w:p>
              </w:tc>
              <w:tc>
                <w:tcPr>
                  <w:tcW w:w="1614" w:type="dxa"/>
                  <w:tcBorders>
                    <w:tl2br w:val="nil"/>
                    <w:tr2bl w:val="nil"/>
                  </w:tcBorders>
                  <w:vAlign w:val="center"/>
                </w:tcPr>
                <w:p w14:paraId="6444B008">
                  <w:pPr>
                    <w:jc w:val="center"/>
                    <w:rPr>
                      <w:bCs/>
                      <w:color w:val="auto"/>
                      <w:szCs w:val="21"/>
                    </w:rPr>
                  </w:pPr>
                  <w:r>
                    <w:rPr>
                      <w:bCs/>
                      <w:color w:val="auto"/>
                      <w:szCs w:val="21"/>
                    </w:rPr>
                    <w:t>一般固体废物</w:t>
                  </w:r>
                </w:p>
              </w:tc>
              <w:tc>
                <w:tcPr>
                  <w:tcW w:w="3220" w:type="dxa"/>
                  <w:tcBorders>
                    <w:tl2br w:val="nil"/>
                    <w:tr2bl w:val="nil"/>
                  </w:tcBorders>
                  <w:vAlign w:val="center"/>
                </w:tcPr>
                <w:p w14:paraId="30727F74">
                  <w:pPr>
                    <w:jc w:val="center"/>
                    <w:rPr>
                      <w:bCs/>
                      <w:color w:val="auto"/>
                      <w:szCs w:val="21"/>
                    </w:rPr>
                  </w:pPr>
                  <w:r>
                    <w:rPr>
                      <w:bCs/>
                      <w:color w:val="auto"/>
                      <w:szCs w:val="21"/>
                    </w:rPr>
                    <w:t>表示一般固体废物贮存、处置</w:t>
                  </w:r>
                </w:p>
                <w:p w14:paraId="23EE24A0">
                  <w:pPr>
                    <w:jc w:val="center"/>
                    <w:rPr>
                      <w:bCs/>
                      <w:color w:val="auto"/>
                      <w:szCs w:val="21"/>
                    </w:rPr>
                  </w:pPr>
                  <w:r>
                    <w:rPr>
                      <w:bCs/>
                      <w:color w:val="auto"/>
                      <w:szCs w:val="21"/>
                    </w:rPr>
                    <w:t>场</w:t>
                  </w:r>
                </w:p>
              </w:tc>
            </w:tr>
            <w:tr w14:paraId="05E64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27CF9925">
                  <w:pPr>
                    <w:jc w:val="center"/>
                    <w:rPr>
                      <w:bCs/>
                      <w:color w:val="auto"/>
                      <w:szCs w:val="21"/>
                    </w:rPr>
                  </w:pPr>
                  <w:r>
                    <w:rPr>
                      <w:rFonts w:hint="eastAsia"/>
                      <w:bCs/>
                      <w:color w:val="auto"/>
                      <w:szCs w:val="21"/>
                    </w:rPr>
                    <w:t>6</w:t>
                  </w:r>
                </w:p>
              </w:tc>
              <w:tc>
                <w:tcPr>
                  <w:tcW w:w="1789" w:type="dxa"/>
                  <w:tcBorders>
                    <w:tl2br w:val="nil"/>
                    <w:tr2bl w:val="nil"/>
                  </w:tcBorders>
                  <w:vAlign w:val="center"/>
                </w:tcPr>
                <w:p w14:paraId="397A54F6">
                  <w:pPr>
                    <w:jc w:val="center"/>
                    <w:rPr>
                      <w:bCs/>
                      <w:color w:val="auto"/>
                      <w:szCs w:val="21"/>
                    </w:rPr>
                  </w:pPr>
                  <w:r>
                    <w:rPr>
                      <w:rFonts w:hint="eastAsia"/>
                      <w:bCs/>
                      <w:color w:val="auto"/>
                      <w:szCs w:val="21"/>
                    </w:rPr>
                    <w:t>/</w:t>
                  </w:r>
                </w:p>
              </w:tc>
              <w:tc>
                <w:tcPr>
                  <w:tcW w:w="1789" w:type="dxa"/>
                  <w:tcBorders>
                    <w:tl2br w:val="nil"/>
                    <w:tr2bl w:val="nil"/>
                  </w:tcBorders>
                  <w:vAlign w:val="center"/>
                </w:tcPr>
                <w:p w14:paraId="68A07B02">
                  <w:pPr>
                    <w:jc w:val="center"/>
                    <w:rPr>
                      <w:bCs/>
                      <w:color w:val="auto"/>
                      <w:szCs w:val="21"/>
                    </w:rPr>
                  </w:pPr>
                  <w:r>
                    <w:rPr>
                      <w:color w:val="auto"/>
                    </w:rPr>
                    <w:drawing>
                      <wp:inline distT="0" distB="0" distL="114300" distR="114300">
                        <wp:extent cx="982980" cy="852170"/>
                        <wp:effectExtent l="0" t="0" r="7620" b="508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35"/>
                                <a:stretch>
                                  <a:fillRect/>
                                </a:stretch>
                              </pic:blipFill>
                              <pic:spPr>
                                <a:xfrm>
                                  <a:off x="0" y="0"/>
                                  <a:ext cx="982980" cy="852170"/>
                                </a:xfrm>
                                <a:prstGeom prst="rect">
                                  <a:avLst/>
                                </a:prstGeom>
                                <a:noFill/>
                                <a:ln>
                                  <a:noFill/>
                                </a:ln>
                              </pic:spPr>
                            </pic:pic>
                          </a:graphicData>
                        </a:graphic>
                      </wp:inline>
                    </w:drawing>
                  </w:r>
                </w:p>
              </w:tc>
              <w:tc>
                <w:tcPr>
                  <w:tcW w:w="1614" w:type="dxa"/>
                  <w:tcBorders>
                    <w:tl2br w:val="nil"/>
                    <w:tr2bl w:val="nil"/>
                  </w:tcBorders>
                  <w:vAlign w:val="center"/>
                </w:tcPr>
                <w:p w14:paraId="6016BD01">
                  <w:pPr>
                    <w:jc w:val="center"/>
                    <w:rPr>
                      <w:bCs/>
                      <w:color w:val="auto"/>
                      <w:szCs w:val="21"/>
                    </w:rPr>
                  </w:pPr>
                  <w:r>
                    <w:rPr>
                      <w:bCs/>
                      <w:color w:val="auto"/>
                      <w:szCs w:val="21"/>
                    </w:rPr>
                    <w:t>危险固废</w:t>
                  </w:r>
                </w:p>
              </w:tc>
              <w:tc>
                <w:tcPr>
                  <w:tcW w:w="3220" w:type="dxa"/>
                  <w:tcBorders>
                    <w:tl2br w:val="nil"/>
                    <w:tr2bl w:val="nil"/>
                  </w:tcBorders>
                  <w:vAlign w:val="center"/>
                </w:tcPr>
                <w:p w14:paraId="2C65859C">
                  <w:pPr>
                    <w:jc w:val="center"/>
                    <w:rPr>
                      <w:bCs/>
                      <w:color w:val="auto"/>
                      <w:szCs w:val="21"/>
                    </w:rPr>
                  </w:pPr>
                  <w:r>
                    <w:rPr>
                      <w:bCs/>
                      <w:color w:val="auto"/>
                      <w:szCs w:val="21"/>
                    </w:rPr>
                    <w:t>危险固废暂存场所</w:t>
                  </w:r>
                </w:p>
              </w:tc>
            </w:tr>
          </w:tbl>
          <w:p w14:paraId="2D80C836">
            <w:pPr>
              <w:adjustRightInd w:val="0"/>
              <w:snapToGrid w:val="0"/>
              <w:jc w:val="center"/>
              <w:rPr>
                <w:color w:val="auto"/>
                <w:kern w:val="0"/>
                <w:szCs w:val="21"/>
              </w:rPr>
            </w:pPr>
          </w:p>
        </w:tc>
      </w:tr>
    </w:tbl>
    <w:p w14:paraId="0CA186C3">
      <w:pPr>
        <w:pStyle w:val="27"/>
        <w:jc w:val="center"/>
        <w:outlineLvl w:val="0"/>
        <w:rPr>
          <w:rFonts w:ascii="Times New Roman" w:hAnsi="Times New Roman"/>
          <w:snapToGrid w:val="0"/>
          <w:color w:val="FF0000"/>
        </w:rPr>
        <w:sectPr>
          <w:pgSz w:w="11905" w:h="16838"/>
          <w:pgMar w:top="1417" w:right="1417" w:bottom="1417" w:left="1417" w:header="851" w:footer="850" w:gutter="0"/>
          <w:cols w:space="0" w:num="1"/>
          <w:docGrid w:linePitch="312" w:charSpace="0"/>
        </w:sectPr>
      </w:pPr>
      <w:r>
        <w:rPr>
          <w:rFonts w:ascii="Times New Roman" w:hAnsi="Times New Roman"/>
          <w:snapToGrid w:val="0"/>
          <w:color w:val="FF0000"/>
        </w:rPr>
        <w:br w:type="page"/>
      </w:r>
    </w:p>
    <w:p w14:paraId="192E69C9">
      <w:pPr>
        <w:pStyle w:val="27"/>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六、结论</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16F15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851" w:hRule="atLeast"/>
          <w:jc w:val="center"/>
        </w:trPr>
        <w:tc>
          <w:tcPr>
            <w:tcW w:w="5000" w:type="pct"/>
          </w:tcPr>
          <w:p w14:paraId="36528781">
            <w:pPr>
              <w:spacing w:line="360" w:lineRule="auto"/>
              <w:ind w:firstLine="480" w:firstLineChars="200"/>
              <w:rPr>
                <w:color w:val="FF0000"/>
                <w:sz w:val="24"/>
              </w:rPr>
            </w:pPr>
            <w:r>
              <w:rPr>
                <w:color w:val="auto"/>
                <w:kern w:val="0"/>
                <w:sz w:val="24"/>
              </w:rPr>
              <w:t>本</w:t>
            </w:r>
            <w:r>
              <w:rPr>
                <w:color w:val="auto"/>
                <w:sz w:val="24"/>
              </w:rPr>
              <w:t>项目建设符合“</w:t>
            </w:r>
            <w:r>
              <w:rPr>
                <w:rFonts w:hint="eastAsia"/>
                <w:color w:val="auto"/>
                <w:sz w:val="24"/>
                <w:lang w:eastAsia="zh-CN"/>
              </w:rPr>
              <w:t>安徽省六安市生态环境分区管控</w:t>
            </w:r>
            <w:r>
              <w:rPr>
                <w:color w:val="auto"/>
                <w:sz w:val="24"/>
              </w:rPr>
              <w:t>”管理及相关环保规划要求，项</w:t>
            </w:r>
            <w:r>
              <w:rPr>
                <w:bCs/>
                <w:color w:val="auto"/>
                <w:sz w:val="24"/>
              </w:rPr>
              <w:t>目按建设项目“三同时”制度要求，</w:t>
            </w:r>
            <w:r>
              <w:rPr>
                <w:rFonts w:hint="eastAsia"/>
                <w:color w:val="auto"/>
                <w:sz w:val="24"/>
              </w:rPr>
              <w:t>项目建设符合相关产业政策的要求，选址符合相关规划要求，选址合理，采取的各项污染防治措施可行，能够实现达标排放和总量控制要求，对环境影响较小。只要认真落实报告表提出的各项污染防治措施，从环境保护角度来看，该项目建设是可行的</w:t>
            </w:r>
            <w:r>
              <w:rPr>
                <w:color w:val="auto"/>
                <w:sz w:val="24"/>
              </w:rPr>
              <w:t>。</w:t>
            </w:r>
          </w:p>
        </w:tc>
      </w:tr>
    </w:tbl>
    <w:p w14:paraId="2E1448AD">
      <w:pPr>
        <w:rPr>
          <w:color w:val="FF0000"/>
        </w:rPr>
        <w:sectPr>
          <w:pgSz w:w="11905" w:h="16838"/>
          <w:pgMar w:top="1417" w:right="1417" w:bottom="1417" w:left="1417" w:header="851" w:footer="850" w:gutter="0"/>
          <w:cols w:space="0" w:num="1"/>
          <w:docGrid w:linePitch="312" w:charSpace="0"/>
        </w:sectPr>
      </w:pPr>
    </w:p>
    <w:p w14:paraId="7BD44632">
      <w:pPr>
        <w:pStyle w:val="27"/>
        <w:adjustRightInd w:val="0"/>
        <w:snapToGrid w:val="0"/>
        <w:spacing w:before="0" w:beforeAutospacing="0" w:after="0" w:afterAutospacing="0"/>
        <w:outlineLvl w:val="0"/>
        <w:rPr>
          <w:rFonts w:ascii="Times New Roman" w:hAnsi="Times New Roman" w:eastAsia="黑体"/>
          <w:snapToGrid w:val="0"/>
          <w:color w:val="auto"/>
          <w:sz w:val="32"/>
          <w:szCs w:val="32"/>
        </w:rPr>
      </w:pPr>
      <w:r>
        <w:rPr>
          <w:rFonts w:ascii="Times New Roman" w:hAnsi="Times New Roman" w:eastAsia="黑体"/>
          <w:snapToGrid w:val="0"/>
          <w:color w:val="auto"/>
          <w:sz w:val="32"/>
          <w:szCs w:val="32"/>
        </w:rPr>
        <w:t>附表</w:t>
      </w:r>
    </w:p>
    <w:p w14:paraId="7F7D48D1">
      <w:pPr>
        <w:pStyle w:val="27"/>
        <w:adjustRightInd w:val="0"/>
        <w:snapToGrid w:val="0"/>
        <w:spacing w:before="0" w:beforeAutospacing="0" w:after="0" w:afterAutospacing="0"/>
        <w:jc w:val="center"/>
        <w:outlineLvl w:val="0"/>
        <w:rPr>
          <w:rFonts w:ascii="Times New Roman" w:hAnsi="Times New Roman" w:eastAsia="方正小标宋_GBK"/>
          <w:b w:val="0"/>
          <w:bCs w:val="0"/>
          <w:snapToGrid w:val="0"/>
          <w:color w:val="auto"/>
          <w:sz w:val="38"/>
          <w:szCs w:val="38"/>
        </w:rPr>
      </w:pPr>
      <w:r>
        <w:rPr>
          <w:rFonts w:ascii="Times New Roman" w:hAnsi="Times New Roman" w:eastAsia="方正小标宋_GBK"/>
          <w:b w:val="0"/>
          <w:bCs w:val="0"/>
          <w:snapToGrid w:val="0"/>
          <w:color w:val="auto"/>
          <w:sz w:val="38"/>
          <w:szCs w:val="38"/>
        </w:rPr>
        <w:t>建设项目污染物排放量汇总表</w:t>
      </w:r>
    </w:p>
    <w:tbl>
      <w:tblPr>
        <w:tblStyle w:val="30"/>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991"/>
        <w:gridCol w:w="1497"/>
        <w:gridCol w:w="1238"/>
        <w:gridCol w:w="1674"/>
        <w:gridCol w:w="1525"/>
        <w:gridCol w:w="1736"/>
        <w:gridCol w:w="1944"/>
        <w:gridCol w:w="1331"/>
      </w:tblGrid>
      <w:tr w14:paraId="75F63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tcBorders>
              <w:tl2br w:val="single" w:color="auto" w:sz="4" w:space="0"/>
            </w:tcBorders>
            <w:tcMar>
              <w:left w:w="28" w:type="dxa"/>
              <w:right w:w="28" w:type="dxa"/>
            </w:tcMar>
            <w:vAlign w:val="center"/>
          </w:tcPr>
          <w:p w14:paraId="1FA2F5E7">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项目</w:t>
            </w:r>
          </w:p>
          <w:p w14:paraId="4FBC0FD1">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分类</w:t>
            </w:r>
          </w:p>
        </w:tc>
        <w:tc>
          <w:tcPr>
            <w:tcW w:w="708" w:type="pct"/>
            <w:tcMar>
              <w:left w:w="28" w:type="dxa"/>
              <w:right w:w="28" w:type="dxa"/>
            </w:tcMar>
            <w:vAlign w:val="center"/>
          </w:tcPr>
          <w:p w14:paraId="0339A378">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污染物名称</w:t>
            </w:r>
          </w:p>
        </w:tc>
        <w:tc>
          <w:tcPr>
            <w:tcW w:w="532" w:type="pct"/>
            <w:tcMar>
              <w:left w:w="28" w:type="dxa"/>
              <w:right w:w="28" w:type="dxa"/>
            </w:tcMar>
            <w:vAlign w:val="center"/>
          </w:tcPr>
          <w:p w14:paraId="7BECE73E">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14:paraId="0E86BD8E">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1 \* GB3 \* MERGEFORMAT </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①</w:t>
            </w:r>
            <w:r>
              <w:rPr>
                <w:rFonts w:ascii="Times New Roman" w:eastAsia="黑体"/>
                <w:snapToGrid w:val="0"/>
                <w:color w:val="auto"/>
                <w:spacing w:val="-6"/>
                <w:kern w:val="21"/>
                <w:szCs w:val="21"/>
              </w:rPr>
              <w:fldChar w:fldCharType="end"/>
            </w:r>
          </w:p>
        </w:tc>
        <w:tc>
          <w:tcPr>
            <w:tcW w:w="440" w:type="pct"/>
            <w:tcMar>
              <w:left w:w="28" w:type="dxa"/>
              <w:right w:w="28" w:type="dxa"/>
            </w:tcMar>
            <w:vAlign w:val="center"/>
          </w:tcPr>
          <w:p w14:paraId="0C8F9625">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14:paraId="3415632F">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许可排放量</w:t>
            </w:r>
          </w:p>
          <w:p w14:paraId="379CE726">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2 \* GB3 \* MERGEFORMAT </w:instrText>
            </w:r>
            <w:r>
              <w:rPr>
                <w:rFonts w:ascii="Times New Roman" w:eastAsia="黑体"/>
                <w:snapToGrid w:val="0"/>
                <w:color w:val="auto"/>
                <w:spacing w:val="-6"/>
                <w:kern w:val="21"/>
                <w:szCs w:val="21"/>
              </w:rPr>
              <w:fldChar w:fldCharType="separate"/>
            </w:r>
            <w:r>
              <w:rPr>
                <w:rFonts w:ascii="Times New Roman" w:eastAsia="黑体"/>
                <w:snapToGrid w:val="0"/>
                <w:color w:val="auto"/>
                <w:spacing w:val="-6"/>
                <w:kern w:val="21"/>
                <w:szCs w:val="21"/>
              </w:rPr>
              <w:t>②</w:t>
            </w:r>
            <w:r>
              <w:rPr>
                <w:rFonts w:ascii="Times New Roman" w:eastAsia="黑体"/>
                <w:snapToGrid w:val="0"/>
                <w:color w:val="auto"/>
                <w:spacing w:val="-6"/>
                <w:kern w:val="21"/>
                <w:szCs w:val="21"/>
              </w:rPr>
              <w:fldChar w:fldCharType="end"/>
            </w:r>
          </w:p>
        </w:tc>
        <w:tc>
          <w:tcPr>
            <w:tcW w:w="595" w:type="pct"/>
            <w:tcMar>
              <w:left w:w="28" w:type="dxa"/>
              <w:right w:w="28" w:type="dxa"/>
            </w:tcMar>
            <w:vAlign w:val="center"/>
          </w:tcPr>
          <w:p w14:paraId="0B286459">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在建工程</w:t>
            </w:r>
          </w:p>
          <w:p w14:paraId="38C96333">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3 \* GB3 \* MERGEFORMAT </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③</w:t>
            </w:r>
            <w:r>
              <w:rPr>
                <w:rFonts w:ascii="Times New Roman" w:eastAsia="黑体"/>
                <w:snapToGrid w:val="0"/>
                <w:color w:val="auto"/>
                <w:spacing w:val="-6"/>
                <w:kern w:val="21"/>
                <w:szCs w:val="21"/>
              </w:rPr>
              <w:fldChar w:fldCharType="end"/>
            </w:r>
          </w:p>
        </w:tc>
        <w:tc>
          <w:tcPr>
            <w:tcW w:w="542" w:type="pct"/>
            <w:tcMar>
              <w:left w:w="28" w:type="dxa"/>
              <w:right w:w="28" w:type="dxa"/>
            </w:tcMar>
            <w:vAlign w:val="center"/>
          </w:tcPr>
          <w:p w14:paraId="02465714">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本项目</w:t>
            </w:r>
          </w:p>
          <w:p w14:paraId="331158A6">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4 \* GB3 \* MERGEFORMAT </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④</w:t>
            </w:r>
            <w:r>
              <w:rPr>
                <w:rFonts w:ascii="Times New Roman" w:eastAsia="黑体"/>
                <w:snapToGrid w:val="0"/>
                <w:color w:val="auto"/>
                <w:spacing w:val="-6"/>
                <w:kern w:val="21"/>
                <w:szCs w:val="21"/>
              </w:rPr>
              <w:fldChar w:fldCharType="end"/>
            </w:r>
          </w:p>
        </w:tc>
        <w:tc>
          <w:tcPr>
            <w:tcW w:w="617" w:type="pct"/>
            <w:tcMar>
              <w:left w:w="28" w:type="dxa"/>
              <w:right w:w="28" w:type="dxa"/>
            </w:tcMar>
            <w:vAlign w:val="center"/>
          </w:tcPr>
          <w:p w14:paraId="2121AFD1">
            <w:pPr>
              <w:pStyle w:val="45"/>
              <w:spacing w:beforeLines="0" w:afterLines="0" w:line="240" w:lineRule="auto"/>
              <w:ind w:left="0" w:leftChars="0"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以新带老削减量</w:t>
            </w:r>
          </w:p>
          <w:p w14:paraId="2829E876">
            <w:pPr>
              <w:pStyle w:val="45"/>
              <w:spacing w:beforeLines="0" w:afterLines="0" w:line="240" w:lineRule="auto"/>
              <w:ind w:left="0" w:leftChars="0"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（新建项目不填）</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 = 5 \* GB3 \* MERGEFORMAT </w:instrText>
            </w:r>
            <w:r>
              <w:rPr>
                <w:rFonts w:ascii="Times New Roman" w:eastAsia="黑体"/>
                <w:snapToGrid w:val="0"/>
                <w:color w:val="auto"/>
                <w:spacing w:val="-16"/>
                <w:kern w:val="21"/>
                <w:szCs w:val="21"/>
              </w:rPr>
              <w:fldChar w:fldCharType="separate"/>
            </w:r>
            <w:r>
              <w:rPr>
                <w:rFonts w:ascii="Times New Roman" w:eastAsia="黑体"/>
                <w:color w:val="auto"/>
                <w:kern w:val="2"/>
                <w:szCs w:val="21"/>
              </w:rPr>
              <w:t>⑤</w:t>
            </w:r>
            <w:r>
              <w:rPr>
                <w:rFonts w:ascii="Times New Roman" w:eastAsia="黑体"/>
                <w:snapToGrid w:val="0"/>
                <w:color w:val="auto"/>
                <w:spacing w:val="-16"/>
                <w:kern w:val="21"/>
                <w:szCs w:val="21"/>
              </w:rPr>
              <w:fldChar w:fldCharType="end"/>
            </w:r>
          </w:p>
        </w:tc>
        <w:tc>
          <w:tcPr>
            <w:tcW w:w="691" w:type="pct"/>
            <w:tcMar>
              <w:left w:w="28" w:type="dxa"/>
              <w:right w:w="28" w:type="dxa"/>
            </w:tcMar>
            <w:vAlign w:val="center"/>
          </w:tcPr>
          <w:p w14:paraId="3314958F">
            <w:pPr>
              <w:pStyle w:val="45"/>
              <w:spacing w:beforeLines="0" w:afterLines="0" w:line="240" w:lineRule="auto"/>
              <w:ind w:left="0" w:leftChars="0"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本项目建成后</w:t>
            </w:r>
          </w:p>
          <w:p w14:paraId="4FAA2F33">
            <w:pPr>
              <w:pStyle w:val="45"/>
              <w:spacing w:beforeLines="0" w:afterLines="0" w:line="240" w:lineRule="auto"/>
              <w:ind w:left="0" w:leftChars="0"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全厂排放量（固体废物产生量）</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 = 6 \* GB3 \* MERGEFORMAT </w:instrText>
            </w:r>
            <w:r>
              <w:rPr>
                <w:rFonts w:ascii="Times New Roman" w:eastAsia="黑体"/>
                <w:snapToGrid w:val="0"/>
                <w:color w:val="auto"/>
                <w:spacing w:val="-16"/>
                <w:kern w:val="21"/>
                <w:szCs w:val="21"/>
              </w:rPr>
              <w:fldChar w:fldCharType="separate"/>
            </w:r>
            <w:r>
              <w:rPr>
                <w:rFonts w:ascii="Times New Roman" w:eastAsia="黑体"/>
                <w:color w:val="auto"/>
                <w:kern w:val="2"/>
                <w:szCs w:val="21"/>
              </w:rPr>
              <w:t>⑥</w:t>
            </w:r>
            <w:r>
              <w:rPr>
                <w:rFonts w:ascii="Times New Roman" w:eastAsia="黑体"/>
                <w:snapToGrid w:val="0"/>
                <w:color w:val="auto"/>
                <w:spacing w:val="-16"/>
                <w:kern w:val="21"/>
                <w:szCs w:val="21"/>
              </w:rPr>
              <w:fldChar w:fldCharType="end"/>
            </w:r>
          </w:p>
        </w:tc>
        <w:tc>
          <w:tcPr>
            <w:tcW w:w="473" w:type="pct"/>
            <w:tcMar>
              <w:left w:w="28" w:type="dxa"/>
              <w:right w:w="28" w:type="dxa"/>
            </w:tcMar>
            <w:vAlign w:val="center"/>
          </w:tcPr>
          <w:p w14:paraId="632F2789">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变化量</w:t>
            </w:r>
          </w:p>
          <w:p w14:paraId="31EC4163">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7 \* GB3 \* MERGEFORMAT </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⑦</w:t>
            </w:r>
            <w:r>
              <w:rPr>
                <w:rFonts w:ascii="Times New Roman" w:eastAsia="黑体"/>
                <w:snapToGrid w:val="0"/>
                <w:color w:val="auto"/>
                <w:spacing w:val="-6"/>
                <w:kern w:val="21"/>
                <w:szCs w:val="21"/>
              </w:rPr>
              <w:fldChar w:fldCharType="end"/>
            </w:r>
          </w:p>
        </w:tc>
      </w:tr>
      <w:tr w14:paraId="7B51E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97" w:type="pct"/>
            <w:vMerge w:val="restart"/>
            <w:vAlign w:val="center"/>
          </w:tcPr>
          <w:p w14:paraId="25A65838">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废气</w:t>
            </w:r>
          </w:p>
        </w:tc>
        <w:tc>
          <w:tcPr>
            <w:tcW w:w="708" w:type="pct"/>
            <w:vAlign w:val="center"/>
          </w:tcPr>
          <w:p w14:paraId="51B2D15F">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颗粒物</w:t>
            </w:r>
          </w:p>
        </w:tc>
        <w:tc>
          <w:tcPr>
            <w:tcW w:w="532" w:type="pct"/>
            <w:vAlign w:val="center"/>
          </w:tcPr>
          <w:p w14:paraId="1034C16F">
            <w:pPr>
              <w:pStyle w:val="45"/>
              <w:spacing w:beforeLines="0" w:afterLines="0" w:line="240" w:lineRule="auto"/>
              <w:ind w:left="0" w:leftChars="0" w:firstLine="0" w:firstLineChars="0"/>
              <w:rPr>
                <w:snapToGrid w:val="0"/>
                <w:color w:val="auto"/>
                <w:kern w:val="21"/>
                <w:szCs w:val="21"/>
              </w:rPr>
            </w:pPr>
            <w:r>
              <w:rPr>
                <w:rFonts w:ascii="Times New Roman"/>
                <w:snapToGrid w:val="0"/>
                <w:color w:val="auto"/>
                <w:kern w:val="21"/>
                <w:szCs w:val="21"/>
              </w:rPr>
              <w:t>/</w:t>
            </w:r>
          </w:p>
        </w:tc>
        <w:tc>
          <w:tcPr>
            <w:tcW w:w="440" w:type="pct"/>
            <w:vAlign w:val="center"/>
          </w:tcPr>
          <w:p w14:paraId="3DCA2857">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95" w:type="pct"/>
            <w:vAlign w:val="center"/>
          </w:tcPr>
          <w:p w14:paraId="269EE4B0">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42" w:type="pct"/>
            <w:vAlign w:val="center"/>
          </w:tcPr>
          <w:p w14:paraId="0645655B">
            <w:pPr>
              <w:widowControl/>
              <w:jc w:val="center"/>
              <w:rPr>
                <w:bCs/>
                <w:color w:val="auto"/>
                <w:szCs w:val="21"/>
              </w:rPr>
            </w:pPr>
            <w:r>
              <w:rPr>
                <w:rFonts w:hint="eastAsia"/>
                <w:color w:val="auto"/>
                <w:szCs w:val="21"/>
                <w:lang w:val="en-US" w:eastAsia="zh-CN"/>
              </w:rPr>
              <w:t>0.0962</w:t>
            </w:r>
            <w:r>
              <w:rPr>
                <w:color w:val="auto"/>
                <w:szCs w:val="21"/>
              </w:rPr>
              <w:t>t/a</w:t>
            </w:r>
          </w:p>
        </w:tc>
        <w:tc>
          <w:tcPr>
            <w:tcW w:w="617" w:type="pct"/>
            <w:vAlign w:val="center"/>
          </w:tcPr>
          <w:p w14:paraId="3D5D9251">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1944" w:type="dxa"/>
            <w:vAlign w:val="center"/>
          </w:tcPr>
          <w:p w14:paraId="046F6860">
            <w:pPr>
              <w:widowControl/>
              <w:jc w:val="center"/>
              <w:rPr>
                <w:rFonts w:ascii="Times New Roman" w:hAnsi="Times New Roman" w:eastAsia="宋体" w:cs="Times New Roman"/>
                <w:bCs/>
                <w:color w:val="auto"/>
                <w:kern w:val="2"/>
                <w:sz w:val="21"/>
                <w:szCs w:val="21"/>
                <w:lang w:val="en-US" w:eastAsia="zh-CN" w:bidi="ar-SA"/>
              </w:rPr>
            </w:pPr>
            <w:r>
              <w:rPr>
                <w:rFonts w:hint="eastAsia"/>
                <w:color w:val="auto"/>
                <w:szCs w:val="21"/>
                <w:lang w:val="en-US" w:eastAsia="zh-CN"/>
              </w:rPr>
              <w:t>0.0962</w:t>
            </w:r>
            <w:r>
              <w:rPr>
                <w:color w:val="auto"/>
                <w:szCs w:val="21"/>
              </w:rPr>
              <w:t>t/a</w:t>
            </w:r>
          </w:p>
        </w:tc>
        <w:tc>
          <w:tcPr>
            <w:tcW w:w="1331" w:type="dxa"/>
            <w:vAlign w:val="center"/>
          </w:tcPr>
          <w:p w14:paraId="3CDFEDB8">
            <w:pPr>
              <w:widowControl/>
              <w:jc w:val="center"/>
              <w:rPr>
                <w:rFonts w:ascii="Times New Roman" w:hAnsi="Times New Roman" w:eastAsia="宋体" w:cs="Times New Roman"/>
                <w:bCs/>
                <w:color w:val="auto"/>
                <w:kern w:val="2"/>
                <w:sz w:val="21"/>
                <w:szCs w:val="21"/>
                <w:lang w:val="en-US" w:eastAsia="zh-CN" w:bidi="ar-SA"/>
              </w:rPr>
            </w:pPr>
            <w:r>
              <w:rPr>
                <w:rFonts w:hint="eastAsia"/>
                <w:color w:val="auto"/>
                <w:szCs w:val="21"/>
                <w:lang w:val="en-US" w:eastAsia="zh-CN"/>
              </w:rPr>
              <w:t>+0.0962</w:t>
            </w:r>
            <w:r>
              <w:rPr>
                <w:color w:val="auto"/>
                <w:szCs w:val="21"/>
              </w:rPr>
              <w:t>t/a</w:t>
            </w:r>
          </w:p>
        </w:tc>
      </w:tr>
      <w:tr w14:paraId="49607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97" w:type="pct"/>
            <w:vMerge w:val="continue"/>
            <w:vAlign w:val="center"/>
          </w:tcPr>
          <w:p w14:paraId="5552B669">
            <w:pPr>
              <w:widowControl/>
              <w:jc w:val="center"/>
              <w:rPr>
                <w:color w:val="auto"/>
              </w:rPr>
            </w:pPr>
          </w:p>
        </w:tc>
        <w:tc>
          <w:tcPr>
            <w:tcW w:w="708" w:type="pct"/>
            <w:vAlign w:val="center"/>
          </w:tcPr>
          <w:p w14:paraId="38FE8F9D">
            <w:pPr>
              <w:widowControl/>
              <w:jc w:val="center"/>
              <w:rPr>
                <w:rFonts w:hint="default" w:ascii="Times New Roman" w:eastAsia="宋体"/>
                <w:snapToGrid w:val="0"/>
                <w:color w:val="auto"/>
                <w:kern w:val="21"/>
                <w:szCs w:val="21"/>
                <w:lang w:val="en-US" w:eastAsia="zh-CN"/>
              </w:rPr>
            </w:pPr>
            <w:r>
              <w:rPr>
                <w:rFonts w:hint="eastAsia"/>
                <w:snapToGrid w:val="0"/>
                <w:color w:val="auto"/>
                <w:kern w:val="21"/>
                <w:szCs w:val="21"/>
                <w:lang w:val="en-US" w:eastAsia="zh-CN"/>
              </w:rPr>
              <w:t>SO</w:t>
            </w:r>
            <w:r>
              <w:rPr>
                <w:rFonts w:hint="eastAsia"/>
                <w:snapToGrid w:val="0"/>
                <w:color w:val="auto"/>
                <w:kern w:val="21"/>
                <w:szCs w:val="21"/>
                <w:vertAlign w:val="subscript"/>
                <w:lang w:val="en-US" w:eastAsia="zh-CN"/>
              </w:rPr>
              <w:t>2</w:t>
            </w:r>
          </w:p>
        </w:tc>
        <w:tc>
          <w:tcPr>
            <w:tcW w:w="532" w:type="pct"/>
            <w:vAlign w:val="center"/>
          </w:tcPr>
          <w:p w14:paraId="77AD57A5">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440" w:type="pct"/>
            <w:vAlign w:val="center"/>
          </w:tcPr>
          <w:p w14:paraId="4771AC92">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95" w:type="pct"/>
            <w:vAlign w:val="center"/>
          </w:tcPr>
          <w:p w14:paraId="3119882E">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42" w:type="pct"/>
            <w:vAlign w:val="center"/>
          </w:tcPr>
          <w:p w14:paraId="556FC98A">
            <w:pPr>
              <w:widowControl/>
              <w:jc w:val="center"/>
              <w:rPr>
                <w:rFonts w:hint="default" w:ascii="Times New Roman" w:eastAsia="宋体"/>
                <w:snapToGrid w:val="0"/>
                <w:color w:val="auto"/>
                <w:kern w:val="21"/>
                <w:szCs w:val="21"/>
                <w:lang w:val="en-US" w:eastAsia="zh-CN"/>
              </w:rPr>
            </w:pPr>
            <w:r>
              <w:rPr>
                <w:rFonts w:hint="eastAsia"/>
                <w:snapToGrid w:val="0"/>
                <w:color w:val="auto"/>
                <w:kern w:val="21"/>
                <w:szCs w:val="21"/>
                <w:lang w:val="en-US" w:eastAsia="zh-CN"/>
              </w:rPr>
              <w:t>1.051</w:t>
            </w:r>
            <w:r>
              <w:rPr>
                <w:color w:val="auto"/>
                <w:szCs w:val="21"/>
              </w:rPr>
              <w:t>t/a</w:t>
            </w:r>
          </w:p>
        </w:tc>
        <w:tc>
          <w:tcPr>
            <w:tcW w:w="617" w:type="pct"/>
            <w:vAlign w:val="center"/>
          </w:tcPr>
          <w:p w14:paraId="5C96B9FB">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1944" w:type="dxa"/>
            <w:vAlign w:val="center"/>
          </w:tcPr>
          <w:p w14:paraId="2CDAF1EE">
            <w:pPr>
              <w:widowControl/>
              <w:jc w:val="center"/>
              <w:rPr>
                <w:rFonts w:hint="default"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1.051</w:t>
            </w:r>
            <w:r>
              <w:rPr>
                <w:color w:val="auto"/>
                <w:szCs w:val="21"/>
              </w:rPr>
              <w:t>t/a</w:t>
            </w:r>
          </w:p>
        </w:tc>
        <w:tc>
          <w:tcPr>
            <w:tcW w:w="1331" w:type="dxa"/>
            <w:vAlign w:val="center"/>
          </w:tcPr>
          <w:p w14:paraId="7024E82D">
            <w:pPr>
              <w:widowControl/>
              <w:jc w:val="center"/>
              <w:rPr>
                <w:rFonts w:hint="default"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+1.051</w:t>
            </w:r>
            <w:r>
              <w:rPr>
                <w:color w:val="auto"/>
                <w:szCs w:val="21"/>
              </w:rPr>
              <w:t>t/a</w:t>
            </w:r>
          </w:p>
        </w:tc>
      </w:tr>
      <w:tr w14:paraId="11F66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97" w:type="pct"/>
            <w:vMerge w:val="continue"/>
            <w:vAlign w:val="center"/>
          </w:tcPr>
          <w:p w14:paraId="16615572">
            <w:pPr>
              <w:widowControl/>
              <w:jc w:val="center"/>
              <w:rPr>
                <w:rFonts w:ascii="Times New Roman"/>
                <w:snapToGrid w:val="0"/>
                <w:color w:val="auto"/>
                <w:kern w:val="21"/>
                <w:szCs w:val="21"/>
              </w:rPr>
            </w:pPr>
          </w:p>
        </w:tc>
        <w:tc>
          <w:tcPr>
            <w:tcW w:w="708" w:type="pct"/>
            <w:vAlign w:val="center"/>
          </w:tcPr>
          <w:p w14:paraId="20746C4B">
            <w:pPr>
              <w:widowControl/>
              <w:jc w:val="center"/>
              <w:rPr>
                <w:rFonts w:hint="default" w:ascii="Times New Roman" w:eastAsia="宋体"/>
                <w:snapToGrid w:val="0"/>
                <w:color w:val="auto"/>
                <w:kern w:val="21"/>
                <w:szCs w:val="21"/>
                <w:lang w:val="en-US" w:eastAsia="zh-CN"/>
              </w:rPr>
            </w:pPr>
            <w:r>
              <w:rPr>
                <w:rFonts w:hint="eastAsia"/>
                <w:snapToGrid w:val="0"/>
                <w:color w:val="auto"/>
                <w:kern w:val="21"/>
                <w:szCs w:val="21"/>
                <w:lang w:val="en-US" w:eastAsia="zh-CN"/>
              </w:rPr>
              <w:t>NOx</w:t>
            </w:r>
          </w:p>
        </w:tc>
        <w:tc>
          <w:tcPr>
            <w:tcW w:w="532" w:type="pct"/>
            <w:vAlign w:val="center"/>
          </w:tcPr>
          <w:p w14:paraId="71DEAA7C">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440" w:type="pct"/>
            <w:vAlign w:val="center"/>
          </w:tcPr>
          <w:p w14:paraId="098ABE8B">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95" w:type="pct"/>
            <w:vAlign w:val="center"/>
          </w:tcPr>
          <w:p w14:paraId="2CE187CA">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42" w:type="pct"/>
            <w:vAlign w:val="center"/>
          </w:tcPr>
          <w:p w14:paraId="0FC58F7F">
            <w:pPr>
              <w:widowControl/>
              <w:jc w:val="center"/>
              <w:rPr>
                <w:rFonts w:ascii="Times New Roman"/>
                <w:snapToGrid w:val="0"/>
                <w:color w:val="auto"/>
                <w:kern w:val="21"/>
                <w:szCs w:val="21"/>
              </w:rPr>
            </w:pPr>
            <w:r>
              <w:rPr>
                <w:rFonts w:hint="eastAsia"/>
                <w:snapToGrid w:val="0"/>
                <w:color w:val="auto"/>
                <w:kern w:val="21"/>
                <w:szCs w:val="21"/>
                <w:lang w:val="en-US" w:eastAsia="zh-CN"/>
              </w:rPr>
              <w:t>1.261</w:t>
            </w:r>
            <w:r>
              <w:rPr>
                <w:color w:val="auto"/>
                <w:szCs w:val="21"/>
              </w:rPr>
              <w:t>t/a</w:t>
            </w:r>
          </w:p>
        </w:tc>
        <w:tc>
          <w:tcPr>
            <w:tcW w:w="617" w:type="pct"/>
            <w:vAlign w:val="center"/>
          </w:tcPr>
          <w:p w14:paraId="5D0BEECA">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1944" w:type="dxa"/>
            <w:vAlign w:val="center"/>
          </w:tcPr>
          <w:p w14:paraId="54BCF483">
            <w:pPr>
              <w:widowControl/>
              <w:jc w:val="center"/>
              <w:rPr>
                <w:rFonts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1.261</w:t>
            </w:r>
            <w:r>
              <w:rPr>
                <w:color w:val="auto"/>
                <w:szCs w:val="21"/>
              </w:rPr>
              <w:t>t/a</w:t>
            </w:r>
          </w:p>
        </w:tc>
        <w:tc>
          <w:tcPr>
            <w:tcW w:w="1331" w:type="dxa"/>
            <w:vAlign w:val="center"/>
          </w:tcPr>
          <w:p w14:paraId="029E3C9E">
            <w:pPr>
              <w:widowControl/>
              <w:jc w:val="center"/>
              <w:rPr>
                <w:rFonts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+1.261</w:t>
            </w:r>
            <w:r>
              <w:rPr>
                <w:color w:val="auto"/>
                <w:szCs w:val="21"/>
              </w:rPr>
              <w:t>t/a</w:t>
            </w:r>
          </w:p>
        </w:tc>
      </w:tr>
      <w:tr w14:paraId="55F4C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restart"/>
            <w:vAlign w:val="center"/>
          </w:tcPr>
          <w:p w14:paraId="5061C9CB">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废水</w:t>
            </w:r>
          </w:p>
        </w:tc>
        <w:tc>
          <w:tcPr>
            <w:tcW w:w="708" w:type="pct"/>
            <w:vAlign w:val="center"/>
          </w:tcPr>
          <w:p w14:paraId="35B35023">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COD</w:t>
            </w:r>
          </w:p>
        </w:tc>
        <w:tc>
          <w:tcPr>
            <w:tcW w:w="532" w:type="pct"/>
            <w:vAlign w:val="center"/>
          </w:tcPr>
          <w:p w14:paraId="71193933">
            <w:pPr>
              <w:pStyle w:val="45"/>
              <w:spacing w:beforeLines="0" w:afterLines="0" w:line="240" w:lineRule="auto"/>
              <w:ind w:left="0" w:leftChars="0" w:firstLine="0" w:firstLineChars="0"/>
              <w:rPr>
                <w:snapToGrid w:val="0"/>
                <w:color w:val="auto"/>
                <w:kern w:val="21"/>
                <w:szCs w:val="21"/>
              </w:rPr>
            </w:pPr>
            <w:r>
              <w:rPr>
                <w:rFonts w:ascii="Times New Roman"/>
                <w:snapToGrid w:val="0"/>
                <w:color w:val="auto"/>
                <w:kern w:val="21"/>
                <w:szCs w:val="21"/>
              </w:rPr>
              <w:t>/</w:t>
            </w:r>
          </w:p>
        </w:tc>
        <w:tc>
          <w:tcPr>
            <w:tcW w:w="440" w:type="pct"/>
            <w:vAlign w:val="center"/>
          </w:tcPr>
          <w:p w14:paraId="6D7018AA">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95" w:type="pct"/>
            <w:vAlign w:val="center"/>
          </w:tcPr>
          <w:p w14:paraId="194D23EE">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42" w:type="pct"/>
            <w:vAlign w:val="center"/>
          </w:tcPr>
          <w:p w14:paraId="5E2C2215">
            <w:pPr>
              <w:pStyle w:val="45"/>
              <w:spacing w:beforeLines="0" w:afterLines="0" w:line="240" w:lineRule="auto"/>
              <w:ind w:left="0" w:leftChars="0" w:firstLine="0" w:firstLineChars="0"/>
              <w:rPr>
                <w:rFonts w:hint="default"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617" w:type="pct"/>
            <w:vAlign w:val="center"/>
          </w:tcPr>
          <w:p w14:paraId="1912CE5D">
            <w:pPr>
              <w:pStyle w:val="45"/>
              <w:spacing w:beforeLines="0" w:afterLines="0" w:line="240" w:lineRule="auto"/>
              <w:ind w:left="0" w:leftChars="0" w:firstLine="0" w:firstLineChars="0"/>
              <w:rPr>
                <w:rFonts w:hint="default"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691" w:type="pct"/>
            <w:vAlign w:val="center"/>
          </w:tcPr>
          <w:p w14:paraId="75C0F9E6">
            <w:pPr>
              <w:pStyle w:val="45"/>
              <w:spacing w:beforeLines="0" w:afterLines="0" w:line="240" w:lineRule="auto"/>
              <w:ind w:left="0" w:leftChars="0" w:firstLine="0" w:firstLineChars="0"/>
              <w:rPr>
                <w:rFonts w:hint="default"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73" w:type="pct"/>
            <w:vAlign w:val="center"/>
          </w:tcPr>
          <w:p w14:paraId="74D8EAD8">
            <w:pPr>
              <w:pStyle w:val="45"/>
              <w:spacing w:beforeLines="0" w:afterLines="0" w:line="240" w:lineRule="auto"/>
              <w:ind w:left="0" w:leftChars="0" w:firstLine="0" w:firstLineChars="0"/>
              <w:rPr>
                <w:rFonts w:hint="default"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r>
      <w:tr w14:paraId="0390F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vAlign w:val="center"/>
          </w:tcPr>
          <w:p w14:paraId="7E25CE42">
            <w:pPr>
              <w:pStyle w:val="45"/>
              <w:spacing w:beforeLines="0" w:afterLines="0" w:line="240" w:lineRule="auto"/>
              <w:ind w:left="0" w:leftChars="0" w:firstLine="0" w:firstLineChars="0"/>
              <w:rPr>
                <w:rFonts w:ascii="Times New Roman"/>
                <w:snapToGrid w:val="0"/>
                <w:color w:val="auto"/>
                <w:kern w:val="21"/>
                <w:szCs w:val="21"/>
              </w:rPr>
            </w:pPr>
          </w:p>
        </w:tc>
        <w:tc>
          <w:tcPr>
            <w:tcW w:w="708" w:type="pct"/>
            <w:vAlign w:val="center"/>
          </w:tcPr>
          <w:p w14:paraId="3560D165">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氨氮</w:t>
            </w:r>
          </w:p>
        </w:tc>
        <w:tc>
          <w:tcPr>
            <w:tcW w:w="532" w:type="pct"/>
            <w:vAlign w:val="center"/>
          </w:tcPr>
          <w:p w14:paraId="4F594214">
            <w:pPr>
              <w:pStyle w:val="45"/>
              <w:spacing w:beforeLines="0" w:afterLines="0" w:line="240" w:lineRule="auto"/>
              <w:ind w:left="0" w:leftChars="0" w:firstLine="0" w:firstLineChars="0"/>
              <w:rPr>
                <w:snapToGrid w:val="0"/>
                <w:color w:val="auto"/>
                <w:kern w:val="21"/>
                <w:szCs w:val="21"/>
              </w:rPr>
            </w:pPr>
            <w:r>
              <w:rPr>
                <w:rFonts w:ascii="Times New Roman"/>
                <w:snapToGrid w:val="0"/>
                <w:color w:val="auto"/>
                <w:kern w:val="21"/>
                <w:szCs w:val="21"/>
              </w:rPr>
              <w:t>/</w:t>
            </w:r>
          </w:p>
        </w:tc>
        <w:tc>
          <w:tcPr>
            <w:tcW w:w="440" w:type="pct"/>
            <w:vAlign w:val="center"/>
          </w:tcPr>
          <w:p w14:paraId="1A7A73CB">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95" w:type="pct"/>
            <w:vAlign w:val="center"/>
          </w:tcPr>
          <w:p w14:paraId="636983B9">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42" w:type="pct"/>
            <w:vAlign w:val="center"/>
          </w:tcPr>
          <w:p w14:paraId="4E82E28D">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17" w:type="pct"/>
            <w:vAlign w:val="center"/>
          </w:tcPr>
          <w:p w14:paraId="219A1B2D">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91" w:type="pct"/>
            <w:vAlign w:val="center"/>
          </w:tcPr>
          <w:p w14:paraId="54CA5882">
            <w:pPr>
              <w:pStyle w:val="45"/>
              <w:spacing w:beforeLines="0" w:afterLines="0" w:line="240" w:lineRule="auto"/>
              <w:ind w:left="0" w:leftChars="0" w:firstLine="0" w:firstLineChars="0"/>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73" w:type="pct"/>
            <w:vAlign w:val="center"/>
          </w:tcPr>
          <w:p w14:paraId="4BDD5641">
            <w:pPr>
              <w:pStyle w:val="45"/>
              <w:spacing w:beforeLines="0" w:afterLines="0" w:line="240" w:lineRule="auto"/>
              <w:ind w:left="0" w:leftChars="0" w:firstLine="0" w:firstLineChars="0"/>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r>
      <w:tr w14:paraId="31427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97" w:type="pct"/>
            <w:vMerge w:val="restart"/>
            <w:vAlign w:val="center"/>
          </w:tcPr>
          <w:p w14:paraId="0EE78AED">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一般工业</w:t>
            </w:r>
          </w:p>
          <w:p w14:paraId="66D72A40">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固体废物</w:t>
            </w:r>
          </w:p>
        </w:tc>
        <w:tc>
          <w:tcPr>
            <w:tcW w:w="708" w:type="pct"/>
            <w:vAlign w:val="center"/>
          </w:tcPr>
          <w:p w14:paraId="11475B97">
            <w:pPr>
              <w:jc w:val="center"/>
              <w:rPr>
                <w:rFonts w:ascii="Times New Roman" w:hAnsi="Times New Roman" w:eastAsia="宋体" w:cs="Times New Roman"/>
                <w:color w:val="auto"/>
                <w:kern w:val="2"/>
                <w:sz w:val="21"/>
                <w:szCs w:val="21"/>
                <w:lang w:val="en-US" w:eastAsia="zh-CN" w:bidi="ar-SA"/>
              </w:rPr>
            </w:pPr>
            <w:r>
              <w:rPr>
                <w:color w:val="auto"/>
                <w:szCs w:val="21"/>
              </w:rPr>
              <w:t>生活垃圾</w:t>
            </w:r>
          </w:p>
        </w:tc>
        <w:tc>
          <w:tcPr>
            <w:tcW w:w="532" w:type="pct"/>
            <w:vAlign w:val="center"/>
          </w:tcPr>
          <w:p w14:paraId="73D08998">
            <w:pPr>
              <w:pStyle w:val="45"/>
              <w:spacing w:beforeLines="0" w:afterLines="0" w:line="240" w:lineRule="auto"/>
              <w:ind w:left="0" w:leftChars="0" w:firstLine="0" w:firstLineChars="0"/>
              <w:rPr>
                <w:snapToGrid w:val="0"/>
                <w:color w:val="auto"/>
                <w:kern w:val="21"/>
                <w:szCs w:val="21"/>
              </w:rPr>
            </w:pPr>
            <w:r>
              <w:rPr>
                <w:rFonts w:ascii="Times New Roman"/>
                <w:snapToGrid w:val="0"/>
                <w:color w:val="auto"/>
                <w:kern w:val="21"/>
                <w:szCs w:val="21"/>
              </w:rPr>
              <w:t>/</w:t>
            </w:r>
          </w:p>
        </w:tc>
        <w:tc>
          <w:tcPr>
            <w:tcW w:w="440" w:type="pct"/>
            <w:vAlign w:val="center"/>
          </w:tcPr>
          <w:p w14:paraId="787B8BB2">
            <w:pPr>
              <w:adjustRightInd w:val="0"/>
              <w:snapToGrid w:val="0"/>
              <w:jc w:val="center"/>
              <w:rPr>
                <w:snapToGrid w:val="0"/>
                <w:color w:val="auto"/>
                <w:kern w:val="21"/>
                <w:szCs w:val="21"/>
              </w:rPr>
            </w:pPr>
            <w:r>
              <w:rPr>
                <w:snapToGrid w:val="0"/>
                <w:color w:val="auto"/>
                <w:kern w:val="21"/>
                <w:szCs w:val="21"/>
              </w:rPr>
              <w:t>/</w:t>
            </w:r>
          </w:p>
        </w:tc>
        <w:tc>
          <w:tcPr>
            <w:tcW w:w="595" w:type="pct"/>
            <w:vAlign w:val="center"/>
          </w:tcPr>
          <w:p w14:paraId="3E025E26">
            <w:pPr>
              <w:adjustRightInd w:val="0"/>
              <w:snapToGrid w:val="0"/>
              <w:jc w:val="center"/>
              <w:rPr>
                <w:snapToGrid w:val="0"/>
                <w:color w:val="auto"/>
                <w:kern w:val="21"/>
                <w:szCs w:val="21"/>
              </w:rPr>
            </w:pPr>
            <w:r>
              <w:rPr>
                <w:snapToGrid w:val="0"/>
                <w:color w:val="auto"/>
                <w:kern w:val="21"/>
                <w:szCs w:val="21"/>
              </w:rPr>
              <w:t>/</w:t>
            </w:r>
          </w:p>
        </w:tc>
        <w:tc>
          <w:tcPr>
            <w:tcW w:w="542" w:type="pct"/>
            <w:vAlign w:val="center"/>
          </w:tcPr>
          <w:p w14:paraId="36324F03">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color w:val="auto"/>
                <w:szCs w:val="21"/>
              </w:rPr>
              <w:t>t/a</w:t>
            </w:r>
          </w:p>
        </w:tc>
        <w:tc>
          <w:tcPr>
            <w:tcW w:w="617" w:type="pct"/>
            <w:vAlign w:val="center"/>
          </w:tcPr>
          <w:p w14:paraId="106AD11A">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91" w:type="pct"/>
            <w:vAlign w:val="center"/>
          </w:tcPr>
          <w:p w14:paraId="09462D71">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color w:val="auto"/>
                <w:szCs w:val="21"/>
              </w:rPr>
              <w:t>t/a</w:t>
            </w:r>
          </w:p>
        </w:tc>
        <w:tc>
          <w:tcPr>
            <w:tcW w:w="473" w:type="pct"/>
            <w:vAlign w:val="center"/>
          </w:tcPr>
          <w:p w14:paraId="6B491F9F">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color w:val="auto"/>
                <w:szCs w:val="21"/>
              </w:rPr>
              <w:t>t/a</w:t>
            </w:r>
          </w:p>
        </w:tc>
      </w:tr>
      <w:tr w14:paraId="5B2FE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97" w:type="pct"/>
            <w:vMerge w:val="continue"/>
            <w:vAlign w:val="center"/>
          </w:tcPr>
          <w:p w14:paraId="5822A6AE">
            <w:pPr>
              <w:adjustRightInd w:val="0"/>
              <w:snapToGrid w:val="0"/>
              <w:jc w:val="center"/>
              <w:rPr>
                <w:color w:val="auto"/>
              </w:rPr>
            </w:pPr>
          </w:p>
        </w:tc>
        <w:tc>
          <w:tcPr>
            <w:tcW w:w="708" w:type="pct"/>
            <w:vAlign w:val="center"/>
          </w:tcPr>
          <w:p w14:paraId="551A22E9">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布袋除尘器收尘</w:t>
            </w:r>
          </w:p>
        </w:tc>
        <w:tc>
          <w:tcPr>
            <w:tcW w:w="532" w:type="pct"/>
            <w:vAlign w:val="center"/>
          </w:tcPr>
          <w:p w14:paraId="4BA299BA">
            <w:pPr>
              <w:pStyle w:val="45"/>
              <w:spacing w:beforeLines="0" w:afterLines="0" w:line="240" w:lineRule="auto"/>
              <w:ind w:left="0" w:leftChars="0" w:firstLine="0" w:firstLineChars="0"/>
              <w:rPr>
                <w:color w:val="auto"/>
                <w:szCs w:val="21"/>
              </w:rPr>
            </w:pPr>
            <w:r>
              <w:rPr>
                <w:rFonts w:ascii="Times New Roman"/>
                <w:snapToGrid w:val="0"/>
                <w:color w:val="auto"/>
                <w:kern w:val="21"/>
                <w:szCs w:val="21"/>
              </w:rPr>
              <w:t>/</w:t>
            </w:r>
          </w:p>
        </w:tc>
        <w:tc>
          <w:tcPr>
            <w:tcW w:w="440" w:type="pct"/>
            <w:vAlign w:val="center"/>
          </w:tcPr>
          <w:p w14:paraId="0A15695D">
            <w:pPr>
              <w:adjustRightInd w:val="0"/>
              <w:snapToGrid w:val="0"/>
              <w:jc w:val="center"/>
              <w:rPr>
                <w:color w:val="auto"/>
                <w:szCs w:val="21"/>
              </w:rPr>
            </w:pPr>
            <w:r>
              <w:rPr>
                <w:snapToGrid w:val="0"/>
                <w:color w:val="auto"/>
                <w:kern w:val="21"/>
                <w:szCs w:val="21"/>
              </w:rPr>
              <w:t>/</w:t>
            </w:r>
          </w:p>
        </w:tc>
        <w:tc>
          <w:tcPr>
            <w:tcW w:w="595" w:type="pct"/>
            <w:vAlign w:val="center"/>
          </w:tcPr>
          <w:p w14:paraId="0EA3D72C">
            <w:pPr>
              <w:adjustRightInd w:val="0"/>
              <w:snapToGrid w:val="0"/>
              <w:jc w:val="center"/>
              <w:rPr>
                <w:color w:val="auto"/>
                <w:szCs w:val="21"/>
              </w:rPr>
            </w:pPr>
            <w:r>
              <w:rPr>
                <w:snapToGrid w:val="0"/>
                <w:color w:val="auto"/>
                <w:kern w:val="21"/>
                <w:szCs w:val="21"/>
              </w:rPr>
              <w:t>/</w:t>
            </w:r>
          </w:p>
        </w:tc>
        <w:tc>
          <w:tcPr>
            <w:tcW w:w="542" w:type="pct"/>
            <w:vAlign w:val="center"/>
          </w:tcPr>
          <w:p w14:paraId="7D51C331">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9.5218</w:t>
            </w:r>
            <w:r>
              <w:rPr>
                <w:color w:val="auto"/>
                <w:szCs w:val="21"/>
              </w:rPr>
              <w:t>t/a</w:t>
            </w:r>
          </w:p>
        </w:tc>
        <w:tc>
          <w:tcPr>
            <w:tcW w:w="617" w:type="pct"/>
            <w:vAlign w:val="center"/>
          </w:tcPr>
          <w:p w14:paraId="12F71FCE">
            <w:pPr>
              <w:adjustRightInd w:val="0"/>
              <w:snapToGrid w:val="0"/>
              <w:jc w:val="center"/>
              <w:rPr>
                <w:color w:val="auto"/>
                <w:szCs w:val="21"/>
              </w:rPr>
            </w:pPr>
            <w:r>
              <w:rPr>
                <w:snapToGrid w:val="0"/>
                <w:color w:val="auto"/>
                <w:kern w:val="21"/>
                <w:szCs w:val="21"/>
              </w:rPr>
              <w:t>/</w:t>
            </w:r>
          </w:p>
        </w:tc>
        <w:tc>
          <w:tcPr>
            <w:tcW w:w="691" w:type="pct"/>
            <w:vAlign w:val="center"/>
          </w:tcPr>
          <w:p w14:paraId="21EDEC24">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9.5218</w:t>
            </w:r>
            <w:r>
              <w:rPr>
                <w:color w:val="auto"/>
                <w:szCs w:val="21"/>
              </w:rPr>
              <w:t>t/a</w:t>
            </w:r>
          </w:p>
        </w:tc>
        <w:tc>
          <w:tcPr>
            <w:tcW w:w="473" w:type="pct"/>
            <w:vAlign w:val="center"/>
          </w:tcPr>
          <w:p w14:paraId="03A428F9">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+9.5218</w:t>
            </w:r>
            <w:r>
              <w:rPr>
                <w:color w:val="auto"/>
                <w:szCs w:val="21"/>
              </w:rPr>
              <w:t>t/a</w:t>
            </w:r>
          </w:p>
        </w:tc>
      </w:tr>
      <w:tr w14:paraId="74259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97" w:type="pct"/>
            <w:vMerge w:val="continue"/>
            <w:vAlign w:val="center"/>
          </w:tcPr>
          <w:p w14:paraId="021EF3A2">
            <w:pPr>
              <w:pStyle w:val="45"/>
              <w:spacing w:beforeLines="0" w:afterLines="0" w:line="240" w:lineRule="auto"/>
              <w:ind w:left="0" w:leftChars="0" w:firstLine="0" w:firstLineChars="0"/>
              <w:rPr>
                <w:rFonts w:ascii="Times New Roman"/>
                <w:snapToGrid w:val="0"/>
                <w:color w:val="auto"/>
                <w:kern w:val="21"/>
                <w:szCs w:val="21"/>
              </w:rPr>
            </w:pPr>
          </w:p>
        </w:tc>
        <w:tc>
          <w:tcPr>
            <w:tcW w:w="708" w:type="pct"/>
            <w:vAlign w:val="center"/>
          </w:tcPr>
          <w:p w14:paraId="06247A0C">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边角料</w:t>
            </w:r>
          </w:p>
        </w:tc>
        <w:tc>
          <w:tcPr>
            <w:tcW w:w="532" w:type="pct"/>
            <w:vAlign w:val="center"/>
          </w:tcPr>
          <w:p w14:paraId="55409BC8">
            <w:pPr>
              <w:pStyle w:val="45"/>
              <w:spacing w:beforeLines="0" w:afterLines="0" w:line="240" w:lineRule="auto"/>
              <w:ind w:left="0" w:leftChars="0" w:firstLine="0" w:firstLineChars="0"/>
              <w:rPr>
                <w:rFonts w:hint="eastAsia" w:eastAsia="宋体"/>
                <w:snapToGrid w:val="0"/>
                <w:color w:val="auto"/>
                <w:kern w:val="21"/>
                <w:szCs w:val="21"/>
                <w:highlight w:val="yellow"/>
                <w:lang w:eastAsia="zh-CN"/>
              </w:rPr>
            </w:pPr>
            <w:r>
              <w:rPr>
                <w:rFonts w:ascii="Times New Roman"/>
                <w:snapToGrid w:val="0"/>
                <w:color w:val="auto"/>
                <w:kern w:val="21"/>
                <w:szCs w:val="21"/>
              </w:rPr>
              <w:t>/</w:t>
            </w:r>
          </w:p>
        </w:tc>
        <w:tc>
          <w:tcPr>
            <w:tcW w:w="440" w:type="pct"/>
            <w:vAlign w:val="center"/>
          </w:tcPr>
          <w:p w14:paraId="55C71B75">
            <w:pPr>
              <w:adjustRightInd w:val="0"/>
              <w:snapToGrid w:val="0"/>
              <w:jc w:val="center"/>
              <w:rPr>
                <w:snapToGrid w:val="0"/>
                <w:color w:val="auto"/>
                <w:kern w:val="21"/>
                <w:szCs w:val="21"/>
              </w:rPr>
            </w:pPr>
            <w:r>
              <w:rPr>
                <w:snapToGrid w:val="0"/>
                <w:color w:val="auto"/>
                <w:kern w:val="21"/>
                <w:szCs w:val="21"/>
              </w:rPr>
              <w:t>/</w:t>
            </w:r>
          </w:p>
        </w:tc>
        <w:tc>
          <w:tcPr>
            <w:tcW w:w="595" w:type="pct"/>
            <w:vAlign w:val="center"/>
          </w:tcPr>
          <w:p w14:paraId="3EC7A619">
            <w:pPr>
              <w:pStyle w:val="45"/>
              <w:spacing w:beforeLines="0" w:afterLines="0" w:line="240" w:lineRule="auto"/>
              <w:ind w:left="0" w:leftChars="0" w:firstLine="0" w:firstLineChars="0"/>
              <w:rPr>
                <w:snapToGrid w:val="0"/>
                <w:color w:val="auto"/>
                <w:kern w:val="21"/>
                <w:szCs w:val="21"/>
              </w:rPr>
            </w:pPr>
            <w:r>
              <w:rPr>
                <w:rFonts w:ascii="Times New Roman"/>
                <w:snapToGrid w:val="0"/>
                <w:color w:val="auto"/>
                <w:kern w:val="21"/>
                <w:szCs w:val="21"/>
              </w:rPr>
              <w:t>/</w:t>
            </w:r>
          </w:p>
        </w:tc>
        <w:tc>
          <w:tcPr>
            <w:tcW w:w="542" w:type="pct"/>
            <w:vAlign w:val="center"/>
          </w:tcPr>
          <w:p w14:paraId="3E5182F3">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color w:val="auto"/>
                <w:szCs w:val="21"/>
              </w:rPr>
              <w:t>t/a</w:t>
            </w:r>
          </w:p>
        </w:tc>
        <w:tc>
          <w:tcPr>
            <w:tcW w:w="617" w:type="pct"/>
            <w:vAlign w:val="center"/>
          </w:tcPr>
          <w:p w14:paraId="7439EECA">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91" w:type="pct"/>
            <w:vAlign w:val="center"/>
          </w:tcPr>
          <w:p w14:paraId="251CFCD8">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color w:val="auto"/>
                <w:szCs w:val="21"/>
              </w:rPr>
              <w:t>t/a</w:t>
            </w:r>
          </w:p>
        </w:tc>
        <w:tc>
          <w:tcPr>
            <w:tcW w:w="473" w:type="pct"/>
            <w:vAlign w:val="center"/>
          </w:tcPr>
          <w:p w14:paraId="65F2F96E">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color w:val="auto"/>
                <w:szCs w:val="21"/>
              </w:rPr>
              <w:t>t/a</w:t>
            </w:r>
          </w:p>
        </w:tc>
      </w:tr>
      <w:tr w14:paraId="43DAB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97" w:type="pct"/>
            <w:vMerge w:val="continue"/>
            <w:vAlign w:val="center"/>
          </w:tcPr>
          <w:p w14:paraId="60EB6D2E">
            <w:pPr>
              <w:jc w:val="center"/>
              <w:rPr>
                <w:color w:val="auto"/>
              </w:rPr>
            </w:pPr>
          </w:p>
        </w:tc>
        <w:tc>
          <w:tcPr>
            <w:tcW w:w="708" w:type="pct"/>
            <w:vAlign w:val="center"/>
          </w:tcPr>
          <w:p w14:paraId="602D6B8B">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炉渣</w:t>
            </w:r>
          </w:p>
        </w:tc>
        <w:tc>
          <w:tcPr>
            <w:tcW w:w="532" w:type="pct"/>
            <w:vAlign w:val="center"/>
          </w:tcPr>
          <w:p w14:paraId="45F10CEA">
            <w:pPr>
              <w:pStyle w:val="45"/>
              <w:spacing w:beforeLines="0" w:afterLines="0" w:line="240" w:lineRule="auto"/>
              <w:ind w:left="0" w:leftChars="0" w:firstLine="0" w:firstLineChars="0"/>
              <w:rPr>
                <w:rFonts w:hint="eastAsia"/>
                <w:color w:val="auto"/>
                <w:szCs w:val="21"/>
              </w:rPr>
            </w:pPr>
            <w:r>
              <w:rPr>
                <w:rFonts w:ascii="Times New Roman"/>
                <w:snapToGrid w:val="0"/>
                <w:color w:val="auto"/>
                <w:kern w:val="21"/>
                <w:szCs w:val="21"/>
              </w:rPr>
              <w:t>/</w:t>
            </w:r>
          </w:p>
        </w:tc>
        <w:tc>
          <w:tcPr>
            <w:tcW w:w="440" w:type="pct"/>
            <w:vAlign w:val="center"/>
          </w:tcPr>
          <w:p w14:paraId="50B7B516">
            <w:pPr>
              <w:adjustRightInd w:val="0"/>
              <w:snapToGrid w:val="0"/>
              <w:jc w:val="center"/>
              <w:rPr>
                <w:rFonts w:hint="eastAsia"/>
                <w:color w:val="auto"/>
                <w:szCs w:val="21"/>
              </w:rPr>
            </w:pPr>
            <w:r>
              <w:rPr>
                <w:snapToGrid w:val="0"/>
                <w:color w:val="auto"/>
                <w:kern w:val="21"/>
                <w:szCs w:val="21"/>
              </w:rPr>
              <w:t>/</w:t>
            </w:r>
          </w:p>
        </w:tc>
        <w:tc>
          <w:tcPr>
            <w:tcW w:w="595" w:type="pct"/>
            <w:vAlign w:val="center"/>
          </w:tcPr>
          <w:p w14:paraId="5CEBA498">
            <w:pPr>
              <w:pStyle w:val="45"/>
              <w:spacing w:beforeLines="0" w:afterLines="0" w:line="240" w:lineRule="auto"/>
              <w:ind w:left="0" w:leftChars="0" w:firstLine="0" w:firstLineChars="0"/>
              <w:rPr>
                <w:rFonts w:hint="eastAsia"/>
                <w:color w:val="auto"/>
                <w:szCs w:val="21"/>
              </w:rPr>
            </w:pPr>
            <w:r>
              <w:rPr>
                <w:rFonts w:ascii="Times New Roman"/>
                <w:snapToGrid w:val="0"/>
                <w:color w:val="auto"/>
                <w:kern w:val="21"/>
                <w:szCs w:val="21"/>
              </w:rPr>
              <w:t>/</w:t>
            </w:r>
          </w:p>
        </w:tc>
        <w:tc>
          <w:tcPr>
            <w:tcW w:w="542" w:type="pct"/>
            <w:vAlign w:val="center"/>
          </w:tcPr>
          <w:p w14:paraId="46F27DFD">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37.1</w:t>
            </w:r>
            <w:r>
              <w:rPr>
                <w:color w:val="auto"/>
                <w:szCs w:val="21"/>
              </w:rPr>
              <w:t>t/a</w:t>
            </w:r>
          </w:p>
        </w:tc>
        <w:tc>
          <w:tcPr>
            <w:tcW w:w="617" w:type="pct"/>
            <w:vAlign w:val="center"/>
          </w:tcPr>
          <w:p w14:paraId="6DA2B5DD">
            <w:pPr>
              <w:adjustRightInd w:val="0"/>
              <w:snapToGrid w:val="0"/>
              <w:jc w:val="center"/>
              <w:rPr>
                <w:rFonts w:hint="eastAsia"/>
                <w:color w:val="auto"/>
                <w:szCs w:val="21"/>
              </w:rPr>
            </w:pPr>
            <w:r>
              <w:rPr>
                <w:snapToGrid w:val="0"/>
                <w:color w:val="auto"/>
                <w:kern w:val="21"/>
                <w:szCs w:val="21"/>
              </w:rPr>
              <w:t>/</w:t>
            </w:r>
          </w:p>
        </w:tc>
        <w:tc>
          <w:tcPr>
            <w:tcW w:w="691" w:type="pct"/>
            <w:vAlign w:val="center"/>
          </w:tcPr>
          <w:p w14:paraId="19206D29">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37.1</w:t>
            </w:r>
            <w:r>
              <w:rPr>
                <w:color w:val="auto"/>
                <w:szCs w:val="21"/>
              </w:rPr>
              <w:t>t/a</w:t>
            </w:r>
          </w:p>
        </w:tc>
        <w:tc>
          <w:tcPr>
            <w:tcW w:w="473" w:type="pct"/>
            <w:vAlign w:val="center"/>
          </w:tcPr>
          <w:p w14:paraId="4245C961">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w:t>
            </w:r>
            <w:r>
              <w:rPr>
                <w:rFonts w:hint="eastAsia" w:cs="Times New Roman"/>
                <w:color w:val="auto"/>
                <w:lang w:val="en-US" w:eastAsia="zh-CN"/>
              </w:rPr>
              <w:t>37.1</w:t>
            </w:r>
            <w:r>
              <w:rPr>
                <w:color w:val="auto"/>
                <w:szCs w:val="21"/>
              </w:rPr>
              <w:t>t/a</w:t>
            </w:r>
          </w:p>
        </w:tc>
      </w:tr>
      <w:tr w14:paraId="72887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97" w:type="pct"/>
            <w:vMerge w:val="continue"/>
            <w:vAlign w:val="center"/>
          </w:tcPr>
          <w:p w14:paraId="0616A703">
            <w:pPr>
              <w:jc w:val="center"/>
              <w:rPr>
                <w:color w:val="auto"/>
              </w:rPr>
            </w:pPr>
          </w:p>
        </w:tc>
        <w:tc>
          <w:tcPr>
            <w:tcW w:w="708" w:type="pct"/>
            <w:vAlign w:val="center"/>
          </w:tcPr>
          <w:p w14:paraId="43FEC17A">
            <w:pPr>
              <w:jc w:val="center"/>
              <w:rPr>
                <w:rFonts w:hint="eastAsia" w:eastAsia="宋体"/>
                <w:color w:val="auto"/>
                <w:lang w:val="en-US" w:eastAsia="zh-CN"/>
              </w:rPr>
            </w:pPr>
            <w:r>
              <w:rPr>
                <w:rFonts w:hint="eastAsia"/>
                <w:color w:val="auto"/>
                <w:lang w:val="en-US" w:eastAsia="zh-CN"/>
              </w:rPr>
              <w:t>废树脂</w:t>
            </w:r>
          </w:p>
        </w:tc>
        <w:tc>
          <w:tcPr>
            <w:tcW w:w="532" w:type="pct"/>
            <w:shd w:val="clear" w:color="auto" w:fill="auto"/>
            <w:vAlign w:val="center"/>
          </w:tcPr>
          <w:p w14:paraId="31C08D65">
            <w:pPr>
              <w:pStyle w:val="45"/>
              <w:spacing w:beforeLines="0" w:afterLines="0" w:line="240" w:lineRule="auto"/>
              <w:ind w:left="0" w:leftChars="0" w:firstLine="0" w:firstLineChars="0"/>
              <w:rPr>
                <w:rFonts w:hint="eastAsia" w:ascii="宋体" w:hAnsi="Times New Roman" w:eastAsia="宋体" w:cs="Times New Roman"/>
                <w:color w:val="auto"/>
                <w:kern w:val="0"/>
                <w:sz w:val="21"/>
                <w:szCs w:val="21"/>
                <w:lang w:val="en-US" w:eastAsia="zh-CN" w:bidi="ar-SA"/>
              </w:rPr>
            </w:pPr>
            <w:r>
              <w:rPr>
                <w:rFonts w:ascii="Times New Roman"/>
                <w:snapToGrid w:val="0"/>
                <w:color w:val="auto"/>
                <w:kern w:val="21"/>
                <w:szCs w:val="21"/>
              </w:rPr>
              <w:t>/</w:t>
            </w:r>
          </w:p>
        </w:tc>
        <w:tc>
          <w:tcPr>
            <w:tcW w:w="440" w:type="pct"/>
            <w:shd w:val="clear" w:color="auto" w:fill="auto"/>
            <w:vAlign w:val="center"/>
          </w:tcPr>
          <w:p w14:paraId="589DBB91">
            <w:pPr>
              <w:adjustRightInd w:val="0"/>
              <w:snapToGrid w:val="0"/>
              <w:jc w:val="center"/>
              <w:rPr>
                <w:rFonts w:hint="eastAsia" w:ascii="Times New Roman" w:hAnsi="Times New Roman" w:eastAsia="宋体" w:cs="Times New Roman"/>
                <w:color w:val="auto"/>
                <w:kern w:val="2"/>
                <w:sz w:val="21"/>
                <w:szCs w:val="21"/>
                <w:lang w:val="en-US" w:eastAsia="zh-CN" w:bidi="ar-SA"/>
              </w:rPr>
            </w:pPr>
            <w:r>
              <w:rPr>
                <w:snapToGrid w:val="0"/>
                <w:color w:val="auto"/>
                <w:kern w:val="21"/>
                <w:szCs w:val="21"/>
              </w:rPr>
              <w:t>/</w:t>
            </w:r>
          </w:p>
        </w:tc>
        <w:tc>
          <w:tcPr>
            <w:tcW w:w="595" w:type="pct"/>
            <w:shd w:val="clear" w:color="auto" w:fill="auto"/>
            <w:vAlign w:val="center"/>
          </w:tcPr>
          <w:p w14:paraId="05BAD7D0">
            <w:pPr>
              <w:pStyle w:val="45"/>
              <w:spacing w:beforeLines="0" w:afterLines="0" w:line="240" w:lineRule="auto"/>
              <w:ind w:left="0" w:leftChars="0" w:firstLine="0" w:firstLineChars="0"/>
              <w:rPr>
                <w:rFonts w:hint="eastAsia" w:ascii="宋体" w:hAnsi="Times New Roman" w:eastAsia="宋体" w:cs="Times New Roman"/>
                <w:color w:val="auto"/>
                <w:kern w:val="0"/>
                <w:sz w:val="21"/>
                <w:szCs w:val="21"/>
                <w:lang w:val="en-US" w:eastAsia="zh-CN" w:bidi="ar-SA"/>
              </w:rPr>
            </w:pPr>
            <w:r>
              <w:rPr>
                <w:rFonts w:ascii="Times New Roman"/>
                <w:snapToGrid w:val="0"/>
                <w:color w:val="auto"/>
                <w:kern w:val="21"/>
                <w:szCs w:val="21"/>
              </w:rPr>
              <w:t>/</w:t>
            </w:r>
          </w:p>
        </w:tc>
        <w:tc>
          <w:tcPr>
            <w:tcW w:w="542" w:type="pct"/>
            <w:vAlign w:val="center"/>
          </w:tcPr>
          <w:p w14:paraId="67FECC52">
            <w:pPr>
              <w:jc w:val="center"/>
              <w:rPr>
                <w:rFonts w:hint="default" w:eastAsia="宋体"/>
                <w:color w:val="auto"/>
                <w:lang w:val="en-US" w:eastAsia="zh-CN"/>
              </w:rPr>
            </w:pPr>
            <w:r>
              <w:rPr>
                <w:rFonts w:hint="eastAsia"/>
                <w:color w:val="auto"/>
                <w:lang w:val="en-US" w:eastAsia="zh-CN"/>
              </w:rPr>
              <w:t>0.65</w:t>
            </w:r>
            <w:r>
              <w:rPr>
                <w:color w:val="auto"/>
                <w:szCs w:val="21"/>
              </w:rPr>
              <w:t>t/a</w:t>
            </w:r>
          </w:p>
        </w:tc>
        <w:tc>
          <w:tcPr>
            <w:tcW w:w="617" w:type="pct"/>
            <w:vAlign w:val="center"/>
          </w:tcPr>
          <w:p w14:paraId="110A4F2D">
            <w:pPr>
              <w:jc w:val="center"/>
              <w:rPr>
                <w:rFonts w:hint="eastAsia" w:eastAsia="宋体"/>
                <w:color w:val="auto"/>
                <w:lang w:val="en-US" w:eastAsia="zh-CN"/>
              </w:rPr>
            </w:pPr>
            <w:r>
              <w:rPr>
                <w:rFonts w:hint="eastAsia"/>
                <w:color w:val="auto"/>
                <w:lang w:val="en-US" w:eastAsia="zh-CN"/>
              </w:rPr>
              <w:t>/</w:t>
            </w:r>
          </w:p>
        </w:tc>
        <w:tc>
          <w:tcPr>
            <w:tcW w:w="691" w:type="pct"/>
            <w:vAlign w:val="center"/>
          </w:tcPr>
          <w:p w14:paraId="61C7106C">
            <w:pPr>
              <w:jc w:val="center"/>
              <w:rPr>
                <w:color w:val="auto"/>
              </w:rPr>
            </w:pPr>
            <w:r>
              <w:rPr>
                <w:rFonts w:hint="eastAsia"/>
                <w:color w:val="auto"/>
                <w:lang w:val="en-US" w:eastAsia="zh-CN"/>
              </w:rPr>
              <w:t>0.65</w:t>
            </w:r>
            <w:r>
              <w:rPr>
                <w:color w:val="auto"/>
                <w:szCs w:val="21"/>
              </w:rPr>
              <w:t>t/a</w:t>
            </w:r>
          </w:p>
        </w:tc>
        <w:tc>
          <w:tcPr>
            <w:tcW w:w="473" w:type="pct"/>
            <w:vAlign w:val="center"/>
          </w:tcPr>
          <w:p w14:paraId="3C6CC015">
            <w:pPr>
              <w:jc w:val="center"/>
              <w:rPr>
                <w:color w:val="auto"/>
              </w:rPr>
            </w:pPr>
            <w:r>
              <w:rPr>
                <w:rFonts w:hint="eastAsia"/>
                <w:color w:val="auto"/>
                <w:lang w:val="en-US" w:eastAsia="zh-CN"/>
              </w:rPr>
              <w:t>+0.65</w:t>
            </w:r>
            <w:r>
              <w:rPr>
                <w:color w:val="auto"/>
                <w:szCs w:val="21"/>
              </w:rPr>
              <w:t>t/a</w:t>
            </w:r>
          </w:p>
        </w:tc>
      </w:tr>
      <w:tr w14:paraId="6C48F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97" w:type="pct"/>
            <w:vMerge w:val="restart"/>
            <w:vAlign w:val="center"/>
          </w:tcPr>
          <w:p w14:paraId="2DC08AF2">
            <w:pPr>
              <w:jc w:val="center"/>
              <w:rPr>
                <w:rFonts w:hint="eastAsia" w:eastAsia="宋体"/>
                <w:color w:val="auto"/>
                <w:lang w:val="en-US" w:eastAsia="zh-CN"/>
              </w:rPr>
            </w:pPr>
            <w:r>
              <w:rPr>
                <w:rFonts w:hint="eastAsia"/>
                <w:color w:val="auto"/>
                <w:lang w:val="en-US" w:eastAsia="zh-CN"/>
              </w:rPr>
              <w:t>危险废物</w:t>
            </w:r>
          </w:p>
        </w:tc>
        <w:tc>
          <w:tcPr>
            <w:tcW w:w="708" w:type="pct"/>
            <w:vAlign w:val="center"/>
          </w:tcPr>
          <w:p w14:paraId="67B8BD66">
            <w:pPr>
              <w:jc w:val="center"/>
              <w:rPr>
                <w:color w:val="auto"/>
                <w:szCs w:val="21"/>
              </w:rPr>
            </w:pPr>
            <w:r>
              <w:rPr>
                <w:rFonts w:hint="eastAsia"/>
                <w:color w:val="auto"/>
                <w:szCs w:val="21"/>
              </w:rPr>
              <w:t>废润滑油</w:t>
            </w:r>
          </w:p>
        </w:tc>
        <w:tc>
          <w:tcPr>
            <w:tcW w:w="532" w:type="pct"/>
            <w:vAlign w:val="center"/>
          </w:tcPr>
          <w:p w14:paraId="31CC2978">
            <w:pPr>
              <w:adjustRightInd w:val="0"/>
              <w:snapToGrid w:val="0"/>
              <w:jc w:val="center"/>
              <w:rPr>
                <w:color w:val="auto"/>
                <w:szCs w:val="21"/>
              </w:rPr>
            </w:pPr>
            <w:r>
              <w:rPr>
                <w:snapToGrid w:val="0"/>
                <w:color w:val="auto"/>
                <w:kern w:val="21"/>
                <w:szCs w:val="21"/>
              </w:rPr>
              <w:t>/</w:t>
            </w:r>
          </w:p>
        </w:tc>
        <w:tc>
          <w:tcPr>
            <w:tcW w:w="440" w:type="pct"/>
            <w:vAlign w:val="center"/>
          </w:tcPr>
          <w:p w14:paraId="5E04F8FC">
            <w:pPr>
              <w:adjustRightInd w:val="0"/>
              <w:snapToGrid w:val="0"/>
              <w:jc w:val="center"/>
              <w:rPr>
                <w:color w:val="auto"/>
                <w:szCs w:val="21"/>
              </w:rPr>
            </w:pPr>
            <w:r>
              <w:rPr>
                <w:snapToGrid w:val="0"/>
                <w:color w:val="auto"/>
                <w:kern w:val="21"/>
                <w:szCs w:val="21"/>
              </w:rPr>
              <w:t>/</w:t>
            </w:r>
          </w:p>
        </w:tc>
        <w:tc>
          <w:tcPr>
            <w:tcW w:w="595" w:type="pct"/>
            <w:vAlign w:val="center"/>
          </w:tcPr>
          <w:p w14:paraId="4F638E41">
            <w:pPr>
              <w:adjustRightInd w:val="0"/>
              <w:snapToGrid w:val="0"/>
              <w:jc w:val="center"/>
              <w:rPr>
                <w:color w:val="auto"/>
                <w:szCs w:val="21"/>
              </w:rPr>
            </w:pPr>
            <w:r>
              <w:rPr>
                <w:snapToGrid w:val="0"/>
                <w:color w:val="auto"/>
                <w:kern w:val="21"/>
                <w:szCs w:val="21"/>
              </w:rPr>
              <w:t>/</w:t>
            </w:r>
          </w:p>
        </w:tc>
        <w:tc>
          <w:tcPr>
            <w:tcW w:w="542" w:type="pct"/>
            <w:vAlign w:val="center"/>
          </w:tcPr>
          <w:p w14:paraId="1F85FDDE">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20kg</w:t>
            </w:r>
            <w:r>
              <w:rPr>
                <w:color w:val="auto"/>
                <w:szCs w:val="21"/>
              </w:rPr>
              <w:t>/a</w:t>
            </w:r>
          </w:p>
        </w:tc>
        <w:tc>
          <w:tcPr>
            <w:tcW w:w="617" w:type="pct"/>
            <w:vAlign w:val="center"/>
          </w:tcPr>
          <w:p w14:paraId="0D15BEAF">
            <w:pPr>
              <w:adjustRightInd w:val="0"/>
              <w:snapToGrid w:val="0"/>
              <w:jc w:val="center"/>
              <w:rPr>
                <w:color w:val="auto"/>
                <w:szCs w:val="21"/>
              </w:rPr>
            </w:pPr>
            <w:r>
              <w:rPr>
                <w:snapToGrid w:val="0"/>
                <w:color w:val="auto"/>
                <w:kern w:val="21"/>
                <w:szCs w:val="21"/>
              </w:rPr>
              <w:t>/</w:t>
            </w:r>
          </w:p>
        </w:tc>
        <w:tc>
          <w:tcPr>
            <w:tcW w:w="691" w:type="pct"/>
            <w:vAlign w:val="center"/>
          </w:tcPr>
          <w:p w14:paraId="21B23809">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20kg</w:t>
            </w:r>
            <w:r>
              <w:rPr>
                <w:color w:val="auto"/>
                <w:szCs w:val="21"/>
              </w:rPr>
              <w:t>/a</w:t>
            </w:r>
          </w:p>
        </w:tc>
        <w:tc>
          <w:tcPr>
            <w:tcW w:w="473" w:type="pct"/>
            <w:vAlign w:val="center"/>
          </w:tcPr>
          <w:p w14:paraId="06CB1FD1">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w:t>
            </w:r>
            <w:r>
              <w:rPr>
                <w:rFonts w:hint="eastAsia"/>
                <w:color w:val="auto"/>
                <w:szCs w:val="21"/>
              </w:rPr>
              <w:t>20kg</w:t>
            </w:r>
            <w:r>
              <w:rPr>
                <w:color w:val="auto"/>
                <w:szCs w:val="21"/>
              </w:rPr>
              <w:t>/a</w:t>
            </w:r>
          </w:p>
        </w:tc>
      </w:tr>
      <w:tr w14:paraId="61E38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397" w:type="pct"/>
            <w:vMerge w:val="continue"/>
            <w:vAlign w:val="center"/>
          </w:tcPr>
          <w:p w14:paraId="4FC11834">
            <w:pPr>
              <w:pStyle w:val="45"/>
              <w:spacing w:beforeLines="0" w:afterLines="0" w:line="240" w:lineRule="auto"/>
              <w:ind w:left="0" w:leftChars="0" w:firstLine="0" w:firstLineChars="0"/>
              <w:rPr>
                <w:color w:val="auto"/>
              </w:rPr>
            </w:pPr>
          </w:p>
        </w:tc>
        <w:tc>
          <w:tcPr>
            <w:tcW w:w="708" w:type="pct"/>
            <w:vAlign w:val="center"/>
          </w:tcPr>
          <w:p w14:paraId="3BC6CB63">
            <w:pPr>
              <w:jc w:val="center"/>
              <w:rPr>
                <w:color w:val="auto"/>
                <w:szCs w:val="21"/>
              </w:rPr>
            </w:pPr>
            <w:r>
              <w:rPr>
                <w:rFonts w:hint="eastAsia"/>
                <w:color w:val="auto"/>
                <w:szCs w:val="21"/>
              </w:rPr>
              <w:t>废润滑油桶</w:t>
            </w:r>
          </w:p>
        </w:tc>
        <w:tc>
          <w:tcPr>
            <w:tcW w:w="532" w:type="pct"/>
            <w:vAlign w:val="center"/>
          </w:tcPr>
          <w:p w14:paraId="0AE8B596">
            <w:pPr>
              <w:adjustRightInd w:val="0"/>
              <w:snapToGrid w:val="0"/>
              <w:jc w:val="center"/>
              <w:rPr>
                <w:color w:val="auto"/>
                <w:szCs w:val="21"/>
              </w:rPr>
            </w:pPr>
            <w:r>
              <w:rPr>
                <w:snapToGrid w:val="0"/>
                <w:color w:val="auto"/>
                <w:kern w:val="21"/>
                <w:szCs w:val="21"/>
              </w:rPr>
              <w:t>/</w:t>
            </w:r>
          </w:p>
        </w:tc>
        <w:tc>
          <w:tcPr>
            <w:tcW w:w="440" w:type="pct"/>
            <w:vAlign w:val="center"/>
          </w:tcPr>
          <w:p w14:paraId="2A4D90F1">
            <w:pPr>
              <w:adjustRightInd w:val="0"/>
              <w:snapToGrid w:val="0"/>
              <w:jc w:val="center"/>
              <w:rPr>
                <w:color w:val="auto"/>
                <w:szCs w:val="21"/>
              </w:rPr>
            </w:pPr>
            <w:r>
              <w:rPr>
                <w:snapToGrid w:val="0"/>
                <w:color w:val="auto"/>
                <w:kern w:val="21"/>
                <w:szCs w:val="21"/>
              </w:rPr>
              <w:t>/</w:t>
            </w:r>
          </w:p>
        </w:tc>
        <w:tc>
          <w:tcPr>
            <w:tcW w:w="595" w:type="pct"/>
            <w:vAlign w:val="center"/>
          </w:tcPr>
          <w:p w14:paraId="12F67535">
            <w:pPr>
              <w:adjustRightInd w:val="0"/>
              <w:snapToGrid w:val="0"/>
              <w:jc w:val="center"/>
              <w:rPr>
                <w:color w:val="auto"/>
                <w:szCs w:val="21"/>
              </w:rPr>
            </w:pPr>
            <w:r>
              <w:rPr>
                <w:snapToGrid w:val="0"/>
                <w:color w:val="auto"/>
                <w:kern w:val="21"/>
                <w:szCs w:val="21"/>
              </w:rPr>
              <w:t>/</w:t>
            </w:r>
          </w:p>
        </w:tc>
        <w:tc>
          <w:tcPr>
            <w:tcW w:w="542" w:type="pct"/>
            <w:vAlign w:val="center"/>
          </w:tcPr>
          <w:p w14:paraId="1CD4F876">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25.6kg</w:t>
            </w:r>
            <w:r>
              <w:rPr>
                <w:color w:val="auto"/>
                <w:szCs w:val="21"/>
              </w:rPr>
              <w:t>/a</w:t>
            </w:r>
          </w:p>
        </w:tc>
        <w:tc>
          <w:tcPr>
            <w:tcW w:w="617" w:type="pct"/>
            <w:vAlign w:val="center"/>
          </w:tcPr>
          <w:p w14:paraId="2D88B134">
            <w:pPr>
              <w:pStyle w:val="45"/>
              <w:spacing w:beforeLines="0" w:afterLines="0" w:line="240" w:lineRule="auto"/>
              <w:ind w:left="0" w:leftChars="0" w:firstLine="0" w:firstLineChars="0"/>
              <w:rPr>
                <w:rFonts w:ascii="Times New Roman"/>
                <w:color w:val="auto"/>
                <w:szCs w:val="21"/>
              </w:rPr>
            </w:pPr>
            <w:r>
              <w:rPr>
                <w:rFonts w:ascii="Times New Roman"/>
                <w:snapToGrid w:val="0"/>
                <w:color w:val="auto"/>
                <w:kern w:val="21"/>
                <w:szCs w:val="21"/>
              </w:rPr>
              <w:t>/</w:t>
            </w:r>
          </w:p>
        </w:tc>
        <w:tc>
          <w:tcPr>
            <w:tcW w:w="691" w:type="pct"/>
            <w:vAlign w:val="center"/>
          </w:tcPr>
          <w:p w14:paraId="7D0FD4B9">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25.6kg</w:t>
            </w:r>
            <w:r>
              <w:rPr>
                <w:color w:val="auto"/>
                <w:szCs w:val="21"/>
              </w:rPr>
              <w:t>/a</w:t>
            </w:r>
          </w:p>
        </w:tc>
        <w:tc>
          <w:tcPr>
            <w:tcW w:w="473" w:type="pct"/>
            <w:vAlign w:val="center"/>
          </w:tcPr>
          <w:p w14:paraId="399265A8">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w:t>
            </w:r>
            <w:r>
              <w:rPr>
                <w:rFonts w:hint="eastAsia"/>
                <w:color w:val="auto"/>
                <w:szCs w:val="21"/>
              </w:rPr>
              <w:t>25.6kg</w:t>
            </w:r>
            <w:r>
              <w:rPr>
                <w:color w:val="auto"/>
                <w:szCs w:val="21"/>
              </w:rPr>
              <w:t>/a</w:t>
            </w:r>
          </w:p>
        </w:tc>
      </w:tr>
    </w:tbl>
    <w:p w14:paraId="0009303B">
      <w:pPr>
        <w:pStyle w:val="45"/>
        <w:spacing w:before="192" w:beforeLines="80" w:after="24"/>
        <w:ind w:left="0" w:leftChars="0" w:firstLine="0" w:firstLineChars="0"/>
        <w:jc w:val="left"/>
        <w:rPr>
          <w:rFonts w:ascii="Times New Roman"/>
          <w:snapToGrid w:val="0"/>
          <w:color w:val="auto"/>
          <w:spacing w:val="-6"/>
          <w:kern w:val="21"/>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ascii="Times New Roman"/>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ascii="Times New Roman"/>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ascii="Times New Roman"/>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ascii="Times New Roman"/>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p>
    <w:sectPr>
      <w:footerReference r:id="rId5" w:type="default"/>
      <w:pgSz w:w="16838" w:h="11905" w:orient="landscape"/>
      <w:pgMar w:top="1417" w:right="1417" w:bottom="1417" w:left="1417"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6C6591-9A34-4E88-9D44-CD3EA0D861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NewRomanPSMT">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2" w:fontKey="{3F447DC6-FA78-411D-BCD7-B748F58CB90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BEBBF">
    <w:pPr>
      <w:pStyle w:val="2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5FB8C">
                          <w:pPr>
                            <w:pStyle w:val="20"/>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35FB8C">
                    <w:pPr>
                      <w:pStyle w:val="20"/>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8282">
    <w:pPr>
      <w:pStyle w:val="2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6AD51">
                          <w:pPr>
                            <w:pStyle w:val="20"/>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066AD51">
                    <w:pPr>
                      <w:pStyle w:val="20"/>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D74D">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91448"/>
    <w:multiLevelType w:val="multilevel"/>
    <w:tmpl w:val="1E891448"/>
    <w:lvl w:ilvl="0" w:tentative="0">
      <w:start w:val="1"/>
      <w:numFmt w:val="decimal"/>
      <w:lvlText w:val="%1"/>
      <w:lvlJc w:val="left"/>
      <w:pPr>
        <w:ind w:left="432" w:hanging="432"/>
      </w:pPr>
    </w:lvl>
    <w:lvl w:ilvl="1" w:tentative="0">
      <w:start w:val="1"/>
      <w:numFmt w:val="decimal"/>
      <w:lvlText w:val="%1.%2"/>
      <w:lvlJc w:val="left"/>
      <w:pPr>
        <w:ind w:left="860" w:hanging="576"/>
      </w:pPr>
    </w:lvl>
    <w:lvl w:ilvl="2" w:tentative="0">
      <w:start w:val="1"/>
      <w:numFmt w:val="decimal"/>
      <w:pStyle w:val="6"/>
      <w:lvlText w:val="%1.%2.%3"/>
      <w:lvlJc w:val="left"/>
      <w:pPr>
        <w:ind w:left="228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57B467DD"/>
    <w:multiLevelType w:val="singleLevel"/>
    <w:tmpl w:val="57B467DD"/>
    <w:lvl w:ilvl="0" w:tentative="0">
      <w:start w:val="2"/>
      <w:numFmt w:val="decimal"/>
      <w:suff w:val="nothing"/>
      <w:lvlText w:val="%1、"/>
      <w:lvlJc w:val="left"/>
    </w:lvl>
  </w:abstractNum>
  <w:abstractNum w:abstractNumId="2">
    <w:nsid w:val="6B6B239E"/>
    <w:multiLevelType w:val="multilevel"/>
    <w:tmpl w:val="6B6B239E"/>
    <w:lvl w:ilvl="0" w:tentative="0">
      <w:start w:val="1"/>
      <w:numFmt w:val="decimal"/>
      <w:lvlText w:val="%1"/>
      <w:lvlJc w:val="left"/>
      <w:pPr>
        <w:tabs>
          <w:tab w:val="left" w:pos="558"/>
        </w:tabs>
        <w:ind w:left="558" w:hanging="432"/>
      </w:pPr>
      <w:rPr>
        <w:rFonts w:hint="eastAsia" w:ascii="仿宋_GB2312" w:eastAsia="仿宋_GB2312"/>
        <w:b w:val="0"/>
        <w:i w:val="0"/>
        <w:sz w:val="32"/>
        <w:szCs w:val="32"/>
      </w:rPr>
    </w:lvl>
    <w:lvl w:ilvl="1" w:tentative="0">
      <w:start w:val="1"/>
      <w:numFmt w:val="decimal"/>
      <w:lvlText w:val="%1.%2"/>
      <w:lvlJc w:val="left"/>
      <w:pPr>
        <w:tabs>
          <w:tab w:val="left" w:pos="807"/>
        </w:tabs>
        <w:ind w:left="807" w:hanging="576"/>
      </w:pPr>
      <w:rPr>
        <w:rFonts w:hint="eastAsia" w:ascii="仿宋_GB2312" w:eastAsia="仿宋_GB2312"/>
        <w:b/>
        <w:i w:val="0"/>
        <w:sz w:val="30"/>
      </w:rPr>
    </w:lvl>
    <w:lvl w:ilvl="2" w:tentative="0">
      <w:start w:val="1"/>
      <w:numFmt w:val="decimal"/>
      <w:lvlText w:val="%1.%2.%3"/>
      <w:lvlJc w:val="left"/>
      <w:pPr>
        <w:tabs>
          <w:tab w:val="left" w:pos="804"/>
        </w:tabs>
        <w:ind w:left="804" w:hanging="720"/>
      </w:pPr>
      <w:rPr>
        <w:rFonts w:hint="eastAsia" w:ascii="仿宋_GB2312" w:eastAsia="仿宋_GB2312"/>
      </w:rPr>
    </w:lvl>
    <w:lvl w:ilvl="3" w:tentative="0">
      <w:start w:val="1"/>
      <w:numFmt w:val="decimal"/>
      <w:lvlText w:val="%1.%2.%3.%4"/>
      <w:lvlJc w:val="left"/>
      <w:pPr>
        <w:tabs>
          <w:tab w:val="left" w:pos="2072"/>
        </w:tabs>
        <w:ind w:left="1856" w:hanging="864"/>
      </w:pPr>
      <w:rPr>
        <w:rFonts w:hint="eastAsia" w:ascii="仿宋_GB2312" w:eastAsia="仿宋_GB2312"/>
        <w:b w:val="0"/>
        <w:i w:val="0"/>
        <w:sz w:val="28"/>
      </w:rPr>
    </w:lvl>
    <w:lvl w:ilvl="4" w:tentative="0">
      <w:start w:val="1"/>
      <w:numFmt w:val="decimal"/>
      <w:lvlText w:val="%1.%2.%3.%4.%5"/>
      <w:lvlJc w:val="left"/>
      <w:pPr>
        <w:tabs>
          <w:tab w:val="left" w:pos="1008"/>
        </w:tabs>
        <w:ind w:left="1008" w:hanging="1008"/>
      </w:pPr>
      <w:rPr>
        <w:rFonts w:hint="eastAsia" w:ascii="仿宋_GB2312" w:eastAsia="仿宋_GB2312"/>
      </w:rPr>
    </w:lvl>
    <w:lvl w:ilvl="5" w:tentative="0">
      <w:start w:val="1"/>
      <w:numFmt w:val="decimal"/>
      <w:pStyle w:val="8"/>
      <w:lvlText w:val="%1.%2.%3.%4.%5.%6"/>
      <w:lvlJc w:val="left"/>
      <w:pPr>
        <w:tabs>
          <w:tab w:val="left" w:pos="3278"/>
        </w:tabs>
        <w:ind w:left="3278"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jQ2ZDBjYjA1N2ViM2VkMGE2NTUyOGZiYmFkNDkifQ=="/>
  </w:docVars>
  <w:rsids>
    <w:rsidRoot w:val="00172A27"/>
    <w:rsid w:val="00003A5E"/>
    <w:rsid w:val="000060B3"/>
    <w:rsid w:val="00021BC4"/>
    <w:rsid w:val="00025568"/>
    <w:rsid w:val="00033B7B"/>
    <w:rsid w:val="000426C5"/>
    <w:rsid w:val="0004364B"/>
    <w:rsid w:val="000531C1"/>
    <w:rsid w:val="00061B1F"/>
    <w:rsid w:val="00066ACD"/>
    <w:rsid w:val="000733C4"/>
    <w:rsid w:val="00074783"/>
    <w:rsid w:val="000761BB"/>
    <w:rsid w:val="0008070B"/>
    <w:rsid w:val="000810AC"/>
    <w:rsid w:val="00081A00"/>
    <w:rsid w:val="00081A02"/>
    <w:rsid w:val="00082231"/>
    <w:rsid w:val="000853CE"/>
    <w:rsid w:val="00092D38"/>
    <w:rsid w:val="0009377B"/>
    <w:rsid w:val="000A20C9"/>
    <w:rsid w:val="000B058F"/>
    <w:rsid w:val="000B4467"/>
    <w:rsid w:val="000B4DB9"/>
    <w:rsid w:val="000C09AC"/>
    <w:rsid w:val="000C767F"/>
    <w:rsid w:val="000D25D1"/>
    <w:rsid w:val="000D5A44"/>
    <w:rsid w:val="000D6191"/>
    <w:rsid w:val="000E3ED2"/>
    <w:rsid w:val="000F0545"/>
    <w:rsid w:val="00115E07"/>
    <w:rsid w:val="001170B4"/>
    <w:rsid w:val="00131F42"/>
    <w:rsid w:val="001357F1"/>
    <w:rsid w:val="00137B16"/>
    <w:rsid w:val="00140B7C"/>
    <w:rsid w:val="00140FA8"/>
    <w:rsid w:val="0014262E"/>
    <w:rsid w:val="00142FEB"/>
    <w:rsid w:val="00143A2D"/>
    <w:rsid w:val="00145A41"/>
    <w:rsid w:val="00147AC4"/>
    <w:rsid w:val="00151675"/>
    <w:rsid w:val="00157435"/>
    <w:rsid w:val="00161729"/>
    <w:rsid w:val="001663A7"/>
    <w:rsid w:val="00171207"/>
    <w:rsid w:val="0017504D"/>
    <w:rsid w:val="0017671A"/>
    <w:rsid w:val="0017706A"/>
    <w:rsid w:val="00177422"/>
    <w:rsid w:val="00180F33"/>
    <w:rsid w:val="00183CBD"/>
    <w:rsid w:val="00184590"/>
    <w:rsid w:val="00184A64"/>
    <w:rsid w:val="001870D1"/>
    <w:rsid w:val="0018781E"/>
    <w:rsid w:val="00190A64"/>
    <w:rsid w:val="0019262D"/>
    <w:rsid w:val="001A1B35"/>
    <w:rsid w:val="001A48A2"/>
    <w:rsid w:val="001A6F61"/>
    <w:rsid w:val="001B2907"/>
    <w:rsid w:val="001B72B8"/>
    <w:rsid w:val="001C69B3"/>
    <w:rsid w:val="001D5595"/>
    <w:rsid w:val="001D7874"/>
    <w:rsid w:val="001D7F22"/>
    <w:rsid w:val="001E5304"/>
    <w:rsid w:val="001E6469"/>
    <w:rsid w:val="001F0F17"/>
    <w:rsid w:val="001F3347"/>
    <w:rsid w:val="001F4C57"/>
    <w:rsid w:val="001F69E4"/>
    <w:rsid w:val="002125B4"/>
    <w:rsid w:val="002155B8"/>
    <w:rsid w:val="00217D36"/>
    <w:rsid w:val="00220622"/>
    <w:rsid w:val="00220A03"/>
    <w:rsid w:val="00224839"/>
    <w:rsid w:val="002249B2"/>
    <w:rsid w:val="00226574"/>
    <w:rsid w:val="002278EC"/>
    <w:rsid w:val="0023280E"/>
    <w:rsid w:val="00236AF3"/>
    <w:rsid w:val="002377D1"/>
    <w:rsid w:val="00243010"/>
    <w:rsid w:val="002506BC"/>
    <w:rsid w:val="00254345"/>
    <w:rsid w:val="00255B12"/>
    <w:rsid w:val="00262C70"/>
    <w:rsid w:val="00264557"/>
    <w:rsid w:val="00277FD5"/>
    <w:rsid w:val="002805AB"/>
    <w:rsid w:val="00284204"/>
    <w:rsid w:val="002860FC"/>
    <w:rsid w:val="00291773"/>
    <w:rsid w:val="002A168C"/>
    <w:rsid w:val="002A3DC7"/>
    <w:rsid w:val="002A42C8"/>
    <w:rsid w:val="002B49E2"/>
    <w:rsid w:val="002B7B00"/>
    <w:rsid w:val="002B7C44"/>
    <w:rsid w:val="002C2B17"/>
    <w:rsid w:val="002C6B9A"/>
    <w:rsid w:val="002D3DD0"/>
    <w:rsid w:val="002E1F3A"/>
    <w:rsid w:val="002E298A"/>
    <w:rsid w:val="00301978"/>
    <w:rsid w:val="0030332C"/>
    <w:rsid w:val="003051C2"/>
    <w:rsid w:val="00312296"/>
    <w:rsid w:val="00314F0E"/>
    <w:rsid w:val="00317C8B"/>
    <w:rsid w:val="00320B43"/>
    <w:rsid w:val="00321D8E"/>
    <w:rsid w:val="00325928"/>
    <w:rsid w:val="00332863"/>
    <w:rsid w:val="0033684D"/>
    <w:rsid w:val="00337B42"/>
    <w:rsid w:val="00341B42"/>
    <w:rsid w:val="0034348F"/>
    <w:rsid w:val="00356653"/>
    <w:rsid w:val="0035743F"/>
    <w:rsid w:val="00357BE2"/>
    <w:rsid w:val="0036170C"/>
    <w:rsid w:val="00366E0F"/>
    <w:rsid w:val="00373621"/>
    <w:rsid w:val="00381A72"/>
    <w:rsid w:val="003835B2"/>
    <w:rsid w:val="00384676"/>
    <w:rsid w:val="00386A49"/>
    <w:rsid w:val="00390857"/>
    <w:rsid w:val="003A4BF3"/>
    <w:rsid w:val="003B0E3D"/>
    <w:rsid w:val="003B420D"/>
    <w:rsid w:val="003C523C"/>
    <w:rsid w:val="003C6C16"/>
    <w:rsid w:val="003D252A"/>
    <w:rsid w:val="003D499E"/>
    <w:rsid w:val="003D794D"/>
    <w:rsid w:val="003E3058"/>
    <w:rsid w:val="003E6B59"/>
    <w:rsid w:val="003E76A9"/>
    <w:rsid w:val="003F0809"/>
    <w:rsid w:val="003F6758"/>
    <w:rsid w:val="003F6A8C"/>
    <w:rsid w:val="003F755C"/>
    <w:rsid w:val="00401330"/>
    <w:rsid w:val="004049B8"/>
    <w:rsid w:val="00406F01"/>
    <w:rsid w:val="00411F65"/>
    <w:rsid w:val="00416D50"/>
    <w:rsid w:val="00416FD5"/>
    <w:rsid w:val="00417772"/>
    <w:rsid w:val="00420E6A"/>
    <w:rsid w:val="00424A6C"/>
    <w:rsid w:val="00425A9E"/>
    <w:rsid w:val="00426D6B"/>
    <w:rsid w:val="00431E6C"/>
    <w:rsid w:val="00432B58"/>
    <w:rsid w:val="00433CE7"/>
    <w:rsid w:val="0044163B"/>
    <w:rsid w:val="00447183"/>
    <w:rsid w:val="00451483"/>
    <w:rsid w:val="00452738"/>
    <w:rsid w:val="004539D9"/>
    <w:rsid w:val="00456091"/>
    <w:rsid w:val="00464AE8"/>
    <w:rsid w:val="00466321"/>
    <w:rsid w:val="00467889"/>
    <w:rsid w:val="00481FA7"/>
    <w:rsid w:val="00484B9B"/>
    <w:rsid w:val="004855F6"/>
    <w:rsid w:val="0048661E"/>
    <w:rsid w:val="00494670"/>
    <w:rsid w:val="004A23D1"/>
    <w:rsid w:val="004A3823"/>
    <w:rsid w:val="004D6899"/>
    <w:rsid w:val="004E6946"/>
    <w:rsid w:val="004F1AD8"/>
    <w:rsid w:val="004F3840"/>
    <w:rsid w:val="00501490"/>
    <w:rsid w:val="005039CB"/>
    <w:rsid w:val="0050558F"/>
    <w:rsid w:val="00506286"/>
    <w:rsid w:val="00507BB4"/>
    <w:rsid w:val="00510813"/>
    <w:rsid w:val="00511990"/>
    <w:rsid w:val="00511DE0"/>
    <w:rsid w:val="005146D2"/>
    <w:rsid w:val="00514870"/>
    <w:rsid w:val="00514B9B"/>
    <w:rsid w:val="00517F02"/>
    <w:rsid w:val="00524303"/>
    <w:rsid w:val="005258A2"/>
    <w:rsid w:val="00535351"/>
    <w:rsid w:val="005401AE"/>
    <w:rsid w:val="00542E07"/>
    <w:rsid w:val="00545424"/>
    <w:rsid w:val="00554A7B"/>
    <w:rsid w:val="00555385"/>
    <w:rsid w:val="0055572C"/>
    <w:rsid w:val="0056106A"/>
    <w:rsid w:val="005720AE"/>
    <w:rsid w:val="005776C0"/>
    <w:rsid w:val="00594D77"/>
    <w:rsid w:val="005969E4"/>
    <w:rsid w:val="005A06B7"/>
    <w:rsid w:val="005A1759"/>
    <w:rsid w:val="005A68A7"/>
    <w:rsid w:val="005B2DA9"/>
    <w:rsid w:val="005D36AB"/>
    <w:rsid w:val="005E0FEE"/>
    <w:rsid w:val="005E2C67"/>
    <w:rsid w:val="005E5F81"/>
    <w:rsid w:val="00617CC3"/>
    <w:rsid w:val="006377A6"/>
    <w:rsid w:val="00637A3D"/>
    <w:rsid w:val="006411EF"/>
    <w:rsid w:val="00657145"/>
    <w:rsid w:val="006748B8"/>
    <w:rsid w:val="006775C3"/>
    <w:rsid w:val="00680AA1"/>
    <w:rsid w:val="00683750"/>
    <w:rsid w:val="00684B1A"/>
    <w:rsid w:val="00684F45"/>
    <w:rsid w:val="00691B14"/>
    <w:rsid w:val="0069290A"/>
    <w:rsid w:val="0069775A"/>
    <w:rsid w:val="00697813"/>
    <w:rsid w:val="006A3EE8"/>
    <w:rsid w:val="006A72BF"/>
    <w:rsid w:val="006A7548"/>
    <w:rsid w:val="006B03F2"/>
    <w:rsid w:val="006B37DC"/>
    <w:rsid w:val="006B4F68"/>
    <w:rsid w:val="006C0592"/>
    <w:rsid w:val="006C272E"/>
    <w:rsid w:val="006C5479"/>
    <w:rsid w:val="006D13B5"/>
    <w:rsid w:val="006D43F5"/>
    <w:rsid w:val="006D77C9"/>
    <w:rsid w:val="006E12FF"/>
    <w:rsid w:val="006E607E"/>
    <w:rsid w:val="006F42D2"/>
    <w:rsid w:val="00706C5D"/>
    <w:rsid w:val="00727987"/>
    <w:rsid w:val="00731E62"/>
    <w:rsid w:val="00732922"/>
    <w:rsid w:val="007469E9"/>
    <w:rsid w:val="0075162E"/>
    <w:rsid w:val="00754034"/>
    <w:rsid w:val="00756556"/>
    <w:rsid w:val="007618C4"/>
    <w:rsid w:val="0076742C"/>
    <w:rsid w:val="00767980"/>
    <w:rsid w:val="00770B19"/>
    <w:rsid w:val="0077463F"/>
    <w:rsid w:val="007836EA"/>
    <w:rsid w:val="00784CDA"/>
    <w:rsid w:val="007906C4"/>
    <w:rsid w:val="007940EA"/>
    <w:rsid w:val="007967E8"/>
    <w:rsid w:val="007A2170"/>
    <w:rsid w:val="007A22BF"/>
    <w:rsid w:val="007A3323"/>
    <w:rsid w:val="007B4D74"/>
    <w:rsid w:val="007B72B8"/>
    <w:rsid w:val="007B7A58"/>
    <w:rsid w:val="007C21B5"/>
    <w:rsid w:val="007C232E"/>
    <w:rsid w:val="007E14FA"/>
    <w:rsid w:val="007E4BD2"/>
    <w:rsid w:val="007E591D"/>
    <w:rsid w:val="007E6779"/>
    <w:rsid w:val="00801393"/>
    <w:rsid w:val="00802F88"/>
    <w:rsid w:val="00804A02"/>
    <w:rsid w:val="00805D1B"/>
    <w:rsid w:val="0081293E"/>
    <w:rsid w:val="00812AA3"/>
    <w:rsid w:val="00815465"/>
    <w:rsid w:val="00817E9A"/>
    <w:rsid w:val="008306BD"/>
    <w:rsid w:val="00831A80"/>
    <w:rsid w:val="00833743"/>
    <w:rsid w:val="008340A4"/>
    <w:rsid w:val="00850B13"/>
    <w:rsid w:val="008621D9"/>
    <w:rsid w:val="0087135F"/>
    <w:rsid w:val="00872D94"/>
    <w:rsid w:val="00880364"/>
    <w:rsid w:val="00891592"/>
    <w:rsid w:val="00891E9E"/>
    <w:rsid w:val="00895777"/>
    <w:rsid w:val="008A2F68"/>
    <w:rsid w:val="008B4FA6"/>
    <w:rsid w:val="008B5282"/>
    <w:rsid w:val="008B7C17"/>
    <w:rsid w:val="008C143C"/>
    <w:rsid w:val="008C2D01"/>
    <w:rsid w:val="008C40E6"/>
    <w:rsid w:val="008D0F7A"/>
    <w:rsid w:val="008D2429"/>
    <w:rsid w:val="008D68E4"/>
    <w:rsid w:val="008D6A39"/>
    <w:rsid w:val="008E0506"/>
    <w:rsid w:val="008E0CFF"/>
    <w:rsid w:val="008E12E0"/>
    <w:rsid w:val="008E5D6B"/>
    <w:rsid w:val="008E76F0"/>
    <w:rsid w:val="008F15FE"/>
    <w:rsid w:val="008F2D29"/>
    <w:rsid w:val="008F3F08"/>
    <w:rsid w:val="008F5187"/>
    <w:rsid w:val="008F5DEA"/>
    <w:rsid w:val="008F60D8"/>
    <w:rsid w:val="00902086"/>
    <w:rsid w:val="00902727"/>
    <w:rsid w:val="0090312B"/>
    <w:rsid w:val="009040FA"/>
    <w:rsid w:val="0091736D"/>
    <w:rsid w:val="0093037A"/>
    <w:rsid w:val="0094154D"/>
    <w:rsid w:val="0095155F"/>
    <w:rsid w:val="00954429"/>
    <w:rsid w:val="009563CE"/>
    <w:rsid w:val="009649BA"/>
    <w:rsid w:val="009761AC"/>
    <w:rsid w:val="00976328"/>
    <w:rsid w:val="00976735"/>
    <w:rsid w:val="0097680D"/>
    <w:rsid w:val="00982438"/>
    <w:rsid w:val="0098404C"/>
    <w:rsid w:val="00985283"/>
    <w:rsid w:val="00995992"/>
    <w:rsid w:val="00996CF9"/>
    <w:rsid w:val="009A03E5"/>
    <w:rsid w:val="009A0F3B"/>
    <w:rsid w:val="009A1BB4"/>
    <w:rsid w:val="009A2628"/>
    <w:rsid w:val="009A3200"/>
    <w:rsid w:val="009B0897"/>
    <w:rsid w:val="009B4466"/>
    <w:rsid w:val="009B4BFC"/>
    <w:rsid w:val="009B7BD9"/>
    <w:rsid w:val="009C7DD5"/>
    <w:rsid w:val="009E227D"/>
    <w:rsid w:val="009E5019"/>
    <w:rsid w:val="00A04F1B"/>
    <w:rsid w:val="00A0501B"/>
    <w:rsid w:val="00A14947"/>
    <w:rsid w:val="00A2557A"/>
    <w:rsid w:val="00A25E0F"/>
    <w:rsid w:val="00A32A83"/>
    <w:rsid w:val="00A368DB"/>
    <w:rsid w:val="00A423AA"/>
    <w:rsid w:val="00A4372D"/>
    <w:rsid w:val="00A46FE9"/>
    <w:rsid w:val="00A53EC6"/>
    <w:rsid w:val="00A55C0F"/>
    <w:rsid w:val="00A8713F"/>
    <w:rsid w:val="00A90BA1"/>
    <w:rsid w:val="00A97A9A"/>
    <w:rsid w:val="00AA0671"/>
    <w:rsid w:val="00AA2531"/>
    <w:rsid w:val="00AA73D0"/>
    <w:rsid w:val="00AB1E09"/>
    <w:rsid w:val="00AB5330"/>
    <w:rsid w:val="00AB7747"/>
    <w:rsid w:val="00AC14CE"/>
    <w:rsid w:val="00AC2A56"/>
    <w:rsid w:val="00AD055E"/>
    <w:rsid w:val="00AD47A7"/>
    <w:rsid w:val="00AE5A69"/>
    <w:rsid w:val="00AF0CBF"/>
    <w:rsid w:val="00AF1894"/>
    <w:rsid w:val="00AF257F"/>
    <w:rsid w:val="00AF33CF"/>
    <w:rsid w:val="00AF4D50"/>
    <w:rsid w:val="00AF6179"/>
    <w:rsid w:val="00B1295A"/>
    <w:rsid w:val="00B20A45"/>
    <w:rsid w:val="00B22C5C"/>
    <w:rsid w:val="00B24F30"/>
    <w:rsid w:val="00B31ABF"/>
    <w:rsid w:val="00B31D18"/>
    <w:rsid w:val="00B33BE3"/>
    <w:rsid w:val="00B45112"/>
    <w:rsid w:val="00B53B5D"/>
    <w:rsid w:val="00B6055E"/>
    <w:rsid w:val="00B6317D"/>
    <w:rsid w:val="00B63C2E"/>
    <w:rsid w:val="00B73E3F"/>
    <w:rsid w:val="00B7723F"/>
    <w:rsid w:val="00B80534"/>
    <w:rsid w:val="00B8433C"/>
    <w:rsid w:val="00B87491"/>
    <w:rsid w:val="00BA29E9"/>
    <w:rsid w:val="00BA7142"/>
    <w:rsid w:val="00BA725E"/>
    <w:rsid w:val="00BB237C"/>
    <w:rsid w:val="00BB41A3"/>
    <w:rsid w:val="00BB43A7"/>
    <w:rsid w:val="00BC32DC"/>
    <w:rsid w:val="00BC35B6"/>
    <w:rsid w:val="00BD0B84"/>
    <w:rsid w:val="00BD1B51"/>
    <w:rsid w:val="00BD4596"/>
    <w:rsid w:val="00BE1405"/>
    <w:rsid w:val="00BE312D"/>
    <w:rsid w:val="00BE3ED8"/>
    <w:rsid w:val="00BF1C20"/>
    <w:rsid w:val="00C032FB"/>
    <w:rsid w:val="00C10578"/>
    <w:rsid w:val="00C135BC"/>
    <w:rsid w:val="00C13CE0"/>
    <w:rsid w:val="00C15C95"/>
    <w:rsid w:val="00C23431"/>
    <w:rsid w:val="00C2596A"/>
    <w:rsid w:val="00C27537"/>
    <w:rsid w:val="00C328FE"/>
    <w:rsid w:val="00C33507"/>
    <w:rsid w:val="00C35C9D"/>
    <w:rsid w:val="00C36433"/>
    <w:rsid w:val="00C4409D"/>
    <w:rsid w:val="00C44E72"/>
    <w:rsid w:val="00C45A06"/>
    <w:rsid w:val="00C47E5B"/>
    <w:rsid w:val="00C614BF"/>
    <w:rsid w:val="00C61E4B"/>
    <w:rsid w:val="00C642DD"/>
    <w:rsid w:val="00C64BFF"/>
    <w:rsid w:val="00C704E9"/>
    <w:rsid w:val="00C763C9"/>
    <w:rsid w:val="00C80057"/>
    <w:rsid w:val="00C82232"/>
    <w:rsid w:val="00C82913"/>
    <w:rsid w:val="00C972B1"/>
    <w:rsid w:val="00CA0F35"/>
    <w:rsid w:val="00CA2CCE"/>
    <w:rsid w:val="00CA43FD"/>
    <w:rsid w:val="00CA7EF8"/>
    <w:rsid w:val="00CB2FFF"/>
    <w:rsid w:val="00CC39C3"/>
    <w:rsid w:val="00CC489B"/>
    <w:rsid w:val="00CD2BCD"/>
    <w:rsid w:val="00CD3A4C"/>
    <w:rsid w:val="00CE10E9"/>
    <w:rsid w:val="00CE2910"/>
    <w:rsid w:val="00CE5393"/>
    <w:rsid w:val="00CF122D"/>
    <w:rsid w:val="00CF36BE"/>
    <w:rsid w:val="00CF6000"/>
    <w:rsid w:val="00D003F3"/>
    <w:rsid w:val="00D0364F"/>
    <w:rsid w:val="00D06834"/>
    <w:rsid w:val="00D22DFC"/>
    <w:rsid w:val="00D22FF7"/>
    <w:rsid w:val="00D308ED"/>
    <w:rsid w:val="00D36D86"/>
    <w:rsid w:val="00D40BE3"/>
    <w:rsid w:val="00D42770"/>
    <w:rsid w:val="00D428AA"/>
    <w:rsid w:val="00D50A34"/>
    <w:rsid w:val="00D53EFA"/>
    <w:rsid w:val="00D60CCA"/>
    <w:rsid w:val="00D667AE"/>
    <w:rsid w:val="00D67C51"/>
    <w:rsid w:val="00D73797"/>
    <w:rsid w:val="00D91E79"/>
    <w:rsid w:val="00D94A7C"/>
    <w:rsid w:val="00D95896"/>
    <w:rsid w:val="00DB2983"/>
    <w:rsid w:val="00DC1257"/>
    <w:rsid w:val="00DC3DC0"/>
    <w:rsid w:val="00DC5B2B"/>
    <w:rsid w:val="00DC6932"/>
    <w:rsid w:val="00DD318D"/>
    <w:rsid w:val="00DD7C11"/>
    <w:rsid w:val="00DF2E12"/>
    <w:rsid w:val="00DF514A"/>
    <w:rsid w:val="00DF6690"/>
    <w:rsid w:val="00DF6804"/>
    <w:rsid w:val="00E0034E"/>
    <w:rsid w:val="00E01F00"/>
    <w:rsid w:val="00E0358D"/>
    <w:rsid w:val="00E04323"/>
    <w:rsid w:val="00E070A2"/>
    <w:rsid w:val="00E16BF0"/>
    <w:rsid w:val="00E2656A"/>
    <w:rsid w:val="00E2781F"/>
    <w:rsid w:val="00E412D0"/>
    <w:rsid w:val="00E56322"/>
    <w:rsid w:val="00E60982"/>
    <w:rsid w:val="00E62C62"/>
    <w:rsid w:val="00E654C1"/>
    <w:rsid w:val="00E65D97"/>
    <w:rsid w:val="00E72A5A"/>
    <w:rsid w:val="00E73354"/>
    <w:rsid w:val="00E9242D"/>
    <w:rsid w:val="00E9475E"/>
    <w:rsid w:val="00EB5255"/>
    <w:rsid w:val="00EB5C47"/>
    <w:rsid w:val="00EB6086"/>
    <w:rsid w:val="00EB6837"/>
    <w:rsid w:val="00EC4CDF"/>
    <w:rsid w:val="00ED0639"/>
    <w:rsid w:val="00EF4755"/>
    <w:rsid w:val="00EF7135"/>
    <w:rsid w:val="00F027DB"/>
    <w:rsid w:val="00F0434D"/>
    <w:rsid w:val="00F14940"/>
    <w:rsid w:val="00F14A7A"/>
    <w:rsid w:val="00F211EF"/>
    <w:rsid w:val="00F22985"/>
    <w:rsid w:val="00F24E42"/>
    <w:rsid w:val="00F3383E"/>
    <w:rsid w:val="00F465A7"/>
    <w:rsid w:val="00F50B7C"/>
    <w:rsid w:val="00F550E6"/>
    <w:rsid w:val="00F67DA0"/>
    <w:rsid w:val="00F74345"/>
    <w:rsid w:val="00F80A0A"/>
    <w:rsid w:val="00F82B19"/>
    <w:rsid w:val="00F9212D"/>
    <w:rsid w:val="00F965DA"/>
    <w:rsid w:val="00FA406A"/>
    <w:rsid w:val="00FB503A"/>
    <w:rsid w:val="00FB516C"/>
    <w:rsid w:val="00FC4CAC"/>
    <w:rsid w:val="00FD0236"/>
    <w:rsid w:val="00FD18F4"/>
    <w:rsid w:val="00FD243C"/>
    <w:rsid w:val="00FD54DB"/>
    <w:rsid w:val="00FD619F"/>
    <w:rsid w:val="010A0887"/>
    <w:rsid w:val="01260437"/>
    <w:rsid w:val="01290F7E"/>
    <w:rsid w:val="014D03F7"/>
    <w:rsid w:val="015D1E09"/>
    <w:rsid w:val="01681CB6"/>
    <w:rsid w:val="01D575F2"/>
    <w:rsid w:val="01E2645C"/>
    <w:rsid w:val="01EF6DC0"/>
    <w:rsid w:val="02201E66"/>
    <w:rsid w:val="02697903"/>
    <w:rsid w:val="02D037B2"/>
    <w:rsid w:val="02D16CFF"/>
    <w:rsid w:val="02D92666"/>
    <w:rsid w:val="02EB3CFF"/>
    <w:rsid w:val="02EC7818"/>
    <w:rsid w:val="02F96569"/>
    <w:rsid w:val="0309465C"/>
    <w:rsid w:val="0341004F"/>
    <w:rsid w:val="03511AD9"/>
    <w:rsid w:val="03520A50"/>
    <w:rsid w:val="035701D8"/>
    <w:rsid w:val="03EA7B21"/>
    <w:rsid w:val="03F84410"/>
    <w:rsid w:val="041F1BBE"/>
    <w:rsid w:val="046872D1"/>
    <w:rsid w:val="047C7106"/>
    <w:rsid w:val="04AC7907"/>
    <w:rsid w:val="04C80BE4"/>
    <w:rsid w:val="04E56BE2"/>
    <w:rsid w:val="04F65346"/>
    <w:rsid w:val="04F7530F"/>
    <w:rsid w:val="053A13B6"/>
    <w:rsid w:val="05574F02"/>
    <w:rsid w:val="058B788C"/>
    <w:rsid w:val="05967A84"/>
    <w:rsid w:val="059B6E0B"/>
    <w:rsid w:val="05A36294"/>
    <w:rsid w:val="05F83EAE"/>
    <w:rsid w:val="0616597F"/>
    <w:rsid w:val="063E7D85"/>
    <w:rsid w:val="06437674"/>
    <w:rsid w:val="064475B4"/>
    <w:rsid w:val="067B40AC"/>
    <w:rsid w:val="06BA455D"/>
    <w:rsid w:val="06DA18D9"/>
    <w:rsid w:val="06FB69AE"/>
    <w:rsid w:val="07293586"/>
    <w:rsid w:val="07295285"/>
    <w:rsid w:val="07636392"/>
    <w:rsid w:val="07726397"/>
    <w:rsid w:val="07770C56"/>
    <w:rsid w:val="078A621D"/>
    <w:rsid w:val="07E36049"/>
    <w:rsid w:val="07EF3B23"/>
    <w:rsid w:val="07FE02D7"/>
    <w:rsid w:val="080531B2"/>
    <w:rsid w:val="082A10BD"/>
    <w:rsid w:val="08473CA0"/>
    <w:rsid w:val="086F097C"/>
    <w:rsid w:val="08736675"/>
    <w:rsid w:val="08810F75"/>
    <w:rsid w:val="0895635F"/>
    <w:rsid w:val="08975339"/>
    <w:rsid w:val="08B646EA"/>
    <w:rsid w:val="08BF4AEB"/>
    <w:rsid w:val="08C575FD"/>
    <w:rsid w:val="08FD1E89"/>
    <w:rsid w:val="091854FF"/>
    <w:rsid w:val="092217DD"/>
    <w:rsid w:val="093A7294"/>
    <w:rsid w:val="0958005D"/>
    <w:rsid w:val="0998104B"/>
    <w:rsid w:val="09EA6F07"/>
    <w:rsid w:val="0A0941CD"/>
    <w:rsid w:val="0A0B1D7E"/>
    <w:rsid w:val="0A1070E0"/>
    <w:rsid w:val="0A1A631E"/>
    <w:rsid w:val="0A1E5897"/>
    <w:rsid w:val="0A263993"/>
    <w:rsid w:val="0A2D3AC2"/>
    <w:rsid w:val="0A467CB2"/>
    <w:rsid w:val="0A543B83"/>
    <w:rsid w:val="0A7022B5"/>
    <w:rsid w:val="0A843E9F"/>
    <w:rsid w:val="0AA755DF"/>
    <w:rsid w:val="0AD96F7B"/>
    <w:rsid w:val="0AF3628F"/>
    <w:rsid w:val="0AF750AC"/>
    <w:rsid w:val="0AFB421D"/>
    <w:rsid w:val="0B120D44"/>
    <w:rsid w:val="0B51425F"/>
    <w:rsid w:val="0BC56562"/>
    <w:rsid w:val="0BD27BF6"/>
    <w:rsid w:val="0C076B26"/>
    <w:rsid w:val="0C171D16"/>
    <w:rsid w:val="0C252AF2"/>
    <w:rsid w:val="0C271040"/>
    <w:rsid w:val="0C3B3C7D"/>
    <w:rsid w:val="0C776125"/>
    <w:rsid w:val="0C874EE1"/>
    <w:rsid w:val="0C8E66FD"/>
    <w:rsid w:val="0CAB2EAE"/>
    <w:rsid w:val="0CAE45F7"/>
    <w:rsid w:val="0D002EE5"/>
    <w:rsid w:val="0D126D7F"/>
    <w:rsid w:val="0D621C7D"/>
    <w:rsid w:val="0D8F6DD2"/>
    <w:rsid w:val="0D944F55"/>
    <w:rsid w:val="0DA758A9"/>
    <w:rsid w:val="0DE06A46"/>
    <w:rsid w:val="0DE46363"/>
    <w:rsid w:val="0DEB14A0"/>
    <w:rsid w:val="0E67321C"/>
    <w:rsid w:val="0E73034D"/>
    <w:rsid w:val="0E7A0BBE"/>
    <w:rsid w:val="0E9C6D03"/>
    <w:rsid w:val="0EA56BC4"/>
    <w:rsid w:val="0EB75C9F"/>
    <w:rsid w:val="0EF13252"/>
    <w:rsid w:val="0F0740B7"/>
    <w:rsid w:val="0F13775A"/>
    <w:rsid w:val="0F276FF5"/>
    <w:rsid w:val="0F3975B3"/>
    <w:rsid w:val="0F5F45FE"/>
    <w:rsid w:val="0F686B3B"/>
    <w:rsid w:val="0F713C26"/>
    <w:rsid w:val="0F9261E1"/>
    <w:rsid w:val="0F9A112B"/>
    <w:rsid w:val="0FBC34C0"/>
    <w:rsid w:val="0FDD28FA"/>
    <w:rsid w:val="0FEC44A8"/>
    <w:rsid w:val="0FF01CD9"/>
    <w:rsid w:val="1056375C"/>
    <w:rsid w:val="105B32C1"/>
    <w:rsid w:val="106D2F64"/>
    <w:rsid w:val="1096712D"/>
    <w:rsid w:val="10B63710"/>
    <w:rsid w:val="10C01520"/>
    <w:rsid w:val="10F10820"/>
    <w:rsid w:val="111C2F7A"/>
    <w:rsid w:val="114848D4"/>
    <w:rsid w:val="114C21EF"/>
    <w:rsid w:val="115E01DA"/>
    <w:rsid w:val="11665CA1"/>
    <w:rsid w:val="117070BB"/>
    <w:rsid w:val="117C28FB"/>
    <w:rsid w:val="11B877C0"/>
    <w:rsid w:val="11F85F3F"/>
    <w:rsid w:val="12612198"/>
    <w:rsid w:val="12737420"/>
    <w:rsid w:val="12793083"/>
    <w:rsid w:val="128442A7"/>
    <w:rsid w:val="12A2347E"/>
    <w:rsid w:val="12AF7D70"/>
    <w:rsid w:val="12EB17FA"/>
    <w:rsid w:val="131822C7"/>
    <w:rsid w:val="13427DB4"/>
    <w:rsid w:val="13623FB2"/>
    <w:rsid w:val="137908C0"/>
    <w:rsid w:val="13951726"/>
    <w:rsid w:val="13E501EF"/>
    <w:rsid w:val="14396509"/>
    <w:rsid w:val="14730FEE"/>
    <w:rsid w:val="148775B8"/>
    <w:rsid w:val="14DD2C3C"/>
    <w:rsid w:val="14FE1935"/>
    <w:rsid w:val="155905F4"/>
    <w:rsid w:val="15BC40A0"/>
    <w:rsid w:val="15C72F70"/>
    <w:rsid w:val="15FE46FD"/>
    <w:rsid w:val="16087E1D"/>
    <w:rsid w:val="1634578D"/>
    <w:rsid w:val="165A4634"/>
    <w:rsid w:val="16BB75AB"/>
    <w:rsid w:val="17024274"/>
    <w:rsid w:val="175C5646"/>
    <w:rsid w:val="17701D14"/>
    <w:rsid w:val="17735226"/>
    <w:rsid w:val="179D5B83"/>
    <w:rsid w:val="17A24D17"/>
    <w:rsid w:val="17B92C63"/>
    <w:rsid w:val="17BD3F2F"/>
    <w:rsid w:val="17C63E12"/>
    <w:rsid w:val="180A2D13"/>
    <w:rsid w:val="18466934"/>
    <w:rsid w:val="18860743"/>
    <w:rsid w:val="189F624C"/>
    <w:rsid w:val="18A230A3"/>
    <w:rsid w:val="18E47440"/>
    <w:rsid w:val="18F4694E"/>
    <w:rsid w:val="191F4337"/>
    <w:rsid w:val="19371A3D"/>
    <w:rsid w:val="19C66302"/>
    <w:rsid w:val="19D213B4"/>
    <w:rsid w:val="1A1C66C0"/>
    <w:rsid w:val="1A3459D6"/>
    <w:rsid w:val="1A42393B"/>
    <w:rsid w:val="1A791E57"/>
    <w:rsid w:val="1A7E63BA"/>
    <w:rsid w:val="1A82585B"/>
    <w:rsid w:val="1AAD45DE"/>
    <w:rsid w:val="1AB363AB"/>
    <w:rsid w:val="1AC25754"/>
    <w:rsid w:val="1ADC0AEE"/>
    <w:rsid w:val="1B017A61"/>
    <w:rsid w:val="1B046F80"/>
    <w:rsid w:val="1B3267B5"/>
    <w:rsid w:val="1B40161D"/>
    <w:rsid w:val="1B441859"/>
    <w:rsid w:val="1B5219B0"/>
    <w:rsid w:val="1B6606B1"/>
    <w:rsid w:val="1B8A5FC7"/>
    <w:rsid w:val="1B8C6FC7"/>
    <w:rsid w:val="1B9A66AF"/>
    <w:rsid w:val="1BA0461B"/>
    <w:rsid w:val="1BAC76D6"/>
    <w:rsid w:val="1BB6673E"/>
    <w:rsid w:val="1BE22134"/>
    <w:rsid w:val="1C1A2AFE"/>
    <w:rsid w:val="1C5E7925"/>
    <w:rsid w:val="1C784F9D"/>
    <w:rsid w:val="1CB6711D"/>
    <w:rsid w:val="1CD80D2E"/>
    <w:rsid w:val="1CFD070F"/>
    <w:rsid w:val="1D1545F2"/>
    <w:rsid w:val="1D256EFD"/>
    <w:rsid w:val="1D2E5674"/>
    <w:rsid w:val="1D36550B"/>
    <w:rsid w:val="1D5F6196"/>
    <w:rsid w:val="1D6132A5"/>
    <w:rsid w:val="1D8E56D5"/>
    <w:rsid w:val="1D910C13"/>
    <w:rsid w:val="1DF66FDA"/>
    <w:rsid w:val="1E476229"/>
    <w:rsid w:val="1E603F2B"/>
    <w:rsid w:val="1E7A43DA"/>
    <w:rsid w:val="1EA90CE7"/>
    <w:rsid w:val="1EBD5E6C"/>
    <w:rsid w:val="1EC126C2"/>
    <w:rsid w:val="1ED62A36"/>
    <w:rsid w:val="1F10520A"/>
    <w:rsid w:val="1F2B2044"/>
    <w:rsid w:val="1F4348CE"/>
    <w:rsid w:val="1F685B4E"/>
    <w:rsid w:val="1F8926F6"/>
    <w:rsid w:val="1FE7539E"/>
    <w:rsid w:val="200B0549"/>
    <w:rsid w:val="204D1317"/>
    <w:rsid w:val="20605891"/>
    <w:rsid w:val="206267A9"/>
    <w:rsid w:val="20671BE0"/>
    <w:rsid w:val="206D7D33"/>
    <w:rsid w:val="20837830"/>
    <w:rsid w:val="20963CB8"/>
    <w:rsid w:val="20A81A1B"/>
    <w:rsid w:val="20B07FB6"/>
    <w:rsid w:val="20B646FB"/>
    <w:rsid w:val="20BC7A52"/>
    <w:rsid w:val="20BE2980"/>
    <w:rsid w:val="20BF1516"/>
    <w:rsid w:val="20DF6D0A"/>
    <w:rsid w:val="212646BB"/>
    <w:rsid w:val="213B74B1"/>
    <w:rsid w:val="21453D8E"/>
    <w:rsid w:val="215A2310"/>
    <w:rsid w:val="215E085D"/>
    <w:rsid w:val="2175073F"/>
    <w:rsid w:val="21B07DB5"/>
    <w:rsid w:val="21C97582"/>
    <w:rsid w:val="21DD358C"/>
    <w:rsid w:val="21DE318A"/>
    <w:rsid w:val="21EF5B80"/>
    <w:rsid w:val="224E76E4"/>
    <w:rsid w:val="22576990"/>
    <w:rsid w:val="226923F9"/>
    <w:rsid w:val="22941CAE"/>
    <w:rsid w:val="22E449E3"/>
    <w:rsid w:val="22F47480"/>
    <w:rsid w:val="23127AD5"/>
    <w:rsid w:val="233724C2"/>
    <w:rsid w:val="233D0DF3"/>
    <w:rsid w:val="2383726E"/>
    <w:rsid w:val="23941C18"/>
    <w:rsid w:val="23DE1C48"/>
    <w:rsid w:val="23E426AC"/>
    <w:rsid w:val="240210CD"/>
    <w:rsid w:val="24185580"/>
    <w:rsid w:val="24341B33"/>
    <w:rsid w:val="244C0357"/>
    <w:rsid w:val="248F3BA6"/>
    <w:rsid w:val="249B7305"/>
    <w:rsid w:val="24BF09F7"/>
    <w:rsid w:val="24D02C52"/>
    <w:rsid w:val="24EA4F81"/>
    <w:rsid w:val="24FA1388"/>
    <w:rsid w:val="251643B9"/>
    <w:rsid w:val="252D53FE"/>
    <w:rsid w:val="25325351"/>
    <w:rsid w:val="25341526"/>
    <w:rsid w:val="256A7010"/>
    <w:rsid w:val="25D94D83"/>
    <w:rsid w:val="25EA2B30"/>
    <w:rsid w:val="25EC2D81"/>
    <w:rsid w:val="25FD4869"/>
    <w:rsid w:val="2600637B"/>
    <w:rsid w:val="260D3C3D"/>
    <w:rsid w:val="26107183"/>
    <w:rsid w:val="268A3207"/>
    <w:rsid w:val="26C71D1C"/>
    <w:rsid w:val="27392E24"/>
    <w:rsid w:val="27642027"/>
    <w:rsid w:val="276534D9"/>
    <w:rsid w:val="277057A2"/>
    <w:rsid w:val="27A504B9"/>
    <w:rsid w:val="27B65533"/>
    <w:rsid w:val="27C94ECA"/>
    <w:rsid w:val="27CC3514"/>
    <w:rsid w:val="280D5DE5"/>
    <w:rsid w:val="28246903"/>
    <w:rsid w:val="28261574"/>
    <w:rsid w:val="283120EA"/>
    <w:rsid w:val="28355CE1"/>
    <w:rsid w:val="283645AA"/>
    <w:rsid w:val="28375F1C"/>
    <w:rsid w:val="285730D1"/>
    <w:rsid w:val="28612632"/>
    <w:rsid w:val="28715D93"/>
    <w:rsid w:val="28B423DB"/>
    <w:rsid w:val="28F96D0F"/>
    <w:rsid w:val="29206EB8"/>
    <w:rsid w:val="29221C3F"/>
    <w:rsid w:val="292628EE"/>
    <w:rsid w:val="29595666"/>
    <w:rsid w:val="296A7401"/>
    <w:rsid w:val="29874881"/>
    <w:rsid w:val="29A05AF5"/>
    <w:rsid w:val="29A64E42"/>
    <w:rsid w:val="29E325E0"/>
    <w:rsid w:val="2A452503"/>
    <w:rsid w:val="2A4A38AB"/>
    <w:rsid w:val="2A5B7D43"/>
    <w:rsid w:val="2A653320"/>
    <w:rsid w:val="2AAF1545"/>
    <w:rsid w:val="2AD02BAB"/>
    <w:rsid w:val="2B3D6FF6"/>
    <w:rsid w:val="2B3E4EAD"/>
    <w:rsid w:val="2B492CDC"/>
    <w:rsid w:val="2B612949"/>
    <w:rsid w:val="2B7475E4"/>
    <w:rsid w:val="2BA936A8"/>
    <w:rsid w:val="2BDD5E30"/>
    <w:rsid w:val="2BE45A54"/>
    <w:rsid w:val="2BF177EC"/>
    <w:rsid w:val="2BF22CB5"/>
    <w:rsid w:val="2C05611A"/>
    <w:rsid w:val="2C1F44CA"/>
    <w:rsid w:val="2C2979A7"/>
    <w:rsid w:val="2C315A5A"/>
    <w:rsid w:val="2C4B1C25"/>
    <w:rsid w:val="2C5B27E0"/>
    <w:rsid w:val="2CCA7369"/>
    <w:rsid w:val="2D1D3D82"/>
    <w:rsid w:val="2D3C1683"/>
    <w:rsid w:val="2D7A5B72"/>
    <w:rsid w:val="2D810230"/>
    <w:rsid w:val="2D88240F"/>
    <w:rsid w:val="2D9E56F5"/>
    <w:rsid w:val="2DA8023F"/>
    <w:rsid w:val="2DF66ED3"/>
    <w:rsid w:val="2E00552A"/>
    <w:rsid w:val="2E074505"/>
    <w:rsid w:val="2E667F96"/>
    <w:rsid w:val="2E8226AB"/>
    <w:rsid w:val="2EA37A13"/>
    <w:rsid w:val="2EB705CC"/>
    <w:rsid w:val="2EBD64FE"/>
    <w:rsid w:val="2F8D193D"/>
    <w:rsid w:val="2F8F513B"/>
    <w:rsid w:val="2FBC5CA8"/>
    <w:rsid w:val="2FD065E6"/>
    <w:rsid w:val="2FD96870"/>
    <w:rsid w:val="2FF81FFF"/>
    <w:rsid w:val="3019603D"/>
    <w:rsid w:val="302407D5"/>
    <w:rsid w:val="30580BC9"/>
    <w:rsid w:val="305D67DA"/>
    <w:rsid w:val="307725FD"/>
    <w:rsid w:val="307D6477"/>
    <w:rsid w:val="30845E67"/>
    <w:rsid w:val="308D1B27"/>
    <w:rsid w:val="30A752A2"/>
    <w:rsid w:val="30BD0CE0"/>
    <w:rsid w:val="310D0D4C"/>
    <w:rsid w:val="3110179C"/>
    <w:rsid w:val="311E2ED7"/>
    <w:rsid w:val="314E046C"/>
    <w:rsid w:val="315619EE"/>
    <w:rsid w:val="315C449C"/>
    <w:rsid w:val="316816EC"/>
    <w:rsid w:val="31B82709"/>
    <w:rsid w:val="31D04DF8"/>
    <w:rsid w:val="31D05482"/>
    <w:rsid w:val="31F24664"/>
    <w:rsid w:val="323A0986"/>
    <w:rsid w:val="323E4E31"/>
    <w:rsid w:val="32400B34"/>
    <w:rsid w:val="32965963"/>
    <w:rsid w:val="329E6876"/>
    <w:rsid w:val="32C365E8"/>
    <w:rsid w:val="32CB3E17"/>
    <w:rsid w:val="33232F93"/>
    <w:rsid w:val="333015F2"/>
    <w:rsid w:val="333A23FE"/>
    <w:rsid w:val="334B6320"/>
    <w:rsid w:val="334D55D3"/>
    <w:rsid w:val="3354263B"/>
    <w:rsid w:val="33557238"/>
    <w:rsid w:val="335B7731"/>
    <w:rsid w:val="33973BFA"/>
    <w:rsid w:val="33D934D4"/>
    <w:rsid w:val="33DE17CB"/>
    <w:rsid w:val="33DF771C"/>
    <w:rsid w:val="33E67BDE"/>
    <w:rsid w:val="33FE2F6A"/>
    <w:rsid w:val="340E07E5"/>
    <w:rsid w:val="34235BF7"/>
    <w:rsid w:val="34293372"/>
    <w:rsid w:val="342C5FB2"/>
    <w:rsid w:val="345F3813"/>
    <w:rsid w:val="34656A3C"/>
    <w:rsid w:val="347B714B"/>
    <w:rsid w:val="34865F19"/>
    <w:rsid w:val="348E0A05"/>
    <w:rsid w:val="35031D2D"/>
    <w:rsid w:val="35312755"/>
    <w:rsid w:val="353867E7"/>
    <w:rsid w:val="358C5FA8"/>
    <w:rsid w:val="35C15DF1"/>
    <w:rsid w:val="35E43A85"/>
    <w:rsid w:val="36074A7F"/>
    <w:rsid w:val="36176A26"/>
    <w:rsid w:val="36260C47"/>
    <w:rsid w:val="366240D0"/>
    <w:rsid w:val="36841F73"/>
    <w:rsid w:val="36923549"/>
    <w:rsid w:val="369E4A52"/>
    <w:rsid w:val="36B75FBF"/>
    <w:rsid w:val="36BD0C45"/>
    <w:rsid w:val="37053322"/>
    <w:rsid w:val="372C615B"/>
    <w:rsid w:val="373D0702"/>
    <w:rsid w:val="376355AF"/>
    <w:rsid w:val="377D5C0E"/>
    <w:rsid w:val="37E00298"/>
    <w:rsid w:val="381B0A50"/>
    <w:rsid w:val="38593FA9"/>
    <w:rsid w:val="385D5D8D"/>
    <w:rsid w:val="38667053"/>
    <w:rsid w:val="38B302F9"/>
    <w:rsid w:val="38CA66C2"/>
    <w:rsid w:val="38E828A2"/>
    <w:rsid w:val="38E94F46"/>
    <w:rsid w:val="38F12CD3"/>
    <w:rsid w:val="38F94775"/>
    <w:rsid w:val="38FA0C66"/>
    <w:rsid w:val="39245B7D"/>
    <w:rsid w:val="39292ED3"/>
    <w:rsid w:val="392971ED"/>
    <w:rsid w:val="39325651"/>
    <w:rsid w:val="39A47EFA"/>
    <w:rsid w:val="39F63DDF"/>
    <w:rsid w:val="3A0356B5"/>
    <w:rsid w:val="3A091EA4"/>
    <w:rsid w:val="3A44714C"/>
    <w:rsid w:val="3A4C011E"/>
    <w:rsid w:val="3A777053"/>
    <w:rsid w:val="3A872856"/>
    <w:rsid w:val="3A930597"/>
    <w:rsid w:val="3AA05073"/>
    <w:rsid w:val="3AC06B5C"/>
    <w:rsid w:val="3B310220"/>
    <w:rsid w:val="3B3763D1"/>
    <w:rsid w:val="3B52214B"/>
    <w:rsid w:val="3B6D25BD"/>
    <w:rsid w:val="3B7C0644"/>
    <w:rsid w:val="3B8641B2"/>
    <w:rsid w:val="3B9D5939"/>
    <w:rsid w:val="3BD656F4"/>
    <w:rsid w:val="3BF93957"/>
    <w:rsid w:val="3C2F6E1E"/>
    <w:rsid w:val="3C4F64BA"/>
    <w:rsid w:val="3C5514DD"/>
    <w:rsid w:val="3C6109FB"/>
    <w:rsid w:val="3C9F4A60"/>
    <w:rsid w:val="3CB84654"/>
    <w:rsid w:val="3CDA245A"/>
    <w:rsid w:val="3CF7485B"/>
    <w:rsid w:val="3D0801FD"/>
    <w:rsid w:val="3D193084"/>
    <w:rsid w:val="3D1A2138"/>
    <w:rsid w:val="3D1E06B7"/>
    <w:rsid w:val="3D975295"/>
    <w:rsid w:val="3DE51872"/>
    <w:rsid w:val="3E150F77"/>
    <w:rsid w:val="3E302F93"/>
    <w:rsid w:val="3E92746B"/>
    <w:rsid w:val="3E9E46F9"/>
    <w:rsid w:val="3EDA0523"/>
    <w:rsid w:val="3EEB3B63"/>
    <w:rsid w:val="3EF13F74"/>
    <w:rsid w:val="3F2D522B"/>
    <w:rsid w:val="3F47037C"/>
    <w:rsid w:val="3F5D4F76"/>
    <w:rsid w:val="3FB3106C"/>
    <w:rsid w:val="3FC9475C"/>
    <w:rsid w:val="3FFB697C"/>
    <w:rsid w:val="40003C7E"/>
    <w:rsid w:val="4020246E"/>
    <w:rsid w:val="402A608A"/>
    <w:rsid w:val="403768E5"/>
    <w:rsid w:val="40437F8B"/>
    <w:rsid w:val="404D2757"/>
    <w:rsid w:val="40733629"/>
    <w:rsid w:val="407A6407"/>
    <w:rsid w:val="407D02FC"/>
    <w:rsid w:val="409A272E"/>
    <w:rsid w:val="40E335D7"/>
    <w:rsid w:val="410122B7"/>
    <w:rsid w:val="41264B4B"/>
    <w:rsid w:val="41335C75"/>
    <w:rsid w:val="41584F59"/>
    <w:rsid w:val="417E204F"/>
    <w:rsid w:val="41A96C3D"/>
    <w:rsid w:val="41B86D2E"/>
    <w:rsid w:val="41D02A92"/>
    <w:rsid w:val="4200449D"/>
    <w:rsid w:val="420C1409"/>
    <w:rsid w:val="423A3BCC"/>
    <w:rsid w:val="424E57D2"/>
    <w:rsid w:val="42B26C49"/>
    <w:rsid w:val="42D55572"/>
    <w:rsid w:val="42F86582"/>
    <w:rsid w:val="430A1A5A"/>
    <w:rsid w:val="43383F67"/>
    <w:rsid w:val="433A6FE6"/>
    <w:rsid w:val="4347073B"/>
    <w:rsid w:val="43480868"/>
    <w:rsid w:val="4350713C"/>
    <w:rsid w:val="436653E0"/>
    <w:rsid w:val="43AC054B"/>
    <w:rsid w:val="43C4431A"/>
    <w:rsid w:val="43CD1D6A"/>
    <w:rsid w:val="43DC38E1"/>
    <w:rsid w:val="442F6C9A"/>
    <w:rsid w:val="445724E9"/>
    <w:rsid w:val="445C22B9"/>
    <w:rsid w:val="44A7156B"/>
    <w:rsid w:val="44AB4CA6"/>
    <w:rsid w:val="44B951CC"/>
    <w:rsid w:val="44BD68E4"/>
    <w:rsid w:val="44C76DC1"/>
    <w:rsid w:val="44CD14E0"/>
    <w:rsid w:val="44DA39E6"/>
    <w:rsid w:val="44F075A8"/>
    <w:rsid w:val="44F20B0B"/>
    <w:rsid w:val="44F24611"/>
    <w:rsid w:val="450D34CE"/>
    <w:rsid w:val="452E5F4C"/>
    <w:rsid w:val="45333EA1"/>
    <w:rsid w:val="45612018"/>
    <w:rsid w:val="457222AD"/>
    <w:rsid w:val="458946E9"/>
    <w:rsid w:val="45940F71"/>
    <w:rsid w:val="45A47C0E"/>
    <w:rsid w:val="45B47DEE"/>
    <w:rsid w:val="45D57407"/>
    <w:rsid w:val="461C2511"/>
    <w:rsid w:val="463E49BE"/>
    <w:rsid w:val="464D5049"/>
    <w:rsid w:val="46577FD6"/>
    <w:rsid w:val="467448B8"/>
    <w:rsid w:val="468A4F4F"/>
    <w:rsid w:val="46C94FB4"/>
    <w:rsid w:val="46D21191"/>
    <w:rsid w:val="46D955A7"/>
    <w:rsid w:val="46DF4202"/>
    <w:rsid w:val="46E25468"/>
    <w:rsid w:val="47133957"/>
    <w:rsid w:val="471B6355"/>
    <w:rsid w:val="477E2E4D"/>
    <w:rsid w:val="47871B24"/>
    <w:rsid w:val="47A07E0C"/>
    <w:rsid w:val="47BF538D"/>
    <w:rsid w:val="480D2CAF"/>
    <w:rsid w:val="4812529F"/>
    <w:rsid w:val="4870272E"/>
    <w:rsid w:val="48C653E4"/>
    <w:rsid w:val="48CF1316"/>
    <w:rsid w:val="48EF3C19"/>
    <w:rsid w:val="49065FBB"/>
    <w:rsid w:val="491C6CD7"/>
    <w:rsid w:val="49513C82"/>
    <w:rsid w:val="496053A6"/>
    <w:rsid w:val="496F2D8A"/>
    <w:rsid w:val="49DC068E"/>
    <w:rsid w:val="49DC7715"/>
    <w:rsid w:val="49FC5422"/>
    <w:rsid w:val="4A023139"/>
    <w:rsid w:val="4A564CA8"/>
    <w:rsid w:val="4A612BBA"/>
    <w:rsid w:val="4A7B576F"/>
    <w:rsid w:val="4A8D57C1"/>
    <w:rsid w:val="4AB97C54"/>
    <w:rsid w:val="4ACD5E13"/>
    <w:rsid w:val="4AD24DD2"/>
    <w:rsid w:val="4AF561A9"/>
    <w:rsid w:val="4B0D2B22"/>
    <w:rsid w:val="4B1156CF"/>
    <w:rsid w:val="4B3C2D5F"/>
    <w:rsid w:val="4B59586A"/>
    <w:rsid w:val="4B6104B5"/>
    <w:rsid w:val="4B6F2C01"/>
    <w:rsid w:val="4B7C7600"/>
    <w:rsid w:val="4BB770C8"/>
    <w:rsid w:val="4C3251A8"/>
    <w:rsid w:val="4C3458C6"/>
    <w:rsid w:val="4C3A6D52"/>
    <w:rsid w:val="4C4264FE"/>
    <w:rsid w:val="4C4A0649"/>
    <w:rsid w:val="4C5D5537"/>
    <w:rsid w:val="4C682B2A"/>
    <w:rsid w:val="4C7175CB"/>
    <w:rsid w:val="4C7E5ECA"/>
    <w:rsid w:val="4C876AA5"/>
    <w:rsid w:val="4C882EC8"/>
    <w:rsid w:val="4C97381F"/>
    <w:rsid w:val="4CE45765"/>
    <w:rsid w:val="4CEC08D3"/>
    <w:rsid w:val="4D0E00FB"/>
    <w:rsid w:val="4D176606"/>
    <w:rsid w:val="4D714816"/>
    <w:rsid w:val="4DEC4FB0"/>
    <w:rsid w:val="4DF44658"/>
    <w:rsid w:val="4E075D8A"/>
    <w:rsid w:val="4E0F02B7"/>
    <w:rsid w:val="4E3173DD"/>
    <w:rsid w:val="4E3E1419"/>
    <w:rsid w:val="4E406E7E"/>
    <w:rsid w:val="4E407554"/>
    <w:rsid w:val="4E4361B3"/>
    <w:rsid w:val="4E4B5CD0"/>
    <w:rsid w:val="4E680C1B"/>
    <w:rsid w:val="4E9C1668"/>
    <w:rsid w:val="4EBE1CDD"/>
    <w:rsid w:val="4EC00FAD"/>
    <w:rsid w:val="4EFA24EA"/>
    <w:rsid w:val="4EFB0B66"/>
    <w:rsid w:val="4EFD14A0"/>
    <w:rsid w:val="4F4E7DE1"/>
    <w:rsid w:val="4F9843DC"/>
    <w:rsid w:val="4FBE5B86"/>
    <w:rsid w:val="4FC01A96"/>
    <w:rsid w:val="4FC62A8C"/>
    <w:rsid w:val="4FCF234A"/>
    <w:rsid w:val="4FE20F0D"/>
    <w:rsid w:val="4FE51552"/>
    <w:rsid w:val="50041972"/>
    <w:rsid w:val="5019541D"/>
    <w:rsid w:val="50504C4B"/>
    <w:rsid w:val="506A6AE5"/>
    <w:rsid w:val="506B452E"/>
    <w:rsid w:val="506D39BB"/>
    <w:rsid w:val="509C6E7C"/>
    <w:rsid w:val="50B51ADA"/>
    <w:rsid w:val="50B8456D"/>
    <w:rsid w:val="50C071EB"/>
    <w:rsid w:val="50D136BC"/>
    <w:rsid w:val="50D22DA3"/>
    <w:rsid w:val="50DC1198"/>
    <w:rsid w:val="51004D18"/>
    <w:rsid w:val="511C337C"/>
    <w:rsid w:val="512421B5"/>
    <w:rsid w:val="513B13C3"/>
    <w:rsid w:val="513C67F1"/>
    <w:rsid w:val="514B1E8F"/>
    <w:rsid w:val="515B480D"/>
    <w:rsid w:val="5162104E"/>
    <w:rsid w:val="518F6C62"/>
    <w:rsid w:val="519E11A2"/>
    <w:rsid w:val="51A83F3F"/>
    <w:rsid w:val="51C5343F"/>
    <w:rsid w:val="51DF7CF5"/>
    <w:rsid w:val="51E0616F"/>
    <w:rsid w:val="51E952C3"/>
    <w:rsid w:val="51F06981"/>
    <w:rsid w:val="52084934"/>
    <w:rsid w:val="52090F4D"/>
    <w:rsid w:val="5219001B"/>
    <w:rsid w:val="52206009"/>
    <w:rsid w:val="52E80FEC"/>
    <w:rsid w:val="52ED6952"/>
    <w:rsid w:val="53166927"/>
    <w:rsid w:val="532E5683"/>
    <w:rsid w:val="535523C0"/>
    <w:rsid w:val="535D3873"/>
    <w:rsid w:val="53762D77"/>
    <w:rsid w:val="537C213D"/>
    <w:rsid w:val="53852DC9"/>
    <w:rsid w:val="53A039CC"/>
    <w:rsid w:val="53A1505A"/>
    <w:rsid w:val="53EB70D0"/>
    <w:rsid w:val="53F11286"/>
    <w:rsid w:val="53F2787A"/>
    <w:rsid w:val="54063E08"/>
    <w:rsid w:val="543437E8"/>
    <w:rsid w:val="54405A83"/>
    <w:rsid w:val="54617393"/>
    <w:rsid w:val="54AD59FD"/>
    <w:rsid w:val="54AF52BE"/>
    <w:rsid w:val="54BC33DB"/>
    <w:rsid w:val="54BF571A"/>
    <w:rsid w:val="54EF5DC0"/>
    <w:rsid w:val="54F73313"/>
    <w:rsid w:val="54F80955"/>
    <w:rsid w:val="5503044A"/>
    <w:rsid w:val="55081F04"/>
    <w:rsid w:val="55175CA3"/>
    <w:rsid w:val="554F08A1"/>
    <w:rsid w:val="555170A7"/>
    <w:rsid w:val="5587536D"/>
    <w:rsid w:val="558A6E6B"/>
    <w:rsid w:val="559B174B"/>
    <w:rsid w:val="55B27012"/>
    <w:rsid w:val="55CE0CF4"/>
    <w:rsid w:val="563D5844"/>
    <w:rsid w:val="564753F9"/>
    <w:rsid w:val="5653039D"/>
    <w:rsid w:val="56A02AE1"/>
    <w:rsid w:val="56B22A9C"/>
    <w:rsid w:val="56CB2A6A"/>
    <w:rsid w:val="570D3B1F"/>
    <w:rsid w:val="5740241A"/>
    <w:rsid w:val="5753390A"/>
    <w:rsid w:val="575C02E5"/>
    <w:rsid w:val="579D2154"/>
    <w:rsid w:val="579D3DCA"/>
    <w:rsid w:val="57A446F3"/>
    <w:rsid w:val="57B72A76"/>
    <w:rsid w:val="57C3426C"/>
    <w:rsid w:val="57CE1F93"/>
    <w:rsid w:val="57D05633"/>
    <w:rsid w:val="57DE3F81"/>
    <w:rsid w:val="58084F36"/>
    <w:rsid w:val="583B7EFB"/>
    <w:rsid w:val="585D2567"/>
    <w:rsid w:val="587815FE"/>
    <w:rsid w:val="588743D1"/>
    <w:rsid w:val="5887701A"/>
    <w:rsid w:val="589E06DD"/>
    <w:rsid w:val="58AF6A44"/>
    <w:rsid w:val="58B01482"/>
    <w:rsid w:val="58E95BA9"/>
    <w:rsid w:val="59032D2A"/>
    <w:rsid w:val="598312E2"/>
    <w:rsid w:val="59887700"/>
    <w:rsid w:val="598B093D"/>
    <w:rsid w:val="59AD3660"/>
    <w:rsid w:val="59C0439F"/>
    <w:rsid w:val="59E71D76"/>
    <w:rsid w:val="5A275654"/>
    <w:rsid w:val="5A332E72"/>
    <w:rsid w:val="5ABD553F"/>
    <w:rsid w:val="5ABE2233"/>
    <w:rsid w:val="5B9047A4"/>
    <w:rsid w:val="5B953AAE"/>
    <w:rsid w:val="5BC30933"/>
    <w:rsid w:val="5BC67CEC"/>
    <w:rsid w:val="5BCF552A"/>
    <w:rsid w:val="5BDF5D95"/>
    <w:rsid w:val="5BFE7528"/>
    <w:rsid w:val="5C0F3B9D"/>
    <w:rsid w:val="5C166E62"/>
    <w:rsid w:val="5C2A1733"/>
    <w:rsid w:val="5C5041EB"/>
    <w:rsid w:val="5C6402BE"/>
    <w:rsid w:val="5C771E77"/>
    <w:rsid w:val="5C845604"/>
    <w:rsid w:val="5CE86237"/>
    <w:rsid w:val="5D1B075E"/>
    <w:rsid w:val="5D2B49E2"/>
    <w:rsid w:val="5D32079C"/>
    <w:rsid w:val="5D3A390F"/>
    <w:rsid w:val="5DBC1626"/>
    <w:rsid w:val="5DEA607E"/>
    <w:rsid w:val="5DF8645E"/>
    <w:rsid w:val="5E053DDB"/>
    <w:rsid w:val="5E2426F0"/>
    <w:rsid w:val="5E2467F1"/>
    <w:rsid w:val="5E310DD1"/>
    <w:rsid w:val="5E6463F2"/>
    <w:rsid w:val="5ED56FB5"/>
    <w:rsid w:val="5EE01731"/>
    <w:rsid w:val="5EF4643F"/>
    <w:rsid w:val="5F025D3F"/>
    <w:rsid w:val="5F1A2B43"/>
    <w:rsid w:val="5F3C5219"/>
    <w:rsid w:val="5F6C0FEB"/>
    <w:rsid w:val="5F9B5A7D"/>
    <w:rsid w:val="5FB837BB"/>
    <w:rsid w:val="5FB97DE1"/>
    <w:rsid w:val="5FE10734"/>
    <w:rsid w:val="60335F84"/>
    <w:rsid w:val="6051650D"/>
    <w:rsid w:val="6094615F"/>
    <w:rsid w:val="60CC0174"/>
    <w:rsid w:val="60CC405A"/>
    <w:rsid w:val="60E7192E"/>
    <w:rsid w:val="60F919E8"/>
    <w:rsid w:val="611264F8"/>
    <w:rsid w:val="61273F46"/>
    <w:rsid w:val="61504A17"/>
    <w:rsid w:val="61885C49"/>
    <w:rsid w:val="61DD0315"/>
    <w:rsid w:val="61E215D8"/>
    <w:rsid w:val="621B3775"/>
    <w:rsid w:val="62364782"/>
    <w:rsid w:val="62601BB3"/>
    <w:rsid w:val="62946FE0"/>
    <w:rsid w:val="62A95B48"/>
    <w:rsid w:val="62E47B0C"/>
    <w:rsid w:val="62F31373"/>
    <w:rsid w:val="630755A9"/>
    <w:rsid w:val="630F140E"/>
    <w:rsid w:val="631E5AFE"/>
    <w:rsid w:val="636E5FB5"/>
    <w:rsid w:val="637860F1"/>
    <w:rsid w:val="63800E8D"/>
    <w:rsid w:val="6394356A"/>
    <w:rsid w:val="63AF3FD9"/>
    <w:rsid w:val="63C61B2C"/>
    <w:rsid w:val="63D40BE9"/>
    <w:rsid w:val="64102431"/>
    <w:rsid w:val="641839AF"/>
    <w:rsid w:val="64724786"/>
    <w:rsid w:val="647405B2"/>
    <w:rsid w:val="6493342B"/>
    <w:rsid w:val="64A5243A"/>
    <w:rsid w:val="64F531DE"/>
    <w:rsid w:val="65373578"/>
    <w:rsid w:val="653B6EEE"/>
    <w:rsid w:val="656756FC"/>
    <w:rsid w:val="658253BB"/>
    <w:rsid w:val="659155FE"/>
    <w:rsid w:val="65C669C4"/>
    <w:rsid w:val="65DB21B0"/>
    <w:rsid w:val="65E2561F"/>
    <w:rsid w:val="661A6105"/>
    <w:rsid w:val="6661526A"/>
    <w:rsid w:val="66CE4704"/>
    <w:rsid w:val="66F649DA"/>
    <w:rsid w:val="671025C6"/>
    <w:rsid w:val="671D335E"/>
    <w:rsid w:val="671F124A"/>
    <w:rsid w:val="67347036"/>
    <w:rsid w:val="67373EEC"/>
    <w:rsid w:val="673F5EBD"/>
    <w:rsid w:val="67650123"/>
    <w:rsid w:val="677A33C6"/>
    <w:rsid w:val="67930C3A"/>
    <w:rsid w:val="6799143F"/>
    <w:rsid w:val="68036687"/>
    <w:rsid w:val="680453AB"/>
    <w:rsid w:val="6809591F"/>
    <w:rsid w:val="681F6961"/>
    <w:rsid w:val="683A2F42"/>
    <w:rsid w:val="68572CE3"/>
    <w:rsid w:val="68610A2F"/>
    <w:rsid w:val="686B2DC3"/>
    <w:rsid w:val="68805514"/>
    <w:rsid w:val="689E532E"/>
    <w:rsid w:val="68B414F5"/>
    <w:rsid w:val="68D514B4"/>
    <w:rsid w:val="68DB48FD"/>
    <w:rsid w:val="69316E2F"/>
    <w:rsid w:val="693F5A8E"/>
    <w:rsid w:val="69432511"/>
    <w:rsid w:val="694E2071"/>
    <w:rsid w:val="69766163"/>
    <w:rsid w:val="69796AD5"/>
    <w:rsid w:val="697A3B33"/>
    <w:rsid w:val="6993643B"/>
    <w:rsid w:val="69C451DF"/>
    <w:rsid w:val="69D44760"/>
    <w:rsid w:val="69D9607C"/>
    <w:rsid w:val="69F50BD8"/>
    <w:rsid w:val="6A3A6264"/>
    <w:rsid w:val="6A3D7DBF"/>
    <w:rsid w:val="6A3E279B"/>
    <w:rsid w:val="6A48145B"/>
    <w:rsid w:val="6A520EC7"/>
    <w:rsid w:val="6A8E5399"/>
    <w:rsid w:val="6ADB493C"/>
    <w:rsid w:val="6AF70B0C"/>
    <w:rsid w:val="6AF87E20"/>
    <w:rsid w:val="6B0F5943"/>
    <w:rsid w:val="6B322639"/>
    <w:rsid w:val="6B8D2439"/>
    <w:rsid w:val="6B9D42AD"/>
    <w:rsid w:val="6C2B21F9"/>
    <w:rsid w:val="6C3D64DF"/>
    <w:rsid w:val="6C4E249B"/>
    <w:rsid w:val="6C5D26DE"/>
    <w:rsid w:val="6C636C38"/>
    <w:rsid w:val="6CC26721"/>
    <w:rsid w:val="6CD030ED"/>
    <w:rsid w:val="6CE801F9"/>
    <w:rsid w:val="6CF156CA"/>
    <w:rsid w:val="6D545E34"/>
    <w:rsid w:val="6D9C28D5"/>
    <w:rsid w:val="6DB331BC"/>
    <w:rsid w:val="6DB34098"/>
    <w:rsid w:val="6DB545B6"/>
    <w:rsid w:val="6DE02FB4"/>
    <w:rsid w:val="6E1E4D2E"/>
    <w:rsid w:val="6E4802F4"/>
    <w:rsid w:val="6E4C327A"/>
    <w:rsid w:val="6E514CED"/>
    <w:rsid w:val="6E8B1784"/>
    <w:rsid w:val="6EA168B2"/>
    <w:rsid w:val="6EA63EC8"/>
    <w:rsid w:val="6EB54C11"/>
    <w:rsid w:val="6EB563D5"/>
    <w:rsid w:val="6ED55BE1"/>
    <w:rsid w:val="6ED562B1"/>
    <w:rsid w:val="6ED92677"/>
    <w:rsid w:val="6EE36ECA"/>
    <w:rsid w:val="6EF56020"/>
    <w:rsid w:val="6F0B4148"/>
    <w:rsid w:val="6F225983"/>
    <w:rsid w:val="6F8A58F5"/>
    <w:rsid w:val="6FB41467"/>
    <w:rsid w:val="6FCE13C8"/>
    <w:rsid w:val="6FF1003D"/>
    <w:rsid w:val="6FFC5590"/>
    <w:rsid w:val="70575A6A"/>
    <w:rsid w:val="706D1DD0"/>
    <w:rsid w:val="7070486A"/>
    <w:rsid w:val="707149AA"/>
    <w:rsid w:val="70856B87"/>
    <w:rsid w:val="70983CE4"/>
    <w:rsid w:val="70A66401"/>
    <w:rsid w:val="70AE5C04"/>
    <w:rsid w:val="70B67351"/>
    <w:rsid w:val="70BC134B"/>
    <w:rsid w:val="70D527EE"/>
    <w:rsid w:val="70DF1CC8"/>
    <w:rsid w:val="70E57F00"/>
    <w:rsid w:val="7148395C"/>
    <w:rsid w:val="714E18BE"/>
    <w:rsid w:val="715B5300"/>
    <w:rsid w:val="716608AE"/>
    <w:rsid w:val="71817E25"/>
    <w:rsid w:val="718A185F"/>
    <w:rsid w:val="71923A45"/>
    <w:rsid w:val="71D27F8A"/>
    <w:rsid w:val="72137FC8"/>
    <w:rsid w:val="721904C7"/>
    <w:rsid w:val="72343EE1"/>
    <w:rsid w:val="723E2669"/>
    <w:rsid w:val="72553024"/>
    <w:rsid w:val="72A476A5"/>
    <w:rsid w:val="72B8422D"/>
    <w:rsid w:val="72FB4660"/>
    <w:rsid w:val="73104006"/>
    <w:rsid w:val="73122968"/>
    <w:rsid w:val="731F5D5E"/>
    <w:rsid w:val="73542064"/>
    <w:rsid w:val="735470C4"/>
    <w:rsid w:val="73995969"/>
    <w:rsid w:val="73C51AD5"/>
    <w:rsid w:val="73C93721"/>
    <w:rsid w:val="73E72D35"/>
    <w:rsid w:val="741E4179"/>
    <w:rsid w:val="741E793C"/>
    <w:rsid w:val="74454BD7"/>
    <w:rsid w:val="74515CAA"/>
    <w:rsid w:val="745E3944"/>
    <w:rsid w:val="74932A0C"/>
    <w:rsid w:val="75040D90"/>
    <w:rsid w:val="75227685"/>
    <w:rsid w:val="75640BD1"/>
    <w:rsid w:val="756F3322"/>
    <w:rsid w:val="75AE57F7"/>
    <w:rsid w:val="75C75250"/>
    <w:rsid w:val="75CE42C0"/>
    <w:rsid w:val="75F50F12"/>
    <w:rsid w:val="76092C01"/>
    <w:rsid w:val="761A665C"/>
    <w:rsid w:val="7635099D"/>
    <w:rsid w:val="76353532"/>
    <w:rsid w:val="765F31DF"/>
    <w:rsid w:val="768A7D0B"/>
    <w:rsid w:val="76CF56CF"/>
    <w:rsid w:val="76D37959"/>
    <w:rsid w:val="76FA1D0B"/>
    <w:rsid w:val="776115E9"/>
    <w:rsid w:val="77762421"/>
    <w:rsid w:val="777966CE"/>
    <w:rsid w:val="77860A42"/>
    <w:rsid w:val="7787307A"/>
    <w:rsid w:val="77A318EC"/>
    <w:rsid w:val="77AC2D86"/>
    <w:rsid w:val="77B56B1F"/>
    <w:rsid w:val="780D15A8"/>
    <w:rsid w:val="780F09F4"/>
    <w:rsid w:val="783B6DE3"/>
    <w:rsid w:val="78450BF6"/>
    <w:rsid w:val="78613D47"/>
    <w:rsid w:val="786839AD"/>
    <w:rsid w:val="788D2CF0"/>
    <w:rsid w:val="789E125C"/>
    <w:rsid w:val="78A90480"/>
    <w:rsid w:val="78BC12DE"/>
    <w:rsid w:val="78DD20CE"/>
    <w:rsid w:val="78EA7C80"/>
    <w:rsid w:val="78FB752E"/>
    <w:rsid w:val="790F5C1D"/>
    <w:rsid w:val="791D157A"/>
    <w:rsid w:val="797869AC"/>
    <w:rsid w:val="79892D47"/>
    <w:rsid w:val="798B1047"/>
    <w:rsid w:val="79D265A3"/>
    <w:rsid w:val="79DD228D"/>
    <w:rsid w:val="7A364017"/>
    <w:rsid w:val="7A8265E1"/>
    <w:rsid w:val="7AA44CF5"/>
    <w:rsid w:val="7B17638F"/>
    <w:rsid w:val="7B322A81"/>
    <w:rsid w:val="7B686D42"/>
    <w:rsid w:val="7B841746"/>
    <w:rsid w:val="7B8E68C0"/>
    <w:rsid w:val="7B984123"/>
    <w:rsid w:val="7BB0760A"/>
    <w:rsid w:val="7BD1454E"/>
    <w:rsid w:val="7BFE5A11"/>
    <w:rsid w:val="7C02383A"/>
    <w:rsid w:val="7C5D0C42"/>
    <w:rsid w:val="7C6C5AC7"/>
    <w:rsid w:val="7C725D5C"/>
    <w:rsid w:val="7C966990"/>
    <w:rsid w:val="7CC43D31"/>
    <w:rsid w:val="7CC6544B"/>
    <w:rsid w:val="7CCB29CD"/>
    <w:rsid w:val="7CF91FAF"/>
    <w:rsid w:val="7D0239FF"/>
    <w:rsid w:val="7D1359BB"/>
    <w:rsid w:val="7D322B22"/>
    <w:rsid w:val="7D44000E"/>
    <w:rsid w:val="7D5E40CD"/>
    <w:rsid w:val="7D617A12"/>
    <w:rsid w:val="7D6C2034"/>
    <w:rsid w:val="7D8C639D"/>
    <w:rsid w:val="7D9263E8"/>
    <w:rsid w:val="7DBB7A27"/>
    <w:rsid w:val="7DCD56F2"/>
    <w:rsid w:val="7DF46AC3"/>
    <w:rsid w:val="7E074859"/>
    <w:rsid w:val="7E6D4A02"/>
    <w:rsid w:val="7E722019"/>
    <w:rsid w:val="7EC20525"/>
    <w:rsid w:val="7EE17457"/>
    <w:rsid w:val="7EF22652"/>
    <w:rsid w:val="7F001CE7"/>
    <w:rsid w:val="7F14776B"/>
    <w:rsid w:val="7F451C00"/>
    <w:rsid w:val="7F4818EA"/>
    <w:rsid w:val="7F561141"/>
    <w:rsid w:val="7F953CF4"/>
    <w:rsid w:val="7F994E17"/>
    <w:rsid w:val="7FC607B1"/>
    <w:rsid w:val="7FE47E50"/>
    <w:rsid w:val="7FF9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4"/>
    <w:autoRedefine/>
    <w:qFormat/>
    <w:uiPriority w:val="1"/>
    <w:pPr>
      <w:ind w:left="1152"/>
      <w:outlineLvl w:val="1"/>
    </w:pPr>
    <w:rPr>
      <w:rFonts w:ascii="宋体" w:hAnsi="宋体" w:cs="宋体"/>
      <w:b/>
      <w:bCs/>
      <w:sz w:val="24"/>
      <w:lang w:val="zh-CN" w:bidi="zh-CN"/>
    </w:rPr>
  </w:style>
  <w:style w:type="paragraph" w:styleId="6">
    <w:name w:val="heading 3"/>
    <w:basedOn w:val="1"/>
    <w:next w:val="1"/>
    <w:autoRedefine/>
    <w:qFormat/>
    <w:uiPriority w:val="0"/>
    <w:pPr>
      <w:numPr>
        <w:ilvl w:val="2"/>
        <w:numId w:val="1"/>
      </w:numPr>
      <w:adjustRightInd w:val="0"/>
      <w:snapToGrid w:val="0"/>
      <w:spacing w:line="360" w:lineRule="auto"/>
      <w:ind w:left="607" w:firstLine="361" w:firstLineChars="100"/>
      <w:jc w:val="left"/>
      <w:outlineLvl w:val="2"/>
    </w:pPr>
    <w:rPr>
      <w:b/>
      <w:bCs/>
      <w:kern w:val="0"/>
      <w:sz w:val="30"/>
      <w:szCs w:val="32"/>
    </w:rPr>
  </w:style>
  <w:style w:type="paragraph" w:styleId="7">
    <w:name w:val="heading 4"/>
    <w:basedOn w:val="1"/>
    <w:next w:val="1"/>
    <w:autoRedefine/>
    <w:qFormat/>
    <w:uiPriority w:val="0"/>
    <w:pPr>
      <w:keepNext/>
      <w:keepLines/>
      <w:spacing w:before="76" w:beforeLines="20" w:line="360" w:lineRule="auto"/>
      <w:jc w:val="left"/>
      <w:outlineLvl w:val="3"/>
    </w:pPr>
    <w:rPr>
      <w:rFonts w:eastAsia="黑体"/>
      <w:b/>
      <w:bCs/>
      <w:sz w:val="28"/>
      <w:szCs w:val="28"/>
      <w:lang w:val="zh-CN"/>
    </w:rPr>
  </w:style>
  <w:style w:type="paragraph" w:styleId="8">
    <w:name w:val="heading 6"/>
    <w:basedOn w:val="1"/>
    <w:next w:val="1"/>
    <w:autoRedefine/>
    <w:qFormat/>
    <w:uiPriority w:val="0"/>
    <w:pPr>
      <w:keepNext/>
      <w:keepLines/>
      <w:numPr>
        <w:ilvl w:val="5"/>
        <w:numId w:val="2"/>
      </w:numPr>
      <w:tabs>
        <w:tab w:val="left" w:pos="1152"/>
      </w:tab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style>
  <w:style w:type="paragraph" w:customStyle="1" w:styleId="5">
    <w:name w:val="正文1"/>
    <w:basedOn w:val="1"/>
    <w:autoRedefine/>
    <w:qFormat/>
    <w:uiPriority w:val="0"/>
    <w:pPr>
      <w:ind w:firstLine="480"/>
    </w:pPr>
    <w:rPr>
      <w:rFonts w:cs="Times New Roman"/>
      <w:color w:val="auto"/>
      <w:kern w:val="0"/>
    </w:rPr>
  </w:style>
  <w:style w:type="paragraph" w:styleId="10">
    <w:name w:val="caption"/>
    <w:basedOn w:val="1"/>
    <w:next w:val="1"/>
    <w:autoRedefine/>
    <w:qFormat/>
    <w:uiPriority w:val="0"/>
    <w:pPr>
      <w:jc w:val="center"/>
    </w:pPr>
    <w:rPr>
      <w:rFonts w:cs="Arial"/>
      <w:b/>
      <w:kern w:val="0"/>
      <w:sz w:val="24"/>
      <w:lang w:val="zh-CN"/>
    </w:rPr>
  </w:style>
  <w:style w:type="paragraph" w:styleId="11">
    <w:name w:val="annotation text"/>
    <w:basedOn w:val="1"/>
    <w:link w:val="55"/>
    <w:autoRedefine/>
    <w:semiHidden/>
    <w:qFormat/>
    <w:uiPriority w:val="0"/>
    <w:pPr>
      <w:jc w:val="left"/>
    </w:pPr>
    <w:rPr>
      <w:kern w:val="0"/>
      <w:sz w:val="24"/>
      <w:szCs w:val="20"/>
    </w:rPr>
  </w:style>
  <w:style w:type="paragraph" w:styleId="12">
    <w:name w:val="Salutation"/>
    <w:basedOn w:val="1"/>
    <w:next w:val="1"/>
    <w:autoRedefine/>
    <w:qFormat/>
    <w:uiPriority w:val="0"/>
  </w:style>
  <w:style w:type="paragraph" w:styleId="13">
    <w:name w:val="Body Text"/>
    <w:basedOn w:val="1"/>
    <w:next w:val="1"/>
    <w:link w:val="54"/>
    <w:autoRedefine/>
    <w:qFormat/>
    <w:uiPriority w:val="0"/>
    <w:pPr>
      <w:widowControl/>
      <w:snapToGrid w:val="0"/>
      <w:spacing w:before="60" w:after="160" w:line="259" w:lineRule="auto"/>
      <w:ind w:right="113"/>
    </w:pPr>
    <w:rPr>
      <w:kern w:val="0"/>
      <w:sz w:val="18"/>
      <w:szCs w:val="20"/>
    </w:rPr>
  </w:style>
  <w:style w:type="paragraph" w:styleId="14">
    <w:name w:val="Body Text Indent"/>
    <w:basedOn w:val="1"/>
    <w:next w:val="15"/>
    <w:link w:val="61"/>
    <w:autoRedefine/>
    <w:qFormat/>
    <w:uiPriority w:val="0"/>
    <w:pPr>
      <w:spacing w:after="120"/>
      <w:ind w:left="420" w:leftChars="200"/>
    </w:pPr>
    <w:rPr>
      <w:kern w:val="0"/>
      <w:sz w:val="24"/>
      <w:szCs w:val="20"/>
    </w:rPr>
  </w:style>
  <w:style w:type="paragraph" w:styleId="15">
    <w:name w:val="Body Text Indent 2"/>
    <w:basedOn w:val="1"/>
    <w:next w:val="16"/>
    <w:autoRedefine/>
    <w:unhideWhenUsed/>
    <w:qFormat/>
    <w:uiPriority w:val="99"/>
    <w:pPr>
      <w:spacing w:after="120" w:line="480" w:lineRule="auto"/>
      <w:ind w:left="420" w:leftChars="200"/>
    </w:pPr>
  </w:style>
  <w:style w:type="paragraph" w:styleId="16">
    <w:name w:val="Body Text First Indent 2"/>
    <w:basedOn w:val="14"/>
    <w:next w:val="1"/>
    <w:autoRedefine/>
    <w:unhideWhenUsed/>
    <w:qFormat/>
    <w:uiPriority w:val="99"/>
    <w:pPr>
      <w:ind w:firstLine="420" w:firstLineChars="200"/>
    </w:pPr>
  </w:style>
  <w:style w:type="paragraph" w:styleId="17">
    <w:name w:val="Plain Text"/>
    <w:basedOn w:val="1"/>
    <w:next w:val="12"/>
    <w:autoRedefine/>
    <w:qFormat/>
    <w:uiPriority w:val="0"/>
    <w:rPr>
      <w:rFonts w:ascii="宋体" w:hAnsi="Courier New"/>
      <w:kern w:val="0"/>
      <w:szCs w:val="21"/>
    </w:rPr>
  </w:style>
  <w:style w:type="paragraph" w:styleId="18">
    <w:name w:val="Date"/>
    <w:basedOn w:val="1"/>
    <w:next w:val="1"/>
    <w:link w:val="50"/>
    <w:autoRedefine/>
    <w:qFormat/>
    <w:uiPriority w:val="0"/>
    <w:pPr>
      <w:ind w:left="100" w:leftChars="2500"/>
    </w:pPr>
    <w:rPr>
      <w:kern w:val="0"/>
      <w:sz w:val="24"/>
      <w:szCs w:val="20"/>
    </w:rPr>
  </w:style>
  <w:style w:type="paragraph" w:styleId="19">
    <w:name w:val="Balloon Text"/>
    <w:basedOn w:val="1"/>
    <w:link w:val="57"/>
    <w:autoRedefine/>
    <w:semiHidden/>
    <w:qFormat/>
    <w:uiPriority w:val="0"/>
    <w:rPr>
      <w:kern w:val="0"/>
      <w:sz w:val="18"/>
      <w:szCs w:val="20"/>
    </w:rPr>
  </w:style>
  <w:style w:type="paragraph" w:styleId="20">
    <w:name w:val="footer"/>
    <w:basedOn w:val="1"/>
    <w:link w:val="49"/>
    <w:autoRedefine/>
    <w:qFormat/>
    <w:uiPriority w:val="99"/>
    <w:pPr>
      <w:tabs>
        <w:tab w:val="center" w:pos="4153"/>
        <w:tab w:val="right" w:pos="8306"/>
      </w:tabs>
      <w:snapToGrid w:val="0"/>
      <w:jc w:val="left"/>
    </w:pPr>
    <w:rPr>
      <w:kern w:val="0"/>
      <w:sz w:val="18"/>
      <w:szCs w:val="20"/>
    </w:rPr>
  </w:style>
  <w:style w:type="paragraph" w:styleId="21">
    <w:name w:val="envelope return"/>
    <w:basedOn w:val="1"/>
    <w:autoRedefine/>
    <w:qFormat/>
    <w:uiPriority w:val="0"/>
    <w:pPr>
      <w:snapToGrid w:val="0"/>
      <w:spacing w:line="480" w:lineRule="exact"/>
    </w:pPr>
    <w:rPr>
      <w:rFonts w:ascii="Arial" w:hAnsi="Arial" w:cs="Arial"/>
    </w:rPr>
  </w:style>
  <w:style w:type="paragraph" w:styleId="22">
    <w:name w:val="header"/>
    <w:basedOn w:val="1"/>
    <w:next w:val="1"/>
    <w:link w:val="59"/>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List"/>
    <w:basedOn w:val="1"/>
    <w:autoRedefine/>
    <w:qFormat/>
    <w:uiPriority w:val="0"/>
    <w:pPr>
      <w:ind w:left="200" w:hanging="200" w:hangingChars="200"/>
    </w:pPr>
  </w:style>
  <w:style w:type="paragraph" w:styleId="24">
    <w:name w:val="table of figures"/>
    <w:basedOn w:val="1"/>
    <w:next w:val="1"/>
    <w:autoRedefine/>
    <w:qFormat/>
    <w:uiPriority w:val="0"/>
    <w:pPr>
      <w:ind w:left="200" w:leftChars="200" w:hanging="200" w:hangingChars="200"/>
    </w:pPr>
  </w:style>
  <w:style w:type="paragraph" w:styleId="25">
    <w:name w:val="toc 9"/>
    <w:basedOn w:val="1"/>
    <w:next w:val="1"/>
    <w:autoRedefine/>
    <w:qFormat/>
    <w:uiPriority w:val="0"/>
    <w:pPr>
      <w:widowControl/>
      <w:wordWrap w:val="0"/>
      <w:ind w:left="2975"/>
    </w:pPr>
    <w:rPr>
      <w:szCs w:val="22"/>
    </w:rPr>
  </w:style>
  <w:style w:type="paragraph" w:styleId="26">
    <w:name w:val="Body Text 2"/>
    <w:basedOn w:val="1"/>
    <w:next w:val="1"/>
    <w:autoRedefine/>
    <w:qFormat/>
    <w:uiPriority w:val="0"/>
    <w:pPr>
      <w:spacing w:after="120" w:line="480" w:lineRule="auto"/>
    </w:pPr>
  </w:style>
  <w:style w:type="paragraph" w:styleId="27">
    <w:name w:val="Normal (Web)"/>
    <w:basedOn w:val="1"/>
    <w:link w:val="52"/>
    <w:autoRedefine/>
    <w:qFormat/>
    <w:uiPriority w:val="0"/>
    <w:pPr>
      <w:widowControl/>
      <w:spacing w:before="100" w:beforeAutospacing="1" w:after="100" w:afterAutospacing="1"/>
      <w:jc w:val="left"/>
    </w:pPr>
    <w:rPr>
      <w:rFonts w:ascii="宋体" w:hAnsi="宋体"/>
      <w:kern w:val="0"/>
      <w:sz w:val="24"/>
      <w:szCs w:val="20"/>
    </w:rPr>
  </w:style>
  <w:style w:type="paragraph" w:styleId="28">
    <w:name w:val="annotation subject"/>
    <w:basedOn w:val="11"/>
    <w:next w:val="11"/>
    <w:link w:val="58"/>
    <w:autoRedefine/>
    <w:semiHidden/>
    <w:qFormat/>
    <w:uiPriority w:val="0"/>
    <w:rPr>
      <w:b/>
    </w:rPr>
  </w:style>
  <w:style w:type="paragraph" w:styleId="29">
    <w:name w:val="Body Text First Indent"/>
    <w:basedOn w:val="13"/>
    <w:next w:val="1"/>
    <w:autoRedefine/>
    <w:qFormat/>
    <w:uiPriority w:val="0"/>
    <w:pPr>
      <w:spacing w:after="120" w:line="240" w:lineRule="auto"/>
      <w:ind w:firstLine="420" w:firstLineChars="100"/>
    </w:pPr>
    <w:rPr>
      <w:sz w:val="21"/>
      <w:szCs w:val="24"/>
    </w:rPr>
  </w:style>
  <w:style w:type="table" w:styleId="31">
    <w:name w:val="Table Grid"/>
    <w:basedOn w:val="3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rFonts w:hint="default" w:ascii="Calibri" w:hAnsi="Calibri" w:eastAsia="宋体" w:cs="Times New Roman"/>
      <w:b/>
    </w:rPr>
  </w:style>
  <w:style w:type="character" w:styleId="34">
    <w:name w:val="page number"/>
    <w:basedOn w:val="32"/>
    <w:autoRedefine/>
    <w:qFormat/>
    <w:uiPriority w:val="0"/>
  </w:style>
  <w:style w:type="character" w:styleId="35">
    <w:name w:val="annotation reference"/>
    <w:autoRedefine/>
    <w:semiHidden/>
    <w:qFormat/>
    <w:uiPriority w:val="0"/>
    <w:rPr>
      <w:sz w:val="21"/>
    </w:rPr>
  </w:style>
  <w:style w:type="paragraph" w:customStyle="1" w:styleId="36">
    <w:name w:val="Default1"/>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xl27"/>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FF0000"/>
      <w:kern w:val="0"/>
      <w:szCs w:val="21"/>
    </w:rPr>
  </w:style>
  <w:style w:type="paragraph" w:customStyle="1" w:styleId="38">
    <w:name w:val="Body Text First Indent 21"/>
    <w:basedOn w:val="39"/>
    <w:autoRedefine/>
    <w:qFormat/>
    <w:uiPriority w:val="0"/>
    <w:pPr>
      <w:ind w:firstLine="420"/>
    </w:pPr>
    <w:rPr>
      <w:rFonts w:ascii="宋体" w:hAnsi="宋体" w:cs="宋体"/>
    </w:rPr>
  </w:style>
  <w:style w:type="paragraph" w:customStyle="1" w:styleId="39">
    <w:name w:val="Body Text Indent1"/>
    <w:basedOn w:val="1"/>
    <w:autoRedefine/>
    <w:qFormat/>
    <w:uiPriority w:val="0"/>
    <w:pPr>
      <w:spacing w:after="120"/>
      <w:ind w:left="420" w:leftChars="200"/>
    </w:pPr>
  </w:style>
  <w:style w:type="paragraph" w:customStyle="1" w:styleId="40">
    <w:name w:val="Default"/>
    <w:basedOn w:val="41"/>
    <w:next w:val="15"/>
    <w:autoRedefine/>
    <w:qFormat/>
    <w:uiPriority w:val="0"/>
    <w:pPr>
      <w:autoSpaceDE w:val="0"/>
      <w:autoSpaceDN w:val="0"/>
      <w:adjustRightInd w:val="0"/>
    </w:pPr>
    <w:rPr>
      <w:rFonts w:ascii="宋体" w:hAnsi="Calibri" w:cs="Calibri"/>
      <w:sz w:val="24"/>
      <w:szCs w:val="22"/>
    </w:rPr>
  </w:style>
  <w:style w:type="paragraph" w:customStyle="1" w:styleId="41">
    <w:name w:val="标题2"/>
    <w:basedOn w:val="1"/>
    <w:next w:val="1"/>
    <w:autoRedefine/>
    <w:qFormat/>
    <w:uiPriority w:val="0"/>
    <w:pPr>
      <w:autoSpaceDE w:val="0"/>
      <w:autoSpaceDN w:val="0"/>
      <w:snapToGrid w:val="0"/>
      <w:spacing w:line="590" w:lineRule="atLeast"/>
      <w:jc w:val="center"/>
    </w:pPr>
    <w:rPr>
      <w:rFonts w:eastAsia="方正楷体_GBK"/>
      <w:snapToGrid w:val="0"/>
      <w:kern w:val="0"/>
      <w:sz w:val="32"/>
    </w:rPr>
  </w:style>
  <w:style w:type="paragraph" w:customStyle="1" w:styleId="42">
    <w:name w:val="文本"/>
    <w:basedOn w:val="1"/>
    <w:next w:val="1"/>
    <w:autoRedefine/>
    <w:qFormat/>
    <w:uiPriority w:val="0"/>
    <w:pPr>
      <w:spacing w:line="360" w:lineRule="auto"/>
    </w:pPr>
  </w:style>
  <w:style w:type="paragraph" w:customStyle="1" w:styleId="43">
    <w:name w:val="1正文段落"/>
    <w:basedOn w:val="1"/>
    <w:autoRedefine/>
    <w:qFormat/>
    <w:uiPriority w:val="0"/>
    <w:pPr>
      <w:spacing w:line="360" w:lineRule="auto"/>
      <w:ind w:firstLine="480" w:firstLineChars="200"/>
      <w:jc w:val="left"/>
    </w:pPr>
    <w:rPr>
      <w:snapToGrid w:val="0"/>
      <w:kern w:val="0"/>
      <w:sz w:val="24"/>
      <w:lang w:val="zh-CN"/>
    </w:rPr>
  </w:style>
  <w:style w:type="paragraph" w:customStyle="1" w:styleId="44">
    <w:name w:val="xl23"/>
    <w:basedOn w:val="1"/>
    <w:next w:val="1"/>
    <w:autoRedefine/>
    <w:qFormat/>
    <w:uiPriority w:val="0"/>
    <w:pPr>
      <w:widowControl/>
      <w:spacing w:before="100" w:beforeAutospacing="1" w:after="100" w:afterAutospacing="1"/>
      <w:jc w:val="center"/>
    </w:pPr>
    <w:rPr>
      <w:rFonts w:ascii="Arial Unicode MS" w:hAnsi="Arial Unicode MS"/>
      <w:kern w:val="0"/>
      <w:sz w:val="24"/>
    </w:rPr>
  </w:style>
  <w:style w:type="paragraph" w:customStyle="1" w:styleId="45">
    <w:name w:val="表格"/>
    <w:basedOn w:val="24"/>
    <w:next w:val="1"/>
    <w:link w:val="46"/>
    <w:autoRedefine/>
    <w:qFormat/>
    <w:uiPriority w:val="0"/>
    <w:pPr>
      <w:adjustRightInd w:val="0"/>
      <w:snapToGrid w:val="0"/>
      <w:spacing w:beforeLines="10" w:afterLines="10" w:line="259" w:lineRule="auto"/>
      <w:jc w:val="center"/>
    </w:pPr>
    <w:rPr>
      <w:rFonts w:ascii="宋体"/>
      <w:kern w:val="0"/>
      <w:szCs w:val="20"/>
    </w:rPr>
  </w:style>
  <w:style w:type="character" w:customStyle="1" w:styleId="46">
    <w:name w:val="表格 Char"/>
    <w:link w:val="45"/>
    <w:autoRedefine/>
    <w:qFormat/>
    <w:uiPriority w:val="0"/>
    <w:rPr>
      <w:rFonts w:ascii="宋体"/>
      <w:sz w:val="21"/>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49">
    <w:name w:val="页脚 Char"/>
    <w:link w:val="20"/>
    <w:autoRedefine/>
    <w:qFormat/>
    <w:uiPriority w:val="99"/>
    <w:rPr>
      <w:sz w:val="18"/>
    </w:rPr>
  </w:style>
  <w:style w:type="character" w:customStyle="1" w:styleId="50">
    <w:name w:val="日期 Char"/>
    <w:link w:val="18"/>
    <w:autoRedefine/>
    <w:qFormat/>
    <w:uiPriority w:val="0"/>
    <w:rPr>
      <w:rFonts w:ascii="Times New Roman" w:hAnsi="Times New Roman" w:eastAsia="宋体"/>
      <w:sz w:val="24"/>
    </w:rPr>
  </w:style>
  <w:style w:type="character" w:customStyle="1" w:styleId="51">
    <w:name w:val="页脚 字符"/>
    <w:basedOn w:val="32"/>
    <w:autoRedefine/>
    <w:qFormat/>
    <w:uiPriority w:val="99"/>
  </w:style>
  <w:style w:type="character" w:customStyle="1" w:styleId="52">
    <w:name w:val="普通(网站) Char"/>
    <w:link w:val="27"/>
    <w:autoRedefine/>
    <w:qFormat/>
    <w:uiPriority w:val="0"/>
    <w:rPr>
      <w:rFonts w:ascii="宋体" w:hAnsi="宋体" w:eastAsia="宋体"/>
      <w:sz w:val="24"/>
    </w:rPr>
  </w:style>
  <w:style w:type="character" w:customStyle="1" w:styleId="53">
    <w:name w:val="正文文本 字符1"/>
    <w:autoRedefine/>
    <w:semiHidden/>
    <w:qFormat/>
    <w:uiPriority w:val="0"/>
    <w:rPr>
      <w:rFonts w:ascii="Times New Roman" w:hAnsi="Times New Roman" w:eastAsia="宋体"/>
      <w:sz w:val="24"/>
    </w:rPr>
  </w:style>
  <w:style w:type="character" w:customStyle="1" w:styleId="54">
    <w:name w:val="正文文本 Char"/>
    <w:link w:val="13"/>
    <w:autoRedefine/>
    <w:qFormat/>
    <w:uiPriority w:val="0"/>
    <w:rPr>
      <w:sz w:val="18"/>
    </w:rPr>
  </w:style>
  <w:style w:type="character" w:customStyle="1" w:styleId="55">
    <w:name w:val="批注文字 Char"/>
    <w:link w:val="11"/>
    <w:autoRedefine/>
    <w:qFormat/>
    <w:uiPriority w:val="0"/>
    <w:rPr>
      <w:rFonts w:ascii="Times New Roman" w:hAnsi="Times New Roman" w:eastAsia="宋体"/>
      <w:sz w:val="24"/>
    </w:rPr>
  </w:style>
  <w:style w:type="character" w:customStyle="1" w:styleId="56">
    <w:name w:val="日期 字符"/>
    <w:autoRedefine/>
    <w:semiHidden/>
    <w:qFormat/>
    <w:uiPriority w:val="0"/>
    <w:rPr>
      <w:rFonts w:ascii="Times New Roman" w:hAnsi="Times New Roman" w:eastAsia="宋体"/>
      <w:sz w:val="24"/>
    </w:rPr>
  </w:style>
  <w:style w:type="character" w:customStyle="1" w:styleId="57">
    <w:name w:val="批注框文本 Char"/>
    <w:link w:val="19"/>
    <w:autoRedefine/>
    <w:semiHidden/>
    <w:qFormat/>
    <w:uiPriority w:val="0"/>
    <w:rPr>
      <w:rFonts w:ascii="Times New Roman" w:hAnsi="Times New Roman" w:eastAsia="宋体"/>
      <w:sz w:val="18"/>
    </w:rPr>
  </w:style>
  <w:style w:type="character" w:customStyle="1" w:styleId="58">
    <w:name w:val="批注主题 Char"/>
    <w:link w:val="28"/>
    <w:autoRedefine/>
    <w:semiHidden/>
    <w:qFormat/>
    <w:uiPriority w:val="0"/>
    <w:rPr>
      <w:rFonts w:ascii="Times New Roman" w:hAnsi="Times New Roman" w:eastAsia="宋体"/>
      <w:b/>
      <w:kern w:val="2"/>
      <w:sz w:val="24"/>
    </w:rPr>
  </w:style>
  <w:style w:type="character" w:customStyle="1" w:styleId="59">
    <w:name w:val="页眉 Char"/>
    <w:link w:val="22"/>
    <w:autoRedefine/>
    <w:qFormat/>
    <w:uiPriority w:val="0"/>
    <w:rPr>
      <w:sz w:val="18"/>
    </w:rPr>
  </w:style>
  <w:style w:type="character" w:customStyle="1" w:styleId="60">
    <w:name w:val="批注文字 字符1"/>
    <w:autoRedefine/>
    <w:semiHidden/>
    <w:qFormat/>
    <w:uiPriority w:val="0"/>
    <w:rPr>
      <w:rFonts w:ascii="Times New Roman" w:hAnsi="Times New Roman" w:eastAsia="宋体"/>
      <w:sz w:val="24"/>
    </w:rPr>
  </w:style>
  <w:style w:type="character" w:customStyle="1" w:styleId="61">
    <w:name w:val="正文文本缩进 Char"/>
    <w:link w:val="14"/>
    <w:autoRedefine/>
    <w:semiHidden/>
    <w:qFormat/>
    <w:uiPriority w:val="0"/>
    <w:rPr>
      <w:rFonts w:ascii="Times New Roman" w:hAnsi="Times New Roman" w:eastAsia="宋体"/>
      <w:sz w:val="24"/>
    </w:rPr>
  </w:style>
  <w:style w:type="paragraph" w:customStyle="1" w:styleId="62">
    <w:name w:val="表"/>
    <w:next w:val="1"/>
    <w:autoRedefine/>
    <w:qFormat/>
    <w:uiPriority w:val="0"/>
    <w:pPr>
      <w:pBdr>
        <w:between w:val="dashSmallGap" w:color="666699" w:sz="4" w:space="1"/>
      </w:pBdr>
      <w:adjustRightInd w:val="0"/>
      <w:snapToGrid w:val="0"/>
      <w:spacing w:line="120" w:lineRule="atLeast"/>
      <w:jc w:val="center"/>
      <w:textAlignment w:val="center"/>
    </w:pPr>
    <w:rPr>
      <w:rFonts w:ascii="仿宋_GB2312" w:hAnsi="宋体" w:eastAsia="仿宋_GB2312" w:cs="Times New Roman"/>
      <w:sz w:val="24"/>
      <w:szCs w:val="24"/>
      <w:lang w:val="en-US" w:eastAsia="zh-CN" w:bidi="ar-SA"/>
    </w:rPr>
  </w:style>
  <w:style w:type="paragraph" w:customStyle="1" w:styleId="63">
    <w:name w:val="Table Paragraph"/>
    <w:basedOn w:val="1"/>
    <w:autoRedefine/>
    <w:qFormat/>
    <w:uiPriority w:val="0"/>
  </w:style>
  <w:style w:type="paragraph" w:customStyle="1" w:styleId="64">
    <w:name w:val="正文2"/>
    <w:basedOn w:val="1"/>
    <w:autoRedefine/>
    <w:qFormat/>
    <w:uiPriority w:val="0"/>
    <w:pPr>
      <w:spacing w:line="360" w:lineRule="auto"/>
      <w:ind w:firstLine="480" w:firstLineChars="200"/>
      <w:jc w:val="left"/>
    </w:pPr>
    <w:rPr>
      <w:kern w:val="0"/>
      <w:sz w:val="24"/>
      <w:szCs w:val="20"/>
    </w:rPr>
  </w:style>
  <w:style w:type="paragraph" w:customStyle="1" w:styleId="65">
    <w:name w:val="表格内容自定"/>
    <w:basedOn w:val="1"/>
    <w:autoRedefine/>
    <w:qFormat/>
    <w:uiPriority w:val="0"/>
    <w:pPr>
      <w:spacing w:line="280" w:lineRule="exact"/>
      <w:jc w:val="center"/>
    </w:pPr>
    <w:rPr>
      <w:kern w:val="0"/>
      <w:sz w:val="18"/>
      <w:szCs w:val="21"/>
    </w:rPr>
  </w:style>
  <w:style w:type="paragraph" w:customStyle="1" w:styleId="66">
    <w:name w:val="表格样式"/>
    <w:basedOn w:val="1"/>
    <w:autoRedefine/>
    <w:qFormat/>
    <w:uiPriority w:val="0"/>
    <w:pPr>
      <w:widowControl/>
      <w:adjustRightInd w:val="0"/>
      <w:snapToGrid w:val="0"/>
      <w:spacing w:line="360" w:lineRule="auto"/>
      <w:jc w:val="center"/>
    </w:pPr>
    <w:rPr>
      <w:szCs w:val="20"/>
    </w:rPr>
  </w:style>
  <w:style w:type="paragraph" w:styleId="67">
    <w:name w:val="List Paragraph"/>
    <w:basedOn w:val="1"/>
    <w:autoRedefine/>
    <w:qFormat/>
    <w:uiPriority w:val="1"/>
    <w:pPr>
      <w:ind w:left="240" w:firstLine="480"/>
    </w:pPr>
    <w:rPr>
      <w:rFonts w:ascii="宋体" w:hAnsi="宋体" w:cs="宋体"/>
      <w:lang w:val="zh-CN" w:bidi="zh-CN"/>
    </w:rPr>
  </w:style>
  <w:style w:type="paragraph" w:customStyle="1" w:styleId="68">
    <w:name w:val="报告书正文"/>
    <w:basedOn w:val="1"/>
    <w:autoRedefine/>
    <w:qFormat/>
    <w:uiPriority w:val="0"/>
    <w:pPr>
      <w:adjustRightInd w:val="0"/>
      <w:spacing w:line="360" w:lineRule="auto"/>
      <w:ind w:firstLine="200" w:firstLineChars="200"/>
    </w:pPr>
    <w:rPr>
      <w:sz w:val="24"/>
    </w:rPr>
  </w:style>
  <w:style w:type="paragraph" w:customStyle="1" w:styleId="69">
    <w:name w:val="正本文字"/>
    <w:basedOn w:val="1"/>
    <w:autoRedefine/>
    <w:qFormat/>
    <w:uiPriority w:val="0"/>
    <w:pPr>
      <w:adjustRightInd w:val="0"/>
      <w:snapToGrid w:val="0"/>
      <w:spacing w:line="360" w:lineRule="auto"/>
      <w:ind w:firstLine="480" w:firstLineChars="200"/>
      <w:jc w:val="left"/>
    </w:pPr>
    <w:rPr>
      <w:kern w:val="18"/>
      <w:sz w:val="24"/>
      <w:szCs w:val="20"/>
    </w:rPr>
  </w:style>
  <w:style w:type="paragraph" w:customStyle="1" w:styleId="70">
    <w:name w:val="正文(首行缩进)"/>
    <w:basedOn w:val="1"/>
    <w:autoRedefine/>
    <w:qFormat/>
    <w:uiPriority w:val="0"/>
    <w:pPr>
      <w:spacing w:line="360" w:lineRule="auto"/>
      <w:ind w:firstLine="510"/>
    </w:pPr>
    <w:rPr>
      <w:rFonts w:ascii="宋体" w:hAnsi="宋体"/>
      <w:snapToGrid w:val="0"/>
      <w:kern w:val="0"/>
      <w:sz w:val="24"/>
    </w:rPr>
  </w:style>
  <w:style w:type="paragraph" w:customStyle="1" w:styleId="71">
    <w:name w:val="表中文字"/>
    <w:basedOn w:val="1"/>
    <w:autoRedefine/>
    <w:qFormat/>
    <w:uiPriority w:val="0"/>
    <w:pPr>
      <w:autoSpaceDE w:val="0"/>
      <w:autoSpaceDN w:val="0"/>
      <w:adjustRightInd w:val="0"/>
      <w:snapToGrid w:val="0"/>
      <w:spacing w:line="400" w:lineRule="exact"/>
      <w:ind w:firstLine="601"/>
      <w:jc w:val="center"/>
      <w:textAlignment w:val="baseline"/>
    </w:pPr>
    <w:rPr>
      <w:rFonts w:ascii="宋体" w:eastAsia="楷体_GB2312"/>
      <w:spacing w:val="8"/>
      <w:kern w:val="0"/>
      <w:sz w:val="24"/>
      <w:szCs w:val="20"/>
    </w:rPr>
  </w:style>
  <w:style w:type="character" w:customStyle="1" w:styleId="72">
    <w:name w:val="font01"/>
    <w:autoRedefine/>
    <w:qFormat/>
    <w:uiPriority w:val="0"/>
    <w:rPr>
      <w:rFonts w:ascii="font-weight : 400" w:hAnsi="font-weight : 400" w:eastAsia="font-weight : 400" w:cs="font-weight : 400"/>
      <w:color w:val="000000"/>
      <w:sz w:val="22"/>
      <w:szCs w:val="22"/>
      <w:u w:val="none"/>
    </w:rPr>
  </w:style>
  <w:style w:type="paragraph" w:customStyle="1" w:styleId="73">
    <w:name w:val="表头"/>
    <w:basedOn w:val="4"/>
    <w:next w:val="1"/>
    <w:autoRedefine/>
    <w:qFormat/>
    <w:uiPriority w:val="0"/>
    <w:pPr>
      <w:spacing w:before="120" w:beforeLines="50" w:after="120" w:afterLines="50"/>
      <w:jc w:val="center"/>
    </w:pPr>
    <w:rPr>
      <w:rFonts w:eastAsia="黑体"/>
    </w:rPr>
  </w:style>
  <w:style w:type="paragraph" w:customStyle="1" w:styleId="74">
    <w:name w:val="Body text|1"/>
    <w:basedOn w:val="1"/>
    <w:autoRedefine/>
    <w:qFormat/>
    <w:uiPriority w:val="0"/>
    <w:pPr>
      <w:spacing w:line="403" w:lineRule="auto"/>
      <w:ind w:firstLine="400"/>
    </w:pPr>
    <w:rPr>
      <w:rFonts w:ascii="宋体" w:hAnsi="宋体" w:cs="宋体"/>
      <w:lang w:val="zh-TW" w:eastAsia="zh-TW" w:bidi="zh-TW"/>
    </w:rPr>
  </w:style>
  <w:style w:type="paragraph" w:customStyle="1" w:styleId="75">
    <w:name w:val="Other|1"/>
    <w:basedOn w:val="1"/>
    <w:autoRedefine/>
    <w:qFormat/>
    <w:uiPriority w:val="0"/>
    <w:pPr>
      <w:jc w:val="center"/>
    </w:pPr>
    <w:rPr>
      <w:rFonts w:ascii="宋体" w:hAnsi="宋体" w:cs="宋体"/>
      <w:sz w:val="20"/>
      <w:szCs w:val="20"/>
      <w:lang w:val="zh-TW" w:eastAsia="zh-TW" w:bidi="zh-TW"/>
    </w:rPr>
  </w:style>
  <w:style w:type="paragraph" w:customStyle="1" w:styleId="76">
    <w:name w:val="！正文"/>
    <w:basedOn w:val="1"/>
    <w:autoRedefine/>
    <w:qFormat/>
    <w:uiPriority w:val="0"/>
    <w:pPr>
      <w:spacing w:line="360" w:lineRule="auto"/>
      <w:ind w:firstLine="200" w:firstLineChars="200"/>
    </w:pPr>
    <w:rPr>
      <w:sz w:val="24"/>
      <w:szCs w:val="22"/>
    </w:rPr>
  </w:style>
  <w:style w:type="paragraph" w:customStyle="1" w:styleId="77">
    <w:name w:val="正文文本缩进1"/>
    <w:basedOn w:val="1"/>
    <w:autoRedefine/>
    <w:qFormat/>
    <w:uiPriority w:val="0"/>
    <w:pPr>
      <w:spacing w:after="120"/>
      <w:ind w:left="420" w:leftChars="200"/>
    </w:pPr>
  </w:style>
  <w:style w:type="paragraph" w:customStyle="1" w:styleId="78">
    <w:name w:val="标号正文"/>
    <w:basedOn w:val="1"/>
    <w:next w:val="1"/>
    <w:autoRedefine/>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79">
    <w:name w:val="表格文字"/>
    <w:basedOn w:val="13"/>
    <w:autoRedefine/>
    <w:qFormat/>
    <w:uiPriority w:val="0"/>
    <w:pPr>
      <w:jc w:val="center"/>
    </w:pPr>
    <w:rPr>
      <w:rFonts w:ascii="仿宋_GB2312" w:hAnsi="Arial Black" w:eastAsia="仿宋_GB2312"/>
      <w:kern w:val="44"/>
      <w:lang w:val="zh-CN"/>
    </w:rPr>
  </w:style>
  <w:style w:type="paragraph" w:customStyle="1" w:styleId="80">
    <w:name w:val="样式 报告书正文 + 小三 加粗 首行缩进:  0 厘米 行距: 固定值 25 磅"/>
    <w:basedOn w:val="1"/>
    <w:autoRedefine/>
    <w:qFormat/>
    <w:uiPriority w:val="0"/>
    <w:pPr>
      <w:adjustRightInd w:val="0"/>
      <w:snapToGrid w:val="0"/>
      <w:spacing w:line="500" w:lineRule="exact"/>
      <w:jc w:val="left"/>
      <w:textAlignment w:val="baseline"/>
    </w:pPr>
    <w:rPr>
      <w:rFonts w:cs="宋体"/>
      <w:b/>
      <w:bCs/>
      <w:kern w:val="0"/>
      <w:sz w:val="28"/>
      <w:szCs w:val="20"/>
    </w:rPr>
  </w:style>
  <w:style w:type="paragraph" w:customStyle="1" w:styleId="81">
    <w:name w:val="表格 32"/>
    <w:basedOn w:val="1"/>
    <w:autoRedefine/>
    <w:qFormat/>
    <w:uiPriority w:val="0"/>
    <w:pPr>
      <w:widowControl/>
      <w:autoSpaceDE w:val="0"/>
      <w:autoSpaceDN w:val="0"/>
      <w:adjustRightInd w:val="0"/>
      <w:snapToGrid w:val="0"/>
      <w:spacing w:line="360" w:lineRule="auto"/>
      <w:jc w:val="center"/>
      <w:textAlignment w:val="baseline"/>
    </w:pPr>
    <w:rPr>
      <w:rFonts w:eastAsia="楷体_GB2312" w:cs="黑体"/>
      <w:kern w:val="0"/>
      <w:sz w:val="24"/>
    </w:rPr>
  </w:style>
  <w:style w:type="paragraph" w:customStyle="1" w:styleId="82">
    <w:name w:val="列出段落1"/>
    <w:basedOn w:val="1"/>
    <w:autoRedefine/>
    <w:qFormat/>
    <w:uiPriority w:val="34"/>
    <w:pPr>
      <w:widowControl/>
      <w:adjustRightInd w:val="0"/>
      <w:snapToGrid w:val="0"/>
      <w:spacing w:line="360" w:lineRule="auto"/>
      <w:ind w:left="720"/>
      <w:contextualSpacing/>
      <w:jc w:val="left"/>
    </w:pPr>
    <w:rPr>
      <w:rFonts w:cs="宋体"/>
      <w:kern w:val="0"/>
      <w:sz w:val="24"/>
    </w:rPr>
  </w:style>
  <w:style w:type="paragraph" w:customStyle="1" w:styleId="83">
    <w:name w:val="表格内容"/>
    <w:basedOn w:val="67"/>
    <w:next w:val="1"/>
    <w:autoRedefine/>
    <w:qFormat/>
    <w:uiPriority w:val="0"/>
    <w:pPr>
      <w:adjustRightInd w:val="0"/>
      <w:jc w:val="center"/>
      <w:textAlignment w:val="baseline"/>
    </w:pPr>
    <w:rPr>
      <w:szCs w:val="21"/>
    </w:rPr>
  </w:style>
  <w:style w:type="paragraph" w:customStyle="1" w:styleId="84">
    <w:name w:val="1正文"/>
    <w:basedOn w:val="1"/>
    <w:autoRedefine/>
    <w:qFormat/>
    <w:uiPriority w:val="0"/>
    <w:pPr>
      <w:ind w:firstLine="200"/>
    </w:pPr>
    <w:rPr>
      <w:szCs w:val="20"/>
    </w:rPr>
  </w:style>
  <w:style w:type="paragraph" w:customStyle="1" w:styleId="85">
    <w:name w:val="111表头"/>
    <w:basedOn w:val="1"/>
    <w:autoRedefine/>
    <w:qFormat/>
    <w:uiPriority w:val="0"/>
    <w:pPr>
      <w:tabs>
        <w:tab w:val="left" w:pos="600"/>
      </w:tabs>
      <w:spacing w:line="400" w:lineRule="exact"/>
      <w:jc w:val="center"/>
    </w:pPr>
    <w:rPr>
      <w:b/>
    </w:rPr>
  </w:style>
  <w:style w:type="paragraph" w:customStyle="1" w:styleId="86">
    <w:name w:val="_Style 13"/>
    <w:autoRedefine/>
    <w:qFormat/>
    <w:uiPriority w:val="0"/>
    <w:rPr>
      <w:rFonts w:ascii="宋体" w:hAnsi="宋体" w:eastAsia="宋体" w:cs="宋体"/>
      <w:sz w:val="24"/>
      <w:szCs w:val="24"/>
      <w:lang w:val="en-US" w:eastAsia="zh-CN" w:bidi="ar-SA"/>
    </w:rPr>
  </w:style>
  <w:style w:type="paragraph" w:customStyle="1" w:styleId="87">
    <w:name w:val="表格标题"/>
    <w:basedOn w:val="1"/>
    <w:next w:val="83"/>
    <w:autoRedefine/>
    <w:qFormat/>
    <w:uiPriority w:val="0"/>
    <w:pPr>
      <w:keepLines/>
      <w:spacing w:line="360" w:lineRule="auto"/>
      <w:jc w:val="center"/>
    </w:pPr>
    <w:rPr>
      <w:b/>
    </w:rPr>
  </w:style>
  <w:style w:type="paragraph" w:customStyle="1" w:styleId="88">
    <w:name w:val="p0"/>
    <w:basedOn w:val="1"/>
    <w:autoRedefine/>
    <w:qFormat/>
    <w:uiPriority w:val="0"/>
    <w:pPr>
      <w:widowControl/>
      <w:jc w:val="left"/>
    </w:pPr>
    <w:rPr>
      <w:rFonts w:ascii="宋体" w:hAnsi="宋体"/>
      <w:kern w:val="0"/>
      <w:sz w:val="24"/>
      <w:szCs w:val="20"/>
    </w:rPr>
  </w:style>
  <w:style w:type="paragraph" w:customStyle="1" w:styleId="89">
    <w:name w:val="A正文"/>
    <w:basedOn w:val="1"/>
    <w:autoRedefine/>
    <w:qFormat/>
    <w:uiPriority w:val="0"/>
    <w:pPr>
      <w:spacing w:line="360" w:lineRule="auto"/>
      <w:ind w:firstLine="480" w:firstLineChars="200"/>
    </w:pPr>
    <w:rPr>
      <w:kern w:val="0"/>
      <w:sz w:val="24"/>
    </w:rPr>
  </w:style>
  <w:style w:type="paragraph" w:customStyle="1" w:styleId="90">
    <w:name w:val="表格内文字"/>
    <w:basedOn w:val="1"/>
    <w:autoRedefine/>
    <w:qFormat/>
    <w:uiPriority w:val="0"/>
    <w:pPr>
      <w:adjustRightInd w:val="0"/>
      <w:snapToGrid w:val="0"/>
      <w:jc w:val="center"/>
    </w:pPr>
    <w:rPr>
      <w:rFonts w:hint="eastAsia"/>
    </w:rPr>
  </w:style>
  <w:style w:type="paragraph" w:customStyle="1" w:styleId="91">
    <w:name w:val="环表头"/>
    <w:basedOn w:val="1"/>
    <w:autoRedefine/>
    <w:qFormat/>
    <w:uiPriority w:val="0"/>
    <w:pPr>
      <w:spacing w:line="480" w:lineRule="exact"/>
      <w:jc w:val="center"/>
    </w:pPr>
    <w:rPr>
      <w:rFonts w:hAnsi="宋体"/>
      <w:b/>
      <w:iCs/>
      <w:snapToGrid w:val="0"/>
      <w:color w:val="000000"/>
      <w:szCs w:val="21"/>
    </w:rPr>
  </w:style>
  <w:style w:type="paragraph" w:customStyle="1" w:styleId="92">
    <w:name w:val="+正文"/>
    <w:basedOn w:val="1"/>
    <w:autoRedefine/>
    <w:qFormat/>
    <w:uiPriority w:val="0"/>
    <w:pPr>
      <w:spacing w:line="360" w:lineRule="auto"/>
      <w:ind w:firstLine="200" w:firstLineChars="200"/>
    </w:pPr>
    <w:rPr>
      <w:sz w:val="24"/>
      <w:szCs w:val="28"/>
    </w:rPr>
  </w:style>
  <w:style w:type="paragraph" w:customStyle="1" w:styleId="93">
    <w:name w:val="正1"/>
    <w:basedOn w:val="1"/>
    <w:autoRedefine/>
    <w:qFormat/>
    <w:uiPriority w:val="0"/>
    <w:pPr>
      <w:spacing w:line="360" w:lineRule="auto"/>
      <w:ind w:firstLine="200" w:firstLineChars="200"/>
      <w:jc w:val="left"/>
    </w:pPr>
    <w:rPr>
      <w:rFonts w:ascii="Calibri" w:hAnsi="Calibri" w:eastAsia="楷体_GB2312"/>
      <w:sz w:val="24"/>
    </w:rPr>
  </w:style>
  <w:style w:type="paragraph" w:customStyle="1" w:styleId="94">
    <w:name w:val="正文_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表标题"/>
    <w:basedOn w:val="1"/>
    <w:autoRedefine/>
    <w:qFormat/>
    <w:uiPriority w:val="0"/>
    <w:pPr>
      <w:jc w:val="center"/>
    </w:pPr>
    <w:rPr>
      <w:b/>
      <w:bCs/>
      <w:kern w:val="0"/>
      <w:szCs w:val="20"/>
    </w:rPr>
  </w:style>
  <w:style w:type="paragraph" w:customStyle="1" w:styleId="97">
    <w:name w:val="表头、图号"/>
    <w:basedOn w:val="1"/>
    <w:next w:val="1"/>
    <w:autoRedefine/>
    <w:qFormat/>
    <w:uiPriority w:val="0"/>
    <w:pPr>
      <w:adjustRightInd w:val="0"/>
      <w:snapToGrid w:val="0"/>
      <w:spacing w:before="20" w:beforeLines="20" w:after="20" w:afterLines="20" w:line="312" w:lineRule="auto"/>
      <w:jc w:val="center"/>
    </w:pPr>
    <w:rPr>
      <w:b/>
    </w:rPr>
  </w:style>
  <w:style w:type="paragraph" w:customStyle="1" w:styleId="98">
    <w:name w:val="li_正文"/>
    <w:basedOn w:val="1"/>
    <w:autoRedefine/>
    <w:qFormat/>
    <w:uiPriority w:val="0"/>
    <w:pPr>
      <w:tabs>
        <w:tab w:val="left" w:pos="2340"/>
        <w:tab w:val="left" w:pos="4320"/>
      </w:tabs>
      <w:ind w:firstLine="530" w:firstLineChars="200"/>
      <w:jc w:val="left"/>
    </w:pPr>
    <w:rPr>
      <w:rFonts w:ascii="Calibri" w:hAnsi="Calibri"/>
      <w:sz w:val="28"/>
      <w:szCs w:val="28"/>
    </w:rPr>
  </w:style>
  <w:style w:type="table" w:customStyle="1" w:styleId="99">
    <w:name w:val="Table Normal"/>
    <w:autoRedefine/>
    <w:unhideWhenUsed/>
    <w:qFormat/>
    <w:uiPriority w:val="0"/>
    <w:tblPr>
      <w:tblCellMar>
        <w:top w:w="0" w:type="dxa"/>
        <w:left w:w="0" w:type="dxa"/>
        <w:bottom w:w="0" w:type="dxa"/>
        <w:right w:w="0" w:type="dxa"/>
      </w:tblCellMar>
    </w:tblPr>
  </w:style>
  <w:style w:type="paragraph" w:customStyle="1" w:styleId="100">
    <w:name w:val="表文字"/>
    <w:basedOn w:val="1"/>
    <w:autoRedefine/>
    <w:qFormat/>
    <w:uiPriority w:val="99"/>
    <w:pPr>
      <w:widowControl/>
      <w:jc w:val="center"/>
    </w:pPr>
    <w:rPr>
      <w:kern w:val="0"/>
      <w:szCs w:val="21"/>
    </w:rPr>
  </w:style>
  <w:style w:type="paragraph" w:customStyle="1" w:styleId="101">
    <w:name w:val="表格正文"/>
    <w:basedOn w:val="4"/>
    <w:next w:val="1"/>
    <w:autoRedefine/>
    <w:qFormat/>
    <w:uiPriority w:val="0"/>
    <w:pPr>
      <w:widowControl/>
      <w:spacing w:line="360" w:lineRule="exact"/>
      <w:ind w:firstLine="0" w:firstLineChars="0"/>
      <w:jc w:val="center"/>
    </w:pPr>
    <w:rPr>
      <w:sz w:val="20"/>
    </w:rPr>
  </w:style>
  <w:style w:type="paragraph" w:styleId="102">
    <w:name w:val="No Spacing"/>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table" w:customStyle="1" w:styleId="103">
    <w:name w:val="网格型1"/>
    <w:basedOn w:val="3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9.png"/><Relationship Id="rId34" Type="http://schemas.openxmlformats.org/officeDocument/2006/relationships/image" Target="media/image28.emf"/><Relationship Id="rId33" Type="http://schemas.openxmlformats.org/officeDocument/2006/relationships/image" Target="media/image27.emf"/><Relationship Id="rId32" Type="http://schemas.openxmlformats.org/officeDocument/2006/relationships/image" Target="media/image26.emf"/><Relationship Id="rId31" Type="http://schemas.openxmlformats.org/officeDocument/2006/relationships/image" Target="media/image25.emf"/><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emf"/><Relationship Id="rId27" Type="http://schemas.openxmlformats.org/officeDocument/2006/relationships/image" Target="media/image21.emf"/><Relationship Id="rId26" Type="http://schemas.openxmlformats.org/officeDocument/2006/relationships/image" Target="media/image20.emf"/><Relationship Id="rId25" Type="http://schemas.openxmlformats.org/officeDocument/2006/relationships/image" Target="media/image19.emf"/><Relationship Id="rId24" Type="http://schemas.openxmlformats.org/officeDocument/2006/relationships/image" Target="media/image18.wmf"/><Relationship Id="rId23" Type="http://schemas.openxmlformats.org/officeDocument/2006/relationships/image" Target="media/image17.wmf"/><Relationship Id="rId22" Type="http://schemas.openxmlformats.org/officeDocument/2006/relationships/image" Target="media/image16.wmf"/><Relationship Id="rId21" Type="http://schemas.openxmlformats.org/officeDocument/2006/relationships/image" Target="media/image15.wmf"/><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image" Target="media/image12.png"/><Relationship Id="rId17" Type="http://schemas.openxmlformats.org/officeDocument/2006/relationships/image" Target="media/image11.wmf"/><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QwNTc2NjI2NDY5IiwKCSJHcm91cElkIiA6ICIxMzQyMjE1MTQ3IiwKCSJJbWFnZSIgOiAiaVZCT1J3MEtHZ29BQUFBTlNVaEVVZ0FBQlRRQUFBRGlDQVlBQUFCd1NFaWJBQUFBQVhOU1IwSUFyczRjNlFBQUlBQkpSRUZVZUp6czNYbDhWTlg1UC9EUGMrNWtZU2VSUlF2VW9DZ1F3K1RlTzlhMWFsMVJhN0hXaFZyY3RXaGQyMnExdHFLMVZ2bTV0MnByWFJCRnBYVmY2bExYTCs1Vm03a3pZWkVvU2xyUnFvZ3NZY2syOS9uOU1YZkNNR1NTeVI3QzUvMTY4ZUxPM0hQdU9ZRmtNdlBjYzU0SEl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E4TTN4Lzk4QjFINDZqZlJiQUFBQUFFbEZUa1N1UW1DQyIsCgkiVGhlbWUiIDogIiIsCgkiVHlwZSIgOiAiZmxvdyIsCgkiVXNlcklkIiA6ICIiLAoJIlZlcnNpb24iIDogIjM1Igp9Cg=="/>
    </extobj>
    <extobj name="ECB019B1-382A-4266-B25C-5B523AA43C14-2">
      <extobjdata type="ECB019B1-382A-4266-B25C-5B523AA43C14" data="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"/>
    </extobj>
    <extobj name="ECB019B1-382A-4266-B25C-5B523AA43C14-3">
      <extobjdata type="ECB019B1-382A-4266-B25C-5B523AA43C14" data="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ktZZjhISG5Ec3VXZnFiODBBQUFBQVNVVk9SSzVDWUlJPSIsCgkiVGhlbWUiIDogIiIsCgkiVHlwZSIgOiAiZmxvdyIsCgkiVXNlcklkIiA6ICIxMTc4NDAwMDI3IiwKCSJWZXJzaW9uIiA6ICIxNyIKfQo="/>
    </extobj>
    <extobj name="ECB019B1-382A-4266-B25C-5B523AA43C14-4">
      <extobjdata type="ECB019B1-382A-4266-B25C-5B523AA43C14" data="ewoJIkZpbGVJZCIgOiAiMzQzMDMxNjA4NTQ2IiwKCSJHcm91cElkIiA6ICIxMzQyMjE1MTQ3IiwKCSJJbWFnZSIgOiAiaVZCT1J3MEtHZ29BQUFBTlNVaEVVZ0FBQmY0QUFBSGFDQVlBQUFCUmkxaUhBQUFBQVhOU1IwSUFyczRjNlFBQUlBQkpSRUZVZUp6czNYbGNWR1gvLy9IM0dZYlZCVlFzOTZ3MGx6VEZOTGZNVnV1MjBseksrN1p1dmJNc3QwU3JiK1lXbFpsYnVXR3BMWnEzWldhbXVaT1c1WktXdWQxcUtxNjRwS2lnb0NnQ3c1emZIempuQnpMQW9DZzJ2SjZQaHc5bXpybXU2M3dHT1RQd09kZjVYQkl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DZWo2T0FBQUNBQVNVUkJW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zclMvd1BtTVlHWHhVY3ZGUUFBQUFCSlJVNUVya0pnZ2c9PSIsCgkiVGhlbWUiIDogIiIsCgkiVHlwZSIgOiAiZmxvdyIsCgkiVXNlcklkIiA6ICIiLAoJIlZlcnNpb24iIDogIjI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50</Pages>
  <Words>10459</Words>
  <Characters>11708</Characters>
  <Lines>365</Lines>
  <Paragraphs>103</Paragraphs>
  <TotalTime>281</TotalTime>
  <ScaleCrop>false</ScaleCrop>
  <LinksUpToDate>false</LinksUpToDate>
  <CharactersWithSpaces>11791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三生万物</cp:lastModifiedBy>
  <cp:lastPrinted>2022-08-15T07:32:00Z</cp:lastPrinted>
  <dcterms:modified xsi:type="dcterms:W3CDTF">2025-04-09T00:21:38Z</dcterms:modified>
  <dc:title>附件2</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1178400027_cloud</vt:lpwstr>
  </property>
  <property fmtid="{D5CDD505-2E9C-101B-9397-08002B2CF9AE}" pid="4" name="ICV">
    <vt:lpwstr>574999B4B7E94343B79C5D707CC17570_13</vt:lpwstr>
  </property>
  <property fmtid="{D5CDD505-2E9C-101B-9397-08002B2CF9AE}" pid="5" name="KSOTemplateDocerSaveRecord">
    <vt:lpwstr>eyJoZGlkIjoiODlhZmY0MDU3YmNhYjcwYTRhNjYyYjQyNmNiOWI0NjUiLCJ1c2VySWQiOiI4Njg3MzU3MzIifQ==</vt:lpwstr>
  </property>
</Properties>
</file>