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1E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中央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 w14:paraId="789E4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eastAsia="zh-CN"/>
        </w:rPr>
        <w:t>（博物馆纪念馆免费开放补助）</w:t>
      </w:r>
    </w:p>
    <w:p w14:paraId="0827F9F3">
      <w:pPr>
        <w:rPr>
          <w:rFonts w:ascii="仿宋_GB2312" w:hAnsi="宋体" w:cs="宋体"/>
          <w:color w:val="000000"/>
          <w:szCs w:val="32"/>
        </w:rPr>
      </w:pPr>
    </w:p>
    <w:p w14:paraId="603C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 w14:paraId="74426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中央</w:t>
      </w:r>
      <w:r>
        <w:rPr>
          <w:rFonts w:hint="eastAsia" w:ascii="仿宋_GB2312" w:hAnsi="宋体" w:cs="宋体"/>
          <w:color w:val="000000"/>
          <w:szCs w:val="32"/>
        </w:rPr>
        <w:t>转移支付预算和绩效目标情况。</w:t>
      </w:r>
    </w:p>
    <w:p w14:paraId="6415D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安徽省财政厅根据《安徽省财政厅关于下达2024年公共文化场馆免费开放中央补助资金预算的通知》（皖财教〔2024〕429号）下达金寨县博物馆国家免费开放补助资金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7</w:t>
      </w:r>
      <w:r>
        <w:rPr>
          <w:rFonts w:hint="eastAsia" w:ascii="仿宋_GB2312" w:hAnsi="宋体" w:cs="宋体"/>
          <w:color w:val="000000"/>
          <w:szCs w:val="32"/>
        </w:rPr>
        <w:t>万元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Cs w:val="32"/>
        </w:rPr>
        <w:t>用作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金寨县革命博物馆免费开放。</w:t>
      </w:r>
    </w:p>
    <w:p w14:paraId="147ABF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 w14:paraId="43A782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金寨县革命博物馆国家免费开放补助资金已提前下达81万元，此次下达7万元。该项目资金用于支持免费开放博物馆开展基本公共文化服务，提升博物馆基本公共文化服务水平。</w:t>
      </w:r>
    </w:p>
    <w:p w14:paraId="6169D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 w14:paraId="6B27C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 w14:paraId="62D62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 w14:paraId="2E33A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金寨县革命博物馆国家免费开放补助资金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7万元于2024年全部下达至我局。</w:t>
      </w:r>
    </w:p>
    <w:p w14:paraId="42F6EA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2.</w:t>
      </w: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 w14:paraId="0D9789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 xml:space="preserve">    资金全部用于金寨县革命博物馆免费开放，资金执行率100%。</w:t>
      </w:r>
    </w:p>
    <w:p w14:paraId="60A821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3.</w:t>
      </w: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 w14:paraId="67252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按照</w:t>
      </w:r>
      <w:r>
        <w:rPr>
          <w:rFonts w:hint="eastAsia" w:ascii="仿宋_GB2312" w:hAnsi="宋体" w:cs="宋体"/>
          <w:color w:val="000000"/>
          <w:szCs w:val="32"/>
        </w:rPr>
        <w:t>《财政部关于印发(中央对地方博物馆纪念馆免费开放补助资金管理办法)的通知》(财教(2021)88号)要求，落实支出责任，保障公共文化场馆平稳运行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4992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（二）总体绩效目标完成情况分析。</w:t>
      </w:r>
    </w:p>
    <w:p w14:paraId="7BBE2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资金全部用于金寨县革命博物馆免费开放，绩效目标基本完成。</w:t>
      </w:r>
    </w:p>
    <w:p w14:paraId="2B83F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（三）绩效目标完成情况分析。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 w14:paraId="3CA0B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 w14:paraId="68828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 w14:paraId="20342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①博物馆免费开放时间≥300天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，实际开放时间为361天，超额完成指标。</w:t>
      </w:r>
    </w:p>
    <w:p w14:paraId="624F7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②博物馆服务观众数量≥1万人次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，实际完成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1万人次，达成预期指标。</w:t>
      </w:r>
    </w:p>
    <w:p w14:paraId="43914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③博物馆免费开放数量≥1个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实际开放场馆数量1个，达成预期指标。</w:t>
      </w:r>
    </w:p>
    <w:p w14:paraId="03C25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（2）质量指标。</w:t>
      </w:r>
    </w:p>
    <w:p w14:paraId="30024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经费支出合规性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</w:t>
      </w:r>
      <w:r>
        <w:rPr>
          <w:rFonts w:hint="eastAsia" w:ascii="仿宋_GB2312" w:hAnsi="宋体" w:cs="宋体"/>
          <w:color w:val="000000"/>
          <w:szCs w:val="32"/>
        </w:rPr>
        <w:t>严格执行相关财经法规制度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，达成预期指标。</w:t>
      </w:r>
    </w:p>
    <w:p w14:paraId="1D29D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（3）时效指标。</w:t>
      </w:r>
    </w:p>
    <w:p w14:paraId="63443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经费支出完成时间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：2024年12月31日前，达成预期指标。</w:t>
      </w:r>
    </w:p>
    <w:p w14:paraId="3BEAA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（4）成本指标。 </w:t>
      </w:r>
    </w:p>
    <w:p w14:paraId="6375A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免费开放资金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：不高于预算，达成预期指标。</w:t>
      </w:r>
    </w:p>
    <w:p w14:paraId="44C5F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 w14:paraId="7841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 w14:paraId="5303F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提升带动当地旅游业发展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：影响程度明显，达成预期指标。</w:t>
      </w:r>
    </w:p>
    <w:p w14:paraId="39374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（2）社会效益。</w:t>
      </w:r>
    </w:p>
    <w:p w14:paraId="14091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提升基本公共文化服务水平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：影响程度明显，达成预期指标。</w:t>
      </w:r>
    </w:p>
    <w:p w14:paraId="697B2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（3）生态效益。</w:t>
      </w:r>
    </w:p>
    <w:p w14:paraId="22474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周边环境改善程度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：影响程度明显，达成预期指标。</w:t>
      </w:r>
    </w:p>
    <w:p w14:paraId="7386C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（4）可持续影响。 </w:t>
      </w:r>
    </w:p>
    <w:p w14:paraId="585AC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持续提升历史文化传承水平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：影响程度明显，达成预期指标。</w:t>
      </w:r>
    </w:p>
    <w:p w14:paraId="2BC5A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3.满意度指标完成情况分析。 </w:t>
      </w:r>
    </w:p>
    <w:p w14:paraId="7B225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通过对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博物馆免费开放</w:t>
      </w:r>
      <w:r>
        <w:rPr>
          <w:rFonts w:hint="eastAsia" w:ascii="仿宋_GB2312" w:hAnsi="宋体" w:cs="宋体"/>
          <w:color w:val="000000"/>
          <w:szCs w:val="32"/>
        </w:rPr>
        <w:t>服务人群满意度指标调查，满意度达9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0</w:t>
      </w:r>
      <w:r>
        <w:rPr>
          <w:rFonts w:hint="eastAsia" w:ascii="仿宋_GB2312" w:hAnsi="宋体" w:cs="宋体"/>
          <w:color w:val="000000"/>
          <w:szCs w:val="32"/>
        </w:rPr>
        <w:t>%，达到了预期效果。</w:t>
      </w:r>
    </w:p>
    <w:p w14:paraId="24BC7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204DA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无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 w14:paraId="0F8A9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7A35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此次</w:t>
      </w:r>
      <w:r>
        <w:rPr>
          <w:rFonts w:hint="eastAsia" w:ascii="仿宋_GB2312" w:hAnsi="宋体" w:cs="宋体"/>
          <w:color w:val="000000"/>
          <w:szCs w:val="32"/>
        </w:rPr>
        <w:t>绩效自评结果作为完善相关规定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、以后年度</w:t>
      </w:r>
      <w:r>
        <w:rPr>
          <w:rFonts w:hint="eastAsia" w:ascii="仿宋_GB2312" w:hAnsi="宋体" w:cs="宋体"/>
          <w:color w:val="000000"/>
          <w:szCs w:val="32"/>
        </w:rPr>
        <w:t>安排项目资金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的</w:t>
      </w:r>
      <w:r>
        <w:rPr>
          <w:rFonts w:hint="eastAsia" w:ascii="仿宋_GB2312" w:hAnsi="宋体" w:cs="宋体"/>
          <w:color w:val="000000"/>
          <w:szCs w:val="32"/>
        </w:rPr>
        <w:t>重要依据。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同时，我局</w:t>
      </w:r>
      <w:r>
        <w:rPr>
          <w:rFonts w:hint="eastAsia" w:ascii="仿宋_GB2312" w:hAnsi="宋体" w:cs="宋体"/>
          <w:color w:val="000000"/>
          <w:szCs w:val="32"/>
        </w:rPr>
        <w:t>将按照相关要求，在门户网站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上</w:t>
      </w:r>
      <w:r>
        <w:rPr>
          <w:rFonts w:hint="eastAsia" w:ascii="仿宋_GB2312" w:hAnsi="宋体" w:cs="宋体"/>
          <w:color w:val="000000"/>
          <w:szCs w:val="32"/>
        </w:rPr>
        <w:t>向社会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公开，并</w:t>
      </w:r>
      <w:bookmarkStart w:id="0" w:name="_GoBack"/>
      <w:bookmarkEnd w:id="0"/>
      <w:r>
        <w:rPr>
          <w:rFonts w:hint="eastAsia" w:ascii="仿宋_GB2312" w:hAnsi="宋体" w:cs="宋体"/>
          <w:color w:val="000000"/>
          <w:szCs w:val="32"/>
          <w:lang w:val="en-US" w:eastAsia="zh-CN"/>
        </w:rPr>
        <w:t>自觉接受群众监督。</w:t>
      </w:r>
    </w:p>
    <w:p w14:paraId="207E1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63DC5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eastAsia="宋体"/>
          <w:b/>
          <w:sz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802DD">
    <w:pPr>
      <w:pStyle w:val="3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B7F0DD"/>
    <w:multiLevelType w:val="singleLevel"/>
    <w:tmpl w:val="4BB7F0D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Y0MmI4OGMwNDUzYzJjOGJmNTBmYjQ4NTczMWQifQ=="/>
  </w:docVars>
  <w:rsids>
    <w:rsidRoot w:val="75AF3544"/>
    <w:rsid w:val="071F365B"/>
    <w:rsid w:val="08306800"/>
    <w:rsid w:val="13040994"/>
    <w:rsid w:val="16141D33"/>
    <w:rsid w:val="186D793F"/>
    <w:rsid w:val="1EF939FF"/>
    <w:rsid w:val="20FC373B"/>
    <w:rsid w:val="21886FA6"/>
    <w:rsid w:val="239D3FBF"/>
    <w:rsid w:val="27B7350A"/>
    <w:rsid w:val="290D3920"/>
    <w:rsid w:val="2D073E3E"/>
    <w:rsid w:val="2EE90362"/>
    <w:rsid w:val="35E4646F"/>
    <w:rsid w:val="3C4D4C65"/>
    <w:rsid w:val="3D694451"/>
    <w:rsid w:val="3FDA3DE3"/>
    <w:rsid w:val="43657E7E"/>
    <w:rsid w:val="43C97B85"/>
    <w:rsid w:val="43F94D28"/>
    <w:rsid w:val="45B104C4"/>
    <w:rsid w:val="46F7715D"/>
    <w:rsid w:val="52FA0C1E"/>
    <w:rsid w:val="54BC1D55"/>
    <w:rsid w:val="57C164B0"/>
    <w:rsid w:val="6A270730"/>
    <w:rsid w:val="6C2B5ACD"/>
    <w:rsid w:val="721920C2"/>
    <w:rsid w:val="75AF3544"/>
    <w:rsid w:val="78BB3ADE"/>
    <w:rsid w:val="79CC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7">
    <w:name w:val="办公自动化专用标题"/>
    <w:basedOn w:val="4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1056</Characters>
  <Lines>0</Lines>
  <Paragraphs>0</Paragraphs>
  <TotalTime>53</TotalTime>
  <ScaleCrop>false</ScaleCrop>
  <LinksUpToDate>false</LinksUpToDate>
  <CharactersWithSpaces>1079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WH</cp:lastModifiedBy>
  <dcterms:modified xsi:type="dcterms:W3CDTF">2025-03-19T01:42:38Z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82278AD920FB42D19B099C76A0C5D5CB_13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