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E4B4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44"/>
          <w:szCs w:val="44"/>
        </w:rPr>
      </w:pPr>
      <w:r>
        <w:rPr>
          <w:rFonts w:hint="eastAsia" w:ascii="方正小标宋_GBK" w:hAnsi="宋体" w:eastAsia="方正小标宋_GBK" w:cs="宋体"/>
          <w:color w:val="000000"/>
          <w:sz w:val="44"/>
          <w:szCs w:val="44"/>
          <w:lang w:val="en-US" w:eastAsia="zh-CN"/>
        </w:rPr>
        <w:t>中央</w:t>
      </w:r>
      <w:r>
        <w:rPr>
          <w:rFonts w:hint="eastAsia" w:ascii="方正小标宋_GBK" w:hAnsi="宋体" w:eastAsia="方正小标宋_GBK" w:cs="宋体"/>
          <w:color w:val="000000"/>
          <w:sz w:val="44"/>
          <w:szCs w:val="44"/>
        </w:rPr>
        <w:t>转移支付202</w:t>
      </w:r>
      <w:r>
        <w:rPr>
          <w:rFonts w:hint="eastAsia" w:ascii="方正小标宋_GBK" w:hAnsi="宋体" w:eastAsia="方正小标宋_GBK" w:cs="宋体"/>
          <w:color w:val="000000"/>
          <w:sz w:val="44"/>
          <w:szCs w:val="44"/>
          <w:lang w:val="en-US" w:eastAsia="zh-CN"/>
        </w:rPr>
        <w:t>4</w:t>
      </w:r>
      <w:r>
        <w:rPr>
          <w:rFonts w:hint="eastAsia" w:ascii="方正小标宋_GBK" w:hAnsi="宋体" w:eastAsia="方正小标宋_GBK" w:cs="宋体"/>
          <w:color w:val="000000"/>
          <w:sz w:val="44"/>
          <w:szCs w:val="44"/>
        </w:rPr>
        <w:t>年度绩效自评报告</w:t>
      </w:r>
    </w:p>
    <w:p w14:paraId="0827F9F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44"/>
          <w:szCs w:val="44"/>
          <w:lang w:eastAsia="zh-CN"/>
        </w:rPr>
      </w:pPr>
      <w:r>
        <w:rPr>
          <w:rFonts w:hint="eastAsia" w:ascii="方正小标宋_GBK" w:hAnsi="宋体" w:eastAsia="方正小标宋_GBK" w:cs="宋体"/>
          <w:color w:val="000000"/>
          <w:sz w:val="44"/>
          <w:szCs w:val="44"/>
          <w:lang w:eastAsia="zh-CN"/>
        </w:rPr>
        <w:t>（基建支出）</w:t>
      </w:r>
    </w:p>
    <w:p w14:paraId="065CF93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宋体"/>
          <w:color w:val="000000"/>
          <w:szCs w:val="32"/>
        </w:rPr>
      </w:pPr>
      <w:r>
        <w:rPr>
          <w:rFonts w:hint="eastAsia" w:ascii="黑体" w:hAnsi="黑体" w:eastAsia="黑体" w:cs="宋体"/>
          <w:color w:val="000000"/>
          <w:szCs w:val="32"/>
        </w:rPr>
        <w:t xml:space="preserve">   </w:t>
      </w:r>
    </w:p>
    <w:p w14:paraId="615F51A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宋体"/>
          <w:color w:val="000000"/>
          <w:szCs w:val="32"/>
        </w:rPr>
      </w:pPr>
      <w:r>
        <w:rPr>
          <w:rFonts w:hint="eastAsia" w:ascii="黑体" w:hAnsi="黑体" w:eastAsia="黑体" w:cs="宋体"/>
          <w:color w:val="000000"/>
          <w:szCs w:val="32"/>
        </w:rPr>
        <w:t xml:space="preserve"> 一、绩效目标分解下达情况 </w:t>
      </w:r>
    </w:p>
    <w:p w14:paraId="40D4EC5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宋体" w:cs="宋体"/>
          <w:color w:val="FF0000"/>
          <w:szCs w:val="32"/>
        </w:rPr>
      </w:pPr>
      <w:r>
        <w:rPr>
          <w:rFonts w:hint="eastAsia" w:ascii="仿宋" w:hAnsi="仿宋" w:eastAsia="仿宋" w:cs="黑体"/>
          <w:color w:val="auto"/>
          <w:sz w:val="32"/>
          <w:szCs w:val="32"/>
          <w:lang w:val="en-US" w:eastAsia="zh-CN"/>
        </w:rPr>
        <w:t>根据皖财建〔2024〕393号、金发改〔2024〕58号和经建股函《关于追加社会服务设施建设支持工程2024年第一批中央基建投资预算的函》，按领导批示，下达资金1000万元。该项目资金用于六安市大别山航空飞行营地项目，主要建设公共服务中心、停车场、连接道路、公厕、应急救援通道及其他配套设施。用于进一步改善社会公共福利，构建更高水平的公共服务体系，推动广大群众身边的健身场地有效供给。</w:t>
      </w:r>
    </w:p>
    <w:p w14:paraId="6169DE79">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宋体"/>
          <w:color w:val="000000"/>
          <w:szCs w:val="32"/>
        </w:rPr>
      </w:pPr>
      <w:r>
        <w:rPr>
          <w:rFonts w:hint="eastAsia" w:ascii="黑体" w:hAnsi="黑体" w:eastAsia="黑体" w:cs="宋体"/>
          <w:color w:val="000000"/>
          <w:szCs w:val="32"/>
        </w:rPr>
        <w:t xml:space="preserve">    二、绩效目标完成情况分析 </w:t>
      </w:r>
    </w:p>
    <w:p w14:paraId="6B27CA6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 xml:space="preserve">（一）资金投入情况分析。 </w:t>
      </w:r>
    </w:p>
    <w:p w14:paraId="62D62A20">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1.项目资金到位情况分析。</w:t>
      </w:r>
    </w:p>
    <w:p w14:paraId="02C5E38A">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val="en-US" w:eastAsia="zh-CN"/>
        </w:rPr>
        <w:t>果子园飞行营地项目1000</w:t>
      </w:r>
      <w:r>
        <w:rPr>
          <w:rFonts w:hint="eastAsia" w:ascii="仿宋_GB2312" w:hAnsi="宋体" w:cs="宋体"/>
          <w:color w:val="000000"/>
          <w:szCs w:val="32"/>
          <w:lang w:eastAsia="zh-CN"/>
        </w:rPr>
        <w:t>万元于2024年全部下达至我局。</w:t>
      </w:r>
    </w:p>
    <w:p w14:paraId="42F6EA13">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2.项目资金执行情况分析。</w:t>
      </w:r>
    </w:p>
    <w:p w14:paraId="7111F51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黑体"/>
          <w:color w:val="auto"/>
          <w:sz w:val="32"/>
          <w:szCs w:val="32"/>
          <w:lang w:val="en-US" w:eastAsia="zh-CN"/>
        </w:rPr>
      </w:pPr>
      <w:r>
        <w:rPr>
          <w:rFonts w:hint="eastAsia" w:ascii="仿宋" w:hAnsi="仿宋" w:eastAsia="仿宋" w:cs="黑体"/>
          <w:color w:val="auto"/>
          <w:sz w:val="32"/>
          <w:szCs w:val="32"/>
          <w:lang w:val="en-US" w:eastAsia="zh-CN"/>
        </w:rPr>
        <w:t>此项资金全部用于六安市大别山航空飞行营地公共服务设施项目场地设施建设，项目按照上级下达的预算执行，不存在执行偏离预算情况。按照合同要求，该项目2024年度已支出703万元，项目暂未竣工验收，为保障工程质量，待竣工验收和审计完成后，再进行剩余尾款的支付。</w:t>
      </w:r>
    </w:p>
    <w:p w14:paraId="60A821A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cs="宋体"/>
          <w:color w:val="000000"/>
          <w:szCs w:val="32"/>
        </w:rPr>
      </w:pPr>
      <w:r>
        <w:rPr>
          <w:rFonts w:hint="eastAsia" w:ascii="仿宋_GB2312" w:hAnsi="宋体" w:cs="宋体"/>
          <w:color w:val="000000"/>
          <w:szCs w:val="32"/>
          <w:lang w:val="en-US" w:eastAsia="zh-CN"/>
        </w:rPr>
        <w:t>3.</w:t>
      </w:r>
      <w:r>
        <w:rPr>
          <w:rFonts w:hint="eastAsia" w:ascii="仿宋_GB2312" w:hAnsi="宋体" w:cs="宋体"/>
          <w:color w:val="000000"/>
          <w:szCs w:val="32"/>
        </w:rPr>
        <w:t>项目资金管理情况分析。</w:t>
      </w:r>
    </w:p>
    <w:p w14:paraId="5FBD152C">
      <w:pPr>
        <w:suppressAutoHyphens/>
        <w:bidi w:val="0"/>
        <w:ind w:firstLine="640" w:firstLineChars="200"/>
        <w:rPr>
          <w:rFonts w:hint="eastAsia" w:ascii="仿宋_GB2312" w:hAnsi="宋体" w:cs="宋体"/>
          <w:color w:val="000000"/>
          <w:szCs w:val="32"/>
        </w:rPr>
      </w:pPr>
      <w:r>
        <w:rPr>
          <w:rFonts w:hint="eastAsia" w:ascii="仿宋_GB2312" w:hAnsi="仿宋" w:eastAsia="仿宋_GB2312" w:cs="仿宋"/>
          <w:color w:val="auto"/>
          <w:sz w:val="32"/>
          <w:szCs w:val="32"/>
        </w:rPr>
        <w:t>项目单位</w:t>
      </w:r>
      <w:r>
        <w:rPr>
          <w:rFonts w:hint="eastAsia" w:ascii="仿宋_GB2312" w:hAnsi="仿宋" w:cs="仿宋"/>
          <w:color w:val="auto"/>
          <w:sz w:val="32"/>
          <w:szCs w:val="32"/>
          <w:lang w:eastAsia="zh-CN"/>
        </w:rPr>
        <w:t>严格</w:t>
      </w:r>
      <w:r>
        <w:rPr>
          <w:rFonts w:hint="eastAsia" w:ascii="仿宋_GB2312" w:hAnsi="仿宋" w:eastAsia="仿宋_GB2312" w:cs="仿宋"/>
          <w:color w:val="auto"/>
          <w:sz w:val="32"/>
          <w:szCs w:val="32"/>
        </w:rPr>
        <w:t>按照</w:t>
      </w:r>
      <w:r>
        <w:rPr>
          <w:rFonts w:hint="eastAsia" w:ascii="仿宋_GB2312" w:hAnsi="仿宋" w:cs="仿宋"/>
          <w:color w:val="auto"/>
          <w:sz w:val="32"/>
          <w:szCs w:val="32"/>
          <w:lang w:eastAsia="zh-CN"/>
        </w:rPr>
        <w:t>相关资金</w:t>
      </w:r>
      <w:r>
        <w:rPr>
          <w:rFonts w:hint="eastAsia" w:ascii="仿宋_GB2312" w:hAnsi="仿宋" w:eastAsia="仿宋_GB2312" w:cs="仿宋"/>
          <w:color w:val="auto"/>
          <w:sz w:val="32"/>
          <w:szCs w:val="32"/>
        </w:rPr>
        <w:t>使用管理办法使用项目资金，且项目明确了资金分配办法，</w:t>
      </w:r>
      <w:r>
        <w:rPr>
          <w:rFonts w:hint="eastAsia" w:ascii="仿宋_GB2312" w:hAnsi="仿宋" w:eastAsia="仿宋_GB2312" w:cs="仿宋"/>
          <w:color w:val="auto"/>
          <w:sz w:val="32"/>
          <w:szCs w:val="32"/>
          <w:lang w:eastAsia="zh-CN"/>
        </w:rPr>
        <w:t>符合财务管理制度，</w:t>
      </w:r>
      <w:r>
        <w:rPr>
          <w:rFonts w:hint="eastAsia" w:ascii="仿宋_GB2312" w:hAnsi="仿宋" w:eastAsia="仿宋_GB2312" w:cs="仿宋"/>
          <w:color w:val="auto"/>
          <w:sz w:val="32"/>
          <w:szCs w:val="32"/>
        </w:rPr>
        <w:t>资金使用全面、合理。项目资金支付由金寨县财政局、县文旅体育局进行监督审批程序，严格管理资金使用。</w:t>
      </w:r>
    </w:p>
    <w:p w14:paraId="49929DB4">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总体绩效目标完成情况分析。</w:t>
      </w:r>
    </w:p>
    <w:p w14:paraId="2F80D60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黑体"/>
          <w:color w:val="auto"/>
          <w:sz w:val="32"/>
          <w:szCs w:val="32"/>
          <w:lang w:val="en-US" w:eastAsia="zh-CN"/>
        </w:rPr>
      </w:pPr>
      <w:r>
        <w:rPr>
          <w:rFonts w:hint="eastAsia" w:ascii="仿宋" w:hAnsi="仿宋" w:eastAsia="仿宋" w:cs="黑体"/>
          <w:color w:val="auto"/>
          <w:sz w:val="32"/>
          <w:szCs w:val="32"/>
          <w:lang w:val="en-US" w:eastAsia="zh-CN"/>
        </w:rPr>
        <w:t xml:space="preserve"> 已完成果子园飞行营地公共服务中心、停车场、连接道路、公厕、应急救援通道及其他配套设施建设。</w:t>
      </w:r>
    </w:p>
    <w:p w14:paraId="2B83F5AF">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楷体_GB2312" w:hAnsi="宋体" w:eastAsia="楷体_GB2312" w:cs="宋体"/>
          <w:b/>
          <w:color w:val="000000"/>
          <w:szCs w:val="32"/>
        </w:rPr>
        <w:t>（三）绩效目标完成情况分析。</w:t>
      </w:r>
      <w:r>
        <w:rPr>
          <w:rFonts w:hint="eastAsia" w:ascii="仿宋_GB2312" w:hAnsi="宋体" w:cs="宋体"/>
          <w:color w:val="000000"/>
          <w:szCs w:val="32"/>
        </w:rPr>
        <w:t xml:space="preserve"> </w:t>
      </w:r>
    </w:p>
    <w:p w14:paraId="3CA0B1B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1.产出指标完成情况分析。</w:t>
      </w:r>
    </w:p>
    <w:p w14:paraId="2AEFC617">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rPr>
        <w:t>（1）数量指标。</w:t>
      </w:r>
      <w:r>
        <w:rPr>
          <w:rFonts w:hint="eastAsia" w:ascii="仿宋_GB2312" w:hAnsi="宋体" w:cs="宋体"/>
          <w:color w:val="000000"/>
          <w:szCs w:val="32"/>
          <w:lang w:eastAsia="zh-CN"/>
        </w:rPr>
        <w:t>按照要求完成公共服务中心、停车场、连接道路、公厕、应急救援通道及其他配套设施建设。</w:t>
      </w:r>
    </w:p>
    <w:p w14:paraId="365A2F86">
      <w:pPr>
        <w:suppressAutoHyphens/>
        <w:bidi w:val="0"/>
        <w:ind w:firstLine="640" w:firstLineChars="200"/>
        <w:rPr>
          <w:rFonts w:ascii="仿宋_GB2312" w:hAnsi="宋体" w:cs="宋体"/>
          <w:color w:val="000000"/>
          <w:szCs w:val="32"/>
        </w:rPr>
      </w:pPr>
      <w:r>
        <w:rPr>
          <w:rFonts w:hint="eastAsia" w:ascii="仿宋_GB2312" w:hAnsi="宋体" w:cs="宋体"/>
          <w:color w:val="000000"/>
          <w:szCs w:val="32"/>
        </w:rPr>
        <w:t>（2）质量指标。</w:t>
      </w:r>
      <w:r>
        <w:rPr>
          <w:rFonts w:hint="eastAsia" w:ascii="仿宋_GB2312" w:hAnsi="仿宋" w:eastAsia="仿宋_GB2312" w:cs="仿宋"/>
          <w:color w:val="auto"/>
          <w:sz w:val="32"/>
          <w:szCs w:val="32"/>
          <w:lang w:eastAsia="zh-CN"/>
        </w:rPr>
        <w:t>场地设施建设竣工验收合格</w:t>
      </w:r>
      <w:r>
        <w:rPr>
          <w:rFonts w:hint="eastAsia" w:ascii="仿宋_GB2312" w:hAnsi="仿宋" w:cs="仿宋"/>
          <w:color w:val="auto"/>
          <w:sz w:val="32"/>
          <w:szCs w:val="32"/>
          <w:lang w:eastAsia="zh-CN"/>
        </w:rPr>
        <w:t>。</w:t>
      </w:r>
    </w:p>
    <w:p w14:paraId="1D29D105">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（3）时效指标。</w:t>
      </w:r>
      <w:r>
        <w:rPr>
          <w:rFonts w:hint="eastAsia" w:ascii="仿宋_GB2312" w:hAnsi="仿宋" w:eastAsia="仿宋_GB2312" w:cs="仿宋"/>
          <w:sz w:val="32"/>
          <w:szCs w:val="32"/>
          <w:lang w:val="en-US" w:eastAsia="zh-CN"/>
        </w:rPr>
        <w:t>按照进度及时完成。</w:t>
      </w:r>
    </w:p>
    <w:p w14:paraId="3BEAACDE">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 xml:space="preserve">（4）成本指标。 </w:t>
      </w:r>
      <w:r>
        <w:rPr>
          <w:rFonts w:hint="eastAsia" w:ascii="仿宋_GB2312" w:hAnsi="仿宋" w:eastAsia="仿宋_GB2312" w:cs="仿宋"/>
          <w:sz w:val="32"/>
          <w:szCs w:val="32"/>
          <w:lang w:val="en-US" w:eastAsia="zh-CN"/>
        </w:rPr>
        <w:t>项目实施总成本</w:t>
      </w:r>
      <w:r>
        <w:rPr>
          <w:rFonts w:hint="eastAsia" w:ascii="仿宋_GB2312" w:hAnsi="仿宋" w:cs="仿宋"/>
          <w:color w:val="auto"/>
          <w:sz w:val="32"/>
          <w:szCs w:val="32"/>
          <w:lang w:val="en-US" w:eastAsia="zh-CN"/>
        </w:rPr>
        <w:t>1000</w:t>
      </w:r>
      <w:r>
        <w:rPr>
          <w:rFonts w:hint="eastAsia" w:ascii="仿宋_GB2312" w:hAnsi="仿宋" w:eastAsia="仿宋_GB2312" w:cs="仿宋"/>
          <w:color w:val="auto"/>
          <w:sz w:val="32"/>
          <w:szCs w:val="32"/>
          <w:lang w:val="en-US" w:eastAsia="zh-CN"/>
        </w:rPr>
        <w:t>万元</w:t>
      </w:r>
      <w:r>
        <w:rPr>
          <w:rFonts w:hint="eastAsia" w:ascii="仿宋_GB2312" w:hAnsi="仿宋" w:eastAsia="仿宋_GB2312" w:cs="仿宋"/>
          <w:color w:val="FF0000"/>
          <w:sz w:val="32"/>
          <w:szCs w:val="32"/>
          <w:lang w:val="en-US" w:eastAsia="zh-CN"/>
        </w:rPr>
        <w:t>。</w:t>
      </w:r>
    </w:p>
    <w:p w14:paraId="44C5F3A9">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2.效益指标完成情况分析。</w:t>
      </w:r>
    </w:p>
    <w:p w14:paraId="7841C2A8">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rPr>
        <w:t>（1）经济效益。</w:t>
      </w:r>
      <w:r>
        <w:rPr>
          <w:rFonts w:hint="eastAsia" w:ascii="仿宋_GB2312" w:hAnsi="宋体" w:cs="宋体"/>
          <w:color w:val="000000"/>
          <w:szCs w:val="32"/>
          <w:lang w:eastAsia="zh-CN"/>
        </w:rPr>
        <w:t>促进旅游业发展，</w:t>
      </w:r>
      <w:r>
        <w:rPr>
          <w:rFonts w:hint="eastAsia" w:ascii="仿宋_GB2312" w:hAnsi="宋体" w:cs="宋体"/>
          <w:color w:val="000000"/>
          <w:szCs w:val="32"/>
        </w:rPr>
        <w:t>带动群众就业增收</w:t>
      </w:r>
      <w:r>
        <w:rPr>
          <w:rFonts w:hint="eastAsia" w:ascii="仿宋_GB2312" w:hAnsi="宋体" w:cs="宋体"/>
          <w:color w:val="000000"/>
          <w:szCs w:val="32"/>
          <w:lang w:eastAsia="zh-CN"/>
        </w:rPr>
        <w:t>程度较高。</w:t>
      </w:r>
    </w:p>
    <w:p w14:paraId="697B2CEE">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rPr>
        <w:t>（2）社会效益。</w:t>
      </w:r>
      <w:r>
        <w:rPr>
          <w:rFonts w:hint="eastAsia" w:ascii="仿宋_GB2312" w:hAnsi="宋体" w:cs="宋体"/>
          <w:color w:val="000000"/>
          <w:szCs w:val="32"/>
          <w:lang w:eastAsia="zh-CN"/>
        </w:rPr>
        <w:t>增加</w:t>
      </w:r>
      <w:r>
        <w:rPr>
          <w:rFonts w:hint="eastAsia" w:ascii="仿宋_GB2312" w:hAnsi="宋体" w:cs="宋体"/>
          <w:color w:val="000000"/>
          <w:szCs w:val="32"/>
          <w:lang w:val="en-US" w:eastAsia="zh-CN"/>
        </w:rPr>
        <w:t>受益</w:t>
      </w:r>
      <w:bookmarkStart w:id="0" w:name="_GoBack"/>
      <w:bookmarkEnd w:id="0"/>
      <w:r>
        <w:rPr>
          <w:rFonts w:hint="eastAsia" w:ascii="仿宋_GB2312" w:hAnsi="宋体" w:cs="宋体"/>
          <w:color w:val="000000"/>
          <w:szCs w:val="32"/>
          <w:lang w:eastAsia="zh-CN"/>
        </w:rPr>
        <w:t>人口，</w:t>
      </w:r>
      <w:r>
        <w:rPr>
          <w:rFonts w:hint="eastAsia" w:ascii="仿宋_GB2312" w:hAnsi="仿宋" w:eastAsia="仿宋_GB2312" w:cs="仿宋"/>
          <w:sz w:val="32"/>
          <w:szCs w:val="32"/>
          <w:lang w:eastAsia="zh-CN"/>
        </w:rPr>
        <w:t>丰富全民健身活动供给</w:t>
      </w:r>
      <w:r>
        <w:rPr>
          <w:rFonts w:hint="eastAsia" w:ascii="仿宋_GB2312" w:hAnsi="仿宋" w:cs="仿宋"/>
          <w:sz w:val="32"/>
          <w:szCs w:val="32"/>
          <w:lang w:eastAsia="zh-CN"/>
        </w:rPr>
        <w:t>，</w:t>
      </w:r>
      <w:r>
        <w:rPr>
          <w:rFonts w:hint="eastAsia" w:ascii="仿宋_GB2312" w:hAnsi="仿宋" w:eastAsia="仿宋_GB2312" w:cs="仿宋"/>
          <w:sz w:val="32"/>
          <w:szCs w:val="32"/>
        </w:rPr>
        <w:t>促进群众体育健身活动开</w:t>
      </w:r>
      <w:r>
        <w:rPr>
          <w:rFonts w:hint="eastAsia" w:ascii="仿宋_GB2312" w:hAnsi="仿宋" w:cs="仿宋"/>
          <w:sz w:val="32"/>
          <w:szCs w:val="32"/>
          <w:lang w:eastAsia="zh-CN"/>
        </w:rPr>
        <w:t>展。</w:t>
      </w:r>
    </w:p>
    <w:p w14:paraId="7386C1AE">
      <w:pPr>
        <w:suppressAutoHyphens/>
        <w:bidi w:val="0"/>
        <w:ind w:firstLine="640" w:firstLineChars="200"/>
        <w:rPr>
          <w:rFonts w:ascii="仿宋_GB2312" w:hAnsi="宋体" w:cs="宋体"/>
          <w:color w:val="000000"/>
          <w:szCs w:val="32"/>
        </w:rPr>
      </w:pPr>
      <w:r>
        <w:rPr>
          <w:rFonts w:hint="eastAsia" w:ascii="仿宋_GB2312" w:hAnsi="宋体" w:cs="宋体"/>
          <w:color w:val="000000"/>
          <w:szCs w:val="32"/>
        </w:rPr>
        <w:t>（</w:t>
      </w:r>
      <w:r>
        <w:rPr>
          <w:rFonts w:hint="eastAsia" w:ascii="仿宋_GB2312" w:hAnsi="宋体" w:cs="宋体"/>
          <w:color w:val="000000"/>
          <w:szCs w:val="32"/>
          <w:lang w:val="en-US" w:eastAsia="zh-CN"/>
        </w:rPr>
        <w:t>3</w:t>
      </w:r>
      <w:r>
        <w:rPr>
          <w:rFonts w:hint="eastAsia" w:ascii="仿宋_GB2312" w:hAnsi="宋体" w:cs="宋体"/>
          <w:color w:val="000000"/>
          <w:szCs w:val="32"/>
        </w:rPr>
        <w:t>）可持续影响。</w:t>
      </w:r>
      <w:r>
        <w:rPr>
          <w:rFonts w:hint="eastAsia" w:ascii="仿宋_GB2312" w:hAnsi="宋体" w:cs="宋体"/>
          <w:color w:val="000000"/>
          <w:szCs w:val="32"/>
          <w:lang w:eastAsia="zh-CN"/>
        </w:rPr>
        <w:t>工程使用年限大于</w:t>
      </w:r>
      <w:r>
        <w:rPr>
          <w:rFonts w:hint="eastAsia" w:ascii="仿宋_GB2312" w:hAnsi="宋体" w:cs="宋体"/>
          <w:color w:val="000000"/>
          <w:szCs w:val="32"/>
          <w:lang w:val="en-US" w:eastAsia="zh-CN"/>
        </w:rPr>
        <w:t>10年，</w:t>
      </w:r>
      <w:r>
        <w:rPr>
          <w:rFonts w:hint="eastAsia" w:ascii="仿宋_GB2312" w:hAnsi="仿宋" w:eastAsia="仿宋_GB2312" w:cs="仿宋"/>
          <w:color w:val="auto"/>
          <w:sz w:val="32"/>
          <w:szCs w:val="32"/>
          <w:lang w:eastAsia="zh-CN"/>
        </w:rPr>
        <w:t>对群众参与健身的</w:t>
      </w:r>
      <w:r>
        <w:rPr>
          <w:rFonts w:hint="eastAsia" w:ascii="仿宋_GB2312" w:hAnsi="仿宋" w:eastAsia="仿宋_GB2312" w:cs="仿宋"/>
          <w:color w:val="auto"/>
          <w:sz w:val="32"/>
          <w:szCs w:val="32"/>
        </w:rPr>
        <w:t>影响程度</w:t>
      </w:r>
      <w:r>
        <w:rPr>
          <w:rFonts w:hint="eastAsia" w:ascii="仿宋_GB2312" w:hAnsi="仿宋" w:eastAsia="仿宋_GB2312" w:cs="仿宋"/>
          <w:color w:val="auto"/>
          <w:sz w:val="32"/>
          <w:szCs w:val="32"/>
          <w:lang w:eastAsia="zh-CN"/>
        </w:rPr>
        <w:t>明显。</w:t>
      </w:r>
      <w:r>
        <w:rPr>
          <w:rFonts w:hint="eastAsia" w:ascii="仿宋_GB2312" w:hAnsi="宋体" w:cs="宋体"/>
          <w:color w:val="000000"/>
          <w:szCs w:val="32"/>
        </w:rPr>
        <w:t xml:space="preserve"> </w:t>
      </w:r>
    </w:p>
    <w:p w14:paraId="2BC5A6F4">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 xml:space="preserve">3.满意度指标完成情况分析。 </w:t>
      </w:r>
    </w:p>
    <w:p w14:paraId="431D8A5B">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通过对</w:t>
      </w:r>
      <w:r>
        <w:rPr>
          <w:rFonts w:hint="eastAsia" w:ascii="仿宋_GB2312" w:hAnsi="宋体" w:cs="宋体"/>
          <w:color w:val="000000"/>
          <w:szCs w:val="32"/>
          <w:lang w:val="en-US" w:eastAsia="zh-CN"/>
        </w:rPr>
        <w:t>相关</w:t>
      </w:r>
      <w:r>
        <w:rPr>
          <w:rFonts w:hint="eastAsia" w:ascii="仿宋_GB2312" w:hAnsi="宋体" w:cs="宋体"/>
          <w:color w:val="000000"/>
          <w:szCs w:val="32"/>
        </w:rPr>
        <w:t>人群满意度指标调查，满意度达9</w:t>
      </w:r>
      <w:r>
        <w:rPr>
          <w:rFonts w:hint="eastAsia" w:ascii="仿宋_GB2312" w:hAnsi="宋体" w:cs="宋体"/>
          <w:color w:val="000000"/>
          <w:szCs w:val="32"/>
          <w:lang w:val="en-US" w:eastAsia="zh-CN"/>
        </w:rPr>
        <w:t>5</w:t>
      </w:r>
      <w:r>
        <w:rPr>
          <w:rFonts w:hint="eastAsia" w:ascii="仿宋_GB2312" w:hAnsi="宋体" w:cs="宋体"/>
          <w:color w:val="000000"/>
          <w:szCs w:val="32"/>
        </w:rPr>
        <w:t>%，达到了预期效果。</w:t>
      </w:r>
    </w:p>
    <w:p w14:paraId="24BC7DA0">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黑体" w:hAnsi="黑体" w:eastAsia="黑体" w:cs="宋体"/>
          <w:color w:val="000000"/>
          <w:szCs w:val="32"/>
        </w:rPr>
      </w:pPr>
      <w:r>
        <w:rPr>
          <w:rFonts w:hint="eastAsia" w:ascii="黑体" w:hAnsi="黑体" w:eastAsia="黑体" w:cs="宋体"/>
          <w:color w:val="000000"/>
          <w:szCs w:val="32"/>
        </w:rPr>
        <w:t xml:space="preserve">三、偏离绩效目标的原因和下一步改进措施 </w:t>
      </w:r>
    </w:p>
    <w:p w14:paraId="5D766E4E">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绩效目标</w:t>
      </w:r>
      <w:r>
        <w:rPr>
          <w:rFonts w:hint="eastAsia" w:ascii="仿宋_GB2312" w:hAnsi="宋体" w:cs="宋体"/>
          <w:color w:val="000000"/>
          <w:szCs w:val="32"/>
          <w:lang w:eastAsia="zh-CN"/>
        </w:rPr>
        <w:t>已完成</w:t>
      </w:r>
      <w:r>
        <w:rPr>
          <w:rFonts w:hint="eastAsia" w:ascii="仿宋_GB2312" w:hAnsi="宋体" w:cs="宋体"/>
          <w:color w:val="000000"/>
          <w:szCs w:val="32"/>
        </w:rPr>
        <w:t>。</w:t>
      </w:r>
    </w:p>
    <w:p w14:paraId="1C5A2521">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黑体" w:hAnsi="黑体" w:eastAsia="黑体" w:cs="宋体"/>
          <w:color w:val="000000"/>
          <w:szCs w:val="32"/>
        </w:rPr>
      </w:pPr>
      <w:r>
        <w:rPr>
          <w:rFonts w:hint="eastAsia" w:ascii="黑体" w:hAnsi="黑体" w:eastAsia="黑体" w:cs="宋体"/>
          <w:color w:val="000000"/>
          <w:szCs w:val="32"/>
        </w:rPr>
        <w:t>四、绩效自评结果拟应用和公开情况</w:t>
      </w:r>
    </w:p>
    <w:p w14:paraId="0F8A9E7B">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黑体" w:hAnsi="黑体" w:eastAsia="黑体" w:cs="宋体"/>
          <w:color w:val="000000"/>
          <w:szCs w:val="32"/>
        </w:rPr>
      </w:pPr>
      <w:r>
        <w:rPr>
          <w:rFonts w:hint="eastAsia" w:ascii="仿宋" w:hAnsi="仿宋" w:eastAsia="仿宋" w:cs="仿宋"/>
          <w:bCs/>
          <w:sz w:val="32"/>
          <w:szCs w:val="32"/>
          <w:lang w:val="en-US" w:eastAsia="zh-CN"/>
        </w:rPr>
        <w:t>此次绩效自评结果将作为以后年度活动开展资金预算分配的重要依据，绩效自评结果将在政府信息公开网公开，自觉接受群众监督。</w:t>
      </w:r>
    </w:p>
    <w:p w14:paraId="519E478F">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5"/>
        <w:textAlignment w:val="auto"/>
        <w:rPr>
          <w:rFonts w:hint="eastAsia" w:ascii="黑体" w:hAnsi="黑体" w:eastAsia="黑体" w:cs="宋体"/>
          <w:color w:val="000000"/>
          <w:szCs w:val="32"/>
        </w:rPr>
      </w:pPr>
      <w:r>
        <w:rPr>
          <w:rFonts w:hint="eastAsia" w:ascii="黑体" w:hAnsi="黑体" w:eastAsia="黑体" w:cs="宋体"/>
          <w:color w:val="000000"/>
          <w:szCs w:val="32"/>
        </w:rPr>
        <w:t xml:space="preserve">其他需要说明的问题 </w:t>
      </w:r>
    </w:p>
    <w:p w14:paraId="31CB7C2A">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szCs w:val="32"/>
          <w:lang w:val="en-US" w:eastAsia="zh-CN"/>
        </w:rPr>
      </w:pPr>
      <w:r>
        <w:rPr>
          <w:rFonts w:hint="eastAsia" w:ascii="黑体" w:hAnsi="黑体" w:eastAsia="黑体" w:cs="宋体"/>
          <w:color w:val="000000"/>
          <w:szCs w:val="32"/>
          <w:lang w:val="en-US" w:eastAsia="zh-CN"/>
        </w:rPr>
        <w:t xml:space="preserve"> </w:t>
      </w:r>
      <w:r>
        <w:rPr>
          <w:rFonts w:hint="eastAsia" w:ascii="仿宋_GB2312" w:hAnsi="仿宋_GB2312" w:eastAsia="仿宋_GB2312" w:cs="仿宋_GB2312"/>
          <w:color w:val="000000"/>
          <w:szCs w:val="32"/>
          <w:lang w:val="en-US" w:eastAsia="zh-CN"/>
        </w:rPr>
        <w:t xml:space="preserve">   无。</w:t>
      </w:r>
    </w:p>
    <w:p w14:paraId="744CA5D3">
      <w:pPr>
        <w:spacing w:line="560" w:lineRule="exact"/>
        <w:rPr>
          <w:rFonts w:hint="eastAsia" w:ascii="黑体" w:hAnsi="黑体" w:eastAsia="黑体"/>
          <w:szCs w:val="32"/>
        </w:rPr>
      </w:pPr>
    </w:p>
    <w:p w14:paraId="3B9DDFE7">
      <w:pPr>
        <w:spacing w:line="560" w:lineRule="exact"/>
        <w:rPr>
          <w:rFonts w:hint="eastAsia" w:ascii="黑体" w:hAnsi="黑体" w:eastAsia="黑体"/>
          <w:szCs w:val="32"/>
        </w:rPr>
      </w:pPr>
    </w:p>
    <w:p w14:paraId="14F96913">
      <w:pPr>
        <w:spacing w:line="560" w:lineRule="exact"/>
        <w:rPr>
          <w:rFonts w:hint="eastAsia" w:ascii="仿宋_GB2312" w:hAnsi="仿宋_GB2312" w:eastAsia="仿宋_GB2312" w:cs="仿宋_GB2312"/>
          <w:szCs w:val="32"/>
        </w:rPr>
      </w:pPr>
    </w:p>
    <w:p w14:paraId="7E487527">
      <w:pPr>
        <w:spacing w:line="560" w:lineRule="exac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 xml:space="preserve">                           金寨县文化旅游体育局</w:t>
      </w:r>
    </w:p>
    <w:p w14:paraId="262A662C">
      <w:pPr>
        <w:spacing w:line="560" w:lineRule="exac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 xml:space="preserve">                             2025年3月18日</w:t>
      </w:r>
    </w:p>
    <w:p w14:paraId="58E0990E">
      <w:pPr>
        <w:spacing w:line="560" w:lineRule="exact"/>
        <w:rPr>
          <w:rFonts w:hint="eastAsia" w:ascii="黑体" w:hAnsi="黑体" w:eastAsia="黑体"/>
          <w:szCs w:val="32"/>
        </w:rPr>
      </w:pPr>
    </w:p>
    <w:p w14:paraId="01B289BB">
      <w:pPr>
        <w:spacing w:line="560" w:lineRule="exact"/>
        <w:rPr>
          <w:rFonts w:hint="eastAsia" w:ascii="黑体" w:hAnsi="黑体" w:eastAsia="黑体"/>
          <w:szCs w:val="32"/>
        </w:rPr>
      </w:pPr>
    </w:p>
    <w:p w14:paraId="1D6C6E1D">
      <w:pPr>
        <w:spacing w:line="560" w:lineRule="exact"/>
        <w:rPr>
          <w:rFonts w:hint="eastAsia" w:ascii="黑体" w:hAnsi="黑体" w:eastAsia="黑体"/>
          <w:szCs w:val="32"/>
        </w:rPr>
      </w:pPr>
    </w:p>
    <w:p w14:paraId="02849F95">
      <w:pPr>
        <w:spacing w:line="560" w:lineRule="exact"/>
        <w:rPr>
          <w:rFonts w:hint="eastAsia" w:ascii="黑体" w:hAnsi="黑体" w:eastAsia="黑体"/>
          <w:szCs w:val="32"/>
        </w:rPr>
      </w:pPr>
    </w:p>
    <w:p w14:paraId="2A452774">
      <w:pPr>
        <w:spacing w:line="560" w:lineRule="exact"/>
        <w:rPr>
          <w:rFonts w:hint="eastAsia" w:ascii="黑体" w:hAnsi="黑体" w:eastAsia="黑体"/>
          <w:szCs w:val="32"/>
        </w:rPr>
      </w:pPr>
    </w:p>
    <w:p w14:paraId="711C6FF7">
      <w:pPr>
        <w:pStyle w:val="2"/>
        <w:jc w:val="both"/>
        <w:rPr>
          <w:rFonts w:hint="eastAsia" w:eastAsia="宋体"/>
          <w:b/>
          <w:sz w:val="32"/>
        </w:rPr>
      </w:pPr>
    </w:p>
    <w:p w14:paraId="2C348033">
      <w:pPr>
        <w:pStyle w:val="2"/>
        <w:jc w:val="both"/>
        <w:rPr>
          <w:rFonts w:hint="eastAsia" w:eastAsia="宋体"/>
          <w:b/>
          <w:sz w:val="32"/>
        </w:rPr>
      </w:pPr>
    </w:p>
    <w:p w14:paraId="63DC55DC">
      <w:pPr>
        <w:pStyle w:val="2"/>
        <w:jc w:val="both"/>
        <w:rPr>
          <w:rFonts w:hint="eastAsia" w:eastAsia="宋体"/>
          <w:b/>
          <w:sz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802DD">
    <w:pPr>
      <w:pStyle w:val="3"/>
      <w:ind w:right="360"/>
      <w:rPr>
        <w:rFonts w:hint="eastAsia" w:ascii="仿宋_GB2312"/>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17D8F2"/>
    <w:multiLevelType w:val="singleLevel"/>
    <w:tmpl w:val="BA17D8F2"/>
    <w:lvl w:ilvl="0" w:tentative="0">
      <w:start w:val="2"/>
      <w:numFmt w:val="chineseCounting"/>
      <w:suff w:val="nothing"/>
      <w:lvlText w:val="（%1）"/>
      <w:lvlJc w:val="left"/>
      <w:rPr>
        <w:rFonts w:hint="eastAsia"/>
      </w:rPr>
    </w:lvl>
  </w:abstractNum>
  <w:abstractNum w:abstractNumId="1">
    <w:nsid w:val="1236FBC5"/>
    <w:multiLevelType w:val="singleLevel"/>
    <w:tmpl w:val="1236FBC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jMzY0MmI4OGMwNDUzYzJjOGJmNTBmYjQ4NTczMWQifQ=="/>
  </w:docVars>
  <w:rsids>
    <w:rsidRoot w:val="75AF3544"/>
    <w:rsid w:val="07041C7C"/>
    <w:rsid w:val="071F365B"/>
    <w:rsid w:val="07E0459B"/>
    <w:rsid w:val="08306800"/>
    <w:rsid w:val="13040994"/>
    <w:rsid w:val="138403CC"/>
    <w:rsid w:val="16141D33"/>
    <w:rsid w:val="186D793F"/>
    <w:rsid w:val="1E4A2212"/>
    <w:rsid w:val="1EF939FF"/>
    <w:rsid w:val="20FC373B"/>
    <w:rsid w:val="215C64E4"/>
    <w:rsid w:val="21886FA6"/>
    <w:rsid w:val="239D3FBF"/>
    <w:rsid w:val="279369D8"/>
    <w:rsid w:val="290D3920"/>
    <w:rsid w:val="2AA66A22"/>
    <w:rsid w:val="2D073E3E"/>
    <w:rsid w:val="2EE90362"/>
    <w:rsid w:val="33D90E9F"/>
    <w:rsid w:val="35E4646F"/>
    <w:rsid w:val="3AAB6AFD"/>
    <w:rsid w:val="3C4D4C65"/>
    <w:rsid w:val="3D694451"/>
    <w:rsid w:val="43657E7E"/>
    <w:rsid w:val="43C97B85"/>
    <w:rsid w:val="43F94D28"/>
    <w:rsid w:val="46F7715D"/>
    <w:rsid w:val="4D471EEE"/>
    <w:rsid w:val="505E3FE4"/>
    <w:rsid w:val="51AC22C1"/>
    <w:rsid w:val="54BC1D55"/>
    <w:rsid w:val="5557553B"/>
    <w:rsid w:val="578E1BC0"/>
    <w:rsid w:val="57C164B0"/>
    <w:rsid w:val="6A270730"/>
    <w:rsid w:val="6C6E251C"/>
    <w:rsid w:val="75AF3544"/>
    <w:rsid w:val="78BB3ADE"/>
    <w:rsid w:val="79CC03B9"/>
    <w:rsid w:val="7E551467"/>
    <w:rsid w:val="7E912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黑体"/>
      <w:sz w:val="36"/>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Title"/>
    <w:basedOn w:val="1"/>
    <w:autoRedefine/>
    <w:qFormat/>
    <w:uiPriority w:val="0"/>
    <w:pPr>
      <w:spacing w:before="240" w:after="60"/>
      <w:jc w:val="center"/>
      <w:outlineLvl w:val="0"/>
    </w:pPr>
    <w:rPr>
      <w:rFonts w:ascii="Arial" w:hAnsi="Arial" w:eastAsia="宋体" w:cs="Arial"/>
      <w:b/>
      <w:bCs/>
      <w:szCs w:val="32"/>
    </w:rPr>
  </w:style>
  <w:style w:type="paragraph" w:customStyle="1" w:styleId="7">
    <w:name w:val="办公自动化专用标题"/>
    <w:basedOn w:val="4"/>
    <w:autoRedefine/>
    <w:qFormat/>
    <w:uiPriority w:val="0"/>
    <w:pPr>
      <w:widowControl/>
      <w:spacing w:line="560" w:lineRule="atLeast"/>
    </w:pPr>
    <w:rPr>
      <w:rFonts w:ascii="宋体" w:cs="Times New Roman"/>
      <w:bCs w:val="0"/>
      <w:kern w:val="0"/>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982</Words>
  <Characters>1027</Characters>
  <Lines>0</Lines>
  <Paragraphs>0</Paragraphs>
  <TotalTime>7</TotalTime>
  <ScaleCrop>false</ScaleCrop>
  <LinksUpToDate>false</LinksUpToDate>
  <CharactersWithSpaces>1105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2023-02-13T10:14:00Z</dcterms:created>
  <dc:creator>我是魏小妞。</dc:creator>
  <cp:lastModifiedBy>WH</cp:lastModifiedBy>
  <dcterms:modified xsi:type="dcterms:W3CDTF">2025-03-19T02:05:08Z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8AA47A20BB3345FBB072DA97FFA0DAC1_13</vt:lpwstr>
  </property>
  <property fmtid="{D5CDD505-2E9C-101B-9397-08002B2CF9AE}" pid="4" name="KSOTemplateDocerSaveRecord">
    <vt:lpwstr>eyJoZGlkIjoiNzRhYjg1YmQzYjhmZjAzN2QxZGIyZTBmMzhkYWQ5ZmQiLCJ1c2VySWQiOiI1MzE1ODg0NzMifQ==</vt:lpwstr>
  </property>
</Properties>
</file>