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9E4B4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宋体" w:eastAsia="方正小标宋_GBK" w:cs="宋体"/>
          <w:color w:val="000000"/>
          <w:sz w:val="44"/>
          <w:szCs w:val="44"/>
        </w:rPr>
      </w:pPr>
      <w:r>
        <w:rPr>
          <w:rFonts w:hint="eastAsia" w:ascii="方正小标宋_GBK" w:hAnsi="宋体" w:eastAsia="方正小标宋_GBK" w:cs="宋体"/>
          <w:color w:val="000000"/>
          <w:sz w:val="44"/>
          <w:szCs w:val="44"/>
          <w:lang w:val="en-US" w:eastAsia="zh-CN"/>
        </w:rPr>
        <w:t>中央</w:t>
      </w:r>
      <w:r>
        <w:rPr>
          <w:rFonts w:hint="eastAsia" w:ascii="方正小标宋_GBK" w:hAnsi="宋体" w:eastAsia="方正小标宋_GBK" w:cs="宋体"/>
          <w:color w:val="000000"/>
          <w:sz w:val="44"/>
          <w:szCs w:val="44"/>
        </w:rPr>
        <w:t>转移支付202</w:t>
      </w:r>
      <w:r>
        <w:rPr>
          <w:rFonts w:hint="eastAsia" w:ascii="方正小标宋_GBK" w:hAnsi="宋体" w:eastAsia="方正小标宋_GBK" w:cs="宋体"/>
          <w:color w:val="000000"/>
          <w:sz w:val="44"/>
          <w:szCs w:val="44"/>
          <w:lang w:val="en-US" w:eastAsia="zh-CN"/>
        </w:rPr>
        <w:t>4</w:t>
      </w:r>
      <w:r>
        <w:rPr>
          <w:rFonts w:hint="eastAsia" w:ascii="方正小标宋_GBK" w:hAnsi="宋体" w:eastAsia="方正小标宋_GBK" w:cs="宋体"/>
          <w:color w:val="000000"/>
          <w:sz w:val="44"/>
          <w:szCs w:val="44"/>
        </w:rPr>
        <w:t>年度绩效自评报告</w:t>
      </w:r>
    </w:p>
    <w:p w14:paraId="4020C55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宋体" w:eastAsia="方正小标宋_GBK" w:cs="宋体"/>
          <w:color w:val="000000"/>
          <w:sz w:val="36"/>
          <w:szCs w:val="36"/>
          <w:lang w:eastAsia="zh-CN"/>
        </w:rPr>
      </w:pPr>
      <w:r>
        <w:rPr>
          <w:rFonts w:hint="eastAsia" w:ascii="方正小标宋_GBK" w:hAnsi="宋体" w:eastAsia="方正小标宋_GBK" w:cs="宋体"/>
          <w:color w:val="000000"/>
          <w:sz w:val="36"/>
          <w:szCs w:val="36"/>
          <w:lang w:eastAsia="zh-CN"/>
        </w:rPr>
        <w:t>（</w:t>
      </w:r>
      <w:r>
        <w:rPr>
          <w:rFonts w:hint="eastAsia" w:ascii="方正小标宋_GBK" w:hAnsi="宋体" w:eastAsia="方正小标宋_GBK" w:cs="宋体"/>
          <w:color w:val="000000"/>
          <w:sz w:val="36"/>
          <w:szCs w:val="36"/>
        </w:rPr>
        <w:t>中央集中彩票公益金支持体育事业专项资金</w:t>
      </w:r>
      <w:r>
        <w:rPr>
          <w:rFonts w:hint="eastAsia" w:ascii="方正小标宋_GBK" w:hAnsi="宋体" w:eastAsia="方正小标宋_GBK" w:cs="宋体"/>
          <w:color w:val="000000"/>
          <w:sz w:val="36"/>
          <w:szCs w:val="36"/>
          <w:lang w:eastAsia="zh-CN"/>
        </w:rPr>
        <w:t>）</w:t>
      </w:r>
    </w:p>
    <w:p w14:paraId="0827F9F3">
      <w:pPr>
        <w:rPr>
          <w:rFonts w:ascii="仿宋_GB2312" w:hAnsi="宋体" w:cs="宋体"/>
          <w:color w:val="000000"/>
          <w:szCs w:val="32"/>
        </w:rPr>
      </w:pPr>
    </w:p>
    <w:p w14:paraId="603C1C3C">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宋体"/>
          <w:color w:val="000000"/>
          <w:szCs w:val="32"/>
        </w:rPr>
      </w:pPr>
      <w:r>
        <w:rPr>
          <w:rFonts w:hint="eastAsia" w:ascii="黑体" w:hAnsi="黑体" w:eastAsia="黑体" w:cs="宋体"/>
          <w:color w:val="000000"/>
          <w:szCs w:val="32"/>
        </w:rPr>
        <w:t xml:space="preserve">    一、绩效目标分解下达情况 </w:t>
      </w:r>
    </w:p>
    <w:p w14:paraId="147ABFDC">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仿宋" w:hAnsi="仿宋" w:eastAsia="仿宋" w:cs="黑体"/>
          <w:sz w:val="32"/>
          <w:szCs w:val="32"/>
          <w:lang w:val="en-US" w:eastAsia="zh-CN"/>
        </w:rPr>
        <w:t>安徽省财政厅根据《安徽省财政厅关于下达2024年中央集中彩票公益金支持体育事业专项资金预算的通知》（皖财教〔2024〕718 号）下达我县中央集中彩票公益金支持体育事业专项资金54万元，该项目资金用于举办2024安徽省快乐健身大众冰雪季活动启动仪式、社区运动会（乒乓球和足球联赛）、村BA县级决赛和2024全国群众登山健身大会（金寨站）暨全国登山赛等全民健身主题系列活动。</w:t>
      </w:r>
    </w:p>
    <w:p w14:paraId="6169DE79">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宋体"/>
          <w:color w:val="000000"/>
          <w:szCs w:val="32"/>
        </w:rPr>
      </w:pPr>
      <w:r>
        <w:rPr>
          <w:rFonts w:hint="eastAsia" w:ascii="黑体" w:hAnsi="黑体" w:eastAsia="黑体" w:cs="宋体"/>
          <w:color w:val="000000"/>
          <w:szCs w:val="32"/>
        </w:rPr>
        <w:t xml:space="preserve">    二、绩效目标完成情况分析 </w:t>
      </w:r>
    </w:p>
    <w:p w14:paraId="6B27CA66">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楷体_GB2312" w:hAnsi="宋体" w:eastAsia="楷体_GB2312" w:cs="宋体"/>
          <w:b/>
          <w:color w:val="000000"/>
          <w:szCs w:val="32"/>
        </w:rPr>
      </w:pPr>
      <w:r>
        <w:rPr>
          <w:rFonts w:hint="eastAsia" w:ascii="楷体_GB2312" w:hAnsi="宋体" w:eastAsia="楷体_GB2312" w:cs="宋体"/>
          <w:b/>
          <w:color w:val="000000"/>
          <w:szCs w:val="32"/>
        </w:rPr>
        <w:t xml:space="preserve">（一）资金投入情况分析。 </w:t>
      </w:r>
    </w:p>
    <w:p w14:paraId="62D62A20">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1.项目资金到位情况分析。</w:t>
      </w:r>
    </w:p>
    <w:p w14:paraId="3FDB7F48">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eastAsia="zh-CN"/>
        </w:rPr>
      </w:pPr>
      <w:r>
        <w:rPr>
          <w:rFonts w:hint="eastAsia" w:ascii="仿宋_GB2312" w:hAnsi="宋体" w:cs="宋体"/>
          <w:color w:val="000000"/>
          <w:szCs w:val="32"/>
          <w:lang w:eastAsia="zh-CN"/>
        </w:rPr>
        <w:t>中央集中彩票公益金支持体育事业专项资金已全部到位。</w:t>
      </w:r>
    </w:p>
    <w:p w14:paraId="42F6EA1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宋体" w:cs="宋体"/>
          <w:color w:val="000000"/>
          <w:szCs w:val="32"/>
        </w:rPr>
      </w:pPr>
      <w:r>
        <w:rPr>
          <w:rFonts w:hint="eastAsia" w:ascii="仿宋_GB2312" w:hAnsi="宋体" w:cs="宋体"/>
          <w:color w:val="000000"/>
          <w:szCs w:val="32"/>
          <w:lang w:val="en-US" w:eastAsia="zh-CN"/>
        </w:rPr>
        <w:t>2.</w:t>
      </w:r>
      <w:r>
        <w:rPr>
          <w:rFonts w:hint="eastAsia" w:ascii="仿宋_GB2312" w:hAnsi="宋体" w:cs="宋体"/>
          <w:color w:val="000000"/>
          <w:szCs w:val="32"/>
        </w:rPr>
        <w:t>项目资金执行情况分析。</w:t>
      </w:r>
    </w:p>
    <w:p w14:paraId="61D4DA8D">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default" w:ascii="仿宋_GB2312" w:hAnsi="宋体" w:eastAsia="仿宋_GB2312" w:cs="宋体"/>
          <w:color w:val="000000"/>
          <w:szCs w:val="32"/>
          <w:lang w:val="en-US" w:eastAsia="zh-CN"/>
        </w:rPr>
      </w:pPr>
      <w:r>
        <w:rPr>
          <w:rFonts w:hint="eastAsia" w:ascii="仿宋" w:hAnsi="仿宋" w:eastAsia="仿宋" w:cs="黑体"/>
          <w:sz w:val="32"/>
          <w:szCs w:val="32"/>
          <w:lang w:val="en-US" w:eastAsia="zh-CN"/>
        </w:rPr>
        <w:t xml:space="preserve">按照上级下达的预算执行，项目已全部实施，因2024年年末财政资金紧张，延迟至2025年支付。目前已全部支付到位，其中用于2024安徽省快乐健身大众冰雪季活动启动仪式199800元，用于社区运动会（乒乓球和足球联赛）18251元，用于村BA县级决赛92598.5元、用于2024全国群众登山健身大会（金寨站）暨全国登山赛229350.5元等全民健身主题系列活动共54万元，不存在执行偏离预算情况。 </w:t>
      </w:r>
    </w:p>
    <w:p w14:paraId="60A821A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宋体" w:cs="宋体"/>
          <w:color w:val="000000"/>
          <w:szCs w:val="32"/>
        </w:rPr>
      </w:pPr>
      <w:r>
        <w:rPr>
          <w:rFonts w:hint="eastAsia" w:ascii="仿宋_GB2312" w:hAnsi="宋体" w:cs="宋体"/>
          <w:color w:val="000000"/>
          <w:szCs w:val="32"/>
          <w:lang w:val="en-US" w:eastAsia="zh-CN"/>
        </w:rPr>
        <w:t>3.</w:t>
      </w:r>
      <w:r>
        <w:rPr>
          <w:rFonts w:hint="eastAsia" w:ascii="仿宋_GB2312" w:hAnsi="宋体" w:cs="宋体"/>
          <w:color w:val="000000"/>
          <w:szCs w:val="32"/>
        </w:rPr>
        <w:t>项目资金管理情况分析。</w:t>
      </w:r>
    </w:p>
    <w:p w14:paraId="65BF1FC2">
      <w:pPr>
        <w:suppressAutoHyphens/>
        <w:bidi w:val="0"/>
        <w:ind w:firstLine="640" w:firstLineChars="200"/>
        <w:rPr>
          <w:rFonts w:hint="eastAsia" w:ascii="仿宋_GB2312" w:hAnsi="宋体" w:eastAsia="仿宋_GB2312" w:cs="宋体"/>
          <w:color w:val="000000"/>
          <w:szCs w:val="32"/>
          <w:lang w:val="en-US" w:eastAsia="zh-CN"/>
        </w:rPr>
      </w:pPr>
      <w:r>
        <w:rPr>
          <w:rFonts w:hint="eastAsia" w:ascii="仿宋_GB2312" w:hAnsi="仿宋" w:eastAsia="仿宋_GB2312" w:cs="仿宋"/>
          <w:color w:val="auto"/>
          <w:sz w:val="32"/>
          <w:szCs w:val="32"/>
        </w:rPr>
        <w:t>项目单位</w:t>
      </w:r>
      <w:r>
        <w:rPr>
          <w:rFonts w:hint="eastAsia" w:ascii="仿宋_GB2312" w:hAnsi="仿宋" w:cs="仿宋"/>
          <w:color w:val="auto"/>
          <w:sz w:val="32"/>
          <w:szCs w:val="32"/>
          <w:lang w:eastAsia="zh-CN"/>
        </w:rPr>
        <w:t>严格</w:t>
      </w:r>
      <w:r>
        <w:rPr>
          <w:rFonts w:hint="eastAsia" w:ascii="仿宋_GB2312" w:hAnsi="仿宋" w:eastAsia="仿宋_GB2312" w:cs="仿宋"/>
          <w:color w:val="auto"/>
          <w:sz w:val="32"/>
          <w:szCs w:val="32"/>
        </w:rPr>
        <w:t>按照</w:t>
      </w:r>
      <w:r>
        <w:rPr>
          <w:rFonts w:hint="eastAsia" w:ascii="仿宋_GB2312" w:hAnsi="仿宋" w:cs="仿宋"/>
          <w:color w:val="auto"/>
          <w:sz w:val="32"/>
          <w:szCs w:val="32"/>
          <w:lang w:eastAsia="zh-CN"/>
        </w:rPr>
        <w:t>相关资金</w:t>
      </w:r>
      <w:r>
        <w:rPr>
          <w:rFonts w:hint="eastAsia" w:ascii="仿宋_GB2312" w:hAnsi="仿宋" w:eastAsia="仿宋_GB2312" w:cs="仿宋"/>
          <w:color w:val="auto"/>
          <w:sz w:val="32"/>
          <w:szCs w:val="32"/>
        </w:rPr>
        <w:t>使用管理办法使用项目资金，且项目明确了资金分配办法，</w:t>
      </w:r>
      <w:r>
        <w:rPr>
          <w:rFonts w:hint="eastAsia" w:ascii="仿宋_GB2312" w:hAnsi="仿宋" w:eastAsia="仿宋_GB2312" w:cs="仿宋"/>
          <w:color w:val="auto"/>
          <w:sz w:val="32"/>
          <w:szCs w:val="32"/>
          <w:lang w:eastAsia="zh-CN"/>
        </w:rPr>
        <w:t>符合财务管理制度，</w:t>
      </w:r>
      <w:r>
        <w:rPr>
          <w:rFonts w:hint="eastAsia" w:ascii="仿宋_GB2312" w:hAnsi="仿宋" w:eastAsia="仿宋_GB2312" w:cs="仿宋"/>
          <w:color w:val="auto"/>
          <w:sz w:val="32"/>
          <w:szCs w:val="32"/>
        </w:rPr>
        <w:t>资金使用全面、合理。项目资金支付由金寨县财政局、县文旅体育局进行监督审批程序，严格管理资金使用。</w:t>
      </w:r>
    </w:p>
    <w:p w14:paraId="49929DB4">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5"/>
        <w:textAlignment w:val="auto"/>
        <w:rPr>
          <w:rFonts w:hint="eastAsia" w:ascii="楷体_GB2312" w:hAnsi="宋体" w:eastAsia="楷体_GB2312" w:cs="宋体"/>
          <w:b/>
          <w:color w:val="000000"/>
          <w:szCs w:val="32"/>
        </w:rPr>
      </w:pPr>
      <w:r>
        <w:rPr>
          <w:rFonts w:hint="eastAsia" w:ascii="楷体_GB2312" w:hAnsi="宋体" w:eastAsia="楷体_GB2312" w:cs="宋体"/>
          <w:b/>
          <w:color w:val="000000"/>
          <w:szCs w:val="32"/>
        </w:rPr>
        <w:t>总体绩效目标完成情况分析。</w:t>
      </w:r>
    </w:p>
    <w:p w14:paraId="2DC1D74F">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楷体_GB2312" w:hAnsi="宋体" w:eastAsia="楷体_GB2312" w:cs="宋体"/>
          <w:b/>
          <w:color w:val="000000"/>
          <w:szCs w:val="32"/>
          <w:lang w:val="en-US" w:eastAsia="zh-CN"/>
        </w:rPr>
      </w:pPr>
      <w:r>
        <w:rPr>
          <w:rFonts w:hint="eastAsia" w:ascii="仿宋" w:hAnsi="仿宋" w:eastAsia="仿宋" w:cs="黑体"/>
          <w:color w:val="auto"/>
          <w:sz w:val="32"/>
          <w:szCs w:val="32"/>
          <w:lang w:val="en-US" w:eastAsia="zh-CN"/>
        </w:rPr>
        <w:t xml:space="preserve">     按时按质完成总体绩效目标。</w:t>
      </w:r>
      <w:r>
        <w:rPr>
          <w:rFonts w:hint="eastAsia" w:ascii="仿宋_GB2312" w:hAnsi="仿宋_GB2312" w:eastAsia="仿宋_GB2312" w:cs="仿宋_GB2312"/>
          <w:b w:val="0"/>
          <w:bCs w:val="0"/>
          <w:sz w:val="32"/>
          <w:szCs w:val="32"/>
          <w:lang w:eastAsia="zh-CN"/>
        </w:rPr>
        <w:t>已完成举办2024安徽省快乐健身大众冰雪季活动启动仪式、社区运动会（乒乓球和足球联赛）、村BA县级决赛和2024全国群众登山健身大会（金寨站）暨全国登山赛等全民健身主题系列活动目标。</w:t>
      </w:r>
    </w:p>
    <w:p w14:paraId="2B83F5AF">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楷体_GB2312" w:hAnsi="宋体" w:eastAsia="楷体_GB2312" w:cs="宋体"/>
          <w:b/>
          <w:color w:val="000000"/>
          <w:szCs w:val="32"/>
        </w:rPr>
        <w:t>（三）绩效目标完成情况分析。</w:t>
      </w:r>
    </w:p>
    <w:p w14:paraId="3CA0B1B6">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仿宋_GB2312" w:hAnsi="宋体" w:cs="宋体"/>
          <w:color w:val="000000"/>
          <w:szCs w:val="32"/>
        </w:rPr>
        <w:t>1.产出指标完成情况分析。</w:t>
      </w:r>
    </w:p>
    <w:p w14:paraId="7D4625F4">
      <w:pPr>
        <w:suppressAutoHyphens/>
        <w:bidi w:val="0"/>
        <w:ind w:firstLine="640" w:firstLineChars="200"/>
        <w:rPr>
          <w:rFonts w:hint="default" w:ascii="仿宋_GB2312" w:hAnsi="仿宋" w:eastAsia="仿宋_GB2312"/>
          <w:color w:val="auto"/>
          <w:sz w:val="32"/>
          <w:szCs w:val="32"/>
          <w:lang w:val="en-US" w:eastAsia="zh-CN"/>
        </w:rPr>
      </w:pPr>
      <w:r>
        <w:rPr>
          <w:rFonts w:hint="eastAsia" w:ascii="仿宋_GB2312" w:hAnsi="仿宋" w:cs="仿宋"/>
          <w:color w:val="auto"/>
          <w:sz w:val="32"/>
          <w:szCs w:val="32"/>
          <w:lang w:eastAsia="zh-CN"/>
        </w:rPr>
        <w:t>（</w:t>
      </w:r>
      <w:r>
        <w:rPr>
          <w:rFonts w:hint="eastAsia" w:ascii="仿宋_GB2312" w:hAnsi="仿宋" w:cs="仿宋"/>
          <w:color w:val="auto"/>
          <w:sz w:val="32"/>
          <w:szCs w:val="32"/>
          <w:lang w:val="en-US" w:eastAsia="zh-CN"/>
        </w:rPr>
        <w:t>1</w:t>
      </w:r>
      <w:r>
        <w:rPr>
          <w:rFonts w:hint="eastAsia" w:ascii="仿宋_GB2312" w:hAnsi="仿宋" w:cs="仿宋"/>
          <w:color w:val="auto"/>
          <w:sz w:val="32"/>
          <w:szCs w:val="32"/>
          <w:lang w:eastAsia="zh-CN"/>
        </w:rPr>
        <w:t>）</w:t>
      </w:r>
      <w:r>
        <w:rPr>
          <w:rFonts w:hint="eastAsia" w:ascii="仿宋_GB2312" w:hAnsi="仿宋" w:eastAsia="仿宋_GB2312" w:cs="仿宋"/>
          <w:color w:val="auto"/>
          <w:sz w:val="32"/>
          <w:szCs w:val="32"/>
        </w:rPr>
        <w:t>数量指标。</w:t>
      </w:r>
      <w:r>
        <w:rPr>
          <w:rFonts w:hint="eastAsia" w:ascii="仿宋" w:hAnsi="仿宋" w:eastAsia="仿宋" w:cs="黑体"/>
          <w:color w:val="auto"/>
          <w:sz w:val="32"/>
          <w:szCs w:val="32"/>
          <w:lang w:val="en-US" w:eastAsia="zh-CN"/>
        </w:rPr>
        <w:t>举办2024安徽省快乐健身大众冰雪季活动启动仪式、社区运动会（乒乓球和足球联赛）、村BA县级决赛和2024全国群众登山健身大会（金寨站）暨全国登山赛等全民健身主题系列活动</w:t>
      </w:r>
      <w:r>
        <w:rPr>
          <w:rFonts w:hint="eastAsia" w:ascii="仿宋_GB2312" w:hAnsi="仿宋" w:cs="仿宋"/>
          <w:color w:val="auto"/>
          <w:sz w:val="32"/>
          <w:szCs w:val="32"/>
          <w:lang w:eastAsia="zh-CN"/>
        </w:rPr>
        <w:t>；</w:t>
      </w:r>
      <w:r>
        <w:rPr>
          <w:rFonts w:hint="eastAsia" w:ascii="仿宋_GB2312" w:hAnsi="仿宋" w:cs="仿宋"/>
          <w:color w:val="auto"/>
          <w:sz w:val="32"/>
          <w:szCs w:val="32"/>
          <w:lang w:val="en-US" w:eastAsia="zh-CN"/>
        </w:rPr>
        <w:t>约4000人次参加赛事活动。</w:t>
      </w:r>
    </w:p>
    <w:p w14:paraId="2C342FE0">
      <w:pPr>
        <w:suppressAutoHyphens/>
        <w:bidi w:val="0"/>
        <w:ind w:firstLine="640" w:firstLineChars="200"/>
        <w:rPr>
          <w:rFonts w:hint="eastAsia" w:ascii="仿宋_GB2312" w:hAnsi="仿宋" w:eastAsia="仿宋_GB2312" w:cs="仿宋"/>
          <w:color w:val="auto"/>
          <w:sz w:val="32"/>
          <w:szCs w:val="32"/>
          <w:lang w:val="en-US" w:eastAsia="zh-CN"/>
        </w:rPr>
      </w:pPr>
      <w:r>
        <w:rPr>
          <w:rFonts w:hint="eastAsia" w:ascii="仿宋_GB2312" w:hAnsi="仿宋" w:cs="仿宋"/>
          <w:color w:val="auto"/>
          <w:sz w:val="32"/>
          <w:szCs w:val="32"/>
          <w:lang w:eastAsia="zh-CN"/>
        </w:rPr>
        <w:t>（</w:t>
      </w:r>
      <w:r>
        <w:rPr>
          <w:rFonts w:hint="eastAsia" w:ascii="仿宋_GB2312" w:hAnsi="仿宋" w:cs="仿宋"/>
          <w:color w:val="auto"/>
          <w:sz w:val="32"/>
          <w:szCs w:val="32"/>
          <w:lang w:val="en-US" w:eastAsia="zh-CN"/>
        </w:rPr>
        <w:t>2</w:t>
      </w:r>
      <w:r>
        <w:rPr>
          <w:rFonts w:hint="eastAsia" w:ascii="仿宋_GB2312" w:hAnsi="仿宋" w:cs="仿宋"/>
          <w:color w:val="auto"/>
          <w:sz w:val="32"/>
          <w:szCs w:val="32"/>
          <w:lang w:eastAsia="zh-CN"/>
        </w:rPr>
        <w:t>）</w:t>
      </w:r>
      <w:r>
        <w:rPr>
          <w:rFonts w:hint="eastAsia" w:ascii="仿宋_GB2312" w:hAnsi="仿宋" w:eastAsia="仿宋_GB2312" w:cs="仿宋"/>
          <w:color w:val="auto"/>
          <w:sz w:val="32"/>
          <w:szCs w:val="32"/>
          <w:lang w:eastAsia="zh-CN"/>
        </w:rPr>
        <w:t>时效</w:t>
      </w:r>
      <w:r>
        <w:rPr>
          <w:rFonts w:hint="eastAsia" w:ascii="仿宋_GB2312" w:hAnsi="仿宋" w:eastAsia="仿宋_GB2312" w:cs="仿宋"/>
          <w:color w:val="auto"/>
          <w:sz w:val="32"/>
          <w:szCs w:val="32"/>
        </w:rPr>
        <w:t>指标。赛事和活动任务</w:t>
      </w:r>
      <w:r>
        <w:rPr>
          <w:rFonts w:hint="eastAsia" w:ascii="仿宋_GB2312" w:hAnsi="仿宋" w:eastAsia="仿宋_GB2312" w:cs="仿宋"/>
          <w:color w:val="auto"/>
          <w:sz w:val="32"/>
          <w:szCs w:val="32"/>
          <w:lang w:eastAsia="zh-CN"/>
        </w:rPr>
        <w:t>及时</w:t>
      </w:r>
      <w:r>
        <w:rPr>
          <w:rFonts w:hint="eastAsia" w:ascii="仿宋_GB2312" w:hAnsi="仿宋" w:eastAsia="仿宋_GB2312" w:cs="仿宋"/>
          <w:color w:val="auto"/>
          <w:sz w:val="32"/>
          <w:szCs w:val="32"/>
        </w:rPr>
        <w:t>完成率</w:t>
      </w:r>
      <w:r>
        <w:rPr>
          <w:rFonts w:hint="eastAsia" w:ascii="仿宋_GB2312" w:hAnsi="仿宋" w:cs="仿宋"/>
          <w:color w:val="auto"/>
          <w:sz w:val="32"/>
          <w:szCs w:val="32"/>
          <w:lang w:val="en-US" w:eastAsia="zh-CN"/>
        </w:rPr>
        <w:t>达</w:t>
      </w:r>
      <w:r>
        <w:rPr>
          <w:rFonts w:hint="eastAsia" w:ascii="仿宋_GB2312" w:hAnsi="仿宋" w:eastAsia="仿宋_GB2312" w:cs="仿宋"/>
          <w:color w:val="auto"/>
          <w:sz w:val="32"/>
          <w:szCs w:val="32"/>
          <w:lang w:val="en-US" w:eastAsia="zh-CN"/>
        </w:rPr>
        <w:t>100%。</w:t>
      </w:r>
    </w:p>
    <w:p w14:paraId="783AC8C5">
      <w:pPr>
        <w:suppressAutoHyphens/>
        <w:bidi w:val="0"/>
        <w:ind w:firstLine="640" w:firstLineChars="200"/>
        <w:rPr>
          <w:rFonts w:hint="default" w:ascii="仿宋_GB2312" w:hAnsi="仿宋" w:eastAsia="仿宋_GB2312" w:cs="仿宋"/>
          <w:color w:val="auto"/>
          <w:sz w:val="32"/>
          <w:szCs w:val="32"/>
          <w:lang w:val="en-US" w:eastAsia="zh-CN"/>
        </w:rPr>
      </w:pPr>
      <w:r>
        <w:rPr>
          <w:rFonts w:hint="eastAsia" w:ascii="仿宋_GB2312" w:hAnsi="仿宋" w:cs="仿宋"/>
          <w:color w:val="auto"/>
          <w:sz w:val="32"/>
          <w:szCs w:val="32"/>
          <w:lang w:val="en-US" w:eastAsia="zh-CN"/>
        </w:rPr>
        <w:t>（3）成本指标。按照预算编制，严格控制成本在54万元以内，不高于预算。</w:t>
      </w:r>
    </w:p>
    <w:p w14:paraId="20CF75F0">
      <w:pPr>
        <w:suppressAutoHyphens/>
        <w:bidi w:val="0"/>
        <w:ind w:firstLine="640" w:firstLineChars="200"/>
        <w:rPr>
          <w:rFonts w:ascii="仿宋_GB2312" w:hAnsi="仿宋" w:eastAsia="仿宋_GB2312"/>
          <w:color w:val="auto"/>
          <w:sz w:val="32"/>
          <w:szCs w:val="32"/>
        </w:rPr>
      </w:pPr>
      <w:r>
        <w:rPr>
          <w:rFonts w:ascii="仿宋_GB2312" w:hAnsi="仿宋" w:eastAsia="仿宋_GB2312" w:cs="仿宋"/>
          <w:color w:val="auto"/>
          <w:sz w:val="32"/>
          <w:szCs w:val="32"/>
        </w:rPr>
        <w:t>2</w:t>
      </w:r>
      <w:r>
        <w:rPr>
          <w:rFonts w:hint="eastAsia" w:ascii="仿宋_GB2312" w:hAnsi="仿宋" w:cs="仿宋"/>
          <w:color w:val="auto"/>
          <w:sz w:val="32"/>
          <w:szCs w:val="32"/>
          <w:lang w:val="en-US" w:eastAsia="zh-CN"/>
        </w:rPr>
        <w:t>.</w:t>
      </w:r>
      <w:r>
        <w:rPr>
          <w:rFonts w:hint="eastAsia" w:ascii="仿宋_GB2312" w:hAnsi="仿宋" w:eastAsia="仿宋_GB2312" w:cs="仿宋"/>
          <w:color w:val="auto"/>
          <w:sz w:val="32"/>
          <w:szCs w:val="32"/>
        </w:rPr>
        <w:t>效益指标完成情况分析</w:t>
      </w:r>
    </w:p>
    <w:p w14:paraId="07EFDF1D">
      <w:pPr>
        <w:suppressAutoHyphens/>
        <w:bidi w:val="0"/>
        <w:ind w:firstLine="640"/>
        <w:rPr>
          <w:rFonts w:hint="eastAsia" w:ascii="仿宋_GB2312" w:hAnsi="仿宋" w:cs="仿宋"/>
          <w:color w:val="auto"/>
          <w:sz w:val="32"/>
          <w:szCs w:val="32"/>
          <w:lang w:val="en-US" w:eastAsia="zh-CN"/>
        </w:rPr>
      </w:pPr>
      <w:r>
        <w:rPr>
          <w:rFonts w:hint="eastAsia" w:ascii="仿宋_GB2312" w:hAnsi="仿宋" w:cs="仿宋"/>
          <w:color w:val="auto"/>
          <w:sz w:val="32"/>
          <w:szCs w:val="32"/>
          <w:lang w:eastAsia="zh-CN"/>
        </w:rPr>
        <w:t>（</w:t>
      </w:r>
      <w:r>
        <w:rPr>
          <w:rFonts w:hint="eastAsia" w:ascii="仿宋_GB2312" w:hAnsi="仿宋" w:cs="仿宋"/>
          <w:color w:val="auto"/>
          <w:sz w:val="32"/>
          <w:szCs w:val="32"/>
          <w:lang w:val="en-US" w:eastAsia="zh-CN"/>
        </w:rPr>
        <w:t>1</w:t>
      </w:r>
      <w:r>
        <w:rPr>
          <w:rFonts w:hint="eastAsia" w:ascii="仿宋_GB2312" w:hAnsi="仿宋" w:cs="仿宋"/>
          <w:color w:val="auto"/>
          <w:sz w:val="32"/>
          <w:szCs w:val="32"/>
          <w:lang w:eastAsia="zh-CN"/>
        </w:rPr>
        <w:t>）</w:t>
      </w:r>
      <w:r>
        <w:rPr>
          <w:rFonts w:hint="eastAsia" w:ascii="仿宋_GB2312" w:hAnsi="仿宋" w:cs="仿宋"/>
          <w:color w:val="auto"/>
          <w:sz w:val="32"/>
          <w:szCs w:val="32"/>
          <w:lang w:val="en-US" w:eastAsia="zh-CN"/>
        </w:rPr>
        <w:t>社会效益指标。</w:t>
      </w:r>
    </w:p>
    <w:p w14:paraId="67BE1E61">
      <w:pPr>
        <w:suppressAutoHyphens/>
        <w:bidi w:val="0"/>
        <w:ind w:firstLine="640"/>
        <w:rPr>
          <w:rFonts w:hint="eastAsia" w:ascii="仿宋_GB2312" w:hAnsi="仿宋" w:cs="仿宋"/>
          <w:color w:val="auto"/>
          <w:sz w:val="32"/>
          <w:szCs w:val="32"/>
          <w:lang w:val="en-US" w:eastAsia="zh-CN"/>
        </w:rPr>
      </w:pPr>
      <w:r>
        <w:rPr>
          <w:rFonts w:hint="eastAsia" w:ascii="仿宋_GB2312" w:hAnsi="仿宋" w:cs="仿宋"/>
          <w:color w:val="auto"/>
          <w:sz w:val="32"/>
          <w:szCs w:val="32"/>
          <w:lang w:val="en-US" w:eastAsia="zh-CN"/>
        </w:rPr>
        <w:t>对全面开展全民健身活动的影响程度：影响程度明显，达成预期指标。</w:t>
      </w:r>
    </w:p>
    <w:p w14:paraId="60DC9902">
      <w:pPr>
        <w:suppressAutoHyphens/>
        <w:bidi w:val="0"/>
        <w:ind w:firstLine="640"/>
        <w:rPr>
          <w:rFonts w:hint="eastAsia" w:ascii="仿宋_GB2312" w:hAnsi="仿宋" w:cs="仿宋"/>
          <w:color w:val="auto"/>
          <w:sz w:val="32"/>
          <w:szCs w:val="32"/>
          <w:lang w:val="en-US" w:eastAsia="zh-CN"/>
        </w:rPr>
      </w:pPr>
      <w:r>
        <w:rPr>
          <w:rFonts w:hint="default" w:ascii="仿宋_GB2312" w:hAnsi="仿宋" w:cs="仿宋"/>
          <w:color w:val="auto"/>
          <w:sz w:val="32"/>
          <w:szCs w:val="32"/>
          <w:lang w:val="en-US" w:eastAsia="zh-CN"/>
        </w:rPr>
        <w:t>对丰富全民健身活动供给的影响程度</w:t>
      </w:r>
      <w:r>
        <w:rPr>
          <w:rFonts w:hint="eastAsia" w:ascii="仿宋_GB2312" w:hAnsi="仿宋" w:cs="仿宋"/>
          <w:color w:val="auto"/>
          <w:sz w:val="32"/>
          <w:szCs w:val="32"/>
          <w:lang w:val="en-US" w:eastAsia="zh-CN"/>
        </w:rPr>
        <w:t>：影响程度明显，达成预期指标。</w:t>
      </w:r>
    </w:p>
    <w:p w14:paraId="478CCAD5">
      <w:pPr>
        <w:suppressAutoHyphens/>
        <w:bidi w:val="0"/>
        <w:ind w:firstLine="640"/>
        <w:rPr>
          <w:rFonts w:hint="default" w:ascii="仿宋_GB2312" w:hAnsi="仿宋" w:cs="仿宋"/>
          <w:color w:val="auto"/>
          <w:sz w:val="32"/>
          <w:szCs w:val="32"/>
          <w:lang w:val="en-US" w:eastAsia="zh-CN"/>
        </w:rPr>
      </w:pPr>
      <w:r>
        <w:rPr>
          <w:rFonts w:hint="default" w:ascii="仿宋_GB2312" w:hAnsi="仿宋" w:cs="仿宋"/>
          <w:color w:val="auto"/>
          <w:sz w:val="32"/>
          <w:szCs w:val="32"/>
          <w:lang w:val="en-US" w:eastAsia="zh-CN"/>
        </w:rPr>
        <w:t>对营造全民健身氛围的影响程度</w:t>
      </w:r>
      <w:r>
        <w:rPr>
          <w:rFonts w:hint="eastAsia" w:ascii="仿宋_GB2312" w:hAnsi="仿宋" w:cs="仿宋"/>
          <w:color w:val="auto"/>
          <w:sz w:val="32"/>
          <w:szCs w:val="32"/>
          <w:lang w:val="en-US" w:eastAsia="zh-CN"/>
        </w:rPr>
        <w:t>：影响程度明显，达成预期指标。</w:t>
      </w:r>
    </w:p>
    <w:p w14:paraId="05276A2B">
      <w:pPr>
        <w:numPr>
          <w:ilvl w:val="0"/>
          <w:numId w:val="2"/>
        </w:numPr>
        <w:suppressAutoHyphens/>
        <w:bidi w:val="0"/>
        <w:ind w:firstLine="640"/>
        <w:rPr>
          <w:rFonts w:hint="eastAsia" w:ascii="仿宋_GB2312" w:hAnsi="仿宋" w:cs="仿宋"/>
          <w:color w:val="auto"/>
          <w:sz w:val="32"/>
          <w:szCs w:val="32"/>
          <w:lang w:val="en-US" w:eastAsia="zh-CN"/>
        </w:rPr>
      </w:pPr>
      <w:r>
        <w:rPr>
          <w:rFonts w:hint="eastAsia" w:ascii="仿宋_GB2312" w:hAnsi="仿宋" w:cs="仿宋"/>
          <w:color w:val="auto"/>
          <w:sz w:val="32"/>
          <w:szCs w:val="32"/>
          <w:lang w:val="en-US" w:eastAsia="zh-CN"/>
        </w:rPr>
        <w:t>可持续影响指标。</w:t>
      </w:r>
    </w:p>
    <w:p w14:paraId="7F505936">
      <w:pPr>
        <w:numPr>
          <w:ilvl w:val="0"/>
          <w:numId w:val="0"/>
        </w:numPr>
        <w:suppressAutoHyphens/>
        <w:bidi w:val="0"/>
        <w:ind w:firstLine="640"/>
        <w:rPr>
          <w:rFonts w:hint="eastAsia" w:ascii="仿宋_GB2312" w:hAnsi="仿宋" w:cs="仿宋"/>
          <w:color w:val="auto"/>
          <w:sz w:val="32"/>
          <w:szCs w:val="32"/>
          <w:lang w:val="en-US" w:eastAsia="zh-CN"/>
        </w:rPr>
      </w:pPr>
      <w:r>
        <w:rPr>
          <w:rFonts w:hint="eastAsia" w:ascii="仿宋_GB2312" w:hAnsi="仿宋" w:cs="仿宋"/>
          <w:color w:val="auto"/>
          <w:sz w:val="32"/>
          <w:szCs w:val="32"/>
          <w:lang w:val="en-US" w:eastAsia="zh-CN"/>
        </w:rPr>
        <w:t>对群众参与健身的影响程度：影响程度明显，达成预期指标。</w:t>
      </w:r>
    </w:p>
    <w:p w14:paraId="7165BE3C">
      <w:pPr>
        <w:numPr>
          <w:ilvl w:val="0"/>
          <w:numId w:val="0"/>
        </w:numPr>
        <w:suppressAutoHyphens/>
        <w:bidi w:val="0"/>
        <w:ind w:firstLine="640"/>
        <w:rPr>
          <w:rFonts w:hint="default" w:ascii="仿宋_GB2312" w:hAnsi="仿宋" w:cs="仿宋"/>
          <w:color w:val="auto"/>
          <w:sz w:val="32"/>
          <w:szCs w:val="32"/>
          <w:lang w:val="en-US" w:eastAsia="zh-CN"/>
        </w:rPr>
      </w:pPr>
      <w:r>
        <w:rPr>
          <w:rFonts w:hint="default" w:ascii="仿宋_GB2312" w:hAnsi="仿宋" w:cs="仿宋"/>
          <w:color w:val="auto"/>
          <w:sz w:val="32"/>
          <w:szCs w:val="32"/>
          <w:lang w:val="en-US" w:eastAsia="zh-CN"/>
        </w:rPr>
        <w:t>对群众体育可持续发展的影响程度</w:t>
      </w:r>
      <w:r>
        <w:rPr>
          <w:rFonts w:hint="eastAsia" w:ascii="仿宋_GB2312" w:hAnsi="仿宋" w:cs="仿宋"/>
          <w:color w:val="auto"/>
          <w:sz w:val="32"/>
          <w:szCs w:val="32"/>
          <w:lang w:val="en-US" w:eastAsia="zh-CN"/>
        </w:rPr>
        <w:t>：影响程度明显，达成预期指标。</w:t>
      </w:r>
    </w:p>
    <w:p w14:paraId="780E743E">
      <w:pPr>
        <w:numPr>
          <w:ilvl w:val="0"/>
          <w:numId w:val="0"/>
        </w:numPr>
        <w:suppressAutoHyphens/>
        <w:bidi w:val="0"/>
        <w:ind w:firstLine="640" w:firstLineChars="200"/>
        <w:rPr>
          <w:rFonts w:hint="eastAsia" w:ascii="仿宋" w:hAnsi="仿宋" w:eastAsia="仿宋_GB2312" w:cs="仿宋"/>
          <w:color w:val="auto"/>
          <w:sz w:val="32"/>
          <w:szCs w:val="32"/>
          <w:lang w:eastAsia="zh-CN"/>
        </w:rPr>
      </w:pPr>
      <w:r>
        <w:rPr>
          <w:rFonts w:hint="eastAsia" w:ascii="仿宋_GB2312" w:hAnsi="仿宋" w:eastAsia="仿宋_GB2312" w:cs="仿宋"/>
          <w:color w:val="auto"/>
          <w:sz w:val="32"/>
          <w:szCs w:val="32"/>
          <w:lang w:val="en-US" w:eastAsia="zh-CN"/>
        </w:rPr>
        <w:t>3</w:t>
      </w:r>
      <w:r>
        <w:rPr>
          <w:rFonts w:hint="eastAsia" w:ascii="仿宋_GB2312" w:hAnsi="仿宋" w:cs="仿宋"/>
          <w:color w:val="auto"/>
          <w:sz w:val="32"/>
          <w:szCs w:val="32"/>
          <w:lang w:val="en-US" w:eastAsia="zh-CN"/>
        </w:rPr>
        <w:t>.</w:t>
      </w:r>
      <w:r>
        <w:rPr>
          <w:rFonts w:hint="eastAsia" w:ascii="仿宋_GB2312" w:hAnsi="仿宋" w:eastAsia="仿宋_GB2312" w:cs="仿宋"/>
          <w:color w:val="auto"/>
          <w:sz w:val="32"/>
          <w:szCs w:val="32"/>
        </w:rPr>
        <w:t>满意度指标情况分析。</w:t>
      </w:r>
      <w:r>
        <w:rPr>
          <w:rFonts w:hint="eastAsia" w:ascii="仿宋_GB2312" w:hAnsi="仿宋" w:eastAsia="仿宋_GB2312" w:cs="仿宋"/>
          <w:color w:val="auto"/>
          <w:sz w:val="32"/>
          <w:szCs w:val="32"/>
          <w:lang w:eastAsia="zh-CN"/>
        </w:rPr>
        <w:t>赛事活动</w:t>
      </w:r>
      <w:r>
        <w:rPr>
          <w:rFonts w:hint="eastAsia" w:ascii="仿宋_GB2312" w:hAnsi="仿宋" w:eastAsia="仿宋_GB2312" w:cs="仿宋"/>
          <w:color w:val="auto"/>
          <w:sz w:val="32"/>
          <w:szCs w:val="32"/>
        </w:rPr>
        <w:t>得到了群众的一致好评，满意度</w:t>
      </w:r>
      <w:r>
        <w:rPr>
          <w:rFonts w:hint="eastAsia" w:ascii="仿宋_GB2312" w:hAnsi="仿宋" w:cs="仿宋"/>
          <w:color w:val="auto"/>
          <w:sz w:val="32"/>
          <w:szCs w:val="32"/>
          <w:lang w:val="en-US" w:eastAsia="zh-CN"/>
        </w:rPr>
        <w:t>达</w:t>
      </w:r>
      <w:bookmarkStart w:id="0" w:name="_GoBack"/>
      <w:bookmarkEnd w:id="0"/>
      <w:r>
        <w:rPr>
          <w:rFonts w:hint="eastAsia" w:ascii="仿宋_GB2312" w:hAnsi="仿宋" w:eastAsia="仿宋_GB2312" w:cs="仿宋"/>
          <w:color w:val="auto"/>
          <w:sz w:val="32"/>
          <w:szCs w:val="32"/>
          <w:lang w:val="en-US" w:eastAsia="zh-CN"/>
        </w:rPr>
        <w:t>95</w:t>
      </w:r>
      <w:r>
        <w:rPr>
          <w:rFonts w:ascii="仿宋_GB2312" w:hAnsi="仿宋" w:eastAsia="仿宋_GB2312" w:cs="仿宋"/>
          <w:color w:val="auto"/>
          <w:sz w:val="32"/>
          <w:szCs w:val="32"/>
        </w:rPr>
        <w:t>%</w:t>
      </w:r>
      <w:r>
        <w:rPr>
          <w:rFonts w:hint="eastAsia" w:ascii="仿宋_GB2312" w:hAnsi="仿宋" w:cs="仿宋"/>
          <w:color w:val="auto"/>
          <w:sz w:val="32"/>
          <w:szCs w:val="32"/>
          <w:lang w:eastAsia="zh-CN"/>
        </w:rPr>
        <w:t>，达到了预期效果。</w:t>
      </w:r>
    </w:p>
    <w:p w14:paraId="24BC7DA0">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黑体" w:hAnsi="黑体" w:eastAsia="黑体" w:cs="宋体"/>
          <w:color w:val="000000"/>
          <w:szCs w:val="32"/>
        </w:rPr>
      </w:pPr>
      <w:r>
        <w:rPr>
          <w:rFonts w:hint="eastAsia" w:ascii="黑体" w:hAnsi="黑体" w:eastAsia="黑体" w:cs="宋体"/>
          <w:color w:val="000000"/>
          <w:szCs w:val="32"/>
        </w:rPr>
        <w:t xml:space="preserve">三、偏离绩效目标的原因和下一步改进措施 </w:t>
      </w:r>
    </w:p>
    <w:p w14:paraId="527BA0E7">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rPr>
        <w:t>绩效目标</w:t>
      </w:r>
      <w:r>
        <w:rPr>
          <w:rFonts w:hint="eastAsia" w:ascii="仿宋_GB2312" w:hAnsi="仿宋" w:eastAsia="仿宋_GB2312" w:cs="仿宋"/>
          <w:sz w:val="32"/>
          <w:szCs w:val="32"/>
          <w:lang w:eastAsia="zh-CN"/>
        </w:rPr>
        <w:t>已完成</w:t>
      </w:r>
    </w:p>
    <w:p w14:paraId="7D811C48">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5"/>
        <w:textAlignment w:val="auto"/>
        <w:rPr>
          <w:rFonts w:hint="eastAsia" w:ascii="黑体" w:hAnsi="黑体" w:eastAsia="黑体" w:cs="宋体"/>
          <w:color w:val="000000"/>
          <w:szCs w:val="32"/>
        </w:rPr>
      </w:pPr>
      <w:r>
        <w:rPr>
          <w:rFonts w:hint="eastAsia" w:ascii="黑体" w:hAnsi="黑体" w:eastAsia="黑体" w:cs="宋体"/>
          <w:color w:val="000000"/>
          <w:szCs w:val="32"/>
        </w:rPr>
        <w:t>绩效自评结果拟应用和公开情况</w:t>
      </w:r>
    </w:p>
    <w:p w14:paraId="0F8A9E7B">
      <w:pPr>
        <w:suppressAutoHyphens/>
        <w:bidi w:val="0"/>
        <w:ind w:firstLine="640" w:firstLineChars="200"/>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此次绩效自评结果将作为以后年度活动开展资金预算分配的重要依据，绩效自评结果将在政府信息公开网公开，自觉接受群众监督。</w:t>
      </w:r>
    </w:p>
    <w:p w14:paraId="207E19DF">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黑体" w:hAnsi="黑体" w:eastAsia="黑体" w:cs="宋体"/>
          <w:color w:val="000000"/>
          <w:szCs w:val="32"/>
        </w:rPr>
        <w:t xml:space="preserve">五、其他需要说明的问题 </w:t>
      </w:r>
    </w:p>
    <w:p w14:paraId="6E0A5DFC">
      <w:pPr>
        <w:spacing w:line="560" w:lineRule="exact"/>
        <w:ind w:firstLine="640" w:firstLineChars="200"/>
        <w:rPr>
          <w:rFonts w:hint="eastAsia" w:ascii="仿宋_GB2312" w:hAnsi="仿宋_GB2312" w:eastAsia="仿宋_GB2312" w:cs="仿宋_GB2312"/>
          <w:szCs w:val="32"/>
          <w:lang w:eastAsia="zh-CN"/>
        </w:rPr>
      </w:pPr>
      <w:r>
        <w:rPr>
          <w:rFonts w:hint="eastAsia" w:ascii="仿宋_GB2312" w:hAnsi="仿宋_GB2312" w:eastAsia="仿宋_GB2312" w:cs="仿宋_GB2312"/>
          <w:color w:val="000000"/>
          <w:szCs w:val="32"/>
          <w:lang w:eastAsia="zh-CN"/>
        </w:rPr>
        <w:t>无。</w:t>
      </w:r>
    </w:p>
    <w:p w14:paraId="519E478F">
      <w:pPr>
        <w:spacing w:line="560" w:lineRule="exact"/>
        <w:rPr>
          <w:rFonts w:hint="eastAsia" w:ascii="黑体" w:hAnsi="黑体" w:eastAsia="黑体"/>
          <w:szCs w:val="32"/>
        </w:rPr>
      </w:pPr>
    </w:p>
    <w:p w14:paraId="1DFBF89E">
      <w:pPr>
        <w:spacing w:line="560" w:lineRule="exact"/>
        <w:ind w:firstLine="4160" w:firstLineChars="1300"/>
        <w:rPr>
          <w:rFonts w:hint="eastAsia" w:ascii="仿宋_GB2312" w:hAnsi="仿宋_GB2312" w:eastAsia="仿宋_GB2312" w:cs="仿宋_GB2312"/>
          <w:szCs w:val="32"/>
          <w:lang w:eastAsia="zh-CN"/>
        </w:rPr>
      </w:pPr>
    </w:p>
    <w:p w14:paraId="744CA5D3">
      <w:pPr>
        <w:spacing w:line="560" w:lineRule="exact"/>
        <w:ind w:firstLine="4160" w:firstLineChars="1300"/>
        <w:rPr>
          <w:rFonts w:hint="eastAsia" w:ascii="仿宋_GB2312" w:hAnsi="仿宋_GB2312" w:eastAsia="仿宋_GB2312" w:cs="仿宋_GB2312"/>
          <w:szCs w:val="32"/>
          <w:lang w:eastAsia="zh-CN"/>
        </w:rPr>
      </w:pPr>
      <w:r>
        <w:rPr>
          <w:rFonts w:hint="eastAsia" w:ascii="仿宋_GB2312" w:hAnsi="仿宋_GB2312" w:eastAsia="仿宋_GB2312" w:cs="仿宋_GB2312"/>
          <w:szCs w:val="32"/>
          <w:lang w:eastAsia="zh-CN"/>
        </w:rPr>
        <w:t>金寨县文化旅游体育局</w:t>
      </w:r>
    </w:p>
    <w:p w14:paraId="2DC5B165">
      <w:pPr>
        <w:spacing w:line="560" w:lineRule="exact"/>
        <w:ind w:firstLine="4480" w:firstLineChars="1400"/>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2025年3月18日</w:t>
      </w:r>
    </w:p>
    <w:p w14:paraId="3B9DDFE7">
      <w:pPr>
        <w:spacing w:line="560" w:lineRule="exact"/>
        <w:rPr>
          <w:rFonts w:hint="eastAsia" w:ascii="黑体" w:hAnsi="黑体" w:eastAsia="黑体"/>
          <w:szCs w:val="32"/>
        </w:rPr>
      </w:pPr>
    </w:p>
    <w:p w14:paraId="14F96913">
      <w:pPr>
        <w:spacing w:line="560" w:lineRule="exact"/>
        <w:rPr>
          <w:rFonts w:hint="eastAsia" w:ascii="黑体" w:hAnsi="黑体" w:eastAsia="黑体"/>
          <w:szCs w:val="32"/>
        </w:rPr>
      </w:pPr>
    </w:p>
    <w:p w14:paraId="7E487527">
      <w:pPr>
        <w:spacing w:line="560" w:lineRule="exact"/>
        <w:rPr>
          <w:rFonts w:hint="eastAsia" w:ascii="黑体" w:hAnsi="黑体" w:eastAsia="黑体"/>
          <w:szCs w:val="32"/>
        </w:rPr>
      </w:pPr>
    </w:p>
    <w:p w14:paraId="58E0990E">
      <w:pPr>
        <w:spacing w:line="560" w:lineRule="exact"/>
        <w:rPr>
          <w:rFonts w:hint="eastAsia" w:ascii="黑体" w:hAnsi="黑体" w:eastAsia="黑体"/>
          <w:szCs w:val="32"/>
        </w:rPr>
      </w:pPr>
    </w:p>
    <w:p w14:paraId="01B289BB">
      <w:pPr>
        <w:spacing w:line="560" w:lineRule="exact"/>
        <w:rPr>
          <w:rFonts w:hint="eastAsia" w:ascii="黑体" w:hAnsi="黑体" w:eastAsia="黑体"/>
          <w:szCs w:val="32"/>
        </w:rPr>
      </w:pPr>
    </w:p>
    <w:p w14:paraId="1D6C6E1D">
      <w:pPr>
        <w:spacing w:line="560" w:lineRule="exact"/>
        <w:rPr>
          <w:rFonts w:hint="eastAsia" w:ascii="黑体" w:hAnsi="黑体" w:eastAsia="黑体"/>
          <w:szCs w:val="32"/>
        </w:rPr>
      </w:pPr>
    </w:p>
    <w:p w14:paraId="02849F95">
      <w:pPr>
        <w:spacing w:line="560" w:lineRule="exact"/>
        <w:rPr>
          <w:rFonts w:hint="eastAsia" w:ascii="黑体" w:hAnsi="黑体" w:eastAsia="黑体"/>
          <w:szCs w:val="32"/>
        </w:rPr>
      </w:pPr>
    </w:p>
    <w:p w14:paraId="2A452774">
      <w:pPr>
        <w:spacing w:line="560" w:lineRule="exact"/>
        <w:rPr>
          <w:rFonts w:hint="eastAsia" w:ascii="黑体" w:hAnsi="黑体" w:eastAsia="黑体"/>
          <w:szCs w:val="32"/>
        </w:rPr>
      </w:pPr>
    </w:p>
    <w:p w14:paraId="711C6FF7">
      <w:pPr>
        <w:pStyle w:val="2"/>
        <w:jc w:val="both"/>
        <w:rPr>
          <w:rFonts w:hint="eastAsia" w:eastAsia="宋体"/>
          <w:b/>
          <w:sz w:val="32"/>
        </w:rPr>
      </w:pPr>
    </w:p>
    <w:p w14:paraId="2C348033">
      <w:pPr>
        <w:pStyle w:val="2"/>
        <w:jc w:val="both"/>
        <w:rPr>
          <w:rFonts w:hint="eastAsia" w:eastAsia="宋体"/>
          <w:b/>
          <w:sz w:val="32"/>
        </w:rPr>
      </w:pPr>
    </w:p>
    <w:p w14:paraId="63DC55DC">
      <w:pPr>
        <w:pStyle w:val="2"/>
        <w:jc w:val="both"/>
        <w:rPr>
          <w:rFonts w:hint="eastAsia" w:eastAsia="宋体"/>
          <w:b/>
          <w:sz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802DD">
    <w:pPr>
      <w:pStyle w:val="3"/>
      <w:ind w:right="360"/>
      <w:rPr>
        <w:rFonts w:hint="eastAsia" w:ascii="仿宋_GB2312"/>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2FAD6"/>
    <w:multiLevelType w:val="singleLevel"/>
    <w:tmpl w:val="04E2FAD6"/>
    <w:lvl w:ilvl="0" w:tentative="0">
      <w:start w:val="2"/>
      <w:numFmt w:val="chineseCounting"/>
      <w:suff w:val="nothing"/>
      <w:lvlText w:val="（%1）"/>
      <w:lvlJc w:val="left"/>
      <w:rPr>
        <w:rFonts w:hint="eastAsia"/>
      </w:rPr>
    </w:lvl>
  </w:abstractNum>
  <w:abstractNum w:abstractNumId="1">
    <w:nsid w:val="3E11D0CA"/>
    <w:multiLevelType w:val="singleLevel"/>
    <w:tmpl w:val="3E11D0CA"/>
    <w:lvl w:ilvl="0" w:tentative="0">
      <w:start w:val="4"/>
      <w:numFmt w:val="chineseCounting"/>
      <w:suff w:val="nothing"/>
      <w:lvlText w:val="%1、"/>
      <w:lvlJc w:val="left"/>
      <w:rPr>
        <w:rFonts w:hint="eastAsia"/>
      </w:rPr>
    </w:lvl>
  </w:abstractNum>
  <w:abstractNum w:abstractNumId="2">
    <w:nsid w:val="64453285"/>
    <w:multiLevelType w:val="singleLevel"/>
    <w:tmpl w:val="64453285"/>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jMzY0MmI4OGMwNDUzYzJjOGJmNTBmYjQ4NTczMWQifQ=="/>
  </w:docVars>
  <w:rsids>
    <w:rsidRoot w:val="75AF3544"/>
    <w:rsid w:val="071F365B"/>
    <w:rsid w:val="08306800"/>
    <w:rsid w:val="13040994"/>
    <w:rsid w:val="16141D33"/>
    <w:rsid w:val="186D793F"/>
    <w:rsid w:val="1EF939FF"/>
    <w:rsid w:val="20FC373B"/>
    <w:rsid w:val="21886FA6"/>
    <w:rsid w:val="239D3FBF"/>
    <w:rsid w:val="25497F80"/>
    <w:rsid w:val="265A7B33"/>
    <w:rsid w:val="290D3920"/>
    <w:rsid w:val="2D073E3E"/>
    <w:rsid w:val="2EE90362"/>
    <w:rsid w:val="352D38C1"/>
    <w:rsid w:val="35E4646F"/>
    <w:rsid w:val="372C602D"/>
    <w:rsid w:val="3B926B22"/>
    <w:rsid w:val="3C4D4C65"/>
    <w:rsid w:val="3D694451"/>
    <w:rsid w:val="43657E7E"/>
    <w:rsid w:val="43C813C3"/>
    <w:rsid w:val="43C97B85"/>
    <w:rsid w:val="43F94D28"/>
    <w:rsid w:val="46F7715D"/>
    <w:rsid w:val="4FBF5D0D"/>
    <w:rsid w:val="50A13664"/>
    <w:rsid w:val="54BC1D55"/>
    <w:rsid w:val="57C164B0"/>
    <w:rsid w:val="623936FD"/>
    <w:rsid w:val="6A270730"/>
    <w:rsid w:val="75AF3544"/>
    <w:rsid w:val="78BB3ADE"/>
    <w:rsid w:val="79CC03B9"/>
    <w:rsid w:val="7BF10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jc w:val="center"/>
    </w:pPr>
    <w:rPr>
      <w:rFonts w:eastAsia="黑体"/>
      <w:sz w:val="36"/>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Title"/>
    <w:basedOn w:val="1"/>
    <w:autoRedefine/>
    <w:qFormat/>
    <w:uiPriority w:val="0"/>
    <w:pPr>
      <w:spacing w:before="240" w:after="60"/>
      <w:jc w:val="center"/>
      <w:outlineLvl w:val="0"/>
    </w:pPr>
    <w:rPr>
      <w:rFonts w:ascii="Arial" w:hAnsi="Arial" w:eastAsia="宋体" w:cs="Arial"/>
      <w:b/>
      <w:bCs/>
      <w:szCs w:val="32"/>
    </w:rPr>
  </w:style>
  <w:style w:type="paragraph" w:customStyle="1" w:styleId="7">
    <w:name w:val="办公自动化专用标题"/>
    <w:basedOn w:val="4"/>
    <w:autoRedefine/>
    <w:qFormat/>
    <w:uiPriority w:val="0"/>
    <w:pPr>
      <w:widowControl/>
      <w:spacing w:line="560" w:lineRule="atLeast"/>
    </w:pPr>
    <w:rPr>
      <w:rFonts w:ascii="宋体" w:cs="Times New Roman"/>
      <w:bCs w:val="0"/>
      <w:kern w:val="0"/>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1206</Words>
  <Characters>1294</Characters>
  <Lines>0</Lines>
  <Paragraphs>0</Paragraphs>
  <TotalTime>7</TotalTime>
  <ScaleCrop>false</ScaleCrop>
  <LinksUpToDate>false</LinksUpToDate>
  <CharactersWithSpaces>1315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2023-02-13T10:14:00Z</dcterms:created>
  <dc:creator>我是魏小妞。</dc:creator>
  <cp:lastModifiedBy>WH</cp:lastModifiedBy>
  <cp:lastPrinted>2025-03-18T02:35:00Z</cp:lastPrinted>
  <dcterms:modified xsi:type="dcterms:W3CDTF">2025-03-19T02:10:04Z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82278AD920FB42D19B099C76A0C5D5CB_13</vt:lpwstr>
  </property>
  <property fmtid="{D5CDD505-2E9C-101B-9397-08002B2CF9AE}" pid="4" name="KSOTemplateDocerSaveRecord">
    <vt:lpwstr>eyJoZGlkIjoiNzRhYjg1YmQzYjhmZjAzN2QxZGIyZTBmMzhkYWQ5ZmQiLCJ1c2VySWQiOiI1MzE1ODg0NzMifQ==</vt:lpwstr>
  </property>
</Properties>
</file>