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5A193">
      <w:pPr>
        <w:rPr>
          <w:rFonts w:ascii="仿宋_GB2312" w:hAnsi="仿宋_GB2312" w:eastAsia="仿宋_GB2312" w:cs="仿宋_GB2312"/>
          <w:sz w:val="36"/>
          <w:szCs w:val="36"/>
        </w:rPr>
      </w:pPr>
    </w:p>
    <w:p w14:paraId="0E344DD6">
      <w:pPr>
        <w:rPr>
          <w:rFonts w:ascii="仿宋_GB2312" w:hAnsi="仿宋_GB2312" w:eastAsia="仿宋_GB2312" w:cs="仿宋_GB2312"/>
          <w:sz w:val="36"/>
          <w:szCs w:val="36"/>
        </w:rPr>
      </w:pPr>
    </w:p>
    <w:p w14:paraId="079ABE85">
      <w:pPr>
        <w:rPr>
          <w:rFonts w:ascii="仿宋_GB2312" w:hAnsi="仿宋_GB2312" w:eastAsia="仿宋_GB2312" w:cs="仿宋_GB2312"/>
          <w:sz w:val="36"/>
          <w:szCs w:val="36"/>
        </w:rPr>
      </w:pPr>
    </w:p>
    <w:p w14:paraId="568BBB7F">
      <w:pPr>
        <w:rPr>
          <w:rFonts w:ascii="仿宋_GB2312" w:hAnsi="仿宋_GB2312" w:eastAsia="仿宋_GB2312" w:cs="仿宋_GB2312"/>
          <w:sz w:val="36"/>
          <w:szCs w:val="36"/>
        </w:rPr>
      </w:pPr>
    </w:p>
    <w:p w14:paraId="49A4E668">
      <w:pPr>
        <w:rPr>
          <w:rFonts w:ascii="仿宋_GB2312" w:hAnsi="仿宋_GB2312" w:eastAsia="仿宋_GB2312" w:cs="仿宋_GB2312"/>
          <w:sz w:val="36"/>
          <w:szCs w:val="36"/>
        </w:rPr>
      </w:pPr>
    </w:p>
    <w:p w14:paraId="5627F381">
      <w:pPr>
        <w:adjustRightInd w:val="0"/>
        <w:snapToGrid w:val="0"/>
        <w:jc w:val="center"/>
        <w:outlineLvl w:val="0"/>
        <w:rPr>
          <w:rFonts w:ascii="方正小标宋_GBK" w:eastAsia="方正小标宋_GBK"/>
          <w:bCs/>
          <w:sz w:val="72"/>
          <w:szCs w:val="72"/>
        </w:rPr>
      </w:pPr>
      <w:bookmarkStart w:id="0" w:name="_Toc189401879"/>
      <w:r>
        <w:rPr>
          <w:rFonts w:hint="eastAsia" w:ascii="方正小标宋_GBK" w:eastAsia="方正小标宋_GBK"/>
          <w:bCs/>
          <w:sz w:val="72"/>
          <w:szCs w:val="72"/>
        </w:rPr>
        <w:t>建设项目环境影响报告表</w:t>
      </w:r>
      <w:bookmarkEnd w:id="0"/>
    </w:p>
    <w:p w14:paraId="55B57FE4">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2EF83A7A">
      <w:pPr>
        <w:pStyle w:val="51"/>
      </w:pPr>
    </w:p>
    <w:p w14:paraId="7A93C3B0">
      <w:pPr>
        <w:ind w:firstLine="1040"/>
        <w:rPr>
          <w:rFonts w:eastAsia="仿宋"/>
          <w:sz w:val="44"/>
          <w:szCs w:val="44"/>
        </w:rPr>
      </w:pPr>
    </w:p>
    <w:p w14:paraId="11C73CD6">
      <w:pPr>
        <w:ind w:firstLine="1040"/>
        <w:rPr>
          <w:rFonts w:eastAsia="仿宋"/>
          <w:sz w:val="44"/>
          <w:szCs w:val="44"/>
        </w:rPr>
      </w:pPr>
    </w:p>
    <w:p w14:paraId="2375A800">
      <w:pPr>
        <w:ind w:firstLine="1040"/>
        <w:rPr>
          <w:rFonts w:eastAsia="仿宋"/>
          <w:sz w:val="44"/>
          <w:szCs w:val="44"/>
        </w:rPr>
      </w:pPr>
    </w:p>
    <w:p w14:paraId="73BABBB3">
      <w:pPr>
        <w:ind w:firstLine="1040"/>
        <w:rPr>
          <w:rFonts w:eastAsia="仿宋"/>
          <w:sz w:val="44"/>
          <w:szCs w:val="44"/>
        </w:rPr>
      </w:pPr>
    </w:p>
    <w:p w14:paraId="5DBFA89A">
      <w:pPr>
        <w:adjustRightInd w:val="0"/>
        <w:snapToGrid w:val="0"/>
        <w:spacing w:line="288" w:lineRule="auto"/>
        <w:ind w:left="2877" w:leftChars="513" w:hanging="1800" w:hangingChars="500"/>
        <w:rPr>
          <w:rFonts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环保设备及产品生产加工项目 </w:t>
      </w:r>
    </w:p>
    <w:p w14:paraId="1CB40F6A">
      <w:pPr>
        <w:pStyle w:val="7"/>
        <w:ind w:firstLine="1080" w:firstLineChars="30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安徽智辉环境科技有限公司           </w:t>
      </w:r>
    </w:p>
    <w:p w14:paraId="42C00576">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2025年07月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7A51D437">
      <w:pPr>
        <w:adjustRightInd w:val="0"/>
        <w:snapToGrid w:val="0"/>
        <w:spacing w:line="288" w:lineRule="auto"/>
        <w:jc w:val="center"/>
        <w:rPr>
          <w:rFonts w:ascii="楷体_GB2312" w:eastAsia="楷体_GB2312"/>
          <w:sz w:val="36"/>
          <w:szCs w:val="36"/>
        </w:rPr>
      </w:pPr>
    </w:p>
    <w:p w14:paraId="112774C5">
      <w:pPr>
        <w:adjustRightInd w:val="0"/>
        <w:snapToGrid w:val="0"/>
        <w:spacing w:line="288" w:lineRule="auto"/>
        <w:jc w:val="center"/>
        <w:rPr>
          <w:rFonts w:ascii="楷体_GB2312" w:eastAsia="楷体_GB2312"/>
          <w:sz w:val="36"/>
          <w:szCs w:val="36"/>
        </w:rPr>
      </w:pPr>
    </w:p>
    <w:p w14:paraId="00E21465">
      <w:pPr>
        <w:adjustRightInd w:val="0"/>
        <w:snapToGrid w:val="0"/>
        <w:spacing w:line="288" w:lineRule="auto"/>
        <w:jc w:val="center"/>
        <w:rPr>
          <w:rFonts w:ascii="楷体_GB2312" w:eastAsia="楷体_GB2312"/>
          <w:sz w:val="36"/>
          <w:szCs w:val="36"/>
        </w:rPr>
        <w:sectPr>
          <w:footerReference r:id="rId3" w:type="default"/>
          <w:pgSz w:w="11906" w:h="16838"/>
          <w:pgMar w:top="1701" w:right="1531" w:bottom="1701" w:left="1531" w:header="851" w:footer="851" w:gutter="0"/>
          <w:pgNumType w:fmt="numberInDash" w:start="1"/>
          <w:cols w:space="720" w:num="1"/>
          <w:docGrid w:linePitch="312" w:charSpace="0"/>
        </w:sectPr>
      </w:pPr>
      <w:r>
        <w:rPr>
          <w:rFonts w:hint="eastAsia" w:ascii="楷体_GB2312" w:eastAsia="楷体_GB2312"/>
          <w:sz w:val="36"/>
          <w:szCs w:val="36"/>
        </w:rPr>
        <w:t>中华人民共和国生态环境部制</w:t>
      </w:r>
    </w:p>
    <w:p w14:paraId="4064630F">
      <w:pPr>
        <w:widowControl/>
        <w:jc w:val="left"/>
        <w:rPr>
          <w:rFonts w:ascii="仿宋_GB2312" w:eastAsia="仿宋_GB2312"/>
          <w:sz w:val="24"/>
        </w:rPr>
      </w:pPr>
    </w:p>
    <w:sdt>
      <w:sdtPr>
        <w:rPr>
          <w:rFonts w:ascii="Times New Roman" w:hAnsi="Times New Roman" w:eastAsia="宋体" w:cs="Times New Roman"/>
          <w:color w:val="auto"/>
          <w:kern w:val="2"/>
          <w:sz w:val="21"/>
          <w:szCs w:val="24"/>
          <w:lang w:eastAsia="zh-CN"/>
        </w:rPr>
        <w:id w:val="1706373536"/>
        <w:docPartObj>
          <w:docPartGallery w:val="Table of Contents"/>
          <w:docPartUnique/>
        </w:docPartObj>
      </w:sdtPr>
      <w:sdtEndPr>
        <w:rPr>
          <w:rFonts w:ascii="Times New Roman" w:hAnsi="Times New Roman" w:eastAsia="宋体" w:cs="Times New Roman"/>
          <w:b/>
          <w:bCs/>
          <w:color w:val="auto"/>
          <w:kern w:val="2"/>
          <w:sz w:val="21"/>
          <w:szCs w:val="24"/>
          <w:lang w:eastAsia="zh-CN"/>
        </w:rPr>
      </w:sdtEndPr>
      <w:sdtContent>
        <w:p w14:paraId="1E8B2832">
          <w:pPr>
            <w:pStyle w:val="60"/>
            <w:jc w:val="center"/>
          </w:pPr>
          <w:r>
            <w:rPr>
              <w:rFonts w:hint="eastAsia"/>
              <w:lang w:eastAsia="zh-CN"/>
            </w:rPr>
            <w:t>目录</w:t>
          </w:r>
        </w:p>
        <w:p w14:paraId="1B3019D2">
          <w:pPr>
            <w:pStyle w:val="16"/>
            <w:tabs>
              <w:tab w:val="right" w:leader="dot" w:pos="8834"/>
            </w:tabs>
          </w:pPr>
          <w:r>
            <w:fldChar w:fldCharType="begin"/>
          </w:r>
          <w:r>
            <w:instrText xml:space="preserve"> TOC \o "1-3" \h \z \u </w:instrText>
          </w:r>
          <w:r>
            <w:fldChar w:fldCharType="separate"/>
          </w:r>
        </w:p>
        <w:p w14:paraId="1F5B3AFF">
          <w:pPr>
            <w:pStyle w:val="16"/>
            <w:tabs>
              <w:tab w:val="right" w:leader="dot" w:pos="8834"/>
            </w:tabs>
          </w:pPr>
          <w:r>
            <w:fldChar w:fldCharType="begin"/>
          </w:r>
          <w:r>
            <w:instrText xml:space="preserve"> HYPERLINK \l "_Toc189401880" </w:instrText>
          </w:r>
          <w:r>
            <w:fldChar w:fldCharType="separate"/>
          </w:r>
          <w:r>
            <w:rPr>
              <w:rStyle w:val="26"/>
              <w:rFonts w:hint="eastAsia" w:ascii="黑体" w:hAnsi="黑体" w:eastAsia="黑体"/>
              <w:snapToGrid w:val="0"/>
            </w:rPr>
            <w:t>一、建设项目基本情况</w:t>
          </w:r>
          <w:r>
            <w:tab/>
          </w:r>
          <w:r>
            <w:fldChar w:fldCharType="begin"/>
          </w:r>
          <w:r>
            <w:instrText xml:space="preserve"> PAGEREF _Toc189401880 \h </w:instrText>
          </w:r>
          <w:r>
            <w:fldChar w:fldCharType="separate"/>
          </w:r>
          <w:r>
            <w:t>- 3 -</w:t>
          </w:r>
          <w:r>
            <w:fldChar w:fldCharType="end"/>
          </w:r>
          <w:r>
            <w:fldChar w:fldCharType="end"/>
          </w:r>
        </w:p>
        <w:p w14:paraId="09F31AD6">
          <w:pPr>
            <w:pStyle w:val="16"/>
            <w:tabs>
              <w:tab w:val="right" w:leader="dot" w:pos="8834"/>
            </w:tabs>
          </w:pPr>
          <w:r>
            <w:fldChar w:fldCharType="begin"/>
          </w:r>
          <w:r>
            <w:instrText xml:space="preserve"> HYPERLINK \l "_Toc189401881" </w:instrText>
          </w:r>
          <w:r>
            <w:fldChar w:fldCharType="separate"/>
          </w:r>
          <w:r>
            <w:rPr>
              <w:rStyle w:val="26"/>
              <w:rFonts w:hint="eastAsia" w:ascii="黑体" w:hAnsi="黑体" w:eastAsia="黑体"/>
              <w:snapToGrid w:val="0"/>
            </w:rPr>
            <w:t>二、建设项目工程分析</w:t>
          </w:r>
          <w:r>
            <w:tab/>
          </w:r>
          <w:r>
            <w:fldChar w:fldCharType="begin"/>
          </w:r>
          <w:r>
            <w:instrText xml:space="preserve"> PAGEREF _Toc189401881 \h </w:instrText>
          </w:r>
          <w:r>
            <w:fldChar w:fldCharType="separate"/>
          </w:r>
          <w:r>
            <w:t>- 16 -</w:t>
          </w:r>
          <w:r>
            <w:fldChar w:fldCharType="end"/>
          </w:r>
          <w:r>
            <w:fldChar w:fldCharType="end"/>
          </w:r>
        </w:p>
        <w:p w14:paraId="4E59412F">
          <w:pPr>
            <w:pStyle w:val="16"/>
            <w:tabs>
              <w:tab w:val="right" w:leader="dot" w:pos="8834"/>
            </w:tabs>
          </w:pPr>
          <w:r>
            <w:fldChar w:fldCharType="begin"/>
          </w:r>
          <w:r>
            <w:instrText xml:space="preserve"> HYPERLINK \l "_Toc189401882" </w:instrText>
          </w:r>
          <w:r>
            <w:fldChar w:fldCharType="separate"/>
          </w:r>
          <w:r>
            <w:rPr>
              <w:rStyle w:val="26"/>
              <w:rFonts w:hint="eastAsia" w:ascii="黑体" w:hAnsi="黑体" w:eastAsia="黑体"/>
              <w:snapToGrid w:val="0"/>
            </w:rPr>
            <w:t>三、区域环境质量现状、环境保护目标及评价标准</w:t>
          </w:r>
          <w:r>
            <w:tab/>
          </w:r>
          <w:r>
            <w:fldChar w:fldCharType="begin"/>
          </w:r>
          <w:r>
            <w:instrText xml:space="preserve"> PAGEREF _Toc189401882 \h </w:instrText>
          </w:r>
          <w:r>
            <w:fldChar w:fldCharType="separate"/>
          </w:r>
          <w:r>
            <w:t>- 27 -</w:t>
          </w:r>
          <w:r>
            <w:fldChar w:fldCharType="end"/>
          </w:r>
          <w:r>
            <w:fldChar w:fldCharType="end"/>
          </w:r>
        </w:p>
        <w:p w14:paraId="4D02434D">
          <w:pPr>
            <w:pStyle w:val="16"/>
            <w:tabs>
              <w:tab w:val="right" w:leader="dot" w:pos="8834"/>
            </w:tabs>
          </w:pPr>
          <w:r>
            <w:fldChar w:fldCharType="begin"/>
          </w:r>
          <w:r>
            <w:instrText xml:space="preserve"> HYPERLINK \l "_Toc189401883" </w:instrText>
          </w:r>
          <w:r>
            <w:fldChar w:fldCharType="separate"/>
          </w:r>
          <w:r>
            <w:rPr>
              <w:rStyle w:val="26"/>
              <w:rFonts w:hint="eastAsia" w:ascii="黑体" w:hAnsi="黑体" w:eastAsia="黑体"/>
              <w:snapToGrid w:val="0"/>
            </w:rPr>
            <w:t>四、主要环境影响和保护措施</w:t>
          </w:r>
          <w:r>
            <w:tab/>
          </w:r>
          <w:r>
            <w:fldChar w:fldCharType="begin"/>
          </w:r>
          <w:r>
            <w:instrText xml:space="preserve"> PAGEREF _Toc189401883 \h </w:instrText>
          </w:r>
          <w:r>
            <w:fldChar w:fldCharType="separate"/>
          </w:r>
          <w:r>
            <w:t>- 36 -</w:t>
          </w:r>
          <w:r>
            <w:fldChar w:fldCharType="end"/>
          </w:r>
          <w:r>
            <w:fldChar w:fldCharType="end"/>
          </w:r>
        </w:p>
        <w:p w14:paraId="6ADCBAA9">
          <w:pPr>
            <w:pStyle w:val="16"/>
            <w:tabs>
              <w:tab w:val="right" w:leader="dot" w:pos="8834"/>
            </w:tabs>
          </w:pPr>
          <w:r>
            <w:fldChar w:fldCharType="begin"/>
          </w:r>
          <w:r>
            <w:instrText xml:space="preserve"> HYPERLINK \l "_Toc189401885" </w:instrText>
          </w:r>
          <w:r>
            <w:fldChar w:fldCharType="separate"/>
          </w:r>
          <w:r>
            <w:rPr>
              <w:rStyle w:val="26"/>
              <w:rFonts w:hint="eastAsia" w:ascii="黑体" w:hAnsi="黑体" w:eastAsia="黑体"/>
              <w:snapToGrid w:val="0"/>
            </w:rPr>
            <w:t>五、环境保护措施监督检查清单</w:t>
          </w:r>
          <w:r>
            <w:tab/>
          </w:r>
          <w:r>
            <w:fldChar w:fldCharType="begin"/>
          </w:r>
          <w:r>
            <w:instrText xml:space="preserve"> PAGEREF _Toc189401885 \h </w:instrText>
          </w:r>
          <w:r>
            <w:fldChar w:fldCharType="separate"/>
          </w:r>
          <w:r>
            <w:t>- 67 -</w:t>
          </w:r>
          <w:r>
            <w:fldChar w:fldCharType="end"/>
          </w:r>
          <w:r>
            <w:fldChar w:fldCharType="end"/>
          </w:r>
        </w:p>
        <w:p w14:paraId="30F1CF7F">
          <w:pPr>
            <w:pStyle w:val="16"/>
            <w:tabs>
              <w:tab w:val="right" w:leader="dot" w:pos="8834"/>
            </w:tabs>
          </w:pPr>
          <w:r>
            <w:fldChar w:fldCharType="begin"/>
          </w:r>
          <w:r>
            <w:instrText xml:space="preserve"> HYPERLINK \l "_Toc189401886" </w:instrText>
          </w:r>
          <w:r>
            <w:fldChar w:fldCharType="separate"/>
          </w:r>
          <w:r>
            <w:rPr>
              <w:rStyle w:val="26"/>
              <w:rFonts w:hint="eastAsia" w:ascii="黑体" w:hAnsi="黑体" w:eastAsia="黑体"/>
              <w:snapToGrid w:val="0"/>
            </w:rPr>
            <w:t>六、结论</w:t>
          </w:r>
          <w:r>
            <w:tab/>
          </w:r>
          <w:r>
            <w:fldChar w:fldCharType="begin"/>
          </w:r>
          <w:r>
            <w:instrText xml:space="preserve"> PAGEREF _Toc189401886 \h </w:instrText>
          </w:r>
          <w:r>
            <w:fldChar w:fldCharType="separate"/>
          </w:r>
          <w:r>
            <w:t>- 69 -</w:t>
          </w:r>
          <w:r>
            <w:fldChar w:fldCharType="end"/>
          </w:r>
          <w:r>
            <w:fldChar w:fldCharType="end"/>
          </w:r>
        </w:p>
        <w:p w14:paraId="47B1F668">
          <w:pPr>
            <w:pStyle w:val="16"/>
            <w:tabs>
              <w:tab w:val="right" w:leader="dot" w:pos="8834"/>
            </w:tabs>
          </w:pPr>
        </w:p>
        <w:p w14:paraId="33ADC9F5">
          <w:pPr>
            <w:rPr>
              <w:sz w:val="22"/>
              <w:szCs w:val="22"/>
            </w:rPr>
          </w:pPr>
          <w:r>
            <w:rPr>
              <w:rFonts w:hint="eastAsia"/>
              <w:sz w:val="22"/>
              <w:szCs w:val="22"/>
            </w:rPr>
            <w:t>附件：</w:t>
          </w:r>
        </w:p>
        <w:p w14:paraId="3726A72E">
          <w:pPr>
            <w:rPr>
              <w:sz w:val="22"/>
              <w:szCs w:val="22"/>
            </w:rPr>
          </w:pPr>
          <w:r>
            <w:rPr>
              <w:rFonts w:hint="eastAsia"/>
              <w:sz w:val="22"/>
              <w:szCs w:val="22"/>
            </w:rPr>
            <w:t>附件1 备案表</w:t>
          </w:r>
        </w:p>
        <w:p w14:paraId="69BA88E5">
          <w:pPr>
            <w:rPr>
              <w:sz w:val="22"/>
              <w:szCs w:val="22"/>
            </w:rPr>
          </w:pPr>
          <w:r>
            <w:rPr>
              <w:rFonts w:hint="eastAsia"/>
              <w:sz w:val="22"/>
              <w:szCs w:val="22"/>
            </w:rPr>
            <w:t>附件2 委托书</w:t>
          </w:r>
        </w:p>
        <w:p w14:paraId="0AE580C2">
          <w:pPr>
            <w:rPr>
              <w:sz w:val="22"/>
              <w:szCs w:val="22"/>
            </w:rPr>
          </w:pPr>
          <w:r>
            <w:rPr>
              <w:rFonts w:hint="eastAsia"/>
              <w:sz w:val="22"/>
              <w:szCs w:val="22"/>
            </w:rPr>
            <w:t>附件3 危废处置承诺书</w:t>
          </w:r>
        </w:p>
        <w:p w14:paraId="1D27C21F">
          <w:pPr>
            <w:rPr>
              <w:sz w:val="22"/>
              <w:szCs w:val="22"/>
            </w:rPr>
          </w:pPr>
          <w:r>
            <w:rPr>
              <w:rFonts w:hint="eastAsia"/>
              <w:sz w:val="22"/>
              <w:szCs w:val="22"/>
            </w:rPr>
            <w:t>附件4 声明确认书</w:t>
          </w:r>
        </w:p>
        <w:p w14:paraId="64492FFE">
          <w:pPr>
            <w:rPr>
              <w:sz w:val="22"/>
              <w:szCs w:val="22"/>
            </w:rPr>
          </w:pPr>
          <w:r>
            <w:rPr>
              <w:rFonts w:hint="eastAsia"/>
              <w:sz w:val="22"/>
              <w:szCs w:val="22"/>
            </w:rPr>
            <w:t>附件5 原辅料MSDS及VOCs报告</w:t>
          </w:r>
        </w:p>
        <w:p w14:paraId="2A3D713D">
          <w:pPr>
            <w:rPr>
              <w:sz w:val="22"/>
              <w:szCs w:val="22"/>
            </w:rPr>
          </w:pPr>
          <w:r>
            <w:rPr>
              <w:rFonts w:hint="eastAsia"/>
              <w:sz w:val="22"/>
              <w:szCs w:val="22"/>
            </w:rPr>
            <w:t>附件6 环评审批基础信息表</w:t>
          </w:r>
        </w:p>
        <w:p w14:paraId="1146C143">
          <w:pPr>
            <w:pStyle w:val="16"/>
            <w:tabs>
              <w:tab w:val="right" w:leader="dot" w:pos="8834"/>
            </w:tabs>
            <w:rPr>
              <w:sz w:val="22"/>
              <w:szCs w:val="22"/>
            </w:rPr>
          </w:pPr>
        </w:p>
        <w:p w14:paraId="4AF96A0B">
          <w:r>
            <w:rPr>
              <w:rFonts w:hint="eastAsia"/>
            </w:rPr>
            <w:t>附图：</w:t>
          </w:r>
        </w:p>
        <w:p w14:paraId="6AD04C91">
          <w:pPr>
            <w:rPr>
              <w:sz w:val="22"/>
              <w:szCs w:val="22"/>
            </w:rPr>
          </w:pPr>
          <w:r>
            <w:rPr>
              <w:rFonts w:hint="eastAsia"/>
              <w:sz w:val="22"/>
              <w:szCs w:val="22"/>
            </w:rPr>
            <w:t>附图1 项目地理位置图</w:t>
          </w:r>
        </w:p>
        <w:p w14:paraId="78158739">
          <w:pPr>
            <w:rPr>
              <w:sz w:val="22"/>
              <w:szCs w:val="22"/>
            </w:rPr>
          </w:pPr>
          <w:r>
            <w:rPr>
              <w:rFonts w:hint="eastAsia"/>
              <w:sz w:val="22"/>
              <w:szCs w:val="22"/>
            </w:rPr>
            <w:t>附图2 项目平面布置图</w:t>
          </w:r>
        </w:p>
        <w:p w14:paraId="7DF1920C">
          <w:pPr>
            <w:rPr>
              <w:sz w:val="22"/>
              <w:szCs w:val="22"/>
            </w:rPr>
          </w:pPr>
          <w:r>
            <w:rPr>
              <w:rFonts w:hint="eastAsia"/>
              <w:sz w:val="22"/>
              <w:szCs w:val="22"/>
            </w:rPr>
            <w:t>附图3 六安市生态保护红线位置关系图</w:t>
          </w:r>
        </w:p>
        <w:p w14:paraId="49DBFF2D">
          <w:pPr>
            <w:rPr>
              <w:sz w:val="22"/>
              <w:szCs w:val="22"/>
            </w:rPr>
          </w:pPr>
        </w:p>
        <w:p w14:paraId="5B91BF2F">
          <w:r>
            <w:rPr>
              <w:b/>
              <w:bCs/>
            </w:rPr>
            <w:fldChar w:fldCharType="end"/>
          </w:r>
        </w:p>
      </w:sdtContent>
    </w:sdt>
    <w:p w14:paraId="2895EED8">
      <w:pPr>
        <w:widowControl/>
        <w:jc w:val="left"/>
        <w:rPr>
          <w:rFonts w:ascii="仿宋_GB2312" w:eastAsia="仿宋_GB2312"/>
          <w:sz w:val="24"/>
        </w:rPr>
      </w:pPr>
      <w:r>
        <w:rPr>
          <w:rFonts w:ascii="仿宋_GB2312" w:eastAsia="仿宋_GB2312"/>
          <w:sz w:val="24"/>
        </w:rPr>
        <w:br w:type="page"/>
      </w:r>
    </w:p>
    <w:p w14:paraId="03F7A7AF">
      <w:pPr>
        <w:pStyle w:val="57"/>
        <w:jc w:val="left"/>
      </w:pPr>
    </w:p>
    <w:p w14:paraId="1AF89A28">
      <w:pPr>
        <w:pStyle w:val="19"/>
        <w:spacing w:line="48" w:lineRule="auto"/>
        <w:jc w:val="center"/>
        <w:outlineLvl w:val="0"/>
        <w:rPr>
          <w:rFonts w:eastAsia="黑体"/>
          <w:sz w:val="30"/>
        </w:rPr>
      </w:pPr>
      <w:bookmarkStart w:id="1" w:name="_Toc189401880"/>
      <w:r>
        <w:rPr>
          <w:rFonts w:hint="eastAsia" w:ascii="黑体" w:hAnsi="黑体" w:eastAsia="黑体"/>
          <w:snapToGrid w:val="0"/>
          <w:sz w:val="30"/>
          <w:szCs w:val="30"/>
        </w:rPr>
        <w:t>一、建设项目基本情况</w:t>
      </w:r>
      <w:bookmarkEnd w:id="1"/>
    </w:p>
    <w:tbl>
      <w:tblPr>
        <w:tblStyle w:val="22"/>
        <w:tblpPr w:leftFromText="180" w:rightFromText="180" w:vertAnchor="text" w:horzAnchor="page" w:tblpX="1470" w:tblpY="664"/>
        <w:tblOverlap w:val="never"/>
        <w:tblW w:w="897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56"/>
        <w:gridCol w:w="965"/>
        <w:gridCol w:w="2164"/>
        <w:gridCol w:w="231"/>
        <w:gridCol w:w="1917"/>
        <w:gridCol w:w="3129"/>
      </w:tblGrid>
      <w:tr w14:paraId="0D231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4" w:hRule="atLeast"/>
        </w:trPr>
        <w:tc>
          <w:tcPr>
            <w:tcW w:w="2190" w:type="dxa"/>
            <w:gridSpan w:val="2"/>
            <w:tcMar>
              <w:top w:w="16" w:type="dxa"/>
              <w:left w:w="16" w:type="dxa"/>
              <w:right w:w="16" w:type="dxa"/>
            </w:tcMar>
            <w:vAlign w:val="center"/>
          </w:tcPr>
          <w:p w14:paraId="4E3EA129">
            <w:pPr>
              <w:adjustRightInd w:val="0"/>
              <w:snapToGrid w:val="0"/>
              <w:jc w:val="center"/>
              <w:rPr>
                <w:rFonts w:ascii="宋体" w:hAnsi="宋体" w:cs="宋体"/>
                <w:sz w:val="24"/>
              </w:rPr>
            </w:pPr>
            <w:r>
              <w:rPr>
                <w:rFonts w:hint="eastAsia" w:ascii="宋体" w:hAnsi="宋体" w:cs="宋体"/>
                <w:sz w:val="24"/>
              </w:rPr>
              <w:t>建设项目名称</w:t>
            </w:r>
          </w:p>
        </w:tc>
        <w:tc>
          <w:tcPr>
            <w:tcW w:w="6786" w:type="dxa"/>
            <w:gridSpan w:val="4"/>
            <w:vAlign w:val="center"/>
          </w:tcPr>
          <w:p w14:paraId="53B97750">
            <w:pPr>
              <w:adjustRightInd w:val="0"/>
              <w:snapToGrid w:val="0"/>
              <w:jc w:val="center"/>
              <w:rPr>
                <w:rFonts w:ascii="宋体" w:hAnsi="宋体" w:cs="宋体"/>
                <w:sz w:val="24"/>
              </w:rPr>
            </w:pPr>
            <w:r>
              <w:rPr>
                <w:rFonts w:hint="eastAsia" w:ascii="宋体" w:hAnsi="宋体" w:cs="宋体"/>
                <w:sz w:val="24"/>
              </w:rPr>
              <w:t>环保设备及产品生产加工项目</w:t>
            </w:r>
          </w:p>
        </w:tc>
      </w:tr>
      <w:tr w14:paraId="09F95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2190" w:type="dxa"/>
            <w:gridSpan w:val="2"/>
            <w:tcMar>
              <w:top w:w="16" w:type="dxa"/>
              <w:left w:w="16" w:type="dxa"/>
              <w:right w:w="16" w:type="dxa"/>
            </w:tcMar>
            <w:vAlign w:val="center"/>
          </w:tcPr>
          <w:p w14:paraId="15DA17F0">
            <w:pPr>
              <w:adjustRightInd w:val="0"/>
              <w:snapToGrid w:val="0"/>
              <w:jc w:val="center"/>
              <w:rPr>
                <w:rFonts w:ascii="宋体" w:hAnsi="宋体" w:cs="宋体"/>
                <w:sz w:val="24"/>
              </w:rPr>
            </w:pPr>
            <w:r>
              <w:rPr>
                <w:rFonts w:hint="eastAsia" w:ascii="宋体" w:hAnsi="宋体" w:cs="宋体"/>
                <w:sz w:val="24"/>
              </w:rPr>
              <w:t>项目代码</w:t>
            </w:r>
          </w:p>
        </w:tc>
        <w:tc>
          <w:tcPr>
            <w:tcW w:w="6786" w:type="dxa"/>
            <w:gridSpan w:val="4"/>
            <w:vAlign w:val="center"/>
          </w:tcPr>
          <w:p w14:paraId="6AD50A4E">
            <w:pPr>
              <w:adjustRightInd w:val="0"/>
              <w:snapToGrid w:val="0"/>
              <w:jc w:val="center"/>
              <w:rPr>
                <w:rFonts w:ascii="宋体" w:hAnsi="宋体" w:cs="宋体"/>
                <w:sz w:val="24"/>
              </w:rPr>
            </w:pPr>
            <w:r>
              <w:rPr>
                <w:rFonts w:ascii="宋体" w:hAnsi="宋体" w:cs="宋体"/>
                <w:sz w:val="24"/>
              </w:rPr>
              <w:t>2410-341524-04-01-428159</w:t>
            </w:r>
          </w:p>
        </w:tc>
      </w:tr>
      <w:tr w14:paraId="67933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2190" w:type="dxa"/>
            <w:gridSpan w:val="2"/>
            <w:tcMar>
              <w:top w:w="16" w:type="dxa"/>
              <w:left w:w="16" w:type="dxa"/>
              <w:right w:w="16" w:type="dxa"/>
            </w:tcMar>
            <w:vAlign w:val="center"/>
          </w:tcPr>
          <w:p w14:paraId="3D282692">
            <w:pPr>
              <w:adjustRightInd w:val="0"/>
              <w:snapToGrid w:val="0"/>
              <w:jc w:val="center"/>
              <w:rPr>
                <w:rFonts w:ascii="宋体" w:hAnsi="宋体" w:cs="宋体"/>
                <w:sz w:val="24"/>
              </w:rPr>
            </w:pPr>
            <w:r>
              <w:rPr>
                <w:rFonts w:hint="eastAsia" w:ascii="宋体" w:hAnsi="宋体" w:cs="宋体"/>
                <w:sz w:val="24"/>
              </w:rPr>
              <w:t>建设单位联系人</w:t>
            </w:r>
          </w:p>
        </w:tc>
        <w:tc>
          <w:tcPr>
            <w:tcW w:w="2161" w:type="dxa"/>
            <w:gridSpan w:val="2"/>
            <w:vAlign w:val="center"/>
          </w:tcPr>
          <w:p w14:paraId="485C947E">
            <w:pPr>
              <w:adjustRightInd w:val="0"/>
              <w:snapToGrid w:val="0"/>
              <w:jc w:val="center"/>
              <w:rPr>
                <w:rFonts w:ascii="宋体" w:hAnsi="宋体" w:cs="宋体"/>
                <w:sz w:val="24"/>
              </w:rPr>
            </w:pPr>
            <w:r>
              <w:rPr>
                <w:rFonts w:hint="eastAsia" w:ascii="宋体" w:hAnsi="宋体" w:cs="宋体"/>
                <w:sz w:val="24"/>
              </w:rPr>
              <w:t>韩宇峰</w:t>
            </w:r>
          </w:p>
        </w:tc>
        <w:tc>
          <w:tcPr>
            <w:tcW w:w="1968" w:type="dxa"/>
            <w:vAlign w:val="center"/>
          </w:tcPr>
          <w:p w14:paraId="22B97D5E">
            <w:pPr>
              <w:adjustRightInd w:val="0"/>
              <w:snapToGrid w:val="0"/>
              <w:jc w:val="center"/>
              <w:rPr>
                <w:rFonts w:ascii="宋体" w:hAnsi="宋体" w:cs="宋体"/>
                <w:sz w:val="24"/>
              </w:rPr>
            </w:pPr>
            <w:r>
              <w:rPr>
                <w:rFonts w:hint="eastAsia" w:ascii="宋体" w:hAnsi="宋体" w:cs="宋体"/>
                <w:sz w:val="24"/>
              </w:rPr>
              <w:t>联系方式</w:t>
            </w:r>
          </w:p>
        </w:tc>
        <w:tc>
          <w:tcPr>
            <w:tcW w:w="2657" w:type="dxa"/>
            <w:vAlign w:val="center"/>
          </w:tcPr>
          <w:p w14:paraId="410B3F96">
            <w:pPr>
              <w:adjustRightInd w:val="0"/>
              <w:snapToGrid w:val="0"/>
              <w:jc w:val="center"/>
              <w:rPr>
                <w:rFonts w:ascii="宋体" w:hAnsi="宋体" w:cs="宋体"/>
                <w:sz w:val="24"/>
              </w:rPr>
            </w:pPr>
            <w:r>
              <w:rPr>
                <w:rFonts w:hint="eastAsia" w:ascii="宋体" w:hAnsi="宋体" w:cs="宋体"/>
                <w:sz w:val="24"/>
              </w:rPr>
              <w:t>133</w:t>
            </w:r>
            <w:r>
              <w:rPr>
                <w:rFonts w:hint="eastAsia" w:ascii="宋体" w:hAnsi="宋体" w:cs="宋体"/>
                <w:sz w:val="24"/>
                <w:lang w:val="en-US" w:eastAsia="zh-CN"/>
              </w:rPr>
              <w:t>****</w:t>
            </w:r>
            <w:bookmarkStart w:id="14" w:name="_GoBack"/>
            <w:bookmarkEnd w:id="14"/>
            <w:r>
              <w:rPr>
                <w:rFonts w:hint="eastAsia" w:ascii="宋体" w:hAnsi="宋体" w:cs="宋体"/>
                <w:sz w:val="24"/>
              </w:rPr>
              <w:t>8376</w:t>
            </w:r>
          </w:p>
        </w:tc>
      </w:tr>
      <w:tr w14:paraId="5A888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2190" w:type="dxa"/>
            <w:gridSpan w:val="2"/>
            <w:tcMar>
              <w:top w:w="16" w:type="dxa"/>
              <w:left w:w="16" w:type="dxa"/>
              <w:right w:w="16" w:type="dxa"/>
            </w:tcMar>
            <w:vAlign w:val="center"/>
          </w:tcPr>
          <w:p w14:paraId="16F4FB96">
            <w:pPr>
              <w:adjustRightInd w:val="0"/>
              <w:snapToGrid w:val="0"/>
              <w:jc w:val="center"/>
              <w:rPr>
                <w:rFonts w:ascii="宋体" w:hAnsi="宋体" w:cs="宋体"/>
                <w:sz w:val="24"/>
              </w:rPr>
            </w:pPr>
            <w:r>
              <w:rPr>
                <w:rFonts w:hint="eastAsia" w:ascii="宋体" w:hAnsi="宋体" w:cs="宋体"/>
                <w:sz w:val="24"/>
              </w:rPr>
              <w:t>建设地点</w:t>
            </w:r>
          </w:p>
        </w:tc>
        <w:tc>
          <w:tcPr>
            <w:tcW w:w="6786" w:type="dxa"/>
            <w:gridSpan w:val="4"/>
            <w:vAlign w:val="center"/>
          </w:tcPr>
          <w:p w14:paraId="4F646BCE">
            <w:pPr>
              <w:adjustRightInd w:val="0"/>
              <w:snapToGrid w:val="0"/>
              <w:jc w:val="center"/>
              <w:rPr>
                <w:rFonts w:ascii="宋体" w:hAnsi="宋体" w:cs="宋体"/>
                <w:sz w:val="24"/>
              </w:rPr>
            </w:pPr>
            <w:r>
              <w:rPr>
                <w:rFonts w:hint="eastAsia"/>
                <w:sz w:val="24"/>
              </w:rPr>
              <w:t>安徽省六安市金寨县经济开发区（现代产业园区）笔架山路以南,南溪路以西,金水路以北</w:t>
            </w:r>
          </w:p>
        </w:tc>
      </w:tr>
      <w:tr w14:paraId="4E129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2190" w:type="dxa"/>
            <w:gridSpan w:val="2"/>
            <w:tcMar>
              <w:top w:w="16" w:type="dxa"/>
              <w:left w:w="16" w:type="dxa"/>
              <w:right w:w="16" w:type="dxa"/>
            </w:tcMar>
            <w:vAlign w:val="center"/>
          </w:tcPr>
          <w:p w14:paraId="43C289F2">
            <w:pPr>
              <w:adjustRightInd w:val="0"/>
              <w:snapToGrid w:val="0"/>
              <w:jc w:val="center"/>
              <w:rPr>
                <w:rFonts w:ascii="宋体" w:hAnsi="宋体" w:cs="宋体"/>
                <w:sz w:val="24"/>
              </w:rPr>
            </w:pPr>
            <w:r>
              <w:rPr>
                <w:rFonts w:hint="eastAsia" w:ascii="宋体" w:hAnsi="宋体" w:cs="宋体"/>
                <w:sz w:val="24"/>
              </w:rPr>
              <w:t>地理坐标</w:t>
            </w:r>
          </w:p>
        </w:tc>
        <w:tc>
          <w:tcPr>
            <w:tcW w:w="6786" w:type="dxa"/>
            <w:gridSpan w:val="4"/>
            <w:vAlign w:val="center"/>
          </w:tcPr>
          <w:p w14:paraId="1932D498">
            <w:pPr>
              <w:jc w:val="center"/>
              <w:rPr>
                <w:rFonts w:ascii="宋体" w:hAnsi="宋体" w:cs="宋体"/>
                <w:sz w:val="24"/>
              </w:rPr>
            </w:pPr>
            <w:r>
              <w:rPr>
                <w:rFonts w:hint="eastAsia" w:ascii="宋体" w:hAnsi="宋体" w:cs="宋体"/>
                <w:sz w:val="24"/>
              </w:rPr>
              <w:t>（</w:t>
            </w:r>
            <w:r>
              <w:rPr>
                <w:rFonts w:ascii="宋体" w:hAnsi="宋体" w:cs="宋体"/>
                <w:sz w:val="24"/>
                <w:u w:val="single"/>
              </w:rPr>
              <w:t xml:space="preserve"> </w:t>
            </w:r>
            <w:r>
              <w:rPr>
                <w:rFonts w:hint="eastAsia" w:ascii="宋体" w:hAnsi="宋体" w:cs="宋体"/>
                <w:sz w:val="24"/>
                <w:u w:val="single"/>
              </w:rPr>
              <w:t>115°58′16.258″</w:t>
            </w:r>
            <w:r>
              <w:rPr>
                <w:rFonts w:hint="eastAsia" w:ascii="宋体" w:hAnsi="宋体" w:cs="宋体"/>
                <w:sz w:val="24"/>
              </w:rPr>
              <w:t>，</w:t>
            </w:r>
            <w:r>
              <w:rPr>
                <w:rFonts w:hint="eastAsia" w:ascii="宋体" w:hAnsi="宋体" w:cs="宋体"/>
                <w:sz w:val="24"/>
                <w:u w:val="single"/>
              </w:rPr>
              <w:t>31°46′41.534″</w:t>
            </w:r>
            <w:r>
              <w:rPr>
                <w:rFonts w:hint="eastAsia" w:ascii="宋体" w:hAnsi="宋体" w:cs="宋体"/>
                <w:sz w:val="24"/>
              </w:rPr>
              <w:t>）</w:t>
            </w:r>
          </w:p>
        </w:tc>
      </w:tr>
      <w:tr w14:paraId="19AB4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53" w:hRule="atLeast"/>
        </w:trPr>
        <w:tc>
          <w:tcPr>
            <w:tcW w:w="2190" w:type="dxa"/>
            <w:gridSpan w:val="2"/>
            <w:tcMar>
              <w:top w:w="16" w:type="dxa"/>
              <w:left w:w="16" w:type="dxa"/>
              <w:right w:w="16" w:type="dxa"/>
            </w:tcMar>
            <w:vAlign w:val="center"/>
          </w:tcPr>
          <w:p w14:paraId="3933E613">
            <w:pPr>
              <w:adjustRightInd w:val="0"/>
              <w:snapToGrid w:val="0"/>
              <w:jc w:val="center"/>
              <w:rPr>
                <w:rFonts w:ascii="宋体" w:hAnsi="宋体" w:cs="宋体"/>
                <w:sz w:val="24"/>
              </w:rPr>
            </w:pPr>
            <w:r>
              <w:rPr>
                <w:rFonts w:hint="eastAsia" w:ascii="宋体" w:hAnsi="宋体" w:cs="宋体"/>
                <w:sz w:val="24"/>
              </w:rPr>
              <w:t>国民经济</w:t>
            </w:r>
          </w:p>
          <w:p w14:paraId="170E3B0D">
            <w:pPr>
              <w:adjustRightInd w:val="0"/>
              <w:snapToGrid w:val="0"/>
              <w:jc w:val="center"/>
              <w:rPr>
                <w:rFonts w:ascii="宋体" w:hAnsi="宋体" w:cs="宋体"/>
                <w:sz w:val="24"/>
              </w:rPr>
            </w:pPr>
            <w:r>
              <w:rPr>
                <w:rFonts w:hint="eastAsia" w:ascii="宋体" w:hAnsi="宋体" w:cs="宋体"/>
                <w:sz w:val="24"/>
              </w:rPr>
              <w:t>行业类别</w:t>
            </w:r>
          </w:p>
        </w:tc>
        <w:tc>
          <w:tcPr>
            <w:tcW w:w="1910" w:type="dxa"/>
            <w:vAlign w:val="center"/>
          </w:tcPr>
          <w:p w14:paraId="097D2EEB">
            <w:pPr>
              <w:widowControl/>
              <w:jc w:val="center"/>
              <w:rPr>
                <w:rFonts w:ascii="宋体" w:hAnsi="宋体" w:cs="PMingLiU"/>
                <w:color w:val="000000"/>
                <w:kern w:val="0"/>
                <w:sz w:val="24"/>
                <w:lang w:bidi="ar"/>
              </w:rPr>
            </w:pPr>
            <w:r>
              <w:rPr>
                <w:rFonts w:ascii="宋体" w:hAnsi="宋体"/>
                <w:color w:val="000000"/>
                <w:kern w:val="0"/>
                <w:sz w:val="24"/>
                <w:lang w:bidi="ar"/>
              </w:rPr>
              <w:t>C3</w:t>
            </w:r>
            <w:r>
              <w:rPr>
                <w:rFonts w:hint="eastAsia" w:ascii="宋体" w:hAnsi="宋体"/>
                <w:color w:val="000000"/>
                <w:kern w:val="0"/>
                <w:sz w:val="24"/>
                <w:lang w:bidi="ar"/>
              </w:rPr>
              <w:t>591</w:t>
            </w:r>
            <w:r>
              <w:rPr>
                <w:rFonts w:ascii="宋体" w:hAnsi="宋体"/>
                <w:color w:val="000000"/>
                <w:kern w:val="0"/>
                <w:sz w:val="24"/>
                <w:lang w:bidi="ar"/>
              </w:rPr>
              <w:t xml:space="preserve"> </w:t>
            </w:r>
            <w:r>
              <w:rPr>
                <w:rFonts w:hint="eastAsia" w:ascii="宋体" w:hAnsi="宋体"/>
                <w:color w:val="000000"/>
                <w:kern w:val="0"/>
                <w:sz w:val="24"/>
                <w:lang w:bidi="ar"/>
              </w:rPr>
              <w:t>环境保护专用设备制造</w:t>
            </w:r>
            <w:r>
              <w:rPr>
                <w:rFonts w:hint="eastAsia" w:ascii="宋体" w:hAnsi="宋体" w:cs="PMingLiU"/>
                <w:color w:val="000000"/>
                <w:kern w:val="0"/>
                <w:sz w:val="24"/>
                <w:lang w:bidi="ar"/>
              </w:rPr>
              <w:t>；</w:t>
            </w:r>
          </w:p>
          <w:p w14:paraId="35FB1FE7">
            <w:pPr>
              <w:widowControl/>
              <w:rPr>
                <w:rFonts w:ascii="宋体" w:hAnsi="宋体" w:cs="宋体"/>
                <w:sz w:val="24"/>
              </w:rPr>
            </w:pPr>
            <w:r>
              <w:rPr>
                <w:rFonts w:hint="eastAsia" w:ascii="宋体" w:hAnsi="宋体"/>
                <w:color w:val="000000"/>
                <w:kern w:val="0"/>
                <w:sz w:val="24"/>
                <w:lang w:bidi="ar"/>
              </w:rPr>
              <w:t>C1781 非织造布制造</w:t>
            </w:r>
          </w:p>
        </w:tc>
        <w:tc>
          <w:tcPr>
            <w:tcW w:w="2219" w:type="dxa"/>
            <w:gridSpan w:val="2"/>
            <w:vAlign w:val="center"/>
          </w:tcPr>
          <w:p w14:paraId="7E03ABC5">
            <w:pPr>
              <w:widowControl/>
              <w:jc w:val="center"/>
              <w:rPr>
                <w:rFonts w:ascii="宋体" w:hAnsi="宋体"/>
                <w:color w:val="000000"/>
                <w:kern w:val="0"/>
                <w:sz w:val="24"/>
                <w:lang w:bidi="ar"/>
              </w:rPr>
            </w:pPr>
            <w:r>
              <w:rPr>
                <w:rFonts w:hint="eastAsia" w:ascii="宋体" w:hAnsi="宋体"/>
                <w:color w:val="000000"/>
                <w:kern w:val="0"/>
                <w:sz w:val="24"/>
                <w:lang w:bidi="ar"/>
              </w:rPr>
              <w:t>建设项目</w:t>
            </w:r>
          </w:p>
          <w:p w14:paraId="6DE19003">
            <w:pPr>
              <w:widowControl/>
              <w:jc w:val="center"/>
              <w:rPr>
                <w:rFonts w:ascii="宋体" w:hAnsi="宋体"/>
                <w:color w:val="000000"/>
                <w:kern w:val="0"/>
                <w:sz w:val="24"/>
                <w:lang w:bidi="ar"/>
              </w:rPr>
            </w:pPr>
            <w:r>
              <w:rPr>
                <w:rFonts w:hint="eastAsia" w:ascii="宋体" w:hAnsi="宋体"/>
                <w:color w:val="000000"/>
                <w:kern w:val="0"/>
                <w:sz w:val="24"/>
                <w:lang w:bidi="ar"/>
              </w:rPr>
              <w:t>行业类别</w:t>
            </w:r>
          </w:p>
        </w:tc>
        <w:tc>
          <w:tcPr>
            <w:tcW w:w="2657" w:type="dxa"/>
            <w:vAlign w:val="center"/>
          </w:tcPr>
          <w:p w14:paraId="6CECD461">
            <w:pPr>
              <w:widowControl/>
              <w:jc w:val="center"/>
              <w:rPr>
                <w:rFonts w:ascii="宋体" w:hAnsi="宋体"/>
                <w:color w:val="000000"/>
                <w:kern w:val="0"/>
                <w:sz w:val="24"/>
                <w:lang w:bidi="ar"/>
              </w:rPr>
            </w:pPr>
            <w:r>
              <w:rPr>
                <w:rFonts w:hint="eastAsia" w:ascii="宋体" w:hAnsi="宋体"/>
                <w:color w:val="000000"/>
                <w:kern w:val="0"/>
                <w:sz w:val="24"/>
                <w:lang w:bidi="ar"/>
              </w:rPr>
              <w:t>三十二、专用设备制造业 35 环保、邮政、社会公共服务及其他专用设备制造 359-其他（仅分割、焊接、组装的除外；年用非溶剂型低VOCs含量涂料10吨以下的除外）；</w:t>
            </w:r>
          </w:p>
          <w:p w14:paraId="287488A7">
            <w:pPr>
              <w:widowControl/>
              <w:jc w:val="center"/>
              <w:rPr>
                <w:rFonts w:ascii="宋体" w:hAnsi="宋体"/>
                <w:color w:val="000000"/>
                <w:kern w:val="0"/>
                <w:sz w:val="24"/>
                <w:lang w:bidi="ar"/>
              </w:rPr>
            </w:pPr>
            <w:r>
              <w:rPr>
                <w:rFonts w:hint="eastAsia" w:ascii="宋体" w:hAnsi="宋体"/>
                <w:color w:val="000000"/>
                <w:kern w:val="0"/>
                <w:sz w:val="24"/>
                <w:lang w:bidi="ar"/>
              </w:rPr>
              <w:t>十四、纺织业 17—产业用纺织制成品制造 178*——后整理工序涉及有机溶剂的</w:t>
            </w:r>
          </w:p>
        </w:tc>
      </w:tr>
      <w:tr w14:paraId="716C2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4" w:hRule="atLeast"/>
        </w:trPr>
        <w:tc>
          <w:tcPr>
            <w:tcW w:w="2190" w:type="dxa"/>
            <w:gridSpan w:val="2"/>
            <w:tcMar>
              <w:top w:w="16" w:type="dxa"/>
              <w:left w:w="16" w:type="dxa"/>
              <w:right w:w="16" w:type="dxa"/>
            </w:tcMar>
            <w:vAlign w:val="center"/>
          </w:tcPr>
          <w:p w14:paraId="5ACD231D">
            <w:pPr>
              <w:adjustRightInd w:val="0"/>
              <w:snapToGrid w:val="0"/>
              <w:jc w:val="center"/>
              <w:rPr>
                <w:rFonts w:ascii="宋体" w:hAnsi="宋体" w:cs="宋体"/>
                <w:sz w:val="24"/>
              </w:rPr>
            </w:pPr>
            <w:r>
              <w:rPr>
                <w:rFonts w:hint="eastAsia" w:ascii="宋体" w:hAnsi="宋体" w:cs="宋体"/>
                <w:sz w:val="24"/>
              </w:rPr>
              <w:t>建设性质</w:t>
            </w:r>
          </w:p>
        </w:tc>
        <w:tc>
          <w:tcPr>
            <w:tcW w:w="1910" w:type="dxa"/>
            <w:vAlign w:val="center"/>
          </w:tcPr>
          <w:p w14:paraId="0AC90164">
            <w:pPr>
              <w:jc w:val="left"/>
              <w:rPr>
                <w:rFonts w:ascii="宋体" w:hAnsi="宋体" w:cs="宋体"/>
                <w:sz w:val="24"/>
              </w:rPr>
            </w:pPr>
            <w:r>
              <w:rPr>
                <w:rFonts w:hint="eastAsia"/>
                <w:sz w:val="24"/>
              </w:rPr>
              <w:sym w:font="Wingdings 2" w:char="0052"/>
            </w:r>
            <w:r>
              <w:rPr>
                <w:rFonts w:hint="eastAsia" w:ascii="宋体" w:hAnsi="宋体" w:cs="宋体"/>
                <w:sz w:val="24"/>
              </w:rPr>
              <w:t>新建（迁建）</w:t>
            </w:r>
          </w:p>
          <w:p w14:paraId="5C47200F">
            <w:pPr>
              <w:jc w:val="left"/>
              <w:rPr>
                <w:rFonts w:ascii="宋体" w:hAnsi="宋体" w:cs="宋体"/>
                <w:sz w:val="24"/>
              </w:rPr>
            </w:pPr>
            <w:r>
              <w:rPr>
                <w:rFonts w:hint="eastAsia" w:ascii="宋体" w:hAnsi="宋体" w:cs="宋体"/>
                <w:sz w:val="24"/>
              </w:rPr>
              <w:t>□改建</w:t>
            </w:r>
          </w:p>
          <w:p w14:paraId="2FA5CB46">
            <w:pPr>
              <w:jc w:val="left"/>
              <w:rPr>
                <w:rFonts w:ascii="宋体" w:hAnsi="宋体" w:cs="宋体"/>
                <w:sz w:val="24"/>
              </w:rPr>
            </w:pPr>
            <w:r>
              <w:rPr>
                <w:rFonts w:hint="eastAsia"/>
                <w:sz w:val="24"/>
              </w:rPr>
              <w:sym w:font="Wingdings 2" w:char="00A3"/>
            </w:r>
            <w:r>
              <w:rPr>
                <w:rFonts w:hint="eastAsia" w:ascii="宋体" w:hAnsi="宋体" w:cs="宋体"/>
                <w:sz w:val="24"/>
              </w:rPr>
              <w:t>扩建</w:t>
            </w:r>
          </w:p>
          <w:p w14:paraId="0673FE85">
            <w:pPr>
              <w:jc w:val="left"/>
              <w:rPr>
                <w:rFonts w:ascii="宋体" w:hAnsi="宋体" w:cs="宋体"/>
                <w:sz w:val="24"/>
              </w:rPr>
            </w:pPr>
            <w:r>
              <w:rPr>
                <w:rFonts w:hint="eastAsia"/>
                <w:sz w:val="24"/>
              </w:rPr>
              <w:sym w:font="Wingdings 2" w:char="00A3"/>
            </w:r>
            <w:r>
              <w:rPr>
                <w:rFonts w:hint="eastAsia" w:ascii="宋体" w:hAnsi="宋体" w:cs="宋体"/>
                <w:sz w:val="24"/>
              </w:rPr>
              <w:t>技术改造</w:t>
            </w:r>
          </w:p>
        </w:tc>
        <w:tc>
          <w:tcPr>
            <w:tcW w:w="2219" w:type="dxa"/>
            <w:gridSpan w:val="2"/>
            <w:vAlign w:val="center"/>
          </w:tcPr>
          <w:p w14:paraId="2AF7EFBC">
            <w:pPr>
              <w:adjustRightInd w:val="0"/>
              <w:snapToGrid w:val="0"/>
              <w:jc w:val="center"/>
              <w:rPr>
                <w:rFonts w:ascii="宋体" w:hAnsi="宋体" w:cs="宋体"/>
                <w:sz w:val="24"/>
              </w:rPr>
            </w:pPr>
            <w:r>
              <w:rPr>
                <w:rFonts w:hint="eastAsia" w:ascii="宋体" w:hAnsi="宋体" w:cs="宋体"/>
                <w:sz w:val="24"/>
              </w:rPr>
              <w:t>建设项目</w:t>
            </w:r>
          </w:p>
          <w:p w14:paraId="04B4DAB7">
            <w:pPr>
              <w:adjustRightInd w:val="0"/>
              <w:snapToGrid w:val="0"/>
              <w:jc w:val="center"/>
              <w:rPr>
                <w:rFonts w:ascii="宋体" w:hAnsi="宋体" w:cs="宋体"/>
                <w:sz w:val="24"/>
              </w:rPr>
            </w:pPr>
            <w:r>
              <w:rPr>
                <w:rFonts w:hint="eastAsia" w:ascii="宋体" w:hAnsi="宋体" w:cs="宋体"/>
                <w:sz w:val="24"/>
              </w:rPr>
              <w:t>申报情形</w:t>
            </w:r>
          </w:p>
        </w:tc>
        <w:tc>
          <w:tcPr>
            <w:tcW w:w="2657" w:type="dxa"/>
            <w:vAlign w:val="center"/>
          </w:tcPr>
          <w:p w14:paraId="293742AC">
            <w:pPr>
              <w:jc w:val="left"/>
              <w:rPr>
                <w:rFonts w:ascii="宋体" w:hAnsi="宋体" w:cs="宋体"/>
                <w:sz w:val="24"/>
              </w:rPr>
            </w:pPr>
            <w:r>
              <w:rPr>
                <w:rFonts w:hint="eastAsia" w:ascii="MS Mincho" w:hAnsi="MS Mincho" w:eastAsia="MS Mincho" w:cs="MS Mincho"/>
                <w:sz w:val="24"/>
              </w:rPr>
              <w:t>☑</w:t>
            </w:r>
            <w:r>
              <w:rPr>
                <w:rFonts w:hint="eastAsia" w:ascii="宋体" w:hAnsi="宋体" w:cs="宋体"/>
                <w:sz w:val="24"/>
              </w:rPr>
              <w:t>首次申报项目</w:t>
            </w:r>
            <w:r>
              <w:rPr>
                <w:rFonts w:ascii="宋体" w:hAnsi="宋体" w:cs="宋体"/>
                <w:sz w:val="24"/>
              </w:rPr>
              <w:t xml:space="preserve">             </w:t>
            </w:r>
          </w:p>
          <w:p w14:paraId="4805900F">
            <w:pPr>
              <w:jc w:val="left"/>
              <w:rPr>
                <w:rFonts w:ascii="宋体" w:hAnsi="宋体" w:cs="宋体"/>
                <w:sz w:val="24"/>
              </w:rPr>
            </w:pPr>
            <w:r>
              <w:rPr>
                <w:sz w:val="24"/>
              </w:rPr>
              <w:sym w:font="Wingdings 2" w:char="00A3"/>
            </w:r>
            <w:r>
              <w:rPr>
                <w:rFonts w:hint="eastAsia" w:ascii="宋体" w:hAnsi="宋体" w:cs="宋体"/>
                <w:sz w:val="24"/>
              </w:rPr>
              <w:t>不予批准后再次申报项目</w:t>
            </w:r>
          </w:p>
          <w:p w14:paraId="1874658B">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超五年重新审核项目</w:t>
            </w:r>
            <w:r>
              <w:rPr>
                <w:rFonts w:ascii="宋体" w:hAnsi="宋体" w:cs="宋体"/>
                <w:sz w:val="24"/>
              </w:rPr>
              <w:t xml:space="preserve">     </w:t>
            </w:r>
          </w:p>
          <w:p w14:paraId="44685405">
            <w:pPr>
              <w:jc w:val="left"/>
              <w:rPr>
                <w:rFonts w:ascii="宋体" w:hAnsi="宋体" w:cs="宋体"/>
                <w:sz w:val="24"/>
              </w:rPr>
            </w:pPr>
            <w:r>
              <w:rPr>
                <w:sz w:val="24"/>
              </w:rPr>
              <w:sym w:font="Wingdings 2" w:char="00A3"/>
            </w:r>
            <w:r>
              <w:rPr>
                <w:rFonts w:hint="eastAsia" w:ascii="宋体" w:hAnsi="宋体" w:cs="宋体"/>
                <w:sz w:val="24"/>
              </w:rPr>
              <w:t>重大变动重新报批项目</w:t>
            </w:r>
          </w:p>
        </w:tc>
      </w:tr>
      <w:tr w14:paraId="45064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2" w:hRule="atLeast"/>
        </w:trPr>
        <w:tc>
          <w:tcPr>
            <w:tcW w:w="2190" w:type="dxa"/>
            <w:gridSpan w:val="2"/>
            <w:tcMar>
              <w:top w:w="16" w:type="dxa"/>
              <w:left w:w="16" w:type="dxa"/>
              <w:right w:w="16" w:type="dxa"/>
            </w:tcMar>
            <w:vAlign w:val="center"/>
          </w:tcPr>
          <w:p w14:paraId="5DCB6FE8">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14:paraId="6090F9CF">
            <w:pPr>
              <w:adjustRightInd w:val="0"/>
              <w:snapToGrid w:val="0"/>
              <w:jc w:val="center"/>
              <w:rPr>
                <w:rFonts w:ascii="宋体" w:hAnsi="宋体" w:cs="宋体"/>
                <w:sz w:val="24"/>
              </w:rPr>
            </w:pPr>
            <w:r>
              <w:rPr>
                <w:rFonts w:hint="eastAsia" w:ascii="宋体" w:hAnsi="宋体" w:cs="宋体"/>
                <w:sz w:val="24"/>
              </w:rPr>
              <w:t>备案）部门（选填）</w:t>
            </w:r>
          </w:p>
        </w:tc>
        <w:tc>
          <w:tcPr>
            <w:tcW w:w="1910" w:type="dxa"/>
            <w:vAlign w:val="center"/>
          </w:tcPr>
          <w:p w14:paraId="34CC74EF">
            <w:pPr>
              <w:adjustRightInd w:val="0"/>
              <w:snapToGrid w:val="0"/>
              <w:jc w:val="center"/>
              <w:rPr>
                <w:rFonts w:ascii="宋体" w:hAnsi="宋体" w:cs="宋体"/>
                <w:sz w:val="24"/>
              </w:rPr>
            </w:pPr>
            <w:r>
              <w:rPr>
                <w:rFonts w:hint="eastAsia" w:ascii="宋体" w:hAnsi="宋体" w:cs="宋体"/>
                <w:sz w:val="24"/>
              </w:rPr>
              <w:t>/</w:t>
            </w:r>
          </w:p>
        </w:tc>
        <w:tc>
          <w:tcPr>
            <w:tcW w:w="2219" w:type="dxa"/>
            <w:gridSpan w:val="2"/>
            <w:vAlign w:val="center"/>
          </w:tcPr>
          <w:p w14:paraId="22AEBC88">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14:paraId="248380BA">
            <w:pPr>
              <w:adjustRightInd w:val="0"/>
              <w:snapToGrid w:val="0"/>
              <w:jc w:val="center"/>
              <w:rPr>
                <w:rFonts w:ascii="宋体" w:hAnsi="宋体" w:cs="宋体"/>
                <w:sz w:val="24"/>
              </w:rPr>
            </w:pPr>
            <w:r>
              <w:rPr>
                <w:rFonts w:hint="eastAsia" w:ascii="宋体" w:hAnsi="宋体" w:cs="宋体"/>
                <w:sz w:val="24"/>
              </w:rPr>
              <w:t>备案）文号（选填）</w:t>
            </w:r>
          </w:p>
        </w:tc>
        <w:tc>
          <w:tcPr>
            <w:tcW w:w="2657" w:type="dxa"/>
            <w:vAlign w:val="center"/>
          </w:tcPr>
          <w:p w14:paraId="63EE38CF">
            <w:pPr>
              <w:adjustRightInd w:val="0"/>
              <w:snapToGrid w:val="0"/>
              <w:jc w:val="center"/>
              <w:rPr>
                <w:rFonts w:ascii="宋体" w:hAnsi="宋体" w:cs="宋体"/>
                <w:sz w:val="24"/>
              </w:rPr>
            </w:pPr>
            <w:r>
              <w:rPr>
                <w:rFonts w:hint="eastAsia" w:ascii="宋体" w:hAnsi="宋体" w:cs="宋体"/>
                <w:sz w:val="24"/>
              </w:rPr>
              <w:t>/</w:t>
            </w:r>
          </w:p>
        </w:tc>
      </w:tr>
      <w:tr w14:paraId="23A2F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2190" w:type="dxa"/>
            <w:gridSpan w:val="2"/>
            <w:tcMar>
              <w:top w:w="16" w:type="dxa"/>
              <w:left w:w="16" w:type="dxa"/>
              <w:right w:w="16" w:type="dxa"/>
            </w:tcMar>
            <w:vAlign w:val="center"/>
          </w:tcPr>
          <w:p w14:paraId="1C65D631">
            <w:pPr>
              <w:adjustRightInd w:val="0"/>
              <w:snapToGrid w:val="0"/>
              <w:jc w:val="center"/>
              <w:rPr>
                <w:rFonts w:ascii="宋体" w:hAnsi="宋体" w:cs="宋体"/>
                <w:sz w:val="24"/>
              </w:rPr>
            </w:pPr>
            <w:r>
              <w:rPr>
                <w:rFonts w:hint="eastAsia" w:ascii="宋体" w:hAnsi="宋体" w:cs="宋体"/>
                <w:sz w:val="24"/>
              </w:rPr>
              <w:t>总投资（万元）</w:t>
            </w:r>
          </w:p>
        </w:tc>
        <w:tc>
          <w:tcPr>
            <w:tcW w:w="1910" w:type="dxa"/>
            <w:vAlign w:val="center"/>
          </w:tcPr>
          <w:p w14:paraId="09D6E108">
            <w:pPr>
              <w:adjustRightInd w:val="0"/>
              <w:snapToGrid w:val="0"/>
              <w:jc w:val="center"/>
              <w:rPr>
                <w:rFonts w:ascii="宋体" w:hAnsi="宋体" w:cs="宋体"/>
                <w:sz w:val="24"/>
              </w:rPr>
            </w:pPr>
            <w:r>
              <w:rPr>
                <w:rFonts w:ascii="宋体" w:hAnsi="宋体" w:cs="宋体"/>
                <w:sz w:val="24"/>
              </w:rPr>
              <w:t>51000</w:t>
            </w:r>
          </w:p>
        </w:tc>
        <w:tc>
          <w:tcPr>
            <w:tcW w:w="2219" w:type="dxa"/>
            <w:gridSpan w:val="2"/>
            <w:tcMar>
              <w:top w:w="16" w:type="dxa"/>
              <w:left w:w="16" w:type="dxa"/>
              <w:right w:w="16" w:type="dxa"/>
            </w:tcMar>
            <w:vAlign w:val="center"/>
          </w:tcPr>
          <w:p w14:paraId="1383B179">
            <w:pPr>
              <w:adjustRightInd w:val="0"/>
              <w:snapToGrid w:val="0"/>
              <w:jc w:val="center"/>
              <w:rPr>
                <w:rFonts w:ascii="宋体" w:hAnsi="宋体" w:cs="宋体"/>
                <w:sz w:val="24"/>
              </w:rPr>
            </w:pPr>
            <w:r>
              <w:rPr>
                <w:rFonts w:hint="eastAsia" w:ascii="宋体" w:hAnsi="宋体" w:cs="宋体"/>
                <w:sz w:val="24"/>
              </w:rPr>
              <w:t>环保投资（万元）</w:t>
            </w:r>
          </w:p>
        </w:tc>
        <w:tc>
          <w:tcPr>
            <w:tcW w:w="2657" w:type="dxa"/>
            <w:vAlign w:val="center"/>
          </w:tcPr>
          <w:p w14:paraId="3E3C1FF6">
            <w:pPr>
              <w:adjustRightInd w:val="0"/>
              <w:snapToGrid w:val="0"/>
              <w:jc w:val="center"/>
              <w:rPr>
                <w:rFonts w:ascii="宋体" w:hAnsi="宋体" w:cs="宋体"/>
                <w:sz w:val="24"/>
              </w:rPr>
            </w:pPr>
            <w:r>
              <w:rPr>
                <w:rFonts w:hint="eastAsia" w:ascii="宋体" w:hAnsi="宋体" w:cs="宋体"/>
                <w:sz w:val="24"/>
              </w:rPr>
              <w:t>100</w:t>
            </w:r>
          </w:p>
        </w:tc>
      </w:tr>
      <w:tr w14:paraId="15AAC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2190" w:type="dxa"/>
            <w:gridSpan w:val="2"/>
            <w:tcMar>
              <w:top w:w="16" w:type="dxa"/>
              <w:left w:w="16" w:type="dxa"/>
              <w:right w:w="16" w:type="dxa"/>
            </w:tcMar>
            <w:vAlign w:val="center"/>
          </w:tcPr>
          <w:p w14:paraId="3D34E2A3">
            <w:pPr>
              <w:adjustRightInd w:val="0"/>
              <w:snapToGrid w:val="0"/>
              <w:jc w:val="center"/>
              <w:rPr>
                <w:rFonts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1910" w:type="dxa"/>
            <w:vAlign w:val="center"/>
          </w:tcPr>
          <w:p w14:paraId="30E74914">
            <w:pPr>
              <w:adjustRightInd w:val="0"/>
              <w:snapToGrid w:val="0"/>
              <w:jc w:val="center"/>
              <w:rPr>
                <w:rFonts w:ascii="宋体" w:hAnsi="宋体" w:cs="宋体"/>
                <w:sz w:val="24"/>
              </w:rPr>
            </w:pPr>
            <w:r>
              <w:rPr>
                <w:rFonts w:hint="eastAsia" w:ascii="宋体" w:hAnsi="宋体" w:cs="宋体"/>
                <w:sz w:val="24"/>
              </w:rPr>
              <w:t>0.196</w:t>
            </w:r>
          </w:p>
        </w:tc>
        <w:tc>
          <w:tcPr>
            <w:tcW w:w="2219" w:type="dxa"/>
            <w:gridSpan w:val="2"/>
            <w:tcMar>
              <w:top w:w="16" w:type="dxa"/>
              <w:left w:w="16" w:type="dxa"/>
              <w:right w:w="16" w:type="dxa"/>
            </w:tcMar>
            <w:vAlign w:val="center"/>
          </w:tcPr>
          <w:p w14:paraId="33EB5125">
            <w:pPr>
              <w:adjustRightInd w:val="0"/>
              <w:snapToGrid w:val="0"/>
              <w:jc w:val="center"/>
              <w:rPr>
                <w:rFonts w:ascii="宋体" w:hAnsi="宋体" w:cs="宋体"/>
                <w:sz w:val="24"/>
              </w:rPr>
            </w:pPr>
            <w:r>
              <w:rPr>
                <w:rFonts w:hint="eastAsia" w:ascii="宋体" w:hAnsi="宋体" w:cs="宋体"/>
                <w:sz w:val="24"/>
              </w:rPr>
              <w:t>施工工期</w:t>
            </w:r>
          </w:p>
        </w:tc>
        <w:tc>
          <w:tcPr>
            <w:tcW w:w="2657" w:type="dxa"/>
            <w:vAlign w:val="center"/>
          </w:tcPr>
          <w:p w14:paraId="6594B9DA">
            <w:pPr>
              <w:adjustRightInd w:val="0"/>
              <w:snapToGrid w:val="0"/>
              <w:jc w:val="center"/>
              <w:rPr>
                <w:rFonts w:ascii="宋体" w:hAnsi="宋体" w:cs="宋体"/>
                <w:sz w:val="24"/>
              </w:rPr>
            </w:pPr>
            <w:r>
              <w:rPr>
                <w:rFonts w:hint="eastAsia" w:ascii="宋体" w:hAnsi="宋体" w:cs="宋体"/>
                <w:sz w:val="24"/>
              </w:rPr>
              <w:t>12个月</w:t>
            </w:r>
          </w:p>
        </w:tc>
      </w:tr>
      <w:tr w14:paraId="2ECB2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2190" w:type="dxa"/>
            <w:gridSpan w:val="2"/>
            <w:tcMar>
              <w:top w:w="16" w:type="dxa"/>
              <w:left w:w="16" w:type="dxa"/>
              <w:right w:w="16" w:type="dxa"/>
            </w:tcMar>
            <w:vAlign w:val="center"/>
          </w:tcPr>
          <w:p w14:paraId="54F9F70C">
            <w:pPr>
              <w:adjustRightInd w:val="0"/>
              <w:snapToGrid w:val="0"/>
              <w:jc w:val="center"/>
              <w:rPr>
                <w:rFonts w:ascii="宋体" w:hAnsi="宋体" w:cs="宋体"/>
                <w:sz w:val="24"/>
              </w:rPr>
            </w:pPr>
            <w:r>
              <w:rPr>
                <w:rFonts w:hint="eastAsia" w:ascii="宋体" w:hAnsi="宋体" w:cs="宋体"/>
                <w:sz w:val="24"/>
              </w:rPr>
              <w:t>是否开工建设</w:t>
            </w:r>
          </w:p>
        </w:tc>
        <w:tc>
          <w:tcPr>
            <w:tcW w:w="1910" w:type="dxa"/>
            <w:vAlign w:val="center"/>
          </w:tcPr>
          <w:p w14:paraId="148774E8">
            <w:pPr>
              <w:adjustRightInd w:val="0"/>
              <w:snapToGrid w:val="0"/>
              <w:rPr>
                <w:rFonts w:ascii="宋体" w:hAnsi="宋体" w:cs="宋体"/>
                <w:sz w:val="24"/>
              </w:rPr>
            </w:pPr>
            <w:r>
              <w:rPr>
                <w:rFonts w:hint="eastAsia" w:ascii="宋体" w:hAnsi="宋体" w:cs="宋体"/>
                <w:sz w:val="24"/>
              </w:rPr>
              <w:sym w:font="Wingdings 2" w:char="0052"/>
            </w:r>
            <w:r>
              <w:rPr>
                <w:rFonts w:hint="eastAsia" w:ascii="宋体" w:hAnsi="宋体" w:cs="宋体"/>
                <w:sz w:val="24"/>
              </w:rPr>
              <w:t>否</w:t>
            </w:r>
          </w:p>
          <w:p w14:paraId="2B9CB130">
            <w:pPr>
              <w:adjustRightInd w:val="0"/>
              <w:snapToGrid w:val="0"/>
              <w:rPr>
                <w:rFonts w:ascii="宋体" w:hAnsi="宋体" w:cs="宋体"/>
                <w:sz w:val="24"/>
              </w:rPr>
            </w:pPr>
            <w:r>
              <w:rPr>
                <w:rFonts w:hint="eastAsia" w:ascii="宋体" w:hAnsi="宋体" w:cs="宋体"/>
                <w:sz w:val="24"/>
              </w:rPr>
              <w:sym w:font="Wingdings 2" w:char="00A3"/>
            </w:r>
            <w:r>
              <w:rPr>
                <w:rFonts w:hint="eastAsia" w:ascii="宋体" w:hAnsi="宋体" w:cs="宋体"/>
                <w:sz w:val="24"/>
              </w:rPr>
              <w:t xml:space="preserve"> 是：</w:t>
            </w:r>
            <w:r>
              <w:rPr>
                <w:rFonts w:hint="eastAsia" w:ascii="宋体" w:hAnsi="宋体" w:cs="宋体"/>
                <w:sz w:val="24"/>
                <w:u w:val="single"/>
              </w:rPr>
              <w:t xml:space="preserve">             </w:t>
            </w:r>
          </w:p>
        </w:tc>
        <w:tc>
          <w:tcPr>
            <w:tcW w:w="2219" w:type="dxa"/>
            <w:gridSpan w:val="2"/>
            <w:tcMar>
              <w:top w:w="16" w:type="dxa"/>
              <w:left w:w="16" w:type="dxa"/>
              <w:right w:w="16" w:type="dxa"/>
            </w:tcMar>
            <w:vAlign w:val="center"/>
          </w:tcPr>
          <w:p w14:paraId="35464E2A">
            <w:pPr>
              <w:adjustRightInd w:val="0"/>
              <w:snapToGrid w:val="0"/>
              <w:jc w:val="center"/>
              <w:rPr>
                <w:rFonts w:ascii="宋体" w:hAnsi="宋体" w:cs="宋体"/>
                <w:spacing w:val="-6"/>
                <w:sz w:val="24"/>
              </w:rPr>
            </w:pPr>
            <w:r>
              <w:rPr>
                <w:rFonts w:hint="eastAsia" w:ascii="宋体" w:hAnsi="宋体" w:cs="宋体"/>
                <w:spacing w:val="-6"/>
                <w:sz w:val="24"/>
              </w:rPr>
              <w:t>用地（用海）</w:t>
            </w:r>
          </w:p>
          <w:p w14:paraId="65315EEC">
            <w:pPr>
              <w:adjustRightInd w:val="0"/>
              <w:snapToGrid w:val="0"/>
              <w:jc w:val="center"/>
              <w:rPr>
                <w:rFonts w:ascii="宋体" w:hAnsi="宋体" w:cs="宋体"/>
                <w:sz w:val="24"/>
              </w:rPr>
            </w:pPr>
            <w:r>
              <w:rPr>
                <w:rFonts w:hint="eastAsia" w:ascii="宋体" w:hAnsi="宋体" w:cs="宋体"/>
                <w:spacing w:val="-6"/>
                <w:sz w:val="24"/>
              </w:rPr>
              <w:t>面积（</w:t>
            </w:r>
            <w:r>
              <w:rPr>
                <w:rFonts w:ascii="宋体" w:hAnsi="宋体" w:cs="宋体"/>
                <w:spacing w:val="-6"/>
                <w:sz w:val="24"/>
              </w:rPr>
              <w:t>m</w:t>
            </w:r>
            <w:r>
              <w:rPr>
                <w:rFonts w:ascii="宋体" w:hAnsi="宋体" w:cs="宋体"/>
                <w:spacing w:val="-6"/>
                <w:sz w:val="24"/>
                <w:vertAlign w:val="superscript"/>
              </w:rPr>
              <w:t>2</w:t>
            </w:r>
            <w:r>
              <w:rPr>
                <w:rFonts w:hint="eastAsia" w:ascii="宋体" w:hAnsi="宋体" w:cs="宋体"/>
                <w:spacing w:val="-6"/>
                <w:sz w:val="24"/>
              </w:rPr>
              <w:t>）</w:t>
            </w:r>
          </w:p>
        </w:tc>
        <w:tc>
          <w:tcPr>
            <w:tcW w:w="2657" w:type="dxa"/>
            <w:vAlign w:val="center"/>
          </w:tcPr>
          <w:p w14:paraId="32137062">
            <w:pPr>
              <w:adjustRightInd w:val="0"/>
              <w:snapToGrid w:val="0"/>
              <w:jc w:val="center"/>
              <w:rPr>
                <w:rFonts w:ascii="宋体" w:hAnsi="宋体" w:cs="宋体"/>
                <w:sz w:val="24"/>
              </w:rPr>
            </w:pPr>
            <w:r>
              <w:rPr>
                <w:rFonts w:ascii="宋体" w:hAnsi="宋体" w:cs="宋体"/>
                <w:sz w:val="24"/>
              </w:rPr>
              <w:t>20708.68</w:t>
            </w:r>
          </w:p>
        </w:tc>
      </w:tr>
      <w:tr w14:paraId="3834C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2190" w:type="dxa"/>
            <w:gridSpan w:val="2"/>
            <w:vAlign w:val="center"/>
          </w:tcPr>
          <w:p w14:paraId="41D55ED9">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6786" w:type="dxa"/>
            <w:gridSpan w:val="4"/>
            <w:vAlign w:val="center"/>
          </w:tcPr>
          <w:p w14:paraId="7B5CF520">
            <w:pPr>
              <w:adjustRightInd w:val="0"/>
              <w:snapToGrid w:val="0"/>
              <w:spacing w:line="360" w:lineRule="auto"/>
              <w:jc w:val="center"/>
              <w:rPr>
                <w:rFonts w:ascii="宋体" w:hAnsi="宋体" w:cs="宋体"/>
                <w:kern w:val="0"/>
                <w:sz w:val="24"/>
              </w:rPr>
            </w:pPr>
            <w:r>
              <w:rPr>
                <w:rFonts w:hint="eastAsia"/>
                <w:sz w:val="24"/>
              </w:rPr>
              <w:t>无</w:t>
            </w:r>
          </w:p>
        </w:tc>
      </w:tr>
      <w:tr w14:paraId="2E245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2190" w:type="dxa"/>
            <w:gridSpan w:val="2"/>
            <w:vAlign w:val="center"/>
          </w:tcPr>
          <w:p w14:paraId="5C0779BF">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6786" w:type="dxa"/>
            <w:gridSpan w:val="4"/>
            <w:vAlign w:val="center"/>
          </w:tcPr>
          <w:p w14:paraId="314E0D5C">
            <w:pPr>
              <w:autoSpaceDE w:val="0"/>
              <w:autoSpaceDN w:val="0"/>
              <w:adjustRightInd w:val="0"/>
              <w:snapToGrid w:val="0"/>
              <w:jc w:val="left"/>
              <w:rPr>
                <w:rFonts w:ascii="宋体" w:hAnsi="宋体" w:cs="宋体"/>
                <w:kern w:val="0"/>
                <w:sz w:val="24"/>
              </w:rPr>
            </w:pPr>
            <w:r>
              <w:rPr>
                <w:rFonts w:hint="eastAsia" w:ascii="宋体" w:hAnsi="宋体" w:cs="宋体"/>
                <w:kern w:val="0"/>
                <w:sz w:val="24"/>
              </w:rPr>
              <w:t>规划名称：《安徽金寨经济开发区总体发展规划（2023-2035年）》</w:t>
            </w:r>
          </w:p>
          <w:p w14:paraId="1A6353B9">
            <w:pPr>
              <w:autoSpaceDE w:val="0"/>
              <w:autoSpaceDN w:val="0"/>
              <w:adjustRightInd w:val="0"/>
              <w:snapToGrid w:val="0"/>
              <w:jc w:val="left"/>
              <w:rPr>
                <w:rFonts w:ascii="宋体" w:hAnsi="宋体" w:cs="宋体"/>
                <w:kern w:val="0"/>
                <w:sz w:val="24"/>
              </w:rPr>
            </w:pPr>
            <w:r>
              <w:rPr>
                <w:rFonts w:hint="eastAsia" w:ascii="宋体" w:hAnsi="宋体" w:cs="宋体"/>
                <w:kern w:val="0"/>
                <w:sz w:val="24"/>
              </w:rPr>
              <w:t>审批机关：/</w:t>
            </w:r>
          </w:p>
          <w:p w14:paraId="25D66D1B">
            <w:pPr>
              <w:autoSpaceDE w:val="0"/>
              <w:autoSpaceDN w:val="0"/>
              <w:adjustRightInd w:val="0"/>
              <w:snapToGrid w:val="0"/>
              <w:jc w:val="left"/>
              <w:rPr>
                <w:rFonts w:ascii="宋体" w:hAnsi="宋体" w:cs="宋体"/>
                <w:kern w:val="0"/>
                <w:sz w:val="24"/>
              </w:rPr>
            </w:pPr>
            <w:r>
              <w:rPr>
                <w:rFonts w:hint="eastAsia" w:ascii="宋体" w:hAnsi="宋体" w:cs="宋体"/>
                <w:kern w:val="0"/>
                <w:sz w:val="24"/>
              </w:rPr>
              <w:t>审批文件及文号：/</w:t>
            </w:r>
          </w:p>
        </w:tc>
      </w:tr>
      <w:tr w14:paraId="4540A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190" w:type="dxa"/>
            <w:gridSpan w:val="2"/>
            <w:vAlign w:val="center"/>
          </w:tcPr>
          <w:p w14:paraId="43B7B60E">
            <w:pPr>
              <w:adjustRightInd w:val="0"/>
              <w:snapToGrid w:val="0"/>
              <w:jc w:val="center"/>
              <w:rPr>
                <w:rFonts w:ascii="宋体" w:hAnsi="宋体" w:cs="宋体"/>
                <w:sz w:val="24"/>
              </w:rPr>
            </w:pPr>
            <w:r>
              <w:rPr>
                <w:rFonts w:hint="eastAsia" w:ascii="宋体" w:hAnsi="宋体" w:cs="宋体"/>
                <w:sz w:val="24"/>
              </w:rPr>
              <w:t>规划环境影响</w:t>
            </w:r>
          </w:p>
          <w:p w14:paraId="79CFFFB0">
            <w:pPr>
              <w:adjustRightInd w:val="0"/>
              <w:snapToGrid w:val="0"/>
              <w:jc w:val="center"/>
              <w:rPr>
                <w:rFonts w:ascii="宋体" w:hAnsi="宋体" w:cs="宋体"/>
                <w:kern w:val="0"/>
                <w:sz w:val="24"/>
              </w:rPr>
            </w:pPr>
            <w:r>
              <w:rPr>
                <w:rFonts w:hint="eastAsia" w:ascii="宋体" w:hAnsi="宋体" w:cs="宋体"/>
                <w:sz w:val="24"/>
              </w:rPr>
              <w:t>评价情况</w:t>
            </w:r>
          </w:p>
        </w:tc>
        <w:tc>
          <w:tcPr>
            <w:tcW w:w="6786" w:type="dxa"/>
            <w:gridSpan w:val="4"/>
            <w:vAlign w:val="center"/>
          </w:tcPr>
          <w:p w14:paraId="4A2F4B60">
            <w:pPr>
              <w:adjustRightInd w:val="0"/>
              <w:snapToGrid w:val="0"/>
              <w:spacing w:line="360" w:lineRule="auto"/>
              <w:rPr>
                <w:sz w:val="24"/>
              </w:rPr>
            </w:pPr>
            <w:r>
              <w:rPr>
                <w:rFonts w:hint="eastAsia"/>
                <w:sz w:val="24"/>
              </w:rPr>
              <w:t>规划环评：《安徽金寨经济开发区总体发展规划（2023-2035年）</w:t>
            </w:r>
          </w:p>
          <w:p w14:paraId="136B8CA7">
            <w:pPr>
              <w:adjustRightInd w:val="0"/>
              <w:snapToGrid w:val="0"/>
              <w:spacing w:line="360" w:lineRule="auto"/>
              <w:rPr>
                <w:sz w:val="24"/>
              </w:rPr>
            </w:pPr>
            <w:r>
              <w:rPr>
                <w:rFonts w:hint="eastAsia"/>
                <w:sz w:val="24"/>
              </w:rPr>
              <w:t>环境影响报告书》</w:t>
            </w:r>
          </w:p>
          <w:p w14:paraId="1FFF8FED">
            <w:pPr>
              <w:adjustRightInd w:val="0"/>
              <w:snapToGrid w:val="0"/>
              <w:spacing w:line="360" w:lineRule="auto"/>
              <w:rPr>
                <w:sz w:val="24"/>
              </w:rPr>
            </w:pPr>
            <w:r>
              <w:rPr>
                <w:rFonts w:hint="eastAsia"/>
                <w:sz w:val="24"/>
              </w:rPr>
              <w:t>审批部门：安徽省生态环境厅</w:t>
            </w:r>
          </w:p>
          <w:p w14:paraId="2A4145D9">
            <w:pPr>
              <w:adjustRightInd w:val="0"/>
              <w:snapToGrid w:val="0"/>
              <w:spacing w:line="360" w:lineRule="auto"/>
              <w:rPr>
                <w:sz w:val="24"/>
              </w:rPr>
            </w:pPr>
            <w:r>
              <w:rPr>
                <w:rFonts w:hint="eastAsia"/>
                <w:sz w:val="24"/>
              </w:rPr>
              <w:t>审批文件：安徽省生态环境厅关于印送《安徽金寨经济开发区总体发展规划（2023-2035年）环境影响报告书审查意见》的函</w:t>
            </w:r>
          </w:p>
          <w:p w14:paraId="3B910384">
            <w:pPr>
              <w:autoSpaceDE w:val="0"/>
              <w:autoSpaceDN w:val="0"/>
              <w:adjustRightInd w:val="0"/>
              <w:snapToGrid w:val="0"/>
              <w:rPr>
                <w:rFonts w:ascii="宋体" w:hAnsi="宋体" w:cs="宋体"/>
                <w:kern w:val="0"/>
                <w:sz w:val="24"/>
              </w:rPr>
            </w:pPr>
            <w:r>
              <w:rPr>
                <w:rFonts w:hint="eastAsia"/>
                <w:sz w:val="24"/>
              </w:rPr>
              <w:t>审批文号：皖环函[2024]38号</w:t>
            </w:r>
          </w:p>
        </w:tc>
      </w:tr>
      <w:tr w14:paraId="31619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2190" w:type="dxa"/>
            <w:gridSpan w:val="2"/>
            <w:vAlign w:val="center"/>
          </w:tcPr>
          <w:p w14:paraId="5D3DA997">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规划及规划环境</w:t>
            </w:r>
          </w:p>
          <w:p w14:paraId="219FFC52">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影响评价符合性分析</w:t>
            </w:r>
          </w:p>
        </w:tc>
        <w:tc>
          <w:tcPr>
            <w:tcW w:w="6786" w:type="dxa"/>
            <w:gridSpan w:val="4"/>
            <w:vAlign w:val="center"/>
          </w:tcPr>
          <w:p w14:paraId="4AA65184">
            <w:pPr>
              <w:adjustRightInd w:val="0"/>
              <w:snapToGrid w:val="0"/>
              <w:spacing w:line="500" w:lineRule="exact"/>
              <w:ind w:left="-2" w:leftChars="-20" w:hanging="40" w:hangingChars="17"/>
              <w:rPr>
                <w:bCs/>
                <w:color w:val="000000"/>
                <w:sz w:val="24"/>
              </w:rPr>
            </w:pPr>
            <w:r>
              <w:rPr>
                <w:rFonts w:hint="eastAsia"/>
                <w:bCs/>
                <w:color w:val="000000"/>
                <w:sz w:val="24"/>
              </w:rPr>
              <w:t>（1）与《安徽金寨经济开发区总体发展规划（2023-2035年）》（以下简称“规划”）相符性</w:t>
            </w:r>
          </w:p>
          <w:p w14:paraId="6991FF94">
            <w:pPr>
              <w:adjustRightInd w:val="0"/>
              <w:snapToGrid w:val="0"/>
              <w:spacing w:line="500" w:lineRule="exact"/>
              <w:ind w:firstLine="480" w:firstLineChars="200"/>
              <w:rPr>
                <w:bCs/>
                <w:color w:val="000000"/>
                <w:sz w:val="24"/>
              </w:rPr>
            </w:pPr>
            <w:r>
              <w:rPr>
                <w:rFonts w:hint="eastAsia"/>
                <w:bCs/>
                <w:color w:val="000000"/>
                <w:sz w:val="24"/>
              </w:rPr>
              <w:t>根据《安徽金寨经济开发区总体发展规划（2023-2035年）》，规划范围：金寨经开区面积为《安徽省自然资源厅关于核定安徽金寨经济开发区四至范围和面积的函》（皖自然资用函〔2020〕140号）核定的1114.4055公顷，金寨经开区范围包含2个地块，其中地块一（原安徽金寨经济开发区）面积142公顷，四至范围为：东至淠史杭灌渠路、南至北二路、西至史河大堤路、北至北六路；地块二面积972.4056公顷，四至范围为：西至梅山湖路，北至大别山路，东至响洪路，南至金刚台路。</w:t>
            </w:r>
          </w:p>
          <w:p w14:paraId="2106CDAC">
            <w:pPr>
              <w:adjustRightInd w:val="0"/>
              <w:snapToGrid w:val="0"/>
              <w:spacing w:line="500" w:lineRule="exact"/>
              <w:ind w:firstLine="480" w:firstLineChars="200"/>
              <w:rPr>
                <w:bCs/>
                <w:color w:val="000000"/>
                <w:sz w:val="24"/>
              </w:rPr>
            </w:pPr>
            <w:r>
              <w:rPr>
                <w:rFonts w:hint="eastAsia"/>
                <w:bCs/>
                <w:color w:val="000000"/>
                <w:sz w:val="24"/>
              </w:rPr>
              <w:t>主导产业：中医药大健康产业、电动助力车产业、光伏设备及零部件产业。</w:t>
            </w:r>
          </w:p>
          <w:p w14:paraId="1D0D1175">
            <w:pPr>
              <w:adjustRightInd w:val="0"/>
              <w:snapToGrid w:val="0"/>
              <w:spacing w:line="500" w:lineRule="exact"/>
              <w:ind w:firstLine="480" w:firstLineChars="200"/>
              <w:rPr>
                <w:bCs/>
                <w:color w:val="000000"/>
                <w:sz w:val="24"/>
              </w:rPr>
            </w:pPr>
            <w:r>
              <w:rPr>
                <w:rFonts w:hint="eastAsia"/>
                <w:bCs/>
                <w:color w:val="000000"/>
                <w:sz w:val="24"/>
              </w:rPr>
              <w:t>产业空间布局：</w:t>
            </w:r>
          </w:p>
          <w:p w14:paraId="19638468">
            <w:pPr>
              <w:adjustRightInd w:val="0"/>
              <w:snapToGrid w:val="0"/>
              <w:spacing w:line="500" w:lineRule="exact"/>
              <w:ind w:firstLine="480" w:firstLineChars="200"/>
              <w:rPr>
                <w:bCs/>
                <w:color w:val="000000"/>
                <w:sz w:val="24"/>
              </w:rPr>
            </w:pPr>
            <w:r>
              <w:rPr>
                <w:rFonts w:hint="eastAsia"/>
                <w:bCs/>
                <w:color w:val="000000"/>
                <w:sz w:val="24"/>
              </w:rPr>
              <w:t>（1）中医药大健康产业园</w:t>
            </w:r>
          </w:p>
          <w:p w14:paraId="19DB4786">
            <w:pPr>
              <w:adjustRightInd w:val="0"/>
              <w:snapToGrid w:val="0"/>
              <w:spacing w:line="500" w:lineRule="exact"/>
              <w:ind w:firstLine="480" w:firstLineChars="200"/>
              <w:rPr>
                <w:bCs/>
                <w:color w:val="000000"/>
                <w:sz w:val="24"/>
              </w:rPr>
            </w:pPr>
            <w:r>
              <w:rPr>
                <w:rFonts w:hint="eastAsia"/>
                <w:bCs/>
                <w:color w:val="000000"/>
                <w:sz w:val="24"/>
              </w:rPr>
              <w:t>在金寨经济开发区地块二中部布置中医药大健康产业园，该片区现状有建成部分中医药大健康产业，有辉鸿食品、久航生物、九信中药、先徽食品等企业，有利于相关产业集聚发展，大力发展中医药大健康产业特色化、品牌化发展，打造全省具有重要影响力的主导产业。</w:t>
            </w:r>
          </w:p>
          <w:p w14:paraId="0C53ACEF">
            <w:pPr>
              <w:adjustRightInd w:val="0"/>
              <w:snapToGrid w:val="0"/>
              <w:spacing w:line="500" w:lineRule="exact"/>
              <w:ind w:firstLine="480" w:firstLineChars="200"/>
              <w:rPr>
                <w:bCs/>
                <w:color w:val="000000"/>
                <w:sz w:val="24"/>
              </w:rPr>
            </w:pPr>
            <w:r>
              <w:rPr>
                <w:rFonts w:hint="eastAsia"/>
                <w:bCs/>
                <w:color w:val="000000"/>
                <w:sz w:val="24"/>
              </w:rPr>
              <w:t>（2）电动助力车产业园</w:t>
            </w:r>
          </w:p>
          <w:p w14:paraId="011E0AB8">
            <w:pPr>
              <w:adjustRightInd w:val="0"/>
              <w:snapToGrid w:val="0"/>
              <w:spacing w:line="500" w:lineRule="exact"/>
              <w:ind w:firstLine="480" w:firstLineChars="200"/>
              <w:rPr>
                <w:bCs/>
                <w:color w:val="000000"/>
                <w:sz w:val="24"/>
              </w:rPr>
            </w:pPr>
            <w:r>
              <w:rPr>
                <w:rFonts w:hint="eastAsia"/>
                <w:bCs/>
                <w:color w:val="000000"/>
                <w:sz w:val="24"/>
              </w:rPr>
              <w:t>在金寨经济开发区地块二天堂湖路以西规划布置电动助力车产业园。该片区依托新帆动力、鸿日电动车等企业，有利于引入大型电动助力车相关产业，有利于助力电动车各个节点企业集聚发展，上下游产品配套生产。</w:t>
            </w:r>
          </w:p>
          <w:p w14:paraId="788DE9AA">
            <w:pPr>
              <w:adjustRightInd w:val="0"/>
              <w:snapToGrid w:val="0"/>
              <w:spacing w:line="500" w:lineRule="exact"/>
              <w:ind w:firstLine="480" w:firstLineChars="200"/>
              <w:rPr>
                <w:bCs/>
                <w:color w:val="000000"/>
                <w:sz w:val="24"/>
              </w:rPr>
            </w:pPr>
            <w:r>
              <w:rPr>
                <w:rFonts w:hint="eastAsia"/>
                <w:bCs/>
                <w:color w:val="000000"/>
                <w:sz w:val="24"/>
              </w:rPr>
              <w:t>（3）光伏设备及零部件产业园</w:t>
            </w:r>
          </w:p>
          <w:p w14:paraId="774A2122">
            <w:pPr>
              <w:adjustRightInd w:val="0"/>
              <w:snapToGrid w:val="0"/>
              <w:spacing w:line="500" w:lineRule="exact"/>
              <w:ind w:firstLine="480" w:firstLineChars="200"/>
              <w:rPr>
                <w:bCs/>
                <w:color w:val="000000"/>
                <w:sz w:val="24"/>
              </w:rPr>
            </w:pPr>
            <w:r>
              <w:rPr>
                <w:rFonts w:hint="eastAsia"/>
                <w:bCs/>
                <w:color w:val="000000"/>
                <w:sz w:val="24"/>
              </w:rPr>
              <w:t>在金寨经济开发区地块二东侧规划布置光伏设备及零部件产业园，该片区现状已经有部分相关产业企业，并预留光伏切片、光伏配套、光伏组建等项目，有利于企业集聚发展，引入特色光伏设备及零部件企业，实现集聚发展，提高规模效应。</w:t>
            </w:r>
          </w:p>
          <w:p w14:paraId="71E5FCD3">
            <w:pPr>
              <w:adjustRightInd w:val="0"/>
              <w:snapToGrid w:val="0"/>
              <w:spacing w:line="500" w:lineRule="exact"/>
              <w:ind w:firstLine="480" w:firstLineChars="200"/>
              <w:rPr>
                <w:bCs/>
                <w:color w:val="000000"/>
                <w:sz w:val="24"/>
              </w:rPr>
            </w:pPr>
            <w:r>
              <w:rPr>
                <w:rFonts w:hint="eastAsia"/>
                <w:bCs/>
                <w:color w:val="000000"/>
                <w:sz w:val="24"/>
              </w:rPr>
              <w:t>（4）公共服务中心</w:t>
            </w:r>
          </w:p>
          <w:p w14:paraId="5DAE6076">
            <w:pPr>
              <w:adjustRightInd w:val="0"/>
              <w:snapToGrid w:val="0"/>
              <w:spacing w:line="500" w:lineRule="exact"/>
              <w:ind w:firstLine="480" w:firstLineChars="200"/>
              <w:rPr>
                <w:bCs/>
                <w:color w:val="000000"/>
                <w:sz w:val="24"/>
              </w:rPr>
            </w:pPr>
            <w:r>
              <w:rPr>
                <w:rFonts w:hint="eastAsia"/>
                <w:bCs/>
                <w:color w:val="000000"/>
                <w:sz w:val="24"/>
              </w:rPr>
              <w:t>在金寨经济开发区地块二北侧结合学校用地、交通场站用地布置公共服务中心，为园区企业提供配套服务功能。</w:t>
            </w:r>
          </w:p>
          <w:p w14:paraId="6B4DFF02">
            <w:pPr>
              <w:adjustRightInd w:val="0"/>
              <w:snapToGrid w:val="0"/>
              <w:spacing w:line="500" w:lineRule="exact"/>
              <w:ind w:firstLine="480" w:firstLineChars="200"/>
              <w:rPr>
                <w:bCs/>
                <w:color w:val="000000"/>
                <w:sz w:val="24"/>
              </w:rPr>
            </w:pPr>
            <w:r>
              <w:rPr>
                <w:rFonts w:hint="eastAsia"/>
                <w:bCs/>
                <w:color w:val="000000"/>
                <w:sz w:val="24"/>
              </w:rPr>
              <w:t>本项目行业类别属于</w:t>
            </w:r>
            <w:r>
              <w:rPr>
                <w:rFonts w:hint="eastAsia"/>
              </w:rPr>
              <w:t xml:space="preserve"> </w:t>
            </w:r>
            <w:r>
              <w:rPr>
                <w:rFonts w:hint="eastAsia"/>
                <w:bCs/>
                <w:color w:val="000000"/>
                <w:sz w:val="24"/>
              </w:rPr>
              <w:t>C3591 环境保护专用设备制造，属于开发区环境准入行业类别中的鼓励类，符合《安徽金寨经济开发区总体发展规划（2023-2035年）》。</w:t>
            </w:r>
          </w:p>
          <w:p w14:paraId="2A3CD255">
            <w:pPr>
              <w:numPr>
                <w:ilvl w:val="0"/>
                <w:numId w:val="1"/>
              </w:numPr>
              <w:adjustRightInd w:val="0"/>
              <w:snapToGrid w:val="0"/>
              <w:spacing w:line="500" w:lineRule="exact"/>
              <w:ind w:firstLine="480" w:firstLineChars="200"/>
              <w:rPr>
                <w:bCs/>
                <w:color w:val="000000"/>
                <w:sz w:val="24"/>
              </w:rPr>
            </w:pPr>
            <w:r>
              <w:rPr>
                <w:rFonts w:hint="eastAsia"/>
                <w:bCs/>
                <w:color w:val="000000"/>
                <w:sz w:val="24"/>
              </w:rPr>
              <w:t>与规划环境影响评价相符性分析</w:t>
            </w:r>
          </w:p>
          <w:p w14:paraId="7A5DE237">
            <w:pPr>
              <w:adjustRightInd w:val="0"/>
              <w:snapToGrid w:val="0"/>
              <w:spacing w:line="500" w:lineRule="exact"/>
              <w:ind w:firstLine="480" w:firstLineChars="200"/>
              <w:rPr>
                <w:bCs/>
                <w:color w:val="000000"/>
                <w:sz w:val="24"/>
              </w:rPr>
            </w:pPr>
            <w:r>
              <w:rPr>
                <w:rFonts w:hint="eastAsia"/>
                <w:bCs/>
                <w:color w:val="000000"/>
                <w:sz w:val="24"/>
              </w:rPr>
              <w:t>本项目与《安徽金寨经济开发区规划环境影响报告书》及其审查意见符合性分析详见下表。</w:t>
            </w:r>
          </w:p>
          <w:p w14:paraId="7EBC41ED">
            <w:pPr>
              <w:adjustRightInd w:val="0"/>
              <w:snapToGrid w:val="0"/>
              <w:spacing w:before="120" w:beforeLines="50" w:line="500" w:lineRule="exact"/>
              <w:jc w:val="center"/>
              <w:rPr>
                <w:b/>
                <w:sz w:val="24"/>
              </w:rPr>
            </w:pPr>
            <w:r>
              <w:rPr>
                <w:b/>
                <w:sz w:val="24"/>
              </w:rPr>
              <w:t>表1-</w:t>
            </w:r>
            <w:r>
              <w:rPr>
                <w:rFonts w:hint="eastAsia"/>
                <w:b/>
                <w:sz w:val="24"/>
              </w:rPr>
              <w:t>1</w:t>
            </w:r>
            <w:r>
              <w:rPr>
                <w:b/>
                <w:sz w:val="24"/>
              </w:rPr>
              <w:t xml:space="preserve"> </w:t>
            </w:r>
            <w:r>
              <w:rPr>
                <w:rFonts w:hint="eastAsia"/>
                <w:b/>
                <w:sz w:val="24"/>
              </w:rPr>
              <w:t>项目与规划环境影响评价符合性分析</w:t>
            </w:r>
          </w:p>
          <w:tbl>
            <w:tblPr>
              <w:tblStyle w:val="22"/>
              <w:tblW w:w="4998"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401"/>
              <w:gridCol w:w="2712"/>
              <w:gridCol w:w="682"/>
            </w:tblGrid>
            <w:tr w14:paraId="73587C3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6" w:type="pct"/>
                  <w:tcBorders>
                    <w:top w:val="single" w:color="auto" w:sz="12" w:space="0"/>
                    <w:left w:val="nil"/>
                    <w:bottom w:val="single" w:color="auto" w:sz="4" w:space="0"/>
                    <w:right w:val="single" w:color="auto" w:sz="4" w:space="0"/>
                  </w:tcBorders>
                  <w:vAlign w:val="center"/>
                </w:tcPr>
                <w:p w14:paraId="173A1B4F">
                  <w:pPr>
                    <w:pStyle w:val="14"/>
                    <w:widowControl/>
                    <w:jc w:val="center"/>
                    <w:rPr>
                      <w:b/>
                      <w:bCs/>
                      <w:color w:val="000000"/>
                      <w:sz w:val="21"/>
                      <w:szCs w:val="21"/>
                    </w:rPr>
                  </w:pPr>
                  <w:r>
                    <w:rPr>
                      <w:b/>
                      <w:bCs/>
                      <w:color w:val="000000"/>
                      <w:sz w:val="21"/>
                      <w:szCs w:val="21"/>
                    </w:rPr>
                    <w:t>序号</w:t>
                  </w:r>
                </w:p>
              </w:tc>
              <w:tc>
                <w:tcPr>
                  <w:tcW w:w="2358" w:type="pct"/>
                  <w:tcBorders>
                    <w:top w:val="single" w:color="auto" w:sz="12" w:space="0"/>
                    <w:left w:val="single" w:color="auto" w:sz="4" w:space="0"/>
                    <w:bottom w:val="single" w:color="auto" w:sz="4" w:space="0"/>
                    <w:right w:val="single" w:color="auto" w:sz="4" w:space="0"/>
                  </w:tcBorders>
                  <w:vAlign w:val="center"/>
                </w:tcPr>
                <w:p w14:paraId="2B366311">
                  <w:pPr>
                    <w:pStyle w:val="14"/>
                    <w:widowControl/>
                    <w:jc w:val="center"/>
                    <w:rPr>
                      <w:b/>
                      <w:bCs/>
                      <w:color w:val="000000"/>
                      <w:sz w:val="21"/>
                      <w:szCs w:val="21"/>
                    </w:rPr>
                  </w:pPr>
                  <w:r>
                    <w:rPr>
                      <w:rFonts w:hint="eastAsia"/>
                      <w:b/>
                      <w:bCs/>
                      <w:color w:val="000000"/>
                      <w:sz w:val="21"/>
                      <w:szCs w:val="21"/>
                    </w:rPr>
                    <w:t>规划环境影响评价要求</w:t>
                  </w:r>
                </w:p>
              </w:tc>
              <w:tc>
                <w:tcPr>
                  <w:tcW w:w="1880" w:type="pct"/>
                  <w:tcBorders>
                    <w:top w:val="single" w:color="auto" w:sz="12" w:space="0"/>
                    <w:left w:val="single" w:color="auto" w:sz="4" w:space="0"/>
                    <w:bottom w:val="single" w:color="auto" w:sz="4" w:space="0"/>
                    <w:right w:val="nil"/>
                  </w:tcBorders>
                  <w:vAlign w:val="center"/>
                </w:tcPr>
                <w:p w14:paraId="608353F2">
                  <w:pPr>
                    <w:pStyle w:val="14"/>
                    <w:widowControl/>
                    <w:jc w:val="center"/>
                    <w:rPr>
                      <w:b/>
                      <w:bCs/>
                      <w:color w:val="000000"/>
                      <w:sz w:val="21"/>
                      <w:szCs w:val="21"/>
                    </w:rPr>
                  </w:pPr>
                  <w:r>
                    <w:rPr>
                      <w:rFonts w:hint="eastAsia"/>
                      <w:b/>
                      <w:bCs/>
                      <w:color w:val="000000"/>
                      <w:sz w:val="21"/>
                      <w:szCs w:val="21"/>
                    </w:rPr>
                    <w:t>本项目情况</w:t>
                  </w:r>
                </w:p>
              </w:tc>
              <w:tc>
                <w:tcPr>
                  <w:tcW w:w="475" w:type="pct"/>
                  <w:tcBorders>
                    <w:top w:val="single" w:color="auto" w:sz="12" w:space="0"/>
                    <w:left w:val="single" w:color="auto" w:sz="4" w:space="0"/>
                    <w:bottom w:val="single" w:color="auto" w:sz="4" w:space="0"/>
                    <w:right w:val="nil"/>
                  </w:tcBorders>
                  <w:vAlign w:val="center"/>
                </w:tcPr>
                <w:p w14:paraId="293863C6">
                  <w:pPr>
                    <w:pStyle w:val="14"/>
                    <w:widowControl/>
                    <w:jc w:val="center"/>
                    <w:rPr>
                      <w:b/>
                      <w:bCs/>
                      <w:color w:val="000000"/>
                      <w:sz w:val="21"/>
                      <w:szCs w:val="21"/>
                    </w:rPr>
                  </w:pPr>
                  <w:r>
                    <w:rPr>
                      <w:rFonts w:hint="eastAsia"/>
                      <w:b/>
                      <w:bCs/>
                      <w:color w:val="000000"/>
                      <w:sz w:val="21"/>
                      <w:szCs w:val="21"/>
                    </w:rPr>
                    <w:t>是否符合</w:t>
                  </w:r>
                </w:p>
              </w:tc>
            </w:tr>
            <w:tr w14:paraId="7D4E9F3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6" w:type="pct"/>
                  <w:tcBorders>
                    <w:top w:val="single" w:color="auto" w:sz="4" w:space="0"/>
                    <w:left w:val="nil"/>
                    <w:bottom w:val="single" w:color="auto" w:sz="4" w:space="0"/>
                    <w:right w:val="single" w:color="auto" w:sz="4" w:space="0"/>
                  </w:tcBorders>
                  <w:vAlign w:val="center"/>
                </w:tcPr>
                <w:p w14:paraId="24A34425">
                  <w:pPr>
                    <w:pStyle w:val="14"/>
                    <w:widowControl/>
                    <w:jc w:val="center"/>
                    <w:rPr>
                      <w:color w:val="000000"/>
                      <w:sz w:val="21"/>
                      <w:szCs w:val="21"/>
                    </w:rPr>
                  </w:pPr>
                  <w:r>
                    <w:rPr>
                      <w:color w:val="000000"/>
                      <w:sz w:val="21"/>
                      <w:szCs w:val="21"/>
                    </w:rPr>
                    <w:t>1</w:t>
                  </w:r>
                </w:p>
              </w:tc>
              <w:tc>
                <w:tcPr>
                  <w:tcW w:w="2358" w:type="pct"/>
                  <w:tcBorders>
                    <w:top w:val="single" w:color="auto" w:sz="4" w:space="0"/>
                    <w:left w:val="single" w:color="auto" w:sz="4" w:space="0"/>
                    <w:bottom w:val="single" w:color="auto" w:sz="4" w:space="0"/>
                    <w:right w:val="single" w:color="auto" w:sz="4" w:space="0"/>
                  </w:tcBorders>
                  <w:vAlign w:val="center"/>
                </w:tcPr>
                <w:p w14:paraId="267A0F64">
                  <w:pPr>
                    <w:jc w:val="center"/>
                    <w:rPr>
                      <w:color w:val="000000"/>
                      <w:szCs w:val="21"/>
                    </w:rPr>
                  </w:pPr>
                  <w:r>
                    <w:rPr>
                      <w:rFonts w:hint="eastAsia"/>
                      <w:color w:val="000000"/>
                      <w:szCs w:val="21"/>
                    </w:rPr>
                    <w:t>严格按照省政府对开发区批复的主导产业功能定位，进一步优化开发区的产业结构，控制非开发区产业定位方向的项目入区建设，严格限制高能耗、高水耗、污染严重的项目入区。严禁建设国家产业政策、技术政策和环保法律法规政策明令禁止的项目。</w:t>
                  </w:r>
                </w:p>
              </w:tc>
              <w:tc>
                <w:tcPr>
                  <w:tcW w:w="1880" w:type="pct"/>
                  <w:tcBorders>
                    <w:top w:val="single" w:color="auto" w:sz="4" w:space="0"/>
                    <w:left w:val="single" w:color="auto" w:sz="4" w:space="0"/>
                    <w:bottom w:val="single" w:color="auto" w:sz="4" w:space="0"/>
                    <w:right w:val="nil"/>
                  </w:tcBorders>
                  <w:vAlign w:val="center"/>
                </w:tcPr>
                <w:p w14:paraId="33AD41E6">
                  <w:pPr>
                    <w:jc w:val="center"/>
                    <w:rPr>
                      <w:color w:val="000000"/>
                      <w:szCs w:val="21"/>
                    </w:rPr>
                  </w:pPr>
                  <w:r>
                    <w:rPr>
                      <w:rFonts w:hint="eastAsia"/>
                      <w:color w:val="000000"/>
                      <w:szCs w:val="21"/>
                    </w:rPr>
                    <w:t>本项目行业类别属于</w:t>
                  </w:r>
                  <w:r>
                    <w:rPr>
                      <w:rFonts w:hint="eastAsia"/>
                    </w:rPr>
                    <w:t xml:space="preserve">  </w:t>
                  </w:r>
                  <w:r>
                    <w:rPr>
                      <w:rFonts w:hint="eastAsia"/>
                      <w:color w:val="000000"/>
                      <w:szCs w:val="21"/>
                    </w:rPr>
                    <w:t>C3591 环境保护专用设备制造，属于开发区环境准入行业类别中的鼓励类。不属于国家产业政策、技术政策和环保法律法规政策明令禁止的项目。</w:t>
                  </w:r>
                </w:p>
              </w:tc>
              <w:tc>
                <w:tcPr>
                  <w:tcW w:w="475" w:type="pct"/>
                  <w:tcBorders>
                    <w:top w:val="single" w:color="auto" w:sz="4" w:space="0"/>
                    <w:left w:val="single" w:color="auto" w:sz="4" w:space="0"/>
                    <w:bottom w:val="single" w:color="auto" w:sz="4" w:space="0"/>
                    <w:right w:val="nil"/>
                  </w:tcBorders>
                  <w:vAlign w:val="center"/>
                </w:tcPr>
                <w:p w14:paraId="18C5F4D7">
                  <w:pPr>
                    <w:jc w:val="center"/>
                    <w:rPr>
                      <w:color w:val="000000"/>
                      <w:szCs w:val="21"/>
                    </w:rPr>
                  </w:pPr>
                  <w:r>
                    <w:rPr>
                      <w:rFonts w:hint="eastAsia"/>
                      <w:color w:val="000000"/>
                      <w:szCs w:val="21"/>
                    </w:rPr>
                    <w:t>符合</w:t>
                  </w:r>
                </w:p>
              </w:tc>
            </w:tr>
            <w:tr w14:paraId="1B973D9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6" w:type="pct"/>
                  <w:tcBorders>
                    <w:top w:val="single" w:color="auto" w:sz="4" w:space="0"/>
                    <w:left w:val="nil"/>
                    <w:bottom w:val="single" w:color="auto" w:sz="4" w:space="0"/>
                    <w:right w:val="single" w:color="auto" w:sz="4" w:space="0"/>
                  </w:tcBorders>
                  <w:vAlign w:val="center"/>
                </w:tcPr>
                <w:p w14:paraId="4C3FDDC5">
                  <w:pPr>
                    <w:pStyle w:val="14"/>
                    <w:widowControl/>
                    <w:jc w:val="center"/>
                    <w:rPr>
                      <w:color w:val="000000"/>
                      <w:sz w:val="21"/>
                      <w:szCs w:val="21"/>
                    </w:rPr>
                  </w:pPr>
                  <w:r>
                    <w:rPr>
                      <w:color w:val="000000"/>
                      <w:sz w:val="21"/>
                      <w:szCs w:val="21"/>
                    </w:rPr>
                    <w:t>2</w:t>
                  </w:r>
                </w:p>
              </w:tc>
              <w:tc>
                <w:tcPr>
                  <w:tcW w:w="2358" w:type="pct"/>
                  <w:tcBorders>
                    <w:top w:val="single" w:color="auto" w:sz="4" w:space="0"/>
                    <w:left w:val="single" w:color="auto" w:sz="4" w:space="0"/>
                    <w:bottom w:val="single" w:color="auto" w:sz="4" w:space="0"/>
                    <w:right w:val="single" w:color="auto" w:sz="4" w:space="0"/>
                  </w:tcBorders>
                  <w:vAlign w:val="center"/>
                </w:tcPr>
                <w:p w14:paraId="492BBD16">
                  <w:pPr>
                    <w:jc w:val="center"/>
                    <w:rPr>
                      <w:color w:val="000000"/>
                      <w:szCs w:val="21"/>
                    </w:rPr>
                  </w:pPr>
                  <w:r>
                    <w:rPr>
                      <w:rFonts w:hint="eastAsia"/>
                      <w:color w:val="000000"/>
                      <w:szCs w:val="21"/>
                    </w:rPr>
                    <w:t>开发区实行雨污分流，加快开发区污水处理厂及配套管网建设进度，完善排水系统。在开发区污水处理厂建成投入运行前，所有入区企业污水排放必须达到《污水综合排放标准》(GB8978-1996）一级标准；开发区污水处理厂建成运行后，各企业污水须达到接管标准，集中处理开发区各种污水。</w:t>
                  </w:r>
                </w:p>
              </w:tc>
              <w:tc>
                <w:tcPr>
                  <w:tcW w:w="1880" w:type="pct"/>
                  <w:tcBorders>
                    <w:top w:val="single" w:color="auto" w:sz="4" w:space="0"/>
                    <w:left w:val="single" w:color="auto" w:sz="4" w:space="0"/>
                    <w:bottom w:val="single" w:color="auto" w:sz="4" w:space="0"/>
                    <w:right w:val="nil"/>
                  </w:tcBorders>
                  <w:vAlign w:val="center"/>
                </w:tcPr>
                <w:p w14:paraId="2E01CBC3">
                  <w:pPr>
                    <w:jc w:val="center"/>
                    <w:rPr>
                      <w:color w:val="000000"/>
                      <w:szCs w:val="21"/>
                    </w:rPr>
                  </w:pPr>
                  <w:r>
                    <w:rPr>
                      <w:rFonts w:hint="eastAsia"/>
                      <w:color w:val="000000"/>
                      <w:szCs w:val="21"/>
                    </w:rPr>
                    <w:t>区域污水处理厂及配套管网已建设完善并投入运行，本次新建项目生活污水进入金寨开发区污水处理厂处理。</w:t>
                  </w:r>
                </w:p>
              </w:tc>
              <w:tc>
                <w:tcPr>
                  <w:tcW w:w="475" w:type="pct"/>
                  <w:tcBorders>
                    <w:top w:val="single" w:color="auto" w:sz="4" w:space="0"/>
                    <w:left w:val="single" w:color="auto" w:sz="4" w:space="0"/>
                    <w:bottom w:val="single" w:color="auto" w:sz="4" w:space="0"/>
                    <w:right w:val="nil"/>
                  </w:tcBorders>
                  <w:vAlign w:val="center"/>
                </w:tcPr>
                <w:p w14:paraId="15F2B85B">
                  <w:pPr>
                    <w:jc w:val="center"/>
                    <w:rPr>
                      <w:color w:val="000000"/>
                      <w:szCs w:val="21"/>
                    </w:rPr>
                  </w:pPr>
                  <w:r>
                    <w:rPr>
                      <w:rFonts w:hint="eastAsia"/>
                      <w:color w:val="000000"/>
                      <w:szCs w:val="21"/>
                    </w:rPr>
                    <w:t>符合</w:t>
                  </w:r>
                </w:p>
              </w:tc>
            </w:tr>
            <w:tr w14:paraId="30E72E0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6" w:type="pct"/>
                  <w:tcBorders>
                    <w:top w:val="single" w:color="auto" w:sz="4" w:space="0"/>
                    <w:left w:val="nil"/>
                    <w:bottom w:val="single" w:color="auto" w:sz="4" w:space="0"/>
                    <w:right w:val="single" w:color="auto" w:sz="4" w:space="0"/>
                  </w:tcBorders>
                  <w:vAlign w:val="center"/>
                </w:tcPr>
                <w:p w14:paraId="1422D573">
                  <w:pPr>
                    <w:pStyle w:val="14"/>
                    <w:widowControl/>
                    <w:jc w:val="center"/>
                    <w:rPr>
                      <w:color w:val="000000"/>
                      <w:sz w:val="21"/>
                      <w:szCs w:val="21"/>
                    </w:rPr>
                  </w:pPr>
                  <w:r>
                    <w:rPr>
                      <w:color w:val="000000"/>
                      <w:sz w:val="21"/>
                      <w:szCs w:val="21"/>
                    </w:rPr>
                    <w:t>3</w:t>
                  </w:r>
                </w:p>
              </w:tc>
              <w:tc>
                <w:tcPr>
                  <w:tcW w:w="2358" w:type="pct"/>
                  <w:tcBorders>
                    <w:top w:val="single" w:color="auto" w:sz="4" w:space="0"/>
                    <w:left w:val="single" w:color="auto" w:sz="4" w:space="0"/>
                    <w:bottom w:val="single" w:color="auto" w:sz="4" w:space="0"/>
                    <w:right w:val="single" w:color="auto" w:sz="4" w:space="0"/>
                  </w:tcBorders>
                  <w:vAlign w:val="center"/>
                </w:tcPr>
                <w:p w14:paraId="17635F77">
                  <w:pPr>
                    <w:jc w:val="center"/>
                    <w:rPr>
                      <w:color w:val="000000"/>
                      <w:szCs w:val="21"/>
                    </w:rPr>
                  </w:pPr>
                  <w:r>
                    <w:rPr>
                      <w:rFonts w:hint="eastAsia"/>
                      <w:color w:val="000000"/>
                      <w:szCs w:val="21"/>
                    </w:rPr>
                    <w:t>优化开发区能源结构，优先使用清洁能源，禁止新建小型燃煤和燃重油锅炉，进一步论证开发区集中供热的可行性。</w:t>
                  </w:r>
                </w:p>
              </w:tc>
              <w:tc>
                <w:tcPr>
                  <w:tcW w:w="1880" w:type="pct"/>
                  <w:tcBorders>
                    <w:top w:val="single" w:color="auto" w:sz="4" w:space="0"/>
                    <w:left w:val="single" w:color="auto" w:sz="4" w:space="0"/>
                    <w:bottom w:val="single" w:color="auto" w:sz="4" w:space="0"/>
                    <w:right w:val="nil"/>
                  </w:tcBorders>
                  <w:vAlign w:val="center"/>
                </w:tcPr>
                <w:p w14:paraId="5A522508">
                  <w:pPr>
                    <w:jc w:val="center"/>
                    <w:rPr>
                      <w:color w:val="000000"/>
                      <w:szCs w:val="21"/>
                    </w:rPr>
                  </w:pPr>
                  <w:r>
                    <w:rPr>
                      <w:rFonts w:hint="eastAsia"/>
                      <w:color w:val="000000"/>
                      <w:szCs w:val="21"/>
                    </w:rPr>
                    <w:t>本项目生产过程不新建燃煤或燃重油锅炉供热，项目不使用锅炉。</w:t>
                  </w:r>
                </w:p>
              </w:tc>
              <w:tc>
                <w:tcPr>
                  <w:tcW w:w="475" w:type="pct"/>
                  <w:tcBorders>
                    <w:top w:val="single" w:color="auto" w:sz="4" w:space="0"/>
                    <w:left w:val="single" w:color="auto" w:sz="4" w:space="0"/>
                    <w:bottom w:val="single" w:color="auto" w:sz="4" w:space="0"/>
                    <w:right w:val="nil"/>
                  </w:tcBorders>
                  <w:vAlign w:val="center"/>
                </w:tcPr>
                <w:p w14:paraId="1C6384B7">
                  <w:pPr>
                    <w:jc w:val="center"/>
                    <w:rPr>
                      <w:color w:val="000000"/>
                      <w:szCs w:val="21"/>
                    </w:rPr>
                  </w:pPr>
                  <w:r>
                    <w:rPr>
                      <w:rFonts w:hint="eastAsia"/>
                      <w:color w:val="000000"/>
                      <w:szCs w:val="21"/>
                    </w:rPr>
                    <w:t>符合</w:t>
                  </w:r>
                </w:p>
              </w:tc>
            </w:tr>
            <w:tr w14:paraId="067A4E4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6" w:type="pct"/>
                  <w:tcBorders>
                    <w:top w:val="single" w:color="auto" w:sz="4" w:space="0"/>
                    <w:left w:val="nil"/>
                    <w:bottom w:val="single" w:color="auto" w:sz="4" w:space="0"/>
                    <w:right w:val="single" w:color="auto" w:sz="4" w:space="0"/>
                  </w:tcBorders>
                  <w:vAlign w:val="center"/>
                </w:tcPr>
                <w:p w14:paraId="2FDDC2AC">
                  <w:pPr>
                    <w:pStyle w:val="14"/>
                    <w:widowControl/>
                    <w:jc w:val="center"/>
                    <w:rPr>
                      <w:color w:val="000000"/>
                      <w:sz w:val="21"/>
                      <w:szCs w:val="21"/>
                    </w:rPr>
                  </w:pPr>
                  <w:r>
                    <w:rPr>
                      <w:color w:val="000000"/>
                      <w:sz w:val="21"/>
                      <w:szCs w:val="21"/>
                    </w:rPr>
                    <w:t>4</w:t>
                  </w:r>
                </w:p>
              </w:tc>
              <w:tc>
                <w:tcPr>
                  <w:tcW w:w="2358" w:type="pct"/>
                  <w:tcBorders>
                    <w:top w:val="single" w:color="auto" w:sz="4" w:space="0"/>
                    <w:left w:val="single" w:color="auto" w:sz="4" w:space="0"/>
                    <w:bottom w:val="single" w:color="auto" w:sz="4" w:space="0"/>
                    <w:right w:val="single" w:color="auto" w:sz="4" w:space="0"/>
                  </w:tcBorders>
                  <w:vAlign w:val="center"/>
                </w:tcPr>
                <w:p w14:paraId="69820B30">
                  <w:pPr>
                    <w:jc w:val="center"/>
                    <w:rPr>
                      <w:color w:val="000000"/>
                      <w:szCs w:val="21"/>
                    </w:rPr>
                  </w:pPr>
                  <w:r>
                    <w:rPr>
                      <w:rFonts w:hint="eastAsia"/>
                      <w:color w:val="000000"/>
                      <w:szCs w:val="21"/>
                    </w:rPr>
                    <w:t>开发区内危险废物的收集、贮存应符合《危险废物贮存污染控制标准》(GB18597-2023)的规定要求。按要求处置生活垃圾及工业固废，防止造成二次污染。声环境执行相应功能区标准，施工期噪声执行《建筑施工场界噪声限值》中有关规定。</w:t>
                  </w:r>
                </w:p>
              </w:tc>
              <w:tc>
                <w:tcPr>
                  <w:tcW w:w="1880" w:type="pct"/>
                  <w:tcBorders>
                    <w:top w:val="single" w:color="auto" w:sz="4" w:space="0"/>
                    <w:left w:val="single" w:color="auto" w:sz="4" w:space="0"/>
                    <w:bottom w:val="single" w:color="auto" w:sz="4" w:space="0"/>
                    <w:right w:val="nil"/>
                  </w:tcBorders>
                  <w:vAlign w:val="center"/>
                </w:tcPr>
                <w:p w14:paraId="3CF40DF3">
                  <w:pPr>
                    <w:jc w:val="center"/>
                    <w:rPr>
                      <w:color w:val="000000"/>
                      <w:szCs w:val="21"/>
                    </w:rPr>
                  </w:pPr>
                  <w:r>
                    <w:rPr>
                      <w:rFonts w:hint="eastAsia"/>
                      <w:color w:val="000000"/>
                      <w:szCs w:val="21"/>
                    </w:rPr>
                    <w:t>本项目拟严格按照《一般工业固体废物贮存和填埋污染控制标准》（GB18599-2020）。施工期噪声拟严格执行《建筑施工场界环境噪声排放标准》（GB12523-2011）中有关规定。</w:t>
                  </w:r>
                </w:p>
              </w:tc>
              <w:tc>
                <w:tcPr>
                  <w:tcW w:w="475" w:type="pct"/>
                  <w:tcBorders>
                    <w:top w:val="single" w:color="auto" w:sz="4" w:space="0"/>
                    <w:left w:val="single" w:color="auto" w:sz="4" w:space="0"/>
                    <w:bottom w:val="single" w:color="auto" w:sz="4" w:space="0"/>
                    <w:right w:val="nil"/>
                  </w:tcBorders>
                  <w:vAlign w:val="center"/>
                </w:tcPr>
                <w:p w14:paraId="79C7F120">
                  <w:pPr>
                    <w:jc w:val="center"/>
                    <w:rPr>
                      <w:color w:val="000000"/>
                      <w:szCs w:val="21"/>
                    </w:rPr>
                  </w:pPr>
                  <w:r>
                    <w:rPr>
                      <w:rFonts w:hint="eastAsia"/>
                      <w:color w:val="000000"/>
                      <w:szCs w:val="21"/>
                    </w:rPr>
                    <w:t>符合</w:t>
                  </w:r>
                </w:p>
              </w:tc>
            </w:tr>
          </w:tbl>
          <w:p w14:paraId="1D194113">
            <w:pPr>
              <w:numPr>
                <w:ilvl w:val="0"/>
                <w:numId w:val="1"/>
              </w:numPr>
              <w:adjustRightInd w:val="0"/>
              <w:snapToGrid w:val="0"/>
              <w:spacing w:line="500" w:lineRule="exact"/>
              <w:ind w:firstLine="480" w:firstLineChars="200"/>
              <w:rPr>
                <w:bCs/>
                <w:color w:val="000000"/>
                <w:sz w:val="24"/>
              </w:rPr>
            </w:pPr>
            <w:r>
              <w:rPr>
                <w:rFonts w:hint="eastAsia"/>
                <w:bCs/>
                <w:color w:val="000000"/>
                <w:sz w:val="24"/>
              </w:rPr>
              <w:t>与规划环境影响跟踪评价相符性分析</w:t>
            </w:r>
          </w:p>
          <w:p w14:paraId="6CE23C7B">
            <w:pPr>
              <w:adjustRightInd w:val="0"/>
              <w:snapToGrid w:val="0"/>
              <w:spacing w:before="120" w:beforeLines="50" w:line="500" w:lineRule="exact"/>
              <w:ind w:firstLine="480" w:firstLineChars="200"/>
              <w:rPr>
                <w:bCs/>
                <w:color w:val="000000"/>
                <w:sz w:val="24"/>
              </w:rPr>
            </w:pPr>
            <w:r>
              <w:rPr>
                <w:rFonts w:hint="eastAsia"/>
                <w:bCs/>
                <w:color w:val="000000"/>
                <w:sz w:val="24"/>
              </w:rPr>
              <w:t>本项目与《金寨经济开发区规划环境影响跟踪评价报告书》及其审查意见符合性分析详见下表。</w:t>
            </w:r>
          </w:p>
          <w:p w14:paraId="3E373EEF">
            <w:pPr>
              <w:adjustRightInd w:val="0"/>
              <w:snapToGrid w:val="0"/>
              <w:spacing w:before="120" w:beforeLines="50" w:line="500" w:lineRule="exact"/>
              <w:jc w:val="center"/>
              <w:rPr>
                <w:b/>
                <w:sz w:val="24"/>
              </w:rPr>
            </w:pPr>
            <w:r>
              <w:rPr>
                <w:b/>
                <w:sz w:val="24"/>
              </w:rPr>
              <w:t>表1-</w:t>
            </w:r>
            <w:r>
              <w:rPr>
                <w:rFonts w:hint="eastAsia"/>
                <w:b/>
                <w:sz w:val="24"/>
              </w:rPr>
              <w:t>2</w:t>
            </w:r>
            <w:r>
              <w:rPr>
                <w:b/>
                <w:sz w:val="24"/>
              </w:rPr>
              <w:t xml:space="preserve"> </w:t>
            </w:r>
            <w:r>
              <w:rPr>
                <w:rFonts w:hint="eastAsia"/>
                <w:b/>
                <w:sz w:val="24"/>
              </w:rPr>
              <w:t>项目与规划环境影响评价符合性分析</w:t>
            </w:r>
          </w:p>
          <w:tbl>
            <w:tblPr>
              <w:tblStyle w:val="22"/>
              <w:tblW w:w="4998"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401"/>
              <w:gridCol w:w="2712"/>
              <w:gridCol w:w="682"/>
            </w:tblGrid>
            <w:tr w14:paraId="7B39217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6" w:type="pct"/>
                  <w:tcBorders>
                    <w:top w:val="single" w:color="auto" w:sz="12" w:space="0"/>
                    <w:left w:val="nil"/>
                    <w:bottom w:val="single" w:color="auto" w:sz="4" w:space="0"/>
                    <w:right w:val="single" w:color="auto" w:sz="4" w:space="0"/>
                  </w:tcBorders>
                  <w:vAlign w:val="center"/>
                </w:tcPr>
                <w:p w14:paraId="6876213A">
                  <w:pPr>
                    <w:pStyle w:val="14"/>
                    <w:widowControl/>
                    <w:jc w:val="center"/>
                    <w:rPr>
                      <w:b/>
                      <w:bCs/>
                      <w:color w:val="000000"/>
                      <w:sz w:val="21"/>
                      <w:szCs w:val="21"/>
                    </w:rPr>
                  </w:pPr>
                  <w:r>
                    <w:rPr>
                      <w:b/>
                      <w:bCs/>
                      <w:color w:val="000000"/>
                      <w:sz w:val="21"/>
                      <w:szCs w:val="21"/>
                    </w:rPr>
                    <w:t>序号</w:t>
                  </w:r>
                </w:p>
              </w:tc>
              <w:tc>
                <w:tcPr>
                  <w:tcW w:w="2358" w:type="pct"/>
                  <w:tcBorders>
                    <w:top w:val="single" w:color="auto" w:sz="12" w:space="0"/>
                    <w:left w:val="single" w:color="auto" w:sz="4" w:space="0"/>
                    <w:bottom w:val="single" w:color="auto" w:sz="4" w:space="0"/>
                    <w:right w:val="single" w:color="auto" w:sz="4" w:space="0"/>
                  </w:tcBorders>
                  <w:vAlign w:val="center"/>
                </w:tcPr>
                <w:p w14:paraId="16E59613">
                  <w:pPr>
                    <w:pStyle w:val="14"/>
                    <w:widowControl/>
                    <w:jc w:val="center"/>
                    <w:rPr>
                      <w:b/>
                      <w:bCs/>
                      <w:color w:val="000000"/>
                      <w:sz w:val="21"/>
                      <w:szCs w:val="21"/>
                    </w:rPr>
                  </w:pPr>
                  <w:r>
                    <w:rPr>
                      <w:rFonts w:hint="eastAsia"/>
                      <w:b/>
                      <w:bCs/>
                      <w:color w:val="000000"/>
                      <w:sz w:val="21"/>
                      <w:szCs w:val="21"/>
                    </w:rPr>
                    <w:t>规划环境影响评价要求</w:t>
                  </w:r>
                </w:p>
              </w:tc>
              <w:tc>
                <w:tcPr>
                  <w:tcW w:w="1880" w:type="pct"/>
                  <w:tcBorders>
                    <w:top w:val="single" w:color="auto" w:sz="12" w:space="0"/>
                    <w:left w:val="single" w:color="auto" w:sz="4" w:space="0"/>
                    <w:bottom w:val="single" w:color="auto" w:sz="4" w:space="0"/>
                    <w:right w:val="nil"/>
                  </w:tcBorders>
                  <w:vAlign w:val="center"/>
                </w:tcPr>
                <w:p w14:paraId="00BB0EE1">
                  <w:pPr>
                    <w:pStyle w:val="14"/>
                    <w:widowControl/>
                    <w:jc w:val="center"/>
                    <w:rPr>
                      <w:b/>
                      <w:bCs/>
                      <w:color w:val="000000"/>
                      <w:sz w:val="21"/>
                      <w:szCs w:val="21"/>
                    </w:rPr>
                  </w:pPr>
                  <w:r>
                    <w:rPr>
                      <w:rFonts w:hint="eastAsia"/>
                      <w:b/>
                      <w:bCs/>
                      <w:color w:val="000000"/>
                      <w:sz w:val="21"/>
                      <w:szCs w:val="21"/>
                    </w:rPr>
                    <w:t>本项目情况</w:t>
                  </w:r>
                </w:p>
              </w:tc>
              <w:tc>
                <w:tcPr>
                  <w:tcW w:w="475" w:type="pct"/>
                  <w:tcBorders>
                    <w:top w:val="single" w:color="auto" w:sz="12" w:space="0"/>
                    <w:left w:val="single" w:color="auto" w:sz="4" w:space="0"/>
                    <w:bottom w:val="single" w:color="auto" w:sz="4" w:space="0"/>
                    <w:right w:val="nil"/>
                  </w:tcBorders>
                  <w:vAlign w:val="center"/>
                </w:tcPr>
                <w:p w14:paraId="23367527">
                  <w:pPr>
                    <w:pStyle w:val="14"/>
                    <w:widowControl/>
                    <w:jc w:val="center"/>
                    <w:rPr>
                      <w:b/>
                      <w:bCs/>
                      <w:color w:val="000000"/>
                      <w:sz w:val="21"/>
                      <w:szCs w:val="21"/>
                    </w:rPr>
                  </w:pPr>
                  <w:r>
                    <w:rPr>
                      <w:rFonts w:hint="eastAsia"/>
                      <w:b/>
                      <w:bCs/>
                      <w:color w:val="000000"/>
                      <w:sz w:val="21"/>
                      <w:szCs w:val="21"/>
                    </w:rPr>
                    <w:t>是否符合</w:t>
                  </w:r>
                </w:p>
              </w:tc>
            </w:tr>
            <w:tr w14:paraId="2DBFC8F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6" w:type="pct"/>
                  <w:tcBorders>
                    <w:top w:val="single" w:color="auto" w:sz="4" w:space="0"/>
                    <w:left w:val="nil"/>
                    <w:bottom w:val="single" w:color="auto" w:sz="4" w:space="0"/>
                    <w:right w:val="single" w:color="auto" w:sz="4" w:space="0"/>
                  </w:tcBorders>
                  <w:vAlign w:val="center"/>
                </w:tcPr>
                <w:p w14:paraId="59C60F29">
                  <w:pPr>
                    <w:pStyle w:val="14"/>
                    <w:widowControl/>
                    <w:jc w:val="center"/>
                    <w:rPr>
                      <w:color w:val="000000"/>
                      <w:sz w:val="21"/>
                      <w:szCs w:val="21"/>
                    </w:rPr>
                  </w:pPr>
                  <w:r>
                    <w:rPr>
                      <w:color w:val="000000"/>
                      <w:sz w:val="21"/>
                      <w:szCs w:val="21"/>
                    </w:rPr>
                    <w:t>1</w:t>
                  </w:r>
                </w:p>
              </w:tc>
              <w:tc>
                <w:tcPr>
                  <w:tcW w:w="2358" w:type="pct"/>
                  <w:tcBorders>
                    <w:top w:val="single" w:color="auto" w:sz="4" w:space="0"/>
                    <w:left w:val="single" w:color="auto" w:sz="4" w:space="0"/>
                    <w:bottom w:val="single" w:color="auto" w:sz="4" w:space="0"/>
                    <w:right w:val="single" w:color="auto" w:sz="4" w:space="0"/>
                  </w:tcBorders>
                  <w:vAlign w:val="center"/>
                </w:tcPr>
                <w:p w14:paraId="1E408538">
                  <w:pPr>
                    <w:jc w:val="center"/>
                    <w:rPr>
                      <w:color w:val="000000"/>
                      <w:szCs w:val="21"/>
                    </w:rPr>
                  </w:pPr>
                  <w:r>
                    <w:rPr>
                      <w:rFonts w:hint="eastAsia"/>
                      <w:color w:val="000000"/>
                      <w:szCs w:val="21"/>
                    </w:rPr>
                    <w:t>合理划定工业用地类别，对不符合规划的二类工业用地项目实施技术改造，对不符合功能分区且环境影响较大的项目要逐步从开发区退出。实施技术改造应结合《金寨县城总体规划》，对开发区进行产业修订，进一步优化整体布局，规范开发区开发建设活动。</w:t>
                  </w:r>
                </w:p>
              </w:tc>
              <w:tc>
                <w:tcPr>
                  <w:tcW w:w="1880" w:type="pct"/>
                  <w:tcBorders>
                    <w:top w:val="single" w:color="auto" w:sz="4" w:space="0"/>
                    <w:left w:val="single" w:color="auto" w:sz="4" w:space="0"/>
                    <w:bottom w:val="single" w:color="auto" w:sz="4" w:space="0"/>
                    <w:right w:val="nil"/>
                  </w:tcBorders>
                  <w:vAlign w:val="center"/>
                </w:tcPr>
                <w:p w14:paraId="2C436958">
                  <w:pPr>
                    <w:jc w:val="center"/>
                    <w:rPr>
                      <w:color w:val="000000"/>
                      <w:szCs w:val="21"/>
                    </w:rPr>
                  </w:pPr>
                  <w:r>
                    <w:rPr>
                      <w:rFonts w:hint="eastAsia"/>
                      <w:color w:val="000000"/>
                      <w:szCs w:val="21"/>
                    </w:rPr>
                    <w:t>本项目属于产业政策中的鼓励类项目，符合规划用地要求。</w:t>
                  </w:r>
                </w:p>
              </w:tc>
              <w:tc>
                <w:tcPr>
                  <w:tcW w:w="475" w:type="pct"/>
                  <w:tcBorders>
                    <w:top w:val="single" w:color="auto" w:sz="4" w:space="0"/>
                    <w:left w:val="single" w:color="auto" w:sz="4" w:space="0"/>
                    <w:bottom w:val="single" w:color="auto" w:sz="4" w:space="0"/>
                    <w:right w:val="nil"/>
                  </w:tcBorders>
                  <w:vAlign w:val="center"/>
                </w:tcPr>
                <w:p w14:paraId="312D310F">
                  <w:pPr>
                    <w:jc w:val="center"/>
                    <w:rPr>
                      <w:color w:val="000000"/>
                      <w:szCs w:val="21"/>
                    </w:rPr>
                  </w:pPr>
                  <w:r>
                    <w:rPr>
                      <w:rFonts w:hint="eastAsia"/>
                      <w:color w:val="000000"/>
                      <w:szCs w:val="21"/>
                    </w:rPr>
                    <w:t>符合</w:t>
                  </w:r>
                </w:p>
              </w:tc>
            </w:tr>
            <w:tr w14:paraId="613E4F1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6" w:type="pct"/>
                  <w:tcBorders>
                    <w:top w:val="single" w:color="auto" w:sz="4" w:space="0"/>
                    <w:left w:val="nil"/>
                    <w:bottom w:val="single" w:color="auto" w:sz="4" w:space="0"/>
                    <w:right w:val="single" w:color="auto" w:sz="4" w:space="0"/>
                  </w:tcBorders>
                  <w:vAlign w:val="center"/>
                </w:tcPr>
                <w:p w14:paraId="318E891F">
                  <w:pPr>
                    <w:pStyle w:val="14"/>
                    <w:widowControl/>
                    <w:jc w:val="center"/>
                    <w:rPr>
                      <w:color w:val="000000"/>
                      <w:sz w:val="21"/>
                      <w:szCs w:val="21"/>
                    </w:rPr>
                  </w:pPr>
                  <w:r>
                    <w:rPr>
                      <w:color w:val="000000"/>
                      <w:sz w:val="21"/>
                      <w:szCs w:val="21"/>
                    </w:rPr>
                    <w:t>2</w:t>
                  </w:r>
                </w:p>
              </w:tc>
              <w:tc>
                <w:tcPr>
                  <w:tcW w:w="2358" w:type="pct"/>
                  <w:tcBorders>
                    <w:top w:val="single" w:color="auto" w:sz="4" w:space="0"/>
                    <w:left w:val="single" w:color="auto" w:sz="4" w:space="0"/>
                    <w:bottom w:val="single" w:color="auto" w:sz="4" w:space="0"/>
                    <w:right w:val="single" w:color="auto" w:sz="4" w:space="0"/>
                  </w:tcBorders>
                  <w:vAlign w:val="center"/>
                </w:tcPr>
                <w:p w14:paraId="442F43BA">
                  <w:pPr>
                    <w:jc w:val="center"/>
                    <w:rPr>
                      <w:color w:val="000000"/>
                      <w:szCs w:val="21"/>
                    </w:rPr>
                  </w:pPr>
                  <w:r>
                    <w:rPr>
                      <w:rFonts w:hint="eastAsia"/>
                      <w:color w:val="000000"/>
                      <w:szCs w:val="21"/>
                    </w:rPr>
                    <w:t>完善开发区环境基础设施建设，完善中水回用设施，提高中水利用率。根据用热需求，采取适宜的集中供热方式，加快区域清洁能源替代，淘汰天然气锅炉，加快推进区内燃气锅炉低氮改造。</w:t>
                  </w:r>
                </w:p>
              </w:tc>
              <w:tc>
                <w:tcPr>
                  <w:tcW w:w="1880" w:type="pct"/>
                  <w:tcBorders>
                    <w:top w:val="single" w:color="auto" w:sz="4" w:space="0"/>
                    <w:left w:val="single" w:color="auto" w:sz="4" w:space="0"/>
                    <w:bottom w:val="single" w:color="auto" w:sz="4" w:space="0"/>
                    <w:right w:val="nil"/>
                  </w:tcBorders>
                  <w:vAlign w:val="center"/>
                </w:tcPr>
                <w:p w14:paraId="64460BC3">
                  <w:pPr>
                    <w:jc w:val="center"/>
                    <w:rPr>
                      <w:color w:val="000000"/>
                      <w:szCs w:val="21"/>
                    </w:rPr>
                  </w:pPr>
                  <w:r>
                    <w:rPr>
                      <w:rFonts w:hint="eastAsia"/>
                      <w:color w:val="000000"/>
                      <w:szCs w:val="21"/>
                    </w:rPr>
                    <w:t>本项目生产过程中不使用锅炉。</w:t>
                  </w:r>
                </w:p>
              </w:tc>
              <w:tc>
                <w:tcPr>
                  <w:tcW w:w="475" w:type="pct"/>
                  <w:tcBorders>
                    <w:top w:val="single" w:color="auto" w:sz="4" w:space="0"/>
                    <w:left w:val="single" w:color="auto" w:sz="4" w:space="0"/>
                    <w:bottom w:val="single" w:color="auto" w:sz="4" w:space="0"/>
                    <w:right w:val="nil"/>
                  </w:tcBorders>
                  <w:vAlign w:val="center"/>
                </w:tcPr>
                <w:p w14:paraId="6E3E25D5">
                  <w:pPr>
                    <w:jc w:val="center"/>
                    <w:rPr>
                      <w:color w:val="000000"/>
                      <w:szCs w:val="21"/>
                    </w:rPr>
                  </w:pPr>
                  <w:r>
                    <w:rPr>
                      <w:rFonts w:hint="eastAsia"/>
                      <w:color w:val="000000"/>
                      <w:szCs w:val="21"/>
                    </w:rPr>
                    <w:t>符合</w:t>
                  </w:r>
                </w:p>
              </w:tc>
            </w:tr>
            <w:tr w14:paraId="1114E32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6" w:type="pct"/>
                  <w:tcBorders>
                    <w:top w:val="single" w:color="auto" w:sz="4" w:space="0"/>
                    <w:left w:val="nil"/>
                    <w:bottom w:val="single" w:color="auto" w:sz="4" w:space="0"/>
                    <w:right w:val="single" w:color="auto" w:sz="4" w:space="0"/>
                  </w:tcBorders>
                  <w:vAlign w:val="center"/>
                </w:tcPr>
                <w:p w14:paraId="2E6D2928">
                  <w:pPr>
                    <w:pStyle w:val="14"/>
                    <w:widowControl/>
                    <w:jc w:val="center"/>
                    <w:rPr>
                      <w:color w:val="000000"/>
                      <w:sz w:val="21"/>
                      <w:szCs w:val="21"/>
                    </w:rPr>
                  </w:pPr>
                  <w:r>
                    <w:rPr>
                      <w:color w:val="000000"/>
                      <w:sz w:val="21"/>
                      <w:szCs w:val="21"/>
                    </w:rPr>
                    <w:t>3</w:t>
                  </w:r>
                </w:p>
              </w:tc>
              <w:tc>
                <w:tcPr>
                  <w:tcW w:w="2358" w:type="pct"/>
                  <w:tcBorders>
                    <w:top w:val="single" w:color="auto" w:sz="4" w:space="0"/>
                    <w:left w:val="single" w:color="auto" w:sz="4" w:space="0"/>
                    <w:bottom w:val="single" w:color="auto" w:sz="4" w:space="0"/>
                    <w:right w:val="single" w:color="auto" w:sz="4" w:space="0"/>
                  </w:tcBorders>
                  <w:vAlign w:val="center"/>
                </w:tcPr>
                <w:p w14:paraId="2CD0AA6A">
                  <w:pPr>
                    <w:jc w:val="center"/>
                    <w:rPr>
                      <w:color w:val="000000"/>
                      <w:szCs w:val="21"/>
                    </w:rPr>
                  </w:pPr>
                  <w:r>
                    <w:rPr>
                      <w:rFonts w:hint="eastAsia"/>
                      <w:color w:val="000000"/>
                      <w:szCs w:val="21"/>
                    </w:rPr>
                    <w:t>按照有关规定，做好生活垃圾及工业固废的分类收集和处理处置工作，防止造成二次污染。</w:t>
                  </w:r>
                </w:p>
              </w:tc>
              <w:tc>
                <w:tcPr>
                  <w:tcW w:w="1880" w:type="pct"/>
                  <w:tcBorders>
                    <w:top w:val="single" w:color="auto" w:sz="4" w:space="0"/>
                    <w:left w:val="single" w:color="auto" w:sz="4" w:space="0"/>
                    <w:bottom w:val="single" w:color="auto" w:sz="4" w:space="0"/>
                    <w:right w:val="nil"/>
                  </w:tcBorders>
                  <w:vAlign w:val="center"/>
                </w:tcPr>
                <w:p w14:paraId="5C2677E7">
                  <w:pPr>
                    <w:jc w:val="center"/>
                    <w:rPr>
                      <w:color w:val="000000"/>
                      <w:szCs w:val="21"/>
                    </w:rPr>
                  </w:pPr>
                  <w:r>
                    <w:rPr>
                      <w:rFonts w:hint="eastAsia"/>
                      <w:color w:val="000000"/>
                      <w:szCs w:val="21"/>
                    </w:rPr>
                    <w:t>项目拟加强各类固体废物的收集和处理处置。生活垃圾委托环卫部门清运处理，危险废物厂内规范暂存后委托有资质单位妥善处置。</w:t>
                  </w:r>
                </w:p>
              </w:tc>
              <w:tc>
                <w:tcPr>
                  <w:tcW w:w="475" w:type="pct"/>
                  <w:tcBorders>
                    <w:top w:val="single" w:color="auto" w:sz="4" w:space="0"/>
                    <w:left w:val="single" w:color="auto" w:sz="4" w:space="0"/>
                    <w:bottom w:val="single" w:color="auto" w:sz="4" w:space="0"/>
                    <w:right w:val="nil"/>
                  </w:tcBorders>
                  <w:vAlign w:val="center"/>
                </w:tcPr>
                <w:p w14:paraId="4AD2B920">
                  <w:pPr>
                    <w:jc w:val="center"/>
                    <w:rPr>
                      <w:color w:val="000000"/>
                      <w:szCs w:val="21"/>
                    </w:rPr>
                  </w:pPr>
                  <w:r>
                    <w:rPr>
                      <w:rFonts w:hint="eastAsia"/>
                      <w:color w:val="000000"/>
                      <w:szCs w:val="21"/>
                    </w:rPr>
                    <w:t>符合</w:t>
                  </w:r>
                </w:p>
              </w:tc>
            </w:tr>
            <w:tr w14:paraId="61971FC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6" w:type="pct"/>
                  <w:tcBorders>
                    <w:top w:val="single" w:color="auto" w:sz="4" w:space="0"/>
                    <w:left w:val="nil"/>
                    <w:bottom w:val="single" w:color="auto" w:sz="4" w:space="0"/>
                    <w:right w:val="single" w:color="auto" w:sz="4" w:space="0"/>
                  </w:tcBorders>
                  <w:vAlign w:val="center"/>
                </w:tcPr>
                <w:p w14:paraId="695B49E6">
                  <w:pPr>
                    <w:pStyle w:val="14"/>
                    <w:widowControl/>
                    <w:jc w:val="center"/>
                    <w:rPr>
                      <w:color w:val="000000"/>
                      <w:sz w:val="21"/>
                      <w:szCs w:val="21"/>
                    </w:rPr>
                  </w:pPr>
                  <w:r>
                    <w:rPr>
                      <w:color w:val="000000"/>
                      <w:sz w:val="21"/>
                      <w:szCs w:val="21"/>
                    </w:rPr>
                    <w:t>4</w:t>
                  </w:r>
                </w:p>
              </w:tc>
              <w:tc>
                <w:tcPr>
                  <w:tcW w:w="2358" w:type="pct"/>
                  <w:tcBorders>
                    <w:top w:val="single" w:color="auto" w:sz="4" w:space="0"/>
                    <w:left w:val="single" w:color="auto" w:sz="4" w:space="0"/>
                    <w:bottom w:val="single" w:color="auto" w:sz="4" w:space="0"/>
                    <w:right w:val="single" w:color="auto" w:sz="4" w:space="0"/>
                  </w:tcBorders>
                  <w:vAlign w:val="center"/>
                </w:tcPr>
                <w:p w14:paraId="6E2EEA9F">
                  <w:pPr>
                    <w:jc w:val="center"/>
                    <w:rPr>
                      <w:color w:val="000000"/>
                      <w:szCs w:val="21"/>
                    </w:rPr>
                  </w:pPr>
                  <w:r>
                    <w:rPr>
                      <w:rFonts w:hint="eastAsia"/>
                      <w:color w:val="000000"/>
                      <w:szCs w:val="21"/>
                    </w:rPr>
                    <w:t>规划实施中新增污染物排放总量的建设项目，应按照开发区主要污染物总量控</w:t>
                  </w:r>
                </w:p>
                <w:p w14:paraId="18EBCF73">
                  <w:pPr>
                    <w:jc w:val="center"/>
                    <w:rPr>
                      <w:color w:val="000000"/>
                      <w:szCs w:val="21"/>
                    </w:rPr>
                  </w:pPr>
                  <w:r>
                    <w:rPr>
                      <w:rFonts w:hint="eastAsia"/>
                      <w:color w:val="000000"/>
                      <w:szCs w:val="21"/>
                    </w:rPr>
                    <w:t>制要求，在区域内实现等量或倍量替代。</w:t>
                  </w:r>
                </w:p>
              </w:tc>
              <w:tc>
                <w:tcPr>
                  <w:tcW w:w="1880" w:type="pct"/>
                  <w:tcBorders>
                    <w:top w:val="single" w:color="auto" w:sz="4" w:space="0"/>
                    <w:left w:val="single" w:color="auto" w:sz="4" w:space="0"/>
                    <w:bottom w:val="single" w:color="auto" w:sz="4" w:space="0"/>
                    <w:right w:val="nil"/>
                  </w:tcBorders>
                  <w:vAlign w:val="center"/>
                </w:tcPr>
                <w:p w14:paraId="298221A8">
                  <w:pPr>
                    <w:jc w:val="center"/>
                    <w:rPr>
                      <w:color w:val="000000"/>
                      <w:szCs w:val="21"/>
                    </w:rPr>
                  </w:pPr>
                  <w:r>
                    <w:rPr>
                      <w:rFonts w:hint="eastAsia"/>
                      <w:color w:val="000000"/>
                      <w:szCs w:val="21"/>
                    </w:rPr>
                    <w:t>项目拟严格执行开发区主要污染物总量控制要求。</w:t>
                  </w:r>
                </w:p>
              </w:tc>
              <w:tc>
                <w:tcPr>
                  <w:tcW w:w="475" w:type="pct"/>
                  <w:tcBorders>
                    <w:top w:val="single" w:color="auto" w:sz="4" w:space="0"/>
                    <w:left w:val="single" w:color="auto" w:sz="4" w:space="0"/>
                    <w:bottom w:val="single" w:color="auto" w:sz="4" w:space="0"/>
                    <w:right w:val="nil"/>
                  </w:tcBorders>
                  <w:vAlign w:val="center"/>
                </w:tcPr>
                <w:p w14:paraId="0051EA53">
                  <w:pPr>
                    <w:jc w:val="center"/>
                    <w:rPr>
                      <w:color w:val="000000"/>
                      <w:szCs w:val="21"/>
                    </w:rPr>
                  </w:pPr>
                  <w:r>
                    <w:rPr>
                      <w:rFonts w:hint="eastAsia"/>
                      <w:color w:val="000000"/>
                      <w:szCs w:val="21"/>
                    </w:rPr>
                    <w:t>符合</w:t>
                  </w:r>
                </w:p>
              </w:tc>
            </w:tr>
          </w:tbl>
          <w:p w14:paraId="119F8FF0">
            <w:pPr>
              <w:autoSpaceDE w:val="0"/>
              <w:autoSpaceDN w:val="0"/>
              <w:adjustRightInd w:val="0"/>
              <w:snapToGrid w:val="0"/>
              <w:jc w:val="center"/>
              <w:rPr>
                <w:rFonts w:ascii="宋体" w:hAnsi="宋体" w:cs="宋体"/>
                <w:kern w:val="0"/>
                <w:szCs w:val="21"/>
              </w:rPr>
            </w:pPr>
          </w:p>
        </w:tc>
      </w:tr>
      <w:tr w14:paraId="64456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0" w:hRule="atLeast"/>
        </w:trPr>
        <w:tc>
          <w:tcPr>
            <w:tcW w:w="673" w:type="dxa"/>
            <w:vAlign w:val="center"/>
          </w:tcPr>
          <w:p w14:paraId="08A5578A">
            <w:pPr>
              <w:autoSpaceDE w:val="0"/>
              <w:autoSpaceDN w:val="0"/>
              <w:adjustRightInd w:val="0"/>
              <w:snapToGrid w:val="0"/>
              <w:ind w:left="115" w:right="115"/>
              <w:jc w:val="center"/>
              <w:rPr>
                <w:rFonts w:ascii="宋体" w:hAnsi="宋体" w:cs="宋体"/>
                <w:kern w:val="0"/>
                <w:szCs w:val="21"/>
              </w:rPr>
            </w:pPr>
            <w:r>
              <w:rPr>
                <w:rFonts w:hint="eastAsia" w:ascii="宋体" w:hAnsi="宋体" w:cs="宋体"/>
                <w:kern w:val="0"/>
                <w:szCs w:val="21"/>
              </w:rPr>
              <w:t>其他符合性分析</w:t>
            </w:r>
          </w:p>
        </w:tc>
        <w:tc>
          <w:tcPr>
            <w:tcW w:w="8303" w:type="dxa"/>
            <w:gridSpan w:val="5"/>
            <w:vAlign w:val="center"/>
          </w:tcPr>
          <w:p w14:paraId="4A1BEBF9">
            <w:pPr>
              <w:spacing w:line="500" w:lineRule="exact"/>
              <w:ind w:firstLine="480" w:firstLineChars="200"/>
              <w:rPr>
                <w:bCs/>
                <w:sz w:val="24"/>
              </w:rPr>
            </w:pPr>
            <w:r>
              <w:rPr>
                <w:rFonts w:hint="eastAsia"/>
                <w:bCs/>
                <w:sz w:val="24"/>
              </w:rPr>
              <w:t>1 、“三线一单” 相符性分析</w:t>
            </w:r>
          </w:p>
          <w:p w14:paraId="2C389B0E">
            <w:pPr>
              <w:spacing w:line="500" w:lineRule="exact"/>
              <w:ind w:firstLine="480" w:firstLineChars="200"/>
              <w:rPr>
                <w:bCs/>
                <w:sz w:val="24"/>
              </w:rPr>
            </w:pPr>
            <w:r>
              <w:rPr>
                <w:rFonts w:hint="eastAsia"/>
                <w:bCs/>
                <w:sz w:val="24"/>
              </w:rPr>
              <w:t>（1）生态保护红线</w:t>
            </w:r>
          </w:p>
          <w:p w14:paraId="12A13BA2">
            <w:pPr>
              <w:spacing w:line="500" w:lineRule="exact"/>
              <w:ind w:firstLine="480" w:firstLineChars="200"/>
              <w:rPr>
                <w:bCs/>
                <w:sz w:val="24"/>
              </w:rPr>
            </w:pPr>
            <w:r>
              <w:rPr>
                <w:rFonts w:hint="eastAsia"/>
                <w:bCs/>
                <w:sz w:val="24"/>
              </w:rPr>
              <w:t>本项目位于安徽省六安市金寨县，项目用地规划用途为工业用地。选址不涉及自然保护区、风景名胜区、饮用水源保护区、基本农田保护区及其它需要特殊保护的敏感区域，符合生态保护红线要求。</w:t>
            </w:r>
          </w:p>
          <w:p w14:paraId="4E797DA2">
            <w:pPr>
              <w:spacing w:line="500" w:lineRule="exact"/>
              <w:ind w:firstLine="480" w:firstLineChars="200"/>
              <w:rPr>
                <w:bCs/>
                <w:sz w:val="24"/>
              </w:rPr>
            </w:pPr>
            <w:r>
              <w:rPr>
                <w:rFonts w:hint="eastAsia"/>
                <w:bCs/>
                <w:sz w:val="24"/>
              </w:rPr>
              <w:t>（2）环境质量底线</w:t>
            </w:r>
          </w:p>
          <w:p w14:paraId="25D58A24">
            <w:pPr>
              <w:spacing w:line="500" w:lineRule="exact"/>
              <w:ind w:firstLine="480" w:firstLineChars="200"/>
              <w:rPr>
                <w:bCs/>
                <w:sz w:val="24"/>
              </w:rPr>
            </w:pPr>
            <w:r>
              <w:rPr>
                <w:rFonts w:hint="eastAsia"/>
                <w:bCs/>
                <w:sz w:val="24"/>
              </w:rPr>
              <w:t>本项目所在区域环境空气质量满足《环境空气质量标准》（GB3095-2012）二级标准；本项目营运期无生产废水产生，生活污水纳入安徽省六安市金寨县生活污水处理厂处理；本项目厂界声环境质量现状满足《声环境质量标准》（GB 3096-2008）3 类标准。本项目废</w:t>
            </w:r>
            <w:r>
              <w:rPr>
                <w:bCs/>
                <w:sz w:val="24"/>
              </w:rPr>
              <w:t>气均采取了有效处理措施后达标排放，不会对周边环境产生明显不利影响。</w:t>
            </w:r>
          </w:p>
          <w:p w14:paraId="0C215C33">
            <w:pPr>
              <w:spacing w:line="500" w:lineRule="exact"/>
              <w:ind w:firstLine="480" w:firstLineChars="200"/>
              <w:rPr>
                <w:bCs/>
                <w:sz w:val="24"/>
              </w:rPr>
            </w:pPr>
            <w:r>
              <w:rPr>
                <w:rFonts w:hint="eastAsia"/>
                <w:bCs/>
                <w:sz w:val="24"/>
              </w:rPr>
              <w:t>因此，在严格落实各项污染防治措施的前提下，本项目的建设对周边环境影响较小，建成后不会突破当地环境质量底线。</w:t>
            </w:r>
          </w:p>
          <w:p w14:paraId="76DAD130">
            <w:pPr>
              <w:spacing w:line="500" w:lineRule="exact"/>
              <w:ind w:firstLine="480" w:firstLineChars="200"/>
              <w:rPr>
                <w:bCs/>
                <w:sz w:val="24"/>
              </w:rPr>
            </w:pPr>
            <w:r>
              <w:rPr>
                <w:rFonts w:hint="eastAsia"/>
                <w:bCs/>
                <w:sz w:val="24"/>
              </w:rPr>
              <w:t>（3）资源利用上线</w:t>
            </w:r>
          </w:p>
          <w:p w14:paraId="43981546">
            <w:pPr>
              <w:spacing w:line="500" w:lineRule="exact"/>
              <w:ind w:firstLine="480" w:firstLineChars="200"/>
              <w:rPr>
                <w:bCs/>
                <w:sz w:val="24"/>
              </w:rPr>
            </w:pPr>
            <w:r>
              <w:rPr>
                <w:rFonts w:hint="eastAsia"/>
                <w:bCs/>
                <w:sz w:val="24"/>
              </w:rPr>
              <w:t>本项目生产过程中所用的资源主要为水、电资源，不属于高水耗、高能耗的产业。项目建成后通过内部管理、设备选择、原辅材料的选用和管理、废物回收利用、污染治理等方面采取合理可行的防治措施，以“节能、降耗、减污”为目标，有效控制污染。项目的水、电等资源利用不会突破区域的资源利用上线。</w:t>
            </w:r>
          </w:p>
          <w:p w14:paraId="10090602">
            <w:pPr>
              <w:spacing w:line="500" w:lineRule="exact"/>
              <w:ind w:firstLine="480" w:firstLineChars="200"/>
              <w:rPr>
                <w:bCs/>
                <w:sz w:val="24"/>
              </w:rPr>
            </w:pPr>
            <w:r>
              <w:rPr>
                <w:rFonts w:hint="eastAsia"/>
                <w:bCs/>
                <w:sz w:val="24"/>
              </w:rPr>
              <w:t>（4）生态环境准入负面清单</w:t>
            </w:r>
          </w:p>
          <w:p w14:paraId="45382237">
            <w:pPr>
              <w:spacing w:line="500" w:lineRule="exact"/>
              <w:ind w:firstLine="480" w:firstLineChars="200"/>
              <w:rPr>
                <w:bCs/>
                <w:sz w:val="24"/>
              </w:rPr>
            </w:pPr>
            <w:r>
              <w:rPr>
                <w:rFonts w:hint="eastAsia"/>
                <w:bCs/>
                <w:sz w:val="24"/>
              </w:rPr>
              <w:t>生态环境准入清单：本项目行业类别属于</w:t>
            </w:r>
            <w:r>
              <w:rPr>
                <w:bCs/>
                <w:sz w:val="24"/>
              </w:rPr>
              <w:t>C3591 环境保护专用设备制造</w:t>
            </w:r>
            <w:r>
              <w:rPr>
                <w:rFonts w:hint="eastAsia"/>
                <w:bCs/>
                <w:sz w:val="24"/>
              </w:rPr>
              <w:t>，经对照《安徽省国家重点生态功能区产业准入负面清单（试行）》（2017 年 5月）中“金寨县重点生态功能区产业准入负面清单”，项目不属于负面清单中限制类和禁止类项目，且不属于规划环评中所列的环境准入负面清单内容（详见下表），符合环境准入负面清单要求。</w:t>
            </w:r>
          </w:p>
          <w:p w14:paraId="15856742">
            <w:pPr>
              <w:adjustRightInd w:val="0"/>
              <w:snapToGrid w:val="0"/>
              <w:spacing w:line="500" w:lineRule="exact"/>
              <w:ind w:firstLine="422" w:firstLineChars="200"/>
              <w:jc w:val="center"/>
              <w:rPr>
                <w:rFonts w:ascii="宋体" w:hAnsi="宋体" w:cs="宋体"/>
                <w:b/>
                <w:bCs/>
                <w:szCs w:val="21"/>
              </w:rPr>
            </w:pPr>
            <w:r>
              <w:rPr>
                <w:rFonts w:hint="eastAsia" w:ascii="宋体" w:hAnsi="宋体" w:cs="宋体"/>
                <w:b/>
                <w:bCs/>
                <w:szCs w:val="21"/>
              </w:rPr>
              <w:t>表1-3 规划环评环境准入负面清单</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7160"/>
            </w:tblGrid>
            <w:tr w14:paraId="59C25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4" w:type="dxa"/>
                  <w:vAlign w:val="center"/>
                </w:tcPr>
                <w:p w14:paraId="39D70932">
                  <w:pPr>
                    <w:jc w:val="center"/>
                    <w:rPr>
                      <w:rFonts w:ascii="宋体" w:hAnsi="宋体" w:cs="宋体"/>
                      <w:b/>
                      <w:color w:val="000000"/>
                      <w:szCs w:val="21"/>
                    </w:rPr>
                  </w:pPr>
                  <w:r>
                    <w:rPr>
                      <w:rFonts w:hint="eastAsia" w:ascii="宋体" w:hAnsi="宋体" w:cs="宋体"/>
                      <w:b/>
                      <w:color w:val="000000"/>
                      <w:szCs w:val="21"/>
                    </w:rPr>
                    <w:t>类别</w:t>
                  </w:r>
                </w:p>
              </w:tc>
              <w:tc>
                <w:tcPr>
                  <w:tcW w:w="7070" w:type="dxa"/>
                  <w:vAlign w:val="center"/>
                </w:tcPr>
                <w:p w14:paraId="0988A22D">
                  <w:pPr>
                    <w:jc w:val="center"/>
                    <w:rPr>
                      <w:rFonts w:ascii="宋体" w:hAnsi="宋体" w:cs="宋体"/>
                      <w:b/>
                      <w:color w:val="000000"/>
                      <w:szCs w:val="21"/>
                    </w:rPr>
                  </w:pPr>
                  <w:r>
                    <w:rPr>
                      <w:rFonts w:hint="eastAsia" w:ascii="宋体" w:hAnsi="宋体" w:cs="宋体"/>
                      <w:b/>
                      <w:color w:val="000000"/>
                      <w:szCs w:val="21"/>
                    </w:rPr>
                    <w:t>规划要求</w:t>
                  </w:r>
                </w:p>
              </w:tc>
            </w:tr>
            <w:tr w14:paraId="6201E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4" w:type="dxa"/>
                  <w:vAlign w:val="center"/>
                </w:tcPr>
                <w:p w14:paraId="0FBB1A1E">
                  <w:pPr>
                    <w:jc w:val="center"/>
                    <w:rPr>
                      <w:rFonts w:ascii="宋体" w:hAnsi="宋体" w:cs="宋体"/>
                      <w:color w:val="000000"/>
                      <w:szCs w:val="21"/>
                    </w:rPr>
                  </w:pPr>
                  <w:r>
                    <w:rPr>
                      <w:rFonts w:hint="eastAsia" w:ascii="宋体" w:hAnsi="宋体" w:cs="宋体"/>
                      <w:color w:val="000000"/>
                      <w:szCs w:val="21"/>
                    </w:rPr>
                    <w:t>禁止类</w:t>
                  </w:r>
                </w:p>
              </w:tc>
              <w:tc>
                <w:tcPr>
                  <w:tcW w:w="7070" w:type="dxa"/>
                  <w:vAlign w:val="center"/>
                </w:tcPr>
                <w:p w14:paraId="17E5B29D">
                  <w:pPr>
                    <w:jc w:val="left"/>
                    <w:rPr>
                      <w:rFonts w:ascii="宋体" w:hAnsi="宋体" w:cs="宋体"/>
                      <w:color w:val="000000"/>
                      <w:szCs w:val="21"/>
                    </w:rPr>
                  </w:pPr>
                  <w:r>
                    <w:rPr>
                      <w:rFonts w:hint="eastAsia" w:ascii="宋体" w:hAnsi="宋体" w:cs="宋体"/>
                      <w:color w:val="000000"/>
                      <w:szCs w:val="21"/>
                    </w:rPr>
                    <w:t>重污染、废水排放量大，不符合开发区水污染及大气污染总量控制原则的项目；不符合产业政策要求的项目。</w:t>
                  </w:r>
                </w:p>
              </w:tc>
            </w:tr>
            <w:tr w14:paraId="2F51F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4" w:type="dxa"/>
                  <w:vAlign w:val="center"/>
                </w:tcPr>
                <w:p w14:paraId="7F601379">
                  <w:pPr>
                    <w:jc w:val="center"/>
                    <w:rPr>
                      <w:rFonts w:ascii="宋体" w:hAnsi="宋体" w:cs="宋体"/>
                      <w:color w:val="000000"/>
                      <w:szCs w:val="21"/>
                    </w:rPr>
                  </w:pPr>
                  <w:r>
                    <w:rPr>
                      <w:rFonts w:hint="eastAsia" w:ascii="宋体" w:hAnsi="宋体" w:cs="宋体"/>
                      <w:color w:val="000000"/>
                      <w:szCs w:val="21"/>
                    </w:rPr>
                    <w:t>限制类</w:t>
                  </w:r>
                </w:p>
              </w:tc>
              <w:tc>
                <w:tcPr>
                  <w:tcW w:w="7070" w:type="dxa"/>
                  <w:vAlign w:val="center"/>
                </w:tcPr>
                <w:p w14:paraId="23D7F801">
                  <w:pPr>
                    <w:jc w:val="left"/>
                    <w:rPr>
                      <w:rFonts w:ascii="宋体" w:hAnsi="宋体" w:cs="宋体"/>
                      <w:color w:val="000000"/>
                      <w:szCs w:val="21"/>
                    </w:rPr>
                  </w:pPr>
                  <w:r>
                    <w:rPr>
                      <w:rFonts w:hint="eastAsia" w:ascii="宋体" w:hAnsi="宋体" w:cs="宋体"/>
                      <w:color w:val="000000"/>
                      <w:szCs w:val="21"/>
                    </w:rPr>
                    <w:t>高能耗、高水耗、污染严重的项目，国家产业政策限制类项目；与开发区主导产业密切相关或开发区产业链上必要的污染项目；重型机械制造企业等三类工业。</w:t>
                  </w:r>
                </w:p>
              </w:tc>
            </w:tr>
            <w:tr w14:paraId="79BB4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014" w:type="dxa"/>
                  <w:vAlign w:val="center"/>
                </w:tcPr>
                <w:p w14:paraId="76D709D7">
                  <w:pPr>
                    <w:jc w:val="center"/>
                    <w:rPr>
                      <w:rFonts w:ascii="宋体" w:hAnsi="宋体" w:cs="宋体"/>
                      <w:color w:val="000000"/>
                      <w:szCs w:val="21"/>
                    </w:rPr>
                  </w:pPr>
                  <w:r>
                    <w:rPr>
                      <w:rFonts w:hint="eastAsia" w:ascii="宋体" w:hAnsi="宋体" w:cs="宋体"/>
                      <w:color w:val="000000"/>
                      <w:szCs w:val="21"/>
                    </w:rPr>
                    <w:t>其他</w:t>
                  </w:r>
                </w:p>
              </w:tc>
              <w:tc>
                <w:tcPr>
                  <w:tcW w:w="7070" w:type="dxa"/>
                  <w:vAlign w:val="center"/>
                </w:tcPr>
                <w:p w14:paraId="32A186C0">
                  <w:pPr>
                    <w:jc w:val="left"/>
                    <w:rPr>
                      <w:rFonts w:ascii="宋体" w:hAnsi="宋体" w:cs="宋体"/>
                      <w:color w:val="000000"/>
                      <w:szCs w:val="21"/>
                    </w:rPr>
                  </w:pPr>
                  <w:r>
                    <w:rPr>
                      <w:rFonts w:hint="eastAsia" w:ascii="宋体" w:hAnsi="宋体" w:cs="宋体"/>
                      <w:color w:val="000000"/>
                      <w:szCs w:val="21"/>
                    </w:rPr>
                    <w:t>发展能源、资源消耗量或排污量较大但效益相对较好的企业发展；开发区内规划的现代物流业禁止贮存和输送有毒、有害化学品和危险品；机械制造业禁止表面处理有电镀的项目；禁止尚需要自行建设燃煤锅炉的企业。</w:t>
                  </w:r>
                </w:p>
              </w:tc>
            </w:tr>
          </w:tbl>
          <w:p w14:paraId="1FBF40FF">
            <w:pPr>
              <w:spacing w:line="500" w:lineRule="exact"/>
              <w:ind w:firstLine="480" w:firstLineChars="200"/>
              <w:rPr>
                <w:bCs/>
                <w:sz w:val="24"/>
              </w:rPr>
            </w:pPr>
            <w:r>
              <w:rPr>
                <w:rFonts w:hint="eastAsia"/>
                <w:bCs/>
                <w:sz w:val="24"/>
              </w:rPr>
              <w:t>综上，本项目符合"三线一单"要求。</w:t>
            </w:r>
          </w:p>
          <w:p w14:paraId="4CD51719">
            <w:pPr>
              <w:spacing w:line="500" w:lineRule="exact"/>
              <w:ind w:firstLine="480" w:firstLineChars="200"/>
              <w:rPr>
                <w:bCs/>
                <w:sz w:val="24"/>
              </w:rPr>
            </w:pPr>
          </w:p>
          <w:p w14:paraId="2846DB86">
            <w:pPr>
              <w:spacing w:line="500" w:lineRule="exact"/>
              <w:ind w:firstLine="480" w:firstLineChars="200"/>
              <w:rPr>
                <w:bCs/>
                <w:sz w:val="24"/>
              </w:rPr>
            </w:pPr>
            <w:r>
              <w:rPr>
                <w:rFonts w:hint="eastAsia"/>
                <w:bCs/>
                <w:sz w:val="24"/>
              </w:rPr>
              <w:t>2、与“六安市三线一单”符合性分析</w:t>
            </w:r>
          </w:p>
          <w:p w14:paraId="41607D72">
            <w:pPr>
              <w:spacing w:line="500" w:lineRule="exact"/>
              <w:ind w:firstLine="480" w:firstLineChars="200"/>
              <w:rPr>
                <w:bCs/>
                <w:sz w:val="24"/>
              </w:rPr>
            </w:pPr>
            <w:r>
              <w:rPr>
                <w:rFonts w:hint="eastAsia"/>
                <w:bCs/>
                <w:sz w:val="24"/>
              </w:rPr>
              <w:t>根据安徽省六安市“三线一单”技术成果内容，项目拟建区域属于“大气重点管控区、水重点管控区”，对照《六安市“三线一单”生态环境准入清单》（2023年8月）项目属于“重点管控单元生态环境准入清单”中的“重点管控单元 12”，管控单元编号：</w:t>
            </w:r>
            <w:r>
              <w:rPr>
                <w:bCs/>
                <w:sz w:val="24"/>
              </w:rPr>
              <w:t>ZH34152420122</w:t>
            </w:r>
            <w:r>
              <w:rPr>
                <w:rFonts w:hint="eastAsia"/>
                <w:bCs/>
                <w:sz w:val="24"/>
              </w:rPr>
              <w:t>。</w:t>
            </w:r>
          </w:p>
          <w:p w14:paraId="71C7C317">
            <w:pPr>
              <w:spacing w:line="500" w:lineRule="exact"/>
              <w:ind w:firstLine="480" w:firstLineChars="200"/>
              <w:rPr>
                <w:bCs/>
                <w:sz w:val="24"/>
              </w:rPr>
            </w:pPr>
          </w:p>
          <w:p w14:paraId="2B86CAC6">
            <w:pPr>
              <w:spacing w:line="500" w:lineRule="exact"/>
              <w:ind w:firstLine="480" w:firstLineChars="200"/>
              <w:rPr>
                <w:bCs/>
                <w:sz w:val="24"/>
              </w:rPr>
            </w:pPr>
          </w:p>
          <w:p w14:paraId="2D76F794">
            <w:pPr>
              <w:spacing w:line="500" w:lineRule="exact"/>
              <w:ind w:firstLine="480" w:firstLineChars="200"/>
              <w:rPr>
                <w:bCs/>
                <w:sz w:val="24"/>
              </w:rPr>
            </w:pPr>
          </w:p>
          <w:p w14:paraId="7806D8DC">
            <w:pPr>
              <w:spacing w:line="500" w:lineRule="exact"/>
              <w:ind w:firstLine="480" w:firstLineChars="200"/>
              <w:rPr>
                <w:bCs/>
                <w:sz w:val="24"/>
              </w:rPr>
            </w:pPr>
            <w:r>
              <w:rPr>
                <w:bCs/>
                <w:sz w:val="24"/>
              </w:rPr>
              <mc:AlternateContent>
                <mc:Choice Requires="wps">
                  <w:drawing>
                    <wp:anchor distT="0" distB="0" distL="114300" distR="114300" simplePos="0" relativeHeight="251661312" behindDoc="0" locked="0" layoutInCell="1" allowOverlap="1">
                      <wp:simplePos x="0" y="0"/>
                      <wp:positionH relativeFrom="column">
                        <wp:posOffset>2018665</wp:posOffset>
                      </wp:positionH>
                      <wp:positionV relativeFrom="paragraph">
                        <wp:posOffset>133985</wp:posOffset>
                      </wp:positionV>
                      <wp:extent cx="762000" cy="266700"/>
                      <wp:effectExtent l="0" t="0" r="19050" b="400050"/>
                      <wp:wrapNone/>
                      <wp:docPr id="434817834" name="Speech Bubble: Rectangle 13"/>
                      <wp:cNvGraphicFramePr/>
                      <a:graphic xmlns:a="http://schemas.openxmlformats.org/drawingml/2006/main">
                        <a:graphicData uri="http://schemas.microsoft.com/office/word/2010/wordprocessingShape">
                          <wps:wsp>
                            <wps:cNvSpPr/>
                            <wps:spPr>
                              <a:xfrm>
                                <a:off x="0" y="0"/>
                                <a:ext cx="762000" cy="266700"/>
                              </a:xfrm>
                              <a:prstGeom prst="wedgeRectCallout">
                                <a:avLst>
                                  <a:gd name="adj1" fmla="val 30167"/>
                                  <a:gd name="adj2" fmla="val 176786"/>
                                </a:avLst>
                              </a:prstGeom>
                            </wps:spPr>
                            <wps:style>
                              <a:lnRef idx="2">
                                <a:schemeClr val="accent6"/>
                              </a:lnRef>
                              <a:fillRef idx="1">
                                <a:schemeClr val="lt1"/>
                              </a:fillRef>
                              <a:effectRef idx="0">
                                <a:schemeClr val="accent6"/>
                              </a:effectRef>
                              <a:fontRef idx="minor">
                                <a:schemeClr val="dk1"/>
                              </a:fontRef>
                            </wps:style>
                            <wps:txbx>
                              <w:txbxContent>
                                <w:p w14:paraId="19DC7A23">
                                  <w:pPr>
                                    <w:jc w:val="center"/>
                                  </w:pPr>
                                  <w:r>
                                    <w:rPr>
                                      <w:rFonts w:hint="eastAsia"/>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peech Bubble: Rectangle 13" o:spid="_x0000_s1026" o:spt="61" type="#_x0000_t61" style="position:absolute;left:0pt;margin-left:158.95pt;margin-top:10.55pt;height:21pt;width:60pt;z-index:251661312;v-text-anchor:middle;mso-width-relative:page;mso-height-relative:page;" fillcolor="#FFFFFF [3201]" filled="t" stroked="t" coordsize="21600,21600" o:gfxdata="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Cd1MSNcAAAAJAQAADwAAAAAAAAABACAAAAAiAAAAZHJzL2Rv&#10;d25yZXYueG1sUEsBAhQAFAAAAAgAh07iQK2kSaytAgAAdwUAAA4AAAAAAAAAAQAgAAAAJgEAAGRy&#10;cy9lMm9Eb2MueG1sUEsFBgAAAAAGAAYAWQEAAEUGAAAAAA==&#10;" adj="17316,48986">
                      <v:fill on="t" focussize="0,0"/>
                      <v:stroke weight="1pt" color="#70AD47 [3209]" miterlimit="8" joinstyle="miter"/>
                      <v:imagedata o:title=""/>
                      <o:lock v:ext="edit" aspectratio="f"/>
                      <v:textbox>
                        <w:txbxContent>
                          <w:p w14:paraId="19DC7A23">
                            <w:pPr>
                              <w:jc w:val="center"/>
                            </w:pPr>
                            <w:r>
                              <w:rPr>
                                <w:rFonts w:hint="eastAsia"/>
                              </w:rPr>
                              <w:t>本项目</w:t>
                            </w:r>
                          </w:p>
                        </w:txbxContent>
                      </v:textbox>
                    </v:shape>
                  </w:pict>
                </mc:Fallback>
              </mc:AlternateContent>
            </w:r>
          </w:p>
          <w:p w14:paraId="3E896319">
            <w:pPr>
              <w:spacing w:line="500" w:lineRule="exact"/>
              <w:ind w:firstLine="480" w:firstLineChars="200"/>
              <w:rPr>
                <w:bCs/>
                <w:sz w:val="24"/>
              </w:rPr>
            </w:pPr>
          </w:p>
          <w:p w14:paraId="4CFC340D">
            <w:pPr>
              <w:spacing w:line="500" w:lineRule="exact"/>
              <w:ind w:firstLine="480" w:firstLineChars="200"/>
              <w:rPr>
                <w:bCs/>
                <w:sz w:val="24"/>
              </w:rPr>
            </w:pPr>
          </w:p>
          <w:p w14:paraId="129231B8">
            <w:pPr>
              <w:spacing w:line="500" w:lineRule="exact"/>
              <w:ind w:firstLine="480" w:firstLineChars="200"/>
              <w:rPr>
                <w:bCs/>
                <w:sz w:val="24"/>
              </w:rPr>
            </w:pPr>
          </w:p>
          <w:p w14:paraId="07A09C1C">
            <w:pPr>
              <w:spacing w:line="500" w:lineRule="exact"/>
              <w:ind w:firstLine="480" w:firstLineChars="200"/>
              <w:rPr>
                <w:bCs/>
                <w:sz w:val="24"/>
              </w:rPr>
            </w:pPr>
          </w:p>
          <w:p w14:paraId="18BE5809">
            <w:pPr>
              <w:spacing w:line="500" w:lineRule="exact"/>
              <w:jc w:val="center"/>
              <w:rPr>
                <w:bCs/>
                <w:sz w:val="24"/>
              </w:rPr>
            </w:pPr>
            <w:r>
              <w:drawing>
                <wp:inline distT="0" distB="0" distL="0" distR="0">
                  <wp:extent cx="5196840" cy="2548255"/>
                  <wp:effectExtent l="0" t="0" r="3810" b="4445"/>
                  <wp:docPr id="17086278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27834"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10865" cy="2555639"/>
                          </a:xfrm>
                          <a:prstGeom prst="rect">
                            <a:avLst/>
                          </a:prstGeom>
                          <a:noFill/>
                          <a:ln>
                            <a:noFill/>
                          </a:ln>
                        </pic:spPr>
                      </pic:pic>
                    </a:graphicData>
                  </a:graphic>
                </wp:inline>
              </w:drawing>
            </w:r>
          </w:p>
          <w:p w14:paraId="45CB9849">
            <w:pPr>
              <w:pStyle w:val="52"/>
              <w:spacing w:line="360" w:lineRule="auto"/>
              <w:ind w:firstLine="0"/>
              <w:jc w:val="center"/>
              <w:rPr>
                <w:rFonts w:hAnsi="宋体" w:cs="宋体"/>
                <w:b/>
                <w:bCs/>
                <w:sz w:val="24"/>
                <w:szCs w:val="24"/>
                <w:lang w:bidi="ar"/>
              </w:rPr>
            </w:pPr>
            <w:r>
              <w:rPr>
                <w:rFonts w:hint="eastAsia"/>
                <w:b/>
                <w:bCs/>
                <w:sz w:val="24"/>
                <w:szCs w:val="24"/>
                <w:lang w:bidi="ar"/>
              </w:rPr>
              <w:t>图1.1 本项目“三线一单”位置关系图</w:t>
            </w:r>
          </w:p>
          <w:p w14:paraId="43D54E2D">
            <w:pPr>
              <w:spacing w:line="500" w:lineRule="exact"/>
              <w:ind w:firstLine="480" w:firstLineChars="200"/>
              <w:rPr>
                <w:bCs/>
                <w:sz w:val="24"/>
              </w:rPr>
            </w:pPr>
            <w:r>
              <w:rPr>
                <w:rFonts w:hint="eastAsia"/>
                <w:bCs/>
                <w:sz w:val="24"/>
              </w:rPr>
              <w:t>（1）水环境分区管控要求</w:t>
            </w:r>
          </w:p>
          <w:p w14:paraId="6DF8D576">
            <w:pPr>
              <w:ind w:firstLine="480" w:firstLineChars="200"/>
              <w:rPr>
                <w:bCs/>
                <w:sz w:val="24"/>
              </w:rPr>
            </w:pPr>
          </w:p>
          <w:p w14:paraId="37427912">
            <w:pPr>
              <w:ind w:firstLine="16" w:firstLineChars="8"/>
              <w:jc w:val="center"/>
              <w:rPr>
                <w:bCs/>
                <w:sz w:val="24"/>
              </w:rPr>
            </w:pPr>
            <w:r>
              <mc:AlternateContent>
                <mc:Choice Requires="wps">
                  <w:drawing>
                    <wp:anchor distT="0" distB="0" distL="114300" distR="114300" simplePos="0" relativeHeight="251663360" behindDoc="0" locked="0" layoutInCell="1" allowOverlap="1">
                      <wp:simplePos x="0" y="0"/>
                      <wp:positionH relativeFrom="column">
                        <wp:posOffset>304165</wp:posOffset>
                      </wp:positionH>
                      <wp:positionV relativeFrom="paragraph">
                        <wp:posOffset>388620</wp:posOffset>
                      </wp:positionV>
                      <wp:extent cx="678180" cy="266700"/>
                      <wp:effectExtent l="0" t="0" r="26670" b="209550"/>
                      <wp:wrapNone/>
                      <wp:docPr id="865786120" name="Speech Bubble: Rectangle 17"/>
                      <wp:cNvGraphicFramePr/>
                      <a:graphic xmlns:a="http://schemas.openxmlformats.org/drawingml/2006/main">
                        <a:graphicData uri="http://schemas.microsoft.com/office/word/2010/wordprocessingShape">
                          <wps:wsp>
                            <wps:cNvSpPr/>
                            <wps:spPr>
                              <a:xfrm>
                                <a:off x="0" y="0"/>
                                <a:ext cx="678180" cy="266700"/>
                              </a:xfrm>
                              <a:prstGeom prst="wedgeRectCallout">
                                <a:avLst>
                                  <a:gd name="adj1" fmla="val 45459"/>
                                  <a:gd name="adj2" fmla="val 110786"/>
                                </a:avLst>
                              </a:prstGeom>
                            </wps:spPr>
                            <wps:style>
                              <a:lnRef idx="2">
                                <a:schemeClr val="accent6"/>
                              </a:lnRef>
                              <a:fillRef idx="1">
                                <a:schemeClr val="lt1"/>
                              </a:fillRef>
                              <a:effectRef idx="0">
                                <a:schemeClr val="accent6"/>
                              </a:effectRef>
                              <a:fontRef idx="minor">
                                <a:schemeClr val="dk1"/>
                              </a:fontRef>
                            </wps:style>
                            <wps:txbx>
                              <w:txbxContent>
                                <w:p w14:paraId="3442A108">
                                  <w:pPr>
                                    <w:jc w:val="center"/>
                                  </w:pPr>
                                  <w:r>
                                    <w:rPr>
                                      <w:rFonts w:hint="eastAsia"/>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peech Bubble: Rectangle 17" o:spid="_x0000_s1026" o:spt="61" type="#_x0000_t61" style="position:absolute;left:0pt;margin-left:23.95pt;margin-top:30.6pt;height:21pt;width:53.4pt;z-index:251663360;v-text-anchor:middle;mso-width-relative:page;mso-height-relative:page;" fillcolor="#FFFFFF [3201]" filled="t" stroked="t" coordsize="21600,21600" o:gfxdata="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FUXEcDYAAAACQEAAA8AAAAAAAAAAQAgAAAAIgAAAGRycy9k&#10;b3ducmV2LnhtbFBLAQIUABQAAAAIAIdO4kBdcemsrQIAAHcFAAAOAAAAAAAAAAEAIAAAACcBAABk&#10;cnMvZTJvRG9jLnhtbFBLBQYAAAAABgAGAFkBAABGBgAAAAA=&#10;" adj="20619,34730">
                      <v:fill on="t" focussize="0,0"/>
                      <v:stroke weight="1pt" color="#70AD47 [3209]" miterlimit="8" joinstyle="miter"/>
                      <v:imagedata o:title=""/>
                      <o:lock v:ext="edit" aspectratio="f"/>
                      <v:textbox>
                        <w:txbxContent>
                          <w:p w14:paraId="3442A108">
                            <w:pPr>
                              <w:jc w:val="center"/>
                            </w:pPr>
                            <w:r>
                              <w:rPr>
                                <w:rFonts w:hint="eastAsia"/>
                              </w:rPr>
                              <w:t>本项目</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207010</wp:posOffset>
                      </wp:positionH>
                      <wp:positionV relativeFrom="paragraph">
                        <wp:posOffset>342900</wp:posOffset>
                      </wp:positionV>
                      <wp:extent cx="1499235" cy="1285240"/>
                      <wp:effectExtent l="0" t="0" r="81915" b="410210"/>
                      <wp:wrapNone/>
                      <wp:docPr id="50925972" name="Speech Bubble: Rectangle 15"/>
                      <wp:cNvGraphicFramePr/>
                      <a:graphic xmlns:a="http://schemas.openxmlformats.org/drawingml/2006/main">
                        <a:graphicData uri="http://schemas.microsoft.com/office/word/2010/wordprocessingShape">
                          <wps:wsp>
                            <wps:cNvSpPr/>
                            <wps:spPr>
                              <a:xfrm>
                                <a:off x="0" y="0"/>
                                <a:ext cx="1499235" cy="1285240"/>
                              </a:xfrm>
                              <a:prstGeom prst="wedgeRectCallout">
                                <a:avLst>
                                  <a:gd name="adj1" fmla="val 51779"/>
                                  <a:gd name="adj2" fmla="val 79241"/>
                                </a:avLst>
                              </a:prstGeom>
                            </wps:spPr>
                            <wps:style>
                              <a:lnRef idx="2">
                                <a:schemeClr val="accent6"/>
                              </a:lnRef>
                              <a:fillRef idx="1">
                                <a:schemeClr val="lt1"/>
                              </a:fillRef>
                              <a:effectRef idx="0">
                                <a:schemeClr val="accent6"/>
                              </a:effectRef>
                              <a:fontRef idx="minor">
                                <a:schemeClr val="dk1"/>
                              </a:fontRef>
                            </wps:style>
                            <wps:txbx>
                              <w:txbxContent>
                                <w:p w14:paraId="3883B327">
                                  <w:pPr>
                                    <w:jc w:val="center"/>
                                  </w:pPr>
                                  <w:r>
                                    <w:drawing>
                                      <wp:inline distT="0" distB="0" distL="0" distR="0">
                                        <wp:extent cx="1303020" cy="1181100"/>
                                        <wp:effectExtent l="0" t="0" r="0" b="0"/>
                                        <wp:docPr id="4017306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0666"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0302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peech Bubble: Rectangle 15" o:spid="_x0000_s1026" o:spt="61" type="#_x0000_t61" style="position:absolute;left:0pt;margin-left:16.3pt;margin-top:27pt;height:101.2pt;width:118.05pt;z-index:251662336;v-text-anchor:middle;mso-width-relative:page;mso-height-relative:page;" fillcolor="#FFFFFF [3201]" filled="t" stroked="t" coordsize="21600,21600" o:gfxdata="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L/gDO2wAAAAkBAAAPAAAAAAAAAAEAIAAAACIAAABk&#10;cnMvZG93bnJldi54bWxQSwECFAAUAAAACACHTuJAV+Fxa64CAAB3BQAADgAAAAAAAAABACAAAAAq&#10;AQAAZHJzL2Uyb0RvYy54bWxQSwUGAAAAAAYABgBZAQAASgYAAAAA&#10;" adj="21984,27916">
                      <v:fill on="t" focussize="0,0"/>
                      <v:stroke weight="1pt" color="#70AD47 [3209]" miterlimit="8" joinstyle="miter"/>
                      <v:imagedata o:title=""/>
                      <o:lock v:ext="edit" aspectratio="f"/>
                      <v:textbox>
                        <w:txbxContent>
                          <w:p w14:paraId="3883B327">
                            <w:pPr>
                              <w:jc w:val="center"/>
                            </w:pPr>
                            <w:r>
                              <w:drawing>
                                <wp:inline distT="0" distB="0" distL="0" distR="0">
                                  <wp:extent cx="1303020" cy="1181100"/>
                                  <wp:effectExtent l="0" t="0" r="0" b="0"/>
                                  <wp:docPr id="4017306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0666"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03020" cy="1181100"/>
                                          </a:xfrm>
                                          <a:prstGeom prst="rect">
                                            <a:avLst/>
                                          </a:prstGeom>
                                          <a:noFill/>
                                          <a:ln>
                                            <a:noFill/>
                                          </a:ln>
                                        </pic:spPr>
                                      </pic:pic>
                                    </a:graphicData>
                                  </a:graphic>
                                </wp:inline>
                              </w:drawing>
                            </w:r>
                          </w:p>
                        </w:txbxContent>
                      </v:textbox>
                    </v:shape>
                  </w:pict>
                </mc:Fallback>
              </mc:AlternateContent>
            </w:r>
            <w:r>
              <w:drawing>
                <wp:inline distT="0" distB="0" distL="0" distR="0">
                  <wp:extent cx="5029200" cy="3550920"/>
                  <wp:effectExtent l="0" t="0" r="0" b="0"/>
                  <wp:docPr id="7494119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11942"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29200" cy="3550920"/>
                          </a:xfrm>
                          <a:prstGeom prst="rect">
                            <a:avLst/>
                          </a:prstGeom>
                          <a:noFill/>
                          <a:ln>
                            <a:noFill/>
                          </a:ln>
                        </pic:spPr>
                      </pic:pic>
                    </a:graphicData>
                  </a:graphic>
                </wp:inline>
              </w:drawing>
            </w:r>
          </w:p>
          <w:p w14:paraId="73EFE274">
            <w:pPr>
              <w:tabs>
                <w:tab w:val="left" w:pos="2673"/>
              </w:tabs>
              <w:spacing w:line="360" w:lineRule="auto"/>
              <w:jc w:val="center"/>
              <w:rPr>
                <w:rFonts w:ascii="宋体" w:hAnsi="宋体" w:cs="宋体"/>
                <w:b/>
                <w:bCs/>
                <w:kern w:val="0"/>
                <w:sz w:val="24"/>
                <w:lang w:bidi="ar"/>
              </w:rPr>
            </w:pPr>
            <w:r>
              <w:rPr>
                <w:rFonts w:hint="eastAsia" w:ascii="宋体" w:hAnsi="宋体" w:cs="宋体"/>
                <w:b/>
                <w:bCs/>
                <w:kern w:val="0"/>
                <w:sz w:val="24"/>
                <w:lang w:bidi="ar"/>
              </w:rPr>
              <w:t>图1.2本项目与水环境分区管控位置关系图</w:t>
            </w:r>
          </w:p>
          <w:p w14:paraId="54CF6869">
            <w:pPr>
              <w:pStyle w:val="52"/>
              <w:spacing w:line="360" w:lineRule="auto"/>
              <w:ind w:firstLine="480" w:firstLineChars="200"/>
              <w:jc w:val="left"/>
              <w:rPr>
                <w:rFonts w:hAnsi="宋体" w:cs="宋体"/>
                <w:sz w:val="24"/>
                <w:szCs w:val="24"/>
                <w:lang w:bidi="ar"/>
              </w:rPr>
            </w:pPr>
            <w:r>
              <w:rPr>
                <w:rFonts w:hint="eastAsia" w:hAnsi="宋体" w:cs="宋体"/>
                <w:sz w:val="24"/>
                <w:szCs w:val="24"/>
                <w:lang w:bidi="ar"/>
              </w:rPr>
              <w:t>根据《安徽省六安市“三线一单”文本》，本项目所在区域属于水环境重点管控区。</w:t>
            </w:r>
          </w:p>
          <w:p w14:paraId="33E5701E">
            <w:pPr>
              <w:widowControl/>
              <w:jc w:val="center"/>
              <w:rPr>
                <w:rFonts w:ascii="宋体" w:hAnsi="宋体" w:cs="宋体"/>
                <w:b/>
                <w:bCs/>
                <w:szCs w:val="21"/>
              </w:rPr>
            </w:pPr>
            <w:r>
              <w:rPr>
                <w:rFonts w:hint="eastAsia" w:ascii="宋体" w:hAnsi="宋体" w:cs="宋体"/>
                <w:b/>
                <w:bCs/>
                <w:kern w:val="0"/>
                <w:szCs w:val="21"/>
                <w:lang w:bidi="ar"/>
              </w:rPr>
              <w:t>表1-4与水环境分区管控要求的协调性分析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4118"/>
              <w:gridCol w:w="2200"/>
            </w:tblGrid>
            <w:tr w14:paraId="68F2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pct"/>
                </w:tcPr>
                <w:p w14:paraId="040AFEED">
                  <w:pPr>
                    <w:pStyle w:val="51"/>
                    <w:spacing w:line="240" w:lineRule="auto"/>
                    <w:jc w:val="center"/>
                    <w:rPr>
                      <w:rFonts w:ascii="宋体" w:hAnsi="宋体" w:cs="宋体"/>
                      <w:color w:val="auto"/>
                      <w:sz w:val="21"/>
                      <w:szCs w:val="21"/>
                    </w:rPr>
                  </w:pPr>
                  <w:r>
                    <w:rPr>
                      <w:rFonts w:hint="eastAsia" w:ascii="宋体" w:hAnsi="宋体" w:cs="宋体"/>
                      <w:color w:val="auto"/>
                      <w:sz w:val="21"/>
                      <w:szCs w:val="21"/>
                    </w:rPr>
                    <w:t>管控单元分类</w:t>
                  </w:r>
                </w:p>
              </w:tc>
              <w:tc>
                <w:tcPr>
                  <w:tcW w:w="2516" w:type="pct"/>
                </w:tcPr>
                <w:p w14:paraId="34E27D46">
                  <w:pPr>
                    <w:pStyle w:val="51"/>
                    <w:spacing w:line="240" w:lineRule="auto"/>
                    <w:jc w:val="center"/>
                    <w:rPr>
                      <w:rFonts w:ascii="宋体" w:hAnsi="宋体" w:cs="宋体"/>
                      <w:color w:val="auto"/>
                      <w:sz w:val="21"/>
                      <w:szCs w:val="21"/>
                    </w:rPr>
                  </w:pPr>
                  <w:r>
                    <w:rPr>
                      <w:rFonts w:hint="eastAsia" w:ascii="宋体" w:hAnsi="宋体" w:cs="宋体"/>
                      <w:color w:val="auto"/>
                      <w:sz w:val="21"/>
                      <w:szCs w:val="21"/>
                    </w:rPr>
                    <w:t>环境管控要求</w:t>
                  </w:r>
                </w:p>
              </w:tc>
              <w:tc>
                <w:tcPr>
                  <w:tcW w:w="1344" w:type="pct"/>
                </w:tcPr>
                <w:p w14:paraId="6FECC297">
                  <w:pPr>
                    <w:pStyle w:val="51"/>
                    <w:spacing w:line="240" w:lineRule="auto"/>
                    <w:jc w:val="center"/>
                    <w:rPr>
                      <w:rFonts w:ascii="宋体" w:hAnsi="宋体" w:cs="宋体"/>
                      <w:color w:val="auto"/>
                      <w:sz w:val="21"/>
                      <w:szCs w:val="21"/>
                    </w:rPr>
                  </w:pPr>
                  <w:r>
                    <w:rPr>
                      <w:rFonts w:hint="eastAsia" w:ascii="宋体" w:hAnsi="宋体" w:cs="宋体"/>
                      <w:color w:val="auto"/>
                      <w:sz w:val="21"/>
                      <w:szCs w:val="21"/>
                    </w:rPr>
                    <w:t>协调性分析</w:t>
                  </w:r>
                </w:p>
              </w:tc>
            </w:tr>
            <w:tr w14:paraId="4426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pct"/>
                  <w:vAlign w:val="center"/>
                </w:tcPr>
                <w:p w14:paraId="27AC46BD">
                  <w:pPr>
                    <w:pStyle w:val="51"/>
                    <w:spacing w:line="240" w:lineRule="auto"/>
                    <w:jc w:val="center"/>
                    <w:rPr>
                      <w:rFonts w:ascii="宋体" w:hAnsi="宋体" w:cs="宋体"/>
                      <w:b w:val="0"/>
                      <w:bCs/>
                      <w:color w:val="auto"/>
                      <w:sz w:val="21"/>
                      <w:szCs w:val="21"/>
                    </w:rPr>
                  </w:pPr>
                  <w:r>
                    <w:rPr>
                      <w:rFonts w:hint="eastAsia" w:ascii="宋体" w:hAnsi="宋体" w:cs="宋体"/>
                      <w:b w:val="0"/>
                      <w:bCs/>
                      <w:color w:val="auto"/>
                      <w:sz w:val="21"/>
                      <w:szCs w:val="21"/>
                    </w:rPr>
                    <w:t>重点管控区</w:t>
                  </w:r>
                </w:p>
              </w:tc>
              <w:tc>
                <w:tcPr>
                  <w:tcW w:w="2516" w:type="pct"/>
                  <w:vAlign w:val="center"/>
                </w:tcPr>
                <w:p w14:paraId="17227B1B">
                  <w:pPr>
                    <w:pStyle w:val="51"/>
                    <w:spacing w:line="240" w:lineRule="auto"/>
                    <w:jc w:val="center"/>
                    <w:rPr>
                      <w:rFonts w:ascii="宋体" w:hAnsi="宋体" w:cs="宋体"/>
                      <w:b w:val="0"/>
                      <w:bCs/>
                      <w:color w:val="auto"/>
                      <w:sz w:val="21"/>
                      <w:szCs w:val="21"/>
                    </w:rPr>
                  </w:pPr>
                  <w:r>
                    <w:rPr>
                      <w:rFonts w:hint="eastAsia" w:ascii="宋体" w:hAnsi="宋体" w:cs="宋体"/>
                      <w:b w:val="0"/>
                      <w:bCs/>
                      <w:color w:val="auto"/>
                      <w:sz w:val="21"/>
                      <w:szCs w:val="21"/>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三五”生态环境保护规划》《安徽省“十三五”环境保护规划》《安徽省“十三五”节能减排实施方案》《六安市“十三五”节能减排实施方案》等要求，新建、改建和扩建项目水污染物实施“等量替代”。</w:t>
                  </w:r>
                </w:p>
              </w:tc>
              <w:tc>
                <w:tcPr>
                  <w:tcW w:w="1344" w:type="pct"/>
                  <w:vAlign w:val="center"/>
                </w:tcPr>
                <w:p w14:paraId="20D9885D">
                  <w:pPr>
                    <w:pStyle w:val="7"/>
                    <w:rPr>
                      <w:rFonts w:ascii="宋体" w:hAnsi="宋体" w:cs="宋体"/>
                      <w:bCs/>
                      <w:sz w:val="21"/>
                      <w:szCs w:val="21"/>
                    </w:rPr>
                  </w:pPr>
                  <w:r>
                    <w:rPr>
                      <w:rFonts w:hint="eastAsia" w:ascii="宋体" w:hAnsi="宋体" w:cs="宋体"/>
                      <w:bCs/>
                      <w:sz w:val="21"/>
                      <w:szCs w:val="21"/>
                    </w:rPr>
                    <w:t>项目符合《安徽省“十四五”环境保护规划》等文件要求，生活污水经化粪池预处理后经市政污水管网排入开发区污水处理厂，项目不涉及重金属总量，水污染物总量纳入金寨开发区污水处理厂一并管理。</w:t>
                  </w:r>
                </w:p>
                <w:p w14:paraId="54510B2F">
                  <w:pPr>
                    <w:pStyle w:val="51"/>
                    <w:spacing w:line="240" w:lineRule="auto"/>
                    <w:jc w:val="center"/>
                    <w:rPr>
                      <w:rFonts w:ascii="宋体" w:hAnsi="宋体" w:cs="宋体"/>
                      <w:b w:val="0"/>
                      <w:bCs/>
                      <w:color w:val="auto"/>
                      <w:sz w:val="21"/>
                      <w:szCs w:val="21"/>
                    </w:rPr>
                  </w:pPr>
                </w:p>
              </w:tc>
            </w:tr>
          </w:tbl>
          <w:p w14:paraId="32B3E804">
            <w:pPr>
              <w:spacing w:line="500" w:lineRule="exact"/>
              <w:ind w:firstLine="480" w:firstLineChars="200"/>
              <w:rPr>
                <w:bCs/>
                <w:sz w:val="24"/>
              </w:rPr>
            </w:pPr>
          </w:p>
          <w:p w14:paraId="7DF09BFD">
            <w:pPr>
              <w:spacing w:line="500" w:lineRule="exact"/>
              <w:ind w:firstLine="480" w:firstLineChars="200"/>
              <w:rPr>
                <w:bCs/>
                <w:sz w:val="24"/>
              </w:rPr>
            </w:pPr>
          </w:p>
          <w:p w14:paraId="337FC367">
            <w:pPr>
              <w:spacing w:line="500" w:lineRule="exact"/>
              <w:ind w:firstLine="480" w:firstLineChars="200"/>
              <w:rPr>
                <w:bCs/>
                <w:sz w:val="24"/>
              </w:rPr>
            </w:pPr>
          </w:p>
          <w:p w14:paraId="64CE08EB">
            <w:pPr>
              <w:spacing w:line="500" w:lineRule="exact"/>
              <w:ind w:firstLine="480" w:firstLineChars="200"/>
              <w:rPr>
                <w:bCs/>
                <w:sz w:val="24"/>
              </w:rPr>
            </w:pPr>
          </w:p>
          <w:p w14:paraId="57B4BEAD">
            <w:pPr>
              <w:spacing w:line="500" w:lineRule="exact"/>
              <w:ind w:firstLine="480" w:firstLineChars="200"/>
              <w:rPr>
                <w:bCs/>
                <w:sz w:val="24"/>
              </w:rPr>
            </w:pPr>
          </w:p>
          <w:p w14:paraId="48F9F76E">
            <w:pPr>
              <w:spacing w:line="500" w:lineRule="exact"/>
              <w:ind w:firstLine="480" w:firstLineChars="200"/>
              <w:rPr>
                <w:bCs/>
                <w:sz w:val="24"/>
              </w:rPr>
            </w:pPr>
            <w:r>
              <w:rPr>
                <w:rFonts w:hint="eastAsia"/>
                <w:bCs/>
                <w:sz w:val="24"/>
              </w:rPr>
              <w:t>（2）大气环境分区管控要求</w:t>
            </w:r>
          </w:p>
          <w:p w14:paraId="750DE2BC">
            <w:pPr>
              <w:spacing w:line="500" w:lineRule="exact"/>
              <w:ind w:firstLine="376" w:firstLineChars="157"/>
              <w:rPr>
                <w:bCs/>
                <w:sz w:val="24"/>
              </w:rPr>
            </w:pPr>
          </w:p>
          <w:p w14:paraId="4C51E869">
            <w:pPr>
              <w:spacing w:line="500" w:lineRule="exact"/>
              <w:ind w:firstLine="376" w:firstLineChars="157"/>
              <w:rPr>
                <w:bCs/>
                <w:sz w:val="24"/>
              </w:rPr>
            </w:pPr>
            <w:r>
              <w:rPr>
                <w:bCs/>
                <w:sz w:val="24"/>
              </w:rPr>
              <mc:AlternateContent>
                <mc:Choice Requires="wps">
                  <w:drawing>
                    <wp:anchor distT="0" distB="0" distL="114300" distR="114300" simplePos="0" relativeHeight="251664384" behindDoc="0" locked="0" layoutInCell="1" allowOverlap="1">
                      <wp:simplePos x="0" y="0"/>
                      <wp:positionH relativeFrom="column">
                        <wp:posOffset>176530</wp:posOffset>
                      </wp:positionH>
                      <wp:positionV relativeFrom="paragraph">
                        <wp:posOffset>167005</wp:posOffset>
                      </wp:positionV>
                      <wp:extent cx="1493520" cy="1447800"/>
                      <wp:effectExtent l="0" t="0" r="13335" b="276860"/>
                      <wp:wrapNone/>
                      <wp:docPr id="1671562370" name="Speech Bubble: Rectangle 19"/>
                      <wp:cNvGraphicFramePr/>
                      <a:graphic xmlns:a="http://schemas.openxmlformats.org/drawingml/2006/main">
                        <a:graphicData uri="http://schemas.microsoft.com/office/word/2010/wordprocessingShape">
                          <wps:wsp>
                            <wps:cNvSpPr/>
                            <wps:spPr>
                              <a:xfrm>
                                <a:off x="0" y="0"/>
                                <a:ext cx="1493520" cy="1447800"/>
                              </a:xfrm>
                              <a:prstGeom prst="wedgeRectCallout">
                                <a:avLst>
                                  <a:gd name="adj1" fmla="val 47534"/>
                                  <a:gd name="adj2" fmla="val 67238"/>
                                </a:avLst>
                              </a:prstGeom>
                            </wps:spPr>
                            <wps:style>
                              <a:lnRef idx="2">
                                <a:schemeClr val="accent6"/>
                              </a:lnRef>
                              <a:fillRef idx="1">
                                <a:schemeClr val="lt1"/>
                              </a:fillRef>
                              <a:effectRef idx="0">
                                <a:schemeClr val="accent6"/>
                              </a:effectRef>
                              <a:fontRef idx="minor">
                                <a:schemeClr val="dk1"/>
                              </a:fontRef>
                            </wps:style>
                            <wps:txbx>
                              <w:txbxContent>
                                <w:p w14:paraId="0ED36ED5">
                                  <w:pPr>
                                    <w:jc w:val="center"/>
                                  </w:pPr>
                                  <w:r>
                                    <w:drawing>
                                      <wp:inline distT="0" distB="0" distL="0" distR="0">
                                        <wp:extent cx="1295400" cy="1333500"/>
                                        <wp:effectExtent l="0" t="0" r="0" b="0"/>
                                        <wp:docPr id="10072041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04102"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95400" cy="13335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spAutoFit/>
                            </wps:bodyPr>
                          </wps:wsp>
                        </a:graphicData>
                      </a:graphic>
                    </wp:anchor>
                  </w:drawing>
                </mc:Choice>
                <mc:Fallback>
                  <w:pict>
                    <v:shape id="Speech Bubble: Rectangle 19" o:spid="_x0000_s1026" o:spt="61" type="#_x0000_t61" style="position:absolute;left:0pt;margin-left:13.9pt;margin-top:13.15pt;height:114pt;width:117.6pt;mso-wrap-style:none;z-index:251664384;v-text-anchor:middle;mso-width-relative:page;mso-height-relative:page;" fillcolor="#FFFFFF [3201]" filled="t" stroked="t" coordsize="21600,21600" o:gfxdata="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MjbQ1LYAAAACQEAAA8AAAAAAAAAAQAgAAAAIgAAAGRycy9kb3du&#10;cmV2LnhtbFBLAQIUABQAAAAIAIdO4kCLh4JlqgIAAHcFAAAOAAAAAAAAAAEAIAAAACcBAABkcnMv&#10;ZTJvRG9jLnhtbFBLBQYAAAAABgAGAFkBAABDBgAAAAA=&#10;" adj="21067,25323">
                      <v:fill on="t" focussize="0,0"/>
                      <v:stroke weight="1pt" color="#70AD47 [3209]" miterlimit="8" joinstyle="miter"/>
                      <v:imagedata o:title=""/>
                      <o:lock v:ext="edit" aspectratio="f"/>
                      <v:textbox style="mso-fit-shape-to-text:t;">
                        <w:txbxContent>
                          <w:p w14:paraId="0ED36ED5">
                            <w:pPr>
                              <w:jc w:val="center"/>
                            </w:pPr>
                            <w:r>
                              <w:drawing>
                                <wp:inline distT="0" distB="0" distL="0" distR="0">
                                  <wp:extent cx="1295400" cy="1333500"/>
                                  <wp:effectExtent l="0" t="0" r="0" b="0"/>
                                  <wp:docPr id="10072041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04102"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95400" cy="1333500"/>
                                          </a:xfrm>
                                          <a:prstGeom prst="rect">
                                            <a:avLst/>
                                          </a:prstGeom>
                                          <a:noFill/>
                                          <a:ln>
                                            <a:noFill/>
                                          </a:ln>
                                        </pic:spPr>
                                      </pic:pic>
                                    </a:graphicData>
                                  </a:graphic>
                                </wp:inline>
                              </w:drawing>
                            </w:r>
                          </w:p>
                        </w:txbxContent>
                      </v:textbox>
                    </v:shape>
                  </w:pict>
                </mc:Fallback>
              </mc:AlternateContent>
            </w:r>
          </w:p>
          <w:p w14:paraId="3268FA44">
            <w:pPr>
              <w:spacing w:line="500" w:lineRule="exact"/>
              <w:ind w:firstLine="376" w:firstLineChars="157"/>
              <w:rPr>
                <w:bCs/>
                <w:sz w:val="24"/>
              </w:rPr>
            </w:pPr>
            <w:r>
              <w:rPr>
                <w:bCs/>
                <w:sz w:val="24"/>
              </w:rPr>
              <mc:AlternateContent>
                <mc:Choice Requires="wps">
                  <w:drawing>
                    <wp:anchor distT="0" distB="0" distL="114300" distR="114300" simplePos="0" relativeHeight="251665408" behindDoc="0" locked="0" layoutInCell="1" allowOverlap="1">
                      <wp:simplePos x="0" y="0"/>
                      <wp:positionH relativeFrom="column">
                        <wp:posOffset>273685</wp:posOffset>
                      </wp:positionH>
                      <wp:positionV relativeFrom="paragraph">
                        <wp:posOffset>22225</wp:posOffset>
                      </wp:positionV>
                      <wp:extent cx="655320" cy="312420"/>
                      <wp:effectExtent l="0" t="0" r="11430" b="220980"/>
                      <wp:wrapNone/>
                      <wp:docPr id="1090791858" name="Speech Bubble: Rectangle 21"/>
                      <wp:cNvGraphicFramePr/>
                      <a:graphic xmlns:a="http://schemas.openxmlformats.org/drawingml/2006/main">
                        <a:graphicData uri="http://schemas.microsoft.com/office/word/2010/wordprocessingShape">
                          <wps:wsp>
                            <wps:cNvSpPr/>
                            <wps:spPr>
                              <a:xfrm>
                                <a:off x="0" y="0"/>
                                <a:ext cx="655320" cy="312420"/>
                              </a:xfrm>
                              <a:prstGeom prst="wedgeRectCallout">
                                <a:avLst>
                                  <a:gd name="adj1" fmla="val 45446"/>
                                  <a:gd name="adj2" fmla="val 106403"/>
                                </a:avLst>
                              </a:prstGeom>
                            </wps:spPr>
                            <wps:style>
                              <a:lnRef idx="2">
                                <a:schemeClr val="accent6"/>
                              </a:lnRef>
                              <a:fillRef idx="1">
                                <a:schemeClr val="lt1"/>
                              </a:fillRef>
                              <a:effectRef idx="0">
                                <a:schemeClr val="accent6"/>
                              </a:effectRef>
                              <a:fontRef idx="minor">
                                <a:schemeClr val="dk1"/>
                              </a:fontRef>
                            </wps:style>
                            <wps:txbx>
                              <w:txbxContent>
                                <w:p w14:paraId="34C0AC11">
                                  <w:pPr>
                                    <w:jc w:val="center"/>
                                  </w:pPr>
                                  <w:r>
                                    <w:rPr>
                                      <w:rFonts w:hint="eastAsia"/>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peech Bubble: Rectangle 21" o:spid="_x0000_s1026" o:spt="61" type="#_x0000_t61" style="position:absolute;left:0pt;margin-left:21.55pt;margin-top:1.75pt;height:24.6pt;width:51.6pt;z-index:251665408;v-text-anchor:middle;mso-width-relative:page;mso-height-relative:page;" fillcolor="#FFFFFF [3201]" filled="t" stroked="t" coordsize="21600,21600" o:gfxdata="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bnBD9QAAAAHAQAADwAAAAAAAAABACAAAAAiAAAAZHJzL2Rvd25y&#10;ZXYueG1sUEsBAhQAFAAAAAgAh07iQINWvlKtAgAAeAUAAA4AAAAAAAAAAQAgAAAAIwEAAGRycy9l&#10;Mm9Eb2MueG1sUEsFBgAAAAAGAAYAWQEAAEIGAAAAAA==&#10;" adj="20616,33783">
                      <v:fill on="t" focussize="0,0"/>
                      <v:stroke weight="1pt" color="#70AD47 [3209]" miterlimit="8" joinstyle="miter"/>
                      <v:imagedata o:title=""/>
                      <o:lock v:ext="edit" aspectratio="f"/>
                      <v:textbox>
                        <w:txbxContent>
                          <w:p w14:paraId="34C0AC11">
                            <w:pPr>
                              <w:jc w:val="center"/>
                            </w:pPr>
                            <w:r>
                              <w:rPr>
                                <w:rFonts w:hint="eastAsia"/>
                              </w:rPr>
                              <w:t>本项目</w:t>
                            </w:r>
                          </w:p>
                        </w:txbxContent>
                      </v:textbox>
                    </v:shape>
                  </w:pict>
                </mc:Fallback>
              </mc:AlternateContent>
            </w:r>
          </w:p>
          <w:p w14:paraId="79B289E3">
            <w:pPr>
              <w:spacing w:line="500" w:lineRule="exact"/>
              <w:ind w:firstLine="376" w:firstLineChars="157"/>
              <w:rPr>
                <w:bCs/>
                <w:sz w:val="24"/>
              </w:rPr>
            </w:pPr>
          </w:p>
          <w:p w14:paraId="09CC3DC2">
            <w:pPr>
              <w:spacing w:line="500" w:lineRule="exact"/>
              <w:ind w:firstLine="376" w:firstLineChars="157"/>
              <w:rPr>
                <w:bCs/>
                <w:sz w:val="24"/>
              </w:rPr>
            </w:pPr>
          </w:p>
          <w:p w14:paraId="28EFC49A">
            <w:pPr>
              <w:spacing w:line="500" w:lineRule="exact"/>
              <w:ind w:firstLine="376" w:firstLineChars="157"/>
              <w:rPr>
                <w:bCs/>
                <w:sz w:val="24"/>
              </w:rPr>
            </w:pPr>
          </w:p>
          <w:p w14:paraId="2BBAA2FA">
            <w:pPr>
              <w:spacing w:line="500" w:lineRule="exact"/>
              <w:ind w:firstLine="376" w:firstLineChars="157"/>
              <w:rPr>
                <w:bCs/>
                <w:sz w:val="24"/>
              </w:rPr>
            </w:pPr>
          </w:p>
          <w:p w14:paraId="6D1AD8FC">
            <w:pPr>
              <w:spacing w:line="500" w:lineRule="exact"/>
              <w:ind w:firstLine="376" w:firstLineChars="157"/>
              <w:rPr>
                <w:bCs/>
                <w:sz w:val="24"/>
              </w:rPr>
            </w:pPr>
          </w:p>
          <w:p w14:paraId="25F32AB6">
            <w:pPr>
              <w:spacing w:line="500" w:lineRule="exact"/>
              <w:ind w:firstLine="376" w:firstLineChars="157"/>
              <w:rPr>
                <w:bCs/>
                <w:sz w:val="24"/>
              </w:rPr>
            </w:pPr>
          </w:p>
          <w:p w14:paraId="10FA1778">
            <w:pPr>
              <w:spacing w:line="500" w:lineRule="exact"/>
              <w:ind w:firstLine="376" w:firstLineChars="157"/>
              <w:rPr>
                <w:bCs/>
                <w:sz w:val="24"/>
              </w:rPr>
            </w:pPr>
          </w:p>
          <w:p w14:paraId="2585CF31">
            <w:pPr>
              <w:spacing w:line="500" w:lineRule="exact"/>
              <w:ind w:firstLine="376" w:firstLineChars="157"/>
              <w:rPr>
                <w:bCs/>
                <w:sz w:val="24"/>
              </w:rPr>
            </w:pPr>
          </w:p>
          <w:p w14:paraId="2247459B">
            <w:pPr>
              <w:spacing w:line="500" w:lineRule="exact"/>
              <w:jc w:val="center"/>
              <w:rPr>
                <w:bCs/>
                <w:sz w:val="24"/>
              </w:rPr>
            </w:pPr>
            <w:r>
              <w:drawing>
                <wp:inline distT="0" distB="0" distL="0" distR="0">
                  <wp:extent cx="5013960" cy="3528060"/>
                  <wp:effectExtent l="0" t="0" r="0" b="0"/>
                  <wp:docPr id="17185692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9239"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13960" cy="3528060"/>
                          </a:xfrm>
                          <a:prstGeom prst="rect">
                            <a:avLst/>
                          </a:prstGeom>
                          <a:noFill/>
                          <a:ln>
                            <a:noFill/>
                          </a:ln>
                        </pic:spPr>
                      </pic:pic>
                    </a:graphicData>
                  </a:graphic>
                </wp:inline>
              </w:drawing>
            </w:r>
          </w:p>
          <w:p w14:paraId="78A0A230">
            <w:pPr>
              <w:tabs>
                <w:tab w:val="left" w:pos="1248"/>
              </w:tabs>
              <w:spacing w:line="360" w:lineRule="auto"/>
              <w:jc w:val="center"/>
              <w:rPr>
                <w:rFonts w:ascii="宋体" w:hAnsi="宋体" w:cs="宋体"/>
                <w:b/>
                <w:bCs/>
                <w:kern w:val="0"/>
                <w:sz w:val="24"/>
                <w:lang w:bidi="ar"/>
              </w:rPr>
            </w:pPr>
            <w:r>
              <w:rPr>
                <w:rFonts w:hint="eastAsia" w:ascii="宋体" w:hAnsi="宋体" w:cs="宋体"/>
                <w:b/>
                <w:bCs/>
                <w:kern w:val="0"/>
                <w:sz w:val="24"/>
                <w:lang w:bidi="ar"/>
              </w:rPr>
              <w:t>图1.3本项目与大气环境分区管控位置关系图</w:t>
            </w:r>
          </w:p>
          <w:p w14:paraId="457B08DE">
            <w:pPr>
              <w:widowControl/>
              <w:spacing w:line="360" w:lineRule="auto"/>
              <w:ind w:firstLine="480" w:firstLineChars="200"/>
              <w:jc w:val="left"/>
              <w:rPr>
                <w:rFonts w:ascii="宋体" w:hAnsi="宋体" w:cs="宋体"/>
                <w:sz w:val="24"/>
              </w:rPr>
            </w:pPr>
            <w:r>
              <w:rPr>
                <w:rFonts w:hint="eastAsia" w:ascii="宋体" w:hAnsi="宋体" w:cs="宋体"/>
                <w:kern w:val="0"/>
                <w:sz w:val="24"/>
                <w:lang w:bidi="ar"/>
              </w:rPr>
              <w:t>根据《安徽省六安市“三线一单”文本》，本项目所在区域属于大气环境重点管控区。</w:t>
            </w:r>
          </w:p>
          <w:p w14:paraId="1C100930">
            <w:pPr>
              <w:widowControl/>
              <w:jc w:val="center"/>
              <w:rPr>
                <w:rFonts w:ascii="宋体" w:hAnsi="宋体" w:cs="宋体"/>
                <w:b/>
                <w:bCs/>
                <w:szCs w:val="21"/>
              </w:rPr>
            </w:pPr>
            <w:r>
              <w:rPr>
                <w:rFonts w:hint="eastAsia" w:ascii="宋体" w:hAnsi="宋体" w:cs="宋体"/>
                <w:b/>
                <w:bCs/>
                <w:kern w:val="0"/>
                <w:szCs w:val="21"/>
                <w:lang w:bidi="ar"/>
              </w:rPr>
              <w:t>表1-5与大气环境分区管控要求的协调性分析</w:t>
            </w:r>
          </w:p>
          <w:tbl>
            <w:tblPr>
              <w:tblStyle w:val="22"/>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4062"/>
              <w:gridCol w:w="2231"/>
            </w:tblGrid>
            <w:tr w14:paraId="30C4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98" w:type="dxa"/>
                  <w:vAlign w:val="center"/>
                </w:tcPr>
                <w:p w14:paraId="2E3D366D">
                  <w:pPr>
                    <w:pStyle w:val="51"/>
                    <w:spacing w:line="240" w:lineRule="auto"/>
                    <w:jc w:val="center"/>
                    <w:rPr>
                      <w:rFonts w:ascii="宋体" w:hAnsi="宋体" w:cs="宋体"/>
                      <w:color w:val="auto"/>
                      <w:sz w:val="21"/>
                      <w:szCs w:val="21"/>
                    </w:rPr>
                  </w:pPr>
                  <w:r>
                    <w:rPr>
                      <w:rFonts w:hint="eastAsia" w:ascii="宋体" w:hAnsi="宋体" w:cs="宋体"/>
                      <w:color w:val="auto"/>
                      <w:sz w:val="21"/>
                      <w:szCs w:val="21"/>
                    </w:rPr>
                    <w:t>管控单元分类</w:t>
                  </w:r>
                </w:p>
              </w:tc>
              <w:tc>
                <w:tcPr>
                  <w:tcW w:w="3374" w:type="dxa"/>
                  <w:vAlign w:val="center"/>
                </w:tcPr>
                <w:p w14:paraId="7D5DD214">
                  <w:pPr>
                    <w:pStyle w:val="51"/>
                    <w:spacing w:line="240" w:lineRule="auto"/>
                    <w:jc w:val="center"/>
                    <w:rPr>
                      <w:rFonts w:ascii="宋体" w:hAnsi="宋体" w:cs="宋体"/>
                      <w:color w:val="auto"/>
                      <w:sz w:val="21"/>
                      <w:szCs w:val="21"/>
                    </w:rPr>
                  </w:pPr>
                  <w:r>
                    <w:rPr>
                      <w:rFonts w:hint="eastAsia" w:ascii="宋体" w:hAnsi="宋体" w:cs="宋体"/>
                      <w:color w:val="auto"/>
                      <w:sz w:val="21"/>
                      <w:szCs w:val="21"/>
                    </w:rPr>
                    <w:t>环境管控要求</w:t>
                  </w:r>
                </w:p>
              </w:tc>
              <w:tc>
                <w:tcPr>
                  <w:tcW w:w="1853" w:type="dxa"/>
                  <w:vAlign w:val="center"/>
                </w:tcPr>
                <w:p w14:paraId="13514B58">
                  <w:pPr>
                    <w:pStyle w:val="51"/>
                    <w:spacing w:line="240" w:lineRule="auto"/>
                    <w:jc w:val="center"/>
                    <w:rPr>
                      <w:rFonts w:ascii="宋体" w:hAnsi="宋体" w:cs="宋体"/>
                      <w:color w:val="auto"/>
                      <w:sz w:val="21"/>
                      <w:szCs w:val="21"/>
                    </w:rPr>
                  </w:pPr>
                  <w:r>
                    <w:rPr>
                      <w:rFonts w:hint="eastAsia" w:ascii="宋体" w:hAnsi="宋体" w:cs="宋体"/>
                      <w:color w:val="auto"/>
                      <w:sz w:val="21"/>
                      <w:szCs w:val="21"/>
                    </w:rPr>
                    <w:t>协调性分析</w:t>
                  </w:r>
                </w:p>
              </w:tc>
            </w:tr>
            <w:tr w14:paraId="511B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8" w:type="dxa"/>
                  <w:vAlign w:val="center"/>
                </w:tcPr>
                <w:p w14:paraId="714D2B5B">
                  <w:pPr>
                    <w:pStyle w:val="51"/>
                    <w:spacing w:line="240" w:lineRule="auto"/>
                    <w:jc w:val="center"/>
                    <w:rPr>
                      <w:rFonts w:ascii="宋体" w:hAnsi="宋体" w:cs="宋体"/>
                      <w:b w:val="0"/>
                      <w:bCs/>
                      <w:color w:val="auto"/>
                      <w:sz w:val="21"/>
                      <w:szCs w:val="21"/>
                    </w:rPr>
                  </w:pPr>
                  <w:r>
                    <w:rPr>
                      <w:rFonts w:hint="eastAsia" w:ascii="宋体" w:hAnsi="宋体" w:cs="宋体"/>
                      <w:b w:val="0"/>
                      <w:bCs/>
                      <w:color w:val="auto"/>
                      <w:sz w:val="21"/>
                      <w:szCs w:val="21"/>
                    </w:rPr>
                    <w:t>重点管控区</w:t>
                  </w:r>
                </w:p>
                <w:p w14:paraId="38854004">
                  <w:pPr>
                    <w:pStyle w:val="51"/>
                    <w:spacing w:line="240" w:lineRule="auto"/>
                    <w:jc w:val="center"/>
                    <w:rPr>
                      <w:rFonts w:ascii="宋体" w:hAnsi="宋体" w:cs="宋体"/>
                      <w:b w:val="0"/>
                      <w:bCs/>
                      <w:color w:val="auto"/>
                      <w:sz w:val="21"/>
                      <w:szCs w:val="21"/>
                    </w:rPr>
                  </w:pPr>
                </w:p>
              </w:tc>
              <w:tc>
                <w:tcPr>
                  <w:tcW w:w="3374" w:type="dxa"/>
                  <w:vAlign w:val="center"/>
                </w:tcPr>
                <w:p w14:paraId="6AF599F7">
                  <w:pPr>
                    <w:pStyle w:val="51"/>
                    <w:spacing w:line="240" w:lineRule="auto"/>
                    <w:jc w:val="center"/>
                    <w:rPr>
                      <w:rFonts w:ascii="宋体" w:hAnsi="宋体" w:cs="宋体"/>
                      <w:b w:val="0"/>
                      <w:bCs/>
                      <w:color w:val="auto"/>
                      <w:sz w:val="21"/>
                      <w:szCs w:val="21"/>
                    </w:rPr>
                  </w:pPr>
                  <w:r>
                    <w:rPr>
                      <w:rFonts w:hint="eastAsia" w:ascii="宋体" w:hAnsi="宋体" w:cs="宋体"/>
                      <w:b w:val="0"/>
                      <w:bCs/>
                      <w:color w:val="auto"/>
                      <w:sz w:val="21"/>
                      <w:szCs w:val="21"/>
                    </w:rPr>
                    <w:t>依据《中华人民共和国大气污染防治法》《打赢蓝天保卫战三年行动计划》《安徽省打赢蓝天保卫战三年行动计划实施方案》《六安市打赢蓝天保卫战三年行动计划实施方案》等法律法规和规章对一般管控区实施管控。上年度PM2.5不达标城市新建、改建和扩建项目大气污染物实施“倍量替代”，执行特别排放标准的行业实施提标升级改造。</w:t>
                  </w:r>
                </w:p>
              </w:tc>
              <w:tc>
                <w:tcPr>
                  <w:tcW w:w="1853" w:type="dxa"/>
                  <w:vAlign w:val="center"/>
                </w:tcPr>
                <w:p w14:paraId="5919E2B7">
                  <w:pPr>
                    <w:pStyle w:val="51"/>
                    <w:topLinePunct/>
                    <w:autoSpaceDE/>
                    <w:autoSpaceDN/>
                    <w:spacing w:line="240" w:lineRule="auto"/>
                    <w:jc w:val="center"/>
                    <w:rPr>
                      <w:rFonts w:ascii="宋体" w:hAnsi="宋体" w:cs="宋体"/>
                      <w:b w:val="0"/>
                      <w:bCs/>
                      <w:color w:val="auto"/>
                      <w:sz w:val="21"/>
                      <w:szCs w:val="21"/>
                    </w:rPr>
                  </w:pPr>
                  <w:r>
                    <w:rPr>
                      <w:rFonts w:hint="eastAsia" w:ascii="宋体" w:hAnsi="宋体" w:cs="宋体"/>
                      <w:b w:val="0"/>
                      <w:bCs/>
                      <w:color w:val="auto"/>
                      <w:sz w:val="21"/>
                      <w:szCs w:val="21"/>
                    </w:rPr>
                    <w:t>项目符合《安徽省大气污染防治条例》《安徽省“十四五”环境保护规划》《重点行业挥发性有机物综合治理方案》等要求，根据六安市2024年环境质量公报数据，项目所在区域为达标区。</w:t>
                  </w:r>
                </w:p>
              </w:tc>
            </w:tr>
          </w:tbl>
          <w:p w14:paraId="0AB0A2E6">
            <w:pPr>
              <w:spacing w:line="500" w:lineRule="exact"/>
              <w:ind w:firstLine="480" w:firstLineChars="200"/>
              <w:rPr>
                <w:bCs/>
                <w:sz w:val="24"/>
              </w:rPr>
            </w:pPr>
            <w:r>
              <w:rPr>
                <w:rFonts w:hint="eastAsia"/>
                <w:bCs/>
                <w:sz w:val="24"/>
              </w:rPr>
              <w:t xml:space="preserve">3、产业政策相符性 </w:t>
            </w:r>
          </w:p>
          <w:p w14:paraId="356609C0">
            <w:pPr>
              <w:spacing w:line="500" w:lineRule="exact"/>
              <w:ind w:firstLine="480" w:firstLineChars="200"/>
              <w:rPr>
                <w:bCs/>
                <w:sz w:val="24"/>
              </w:rPr>
            </w:pPr>
            <w:r>
              <w:rPr>
                <w:bCs/>
                <w:sz w:val="24"/>
              </w:rPr>
              <w:t>本项目属于《国民经济行业分类》（GB/T4754-2017）及第1号修改单中的C3591 环境保护专用设备制造，根据国家发改委发布的《产业结构调整指导目录（</w:t>
            </w:r>
            <w:r>
              <w:rPr>
                <w:rFonts w:hint="eastAsia"/>
                <w:bCs/>
                <w:sz w:val="24"/>
              </w:rPr>
              <w:t>2024</w:t>
            </w:r>
            <w:r>
              <w:rPr>
                <w:bCs/>
                <w:sz w:val="24"/>
              </w:rPr>
              <w:t>年本）》</w:t>
            </w:r>
            <w:r>
              <w:rPr>
                <w:rFonts w:hint="eastAsia"/>
                <w:bCs/>
                <w:sz w:val="24"/>
              </w:rPr>
              <w:t>，</w:t>
            </w:r>
            <w:r>
              <w:rPr>
                <w:bCs/>
                <w:sz w:val="24"/>
              </w:rPr>
              <w:t>本项目不属于其中的限制类、 淘汰类项目，为鼓励类项目。</w:t>
            </w:r>
          </w:p>
          <w:p w14:paraId="2690ED6F">
            <w:pPr>
              <w:spacing w:line="500" w:lineRule="exact"/>
              <w:ind w:firstLine="480" w:firstLineChars="200"/>
              <w:rPr>
                <w:bCs/>
                <w:sz w:val="24"/>
              </w:rPr>
            </w:pPr>
            <w:r>
              <w:rPr>
                <w:rFonts w:hint="eastAsia"/>
                <w:bCs/>
                <w:sz w:val="24"/>
              </w:rPr>
              <w:t>4</w:t>
            </w:r>
            <w:r>
              <w:rPr>
                <w:bCs/>
                <w:sz w:val="24"/>
              </w:rPr>
              <w:t xml:space="preserve">、市场准入负面清单相符性分析 </w:t>
            </w:r>
          </w:p>
          <w:p w14:paraId="20F17745">
            <w:pPr>
              <w:spacing w:line="500" w:lineRule="exact"/>
              <w:ind w:firstLine="480" w:firstLineChars="200"/>
              <w:rPr>
                <w:bCs/>
                <w:sz w:val="24"/>
              </w:rPr>
            </w:pPr>
            <w:r>
              <w:rPr>
                <w:bCs/>
                <w:sz w:val="24"/>
              </w:rPr>
              <w:t>本项目属于《国民经济行业分类》（GB/T4754-2017）及第1号修改单中的</w:t>
            </w:r>
            <w:r>
              <w:rPr>
                <w:rFonts w:hint="eastAsia"/>
                <w:bCs/>
                <w:sz w:val="24"/>
              </w:rPr>
              <w:t>C3591 环境保护专用设备制造</w:t>
            </w:r>
            <w:r>
              <w:rPr>
                <w:bCs/>
                <w:sz w:val="24"/>
              </w:rPr>
              <w:t>，不属于国家《市场准入负面清单》（2022年版）（发改体改规〔2022〕397号）中所列禁止和许可事项，根据《市场准入负面清单》（2022年版）的规定：对于市场准入负面清单以外的行业、领域、业务等，各类市场主体皆可依法平等进入，因此，本项目与《市场准入负面清单》（2022年版）是相符的。</w:t>
            </w:r>
          </w:p>
          <w:p w14:paraId="0231803F">
            <w:pPr>
              <w:spacing w:line="360" w:lineRule="auto"/>
              <w:ind w:firstLine="480" w:firstLineChars="200"/>
              <w:rPr>
                <w:bCs/>
                <w:sz w:val="24"/>
              </w:rPr>
            </w:pPr>
          </w:p>
          <w:p w14:paraId="6A795187">
            <w:pPr>
              <w:spacing w:line="360" w:lineRule="auto"/>
              <w:ind w:firstLine="480" w:firstLineChars="200"/>
              <w:rPr>
                <w:bCs/>
                <w:sz w:val="24"/>
              </w:rPr>
            </w:pPr>
            <w:r>
              <w:rPr>
                <w:rFonts w:hint="eastAsia"/>
                <w:bCs/>
                <w:sz w:val="24"/>
              </w:rPr>
              <w:t>5</w:t>
            </w:r>
            <w:r>
              <w:rPr>
                <w:bCs/>
                <w:sz w:val="24"/>
              </w:rPr>
              <w:t>、项目与《重点行业挥发性有机物综合治理方案》相符性分析</w:t>
            </w:r>
          </w:p>
          <w:p w14:paraId="4B39A27A">
            <w:pPr>
              <w:adjustRightInd w:val="0"/>
              <w:snapToGrid w:val="0"/>
              <w:ind w:firstLine="422" w:firstLineChars="200"/>
              <w:jc w:val="center"/>
              <w:rPr>
                <w:rFonts w:ascii="宋体" w:hAnsi="宋体" w:cs="宋体"/>
                <w:b/>
                <w:sz w:val="24"/>
              </w:rPr>
            </w:pPr>
            <w:r>
              <w:rPr>
                <w:b/>
                <w:szCs w:val="21"/>
              </w:rPr>
              <w:t>表1</w:t>
            </w:r>
            <w:r>
              <w:rPr>
                <w:rFonts w:hint="eastAsia"/>
                <w:b/>
                <w:szCs w:val="21"/>
              </w:rPr>
              <w:t xml:space="preserve">-6 </w:t>
            </w:r>
            <w:r>
              <w:rPr>
                <w:b/>
                <w:szCs w:val="21"/>
              </w:rPr>
              <w:t>与《重点行业挥发性有机物综合治理方案》相符性分析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45"/>
              <w:gridCol w:w="3824"/>
              <w:gridCol w:w="521"/>
            </w:tblGrid>
            <w:tr w14:paraId="4E173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7" w:type="dxa"/>
                  <w:vAlign w:val="center"/>
                </w:tcPr>
                <w:p w14:paraId="7D1AF483">
                  <w:pPr>
                    <w:jc w:val="center"/>
                    <w:rPr>
                      <w:bCs/>
                      <w:szCs w:val="21"/>
                    </w:rPr>
                  </w:pPr>
                  <w:r>
                    <w:rPr>
                      <w:bCs/>
                      <w:szCs w:val="21"/>
                    </w:rPr>
                    <w:t>《重点行业挥发性有机物综合治理方案》</w:t>
                  </w:r>
                </w:p>
              </w:tc>
              <w:tc>
                <w:tcPr>
                  <w:tcW w:w="3776" w:type="dxa"/>
                  <w:vAlign w:val="center"/>
                </w:tcPr>
                <w:p w14:paraId="0E234FC3">
                  <w:pPr>
                    <w:jc w:val="center"/>
                    <w:rPr>
                      <w:bCs/>
                      <w:szCs w:val="21"/>
                    </w:rPr>
                  </w:pPr>
                  <w:r>
                    <w:rPr>
                      <w:bCs/>
                      <w:szCs w:val="21"/>
                    </w:rPr>
                    <w:t>本项目情况</w:t>
                  </w:r>
                </w:p>
              </w:tc>
              <w:tc>
                <w:tcPr>
                  <w:tcW w:w="514" w:type="dxa"/>
                  <w:vAlign w:val="center"/>
                </w:tcPr>
                <w:p w14:paraId="7BB79D37">
                  <w:pPr>
                    <w:jc w:val="center"/>
                    <w:rPr>
                      <w:rFonts w:ascii="宋体" w:hAnsi="宋体" w:cs="宋体"/>
                      <w:bCs/>
                      <w:szCs w:val="21"/>
                    </w:rPr>
                  </w:pPr>
                  <w:r>
                    <w:rPr>
                      <w:rFonts w:hint="eastAsia" w:ascii="宋体" w:hAnsi="宋体" w:cs="宋体"/>
                      <w:bCs/>
                      <w:szCs w:val="21"/>
                    </w:rPr>
                    <w:t>相符性分析</w:t>
                  </w:r>
                </w:p>
              </w:tc>
            </w:tr>
            <w:tr w14:paraId="36D4C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7" w:type="dxa"/>
                  <w:vAlign w:val="center"/>
                </w:tcPr>
                <w:p w14:paraId="6C5ADBAE">
                  <w:pPr>
                    <w:widowControl/>
                    <w:jc w:val="center"/>
                    <w:rPr>
                      <w:szCs w:val="21"/>
                    </w:rPr>
                  </w:pPr>
                  <w:r>
                    <w:rPr>
                      <w:color w:val="000000"/>
                      <w:kern w:val="0"/>
                      <w:szCs w:val="21"/>
                      <w:lang w:bidi="ar"/>
                    </w:rPr>
                    <w:t>含 VOCs 物料生产和使用过程，应采取有效收集措施或在密闭空间中操作。</w:t>
                  </w:r>
                </w:p>
                <w:p w14:paraId="74AA9A3E">
                  <w:pPr>
                    <w:jc w:val="center"/>
                    <w:rPr>
                      <w:bCs/>
                      <w:szCs w:val="21"/>
                    </w:rPr>
                  </w:pPr>
                </w:p>
              </w:tc>
              <w:tc>
                <w:tcPr>
                  <w:tcW w:w="3776" w:type="dxa"/>
                  <w:vAlign w:val="center"/>
                </w:tcPr>
                <w:p w14:paraId="4FEC3C6D">
                  <w:pPr>
                    <w:jc w:val="center"/>
                    <w:rPr>
                      <w:bCs/>
                      <w:szCs w:val="21"/>
                    </w:rPr>
                  </w:pPr>
                  <w:r>
                    <w:rPr>
                      <w:bCs/>
                      <w:szCs w:val="21"/>
                    </w:rPr>
                    <w:t>本项目</w:t>
                  </w:r>
                  <w:r>
                    <w:rPr>
                      <w:rFonts w:hint="eastAsia"/>
                      <w:bCs/>
                      <w:szCs w:val="21"/>
                    </w:rPr>
                    <w:t>超声复合、撒粉涂布烘干废气经二级静电油雾器+活性炭吸附+催化燃烧</w:t>
                  </w:r>
                  <w:r>
                    <w:rPr>
                      <w:bCs/>
                      <w:szCs w:val="21"/>
                    </w:rPr>
                    <w:t>处理后通过15</w:t>
                  </w:r>
                  <w:r>
                    <w:rPr>
                      <w:rFonts w:hint="eastAsia"/>
                      <w:bCs/>
                      <w:szCs w:val="21"/>
                    </w:rPr>
                    <w:t>m</w:t>
                  </w:r>
                  <w:r>
                    <w:rPr>
                      <w:bCs/>
                      <w:szCs w:val="21"/>
                    </w:rPr>
                    <w:t>高排气筒（DA00</w:t>
                  </w:r>
                  <w:r>
                    <w:rPr>
                      <w:rFonts w:hint="eastAsia"/>
                      <w:bCs/>
                      <w:szCs w:val="21"/>
                    </w:rPr>
                    <w:t>1</w:t>
                  </w:r>
                  <w:r>
                    <w:rPr>
                      <w:bCs/>
                      <w:szCs w:val="21"/>
                    </w:rPr>
                    <w:t>）排放</w:t>
                  </w:r>
                </w:p>
              </w:tc>
              <w:tc>
                <w:tcPr>
                  <w:tcW w:w="514" w:type="dxa"/>
                  <w:vAlign w:val="center"/>
                </w:tcPr>
                <w:p w14:paraId="34D6FDD6">
                  <w:pPr>
                    <w:jc w:val="center"/>
                    <w:rPr>
                      <w:rFonts w:ascii="宋体" w:hAnsi="宋体" w:cs="宋体"/>
                      <w:bCs/>
                      <w:szCs w:val="21"/>
                    </w:rPr>
                  </w:pPr>
                  <w:r>
                    <w:rPr>
                      <w:rFonts w:hint="eastAsia" w:ascii="宋体" w:hAnsi="宋体" w:cs="宋体"/>
                      <w:bCs/>
                      <w:szCs w:val="21"/>
                    </w:rPr>
                    <w:t>相符</w:t>
                  </w:r>
                </w:p>
              </w:tc>
            </w:tr>
            <w:tr w14:paraId="111FF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7" w:type="dxa"/>
                  <w:vAlign w:val="center"/>
                </w:tcPr>
                <w:p w14:paraId="3D1C90F2">
                  <w:pPr>
                    <w:widowControl/>
                    <w:jc w:val="center"/>
                    <w:rPr>
                      <w:bCs/>
                      <w:szCs w:val="21"/>
                    </w:rPr>
                  </w:pPr>
                  <w:r>
                    <w:rPr>
                      <w:color w:val="000000"/>
                      <w:kern w:val="0"/>
                      <w:szCs w:val="21"/>
                      <w:lang w:bidi="ar"/>
                    </w:rPr>
                    <w:t>推进建设适宜高效的治污设施。企业新建治污设施或对现有治污设施实施改造，应依据排放废气的浓度、组分、风量，温度、湿度、压力，以及生产工况等，合理选择治理技术。鼓励企业采用多种技术的组合工艺，提高 VOCs 治理效率。低浓度、大风量废气，宜采用沸石转轮吸附、活性炭吸附、减风增浓等浓缩技术，提高 VOCs 浓度后净化处理。采用一次性活性炭吸附技术的，应定期更换活性炭，废旧活性炭应再生或处理处置。有条件的工业园区和产业集群等，推广集中喷涂、溶剂集中回收、活性炭集中再生等，加强资源共享，提高VOCs 治理效率</w:t>
                  </w:r>
                </w:p>
              </w:tc>
              <w:tc>
                <w:tcPr>
                  <w:tcW w:w="3776" w:type="dxa"/>
                  <w:vAlign w:val="center"/>
                </w:tcPr>
                <w:p w14:paraId="0BF158B4">
                  <w:pPr>
                    <w:jc w:val="center"/>
                    <w:rPr>
                      <w:bCs/>
                      <w:szCs w:val="21"/>
                    </w:rPr>
                  </w:pPr>
                  <w:r>
                    <w:rPr>
                      <w:rFonts w:hint="eastAsia"/>
                      <w:bCs/>
                      <w:szCs w:val="21"/>
                    </w:rPr>
                    <w:t>本项目超声复合、撒粉涂布烘干废气经二级静电油雾器+活性炭吸附+催化燃烧处理后通过15m高排气筒（DA001）排放</w:t>
                  </w:r>
                  <w:r>
                    <w:rPr>
                      <w:bCs/>
                      <w:szCs w:val="21"/>
                    </w:rPr>
                    <w:t>，属于</w:t>
                  </w:r>
                  <w:r>
                    <w:rPr>
                      <w:rFonts w:hint="eastAsia"/>
                      <w:bCs/>
                      <w:szCs w:val="21"/>
                    </w:rPr>
                    <w:t>《排污许可证申请与核发技术规范 纺织印染工业》</w:t>
                  </w:r>
                  <w:r>
                    <w:rPr>
                      <w:bCs/>
                      <w:szCs w:val="21"/>
                    </w:rPr>
                    <w:t>中规定的可行性技术，治理效率可</w:t>
                  </w:r>
                  <w:r>
                    <w:rPr>
                      <w:rFonts w:hint="eastAsia"/>
                      <w:bCs/>
                      <w:szCs w:val="21"/>
                    </w:rPr>
                    <w:t>达</w:t>
                  </w:r>
                  <w:r>
                    <w:rPr>
                      <w:bCs/>
                      <w:szCs w:val="21"/>
                    </w:rPr>
                    <w:t>到</w:t>
                  </w:r>
                  <w:r>
                    <w:rPr>
                      <w:rFonts w:hint="eastAsia"/>
                      <w:bCs/>
                      <w:szCs w:val="21"/>
                    </w:rPr>
                    <w:t>9</w:t>
                  </w:r>
                  <w:r>
                    <w:rPr>
                      <w:bCs/>
                      <w:szCs w:val="21"/>
                    </w:rPr>
                    <w:t>0%；</w:t>
                  </w:r>
                  <w:r>
                    <w:rPr>
                      <w:rFonts w:hint="eastAsia"/>
                      <w:bCs/>
                      <w:szCs w:val="21"/>
                    </w:rPr>
                    <w:t>废活性炭、废油污交由有危险废物处置资质的单位处理。</w:t>
                  </w:r>
                </w:p>
              </w:tc>
              <w:tc>
                <w:tcPr>
                  <w:tcW w:w="514" w:type="dxa"/>
                  <w:vAlign w:val="center"/>
                </w:tcPr>
                <w:p w14:paraId="44E49B20">
                  <w:pPr>
                    <w:jc w:val="center"/>
                    <w:rPr>
                      <w:rFonts w:ascii="宋体" w:hAnsi="宋体" w:cs="宋体"/>
                      <w:bCs/>
                      <w:szCs w:val="21"/>
                    </w:rPr>
                  </w:pPr>
                  <w:r>
                    <w:rPr>
                      <w:rFonts w:hint="eastAsia" w:ascii="宋体" w:hAnsi="宋体" w:cs="宋体"/>
                      <w:bCs/>
                      <w:szCs w:val="21"/>
                    </w:rPr>
                    <w:t>相符</w:t>
                  </w:r>
                </w:p>
              </w:tc>
            </w:tr>
          </w:tbl>
          <w:p w14:paraId="49F11714">
            <w:pPr>
              <w:spacing w:line="360" w:lineRule="auto"/>
              <w:ind w:firstLine="480" w:firstLineChars="200"/>
              <w:rPr>
                <w:bCs/>
                <w:sz w:val="24"/>
              </w:rPr>
            </w:pPr>
          </w:p>
          <w:p w14:paraId="12F21F65">
            <w:pPr>
              <w:spacing w:line="360" w:lineRule="auto"/>
              <w:ind w:firstLine="480" w:firstLineChars="200"/>
              <w:rPr>
                <w:bCs/>
                <w:sz w:val="24"/>
              </w:rPr>
            </w:pPr>
            <w:r>
              <w:rPr>
                <w:rFonts w:hint="eastAsia"/>
                <w:bCs/>
                <w:sz w:val="24"/>
              </w:rPr>
              <w:t>6</w:t>
            </w:r>
            <w:r>
              <w:rPr>
                <w:bCs/>
                <w:sz w:val="24"/>
              </w:rPr>
              <w:t>、项目与《挥发性有机物（VOCs）污染防治技术政策》相符性分析</w:t>
            </w:r>
          </w:p>
          <w:p w14:paraId="6DAB2993">
            <w:pPr>
              <w:jc w:val="center"/>
              <w:rPr>
                <w:b/>
                <w:bCs/>
              </w:rPr>
            </w:pPr>
            <w:r>
              <w:rPr>
                <w:rFonts w:hint="eastAsia"/>
                <w:b/>
                <w:bCs/>
              </w:rPr>
              <w:t>表1-7 项目与《挥发性有机物（VOCs）污染防治技术政策》相符性分析</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01"/>
              <w:gridCol w:w="2499"/>
              <w:gridCol w:w="532"/>
            </w:tblGrid>
            <w:tr w14:paraId="5CE2C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001" w:type="dxa"/>
                  <w:vAlign w:val="center"/>
                </w:tcPr>
                <w:p w14:paraId="5A66DBF8">
                  <w:pPr>
                    <w:jc w:val="center"/>
                    <w:rPr>
                      <w:bCs/>
                      <w:szCs w:val="21"/>
                    </w:rPr>
                  </w:pPr>
                  <w:r>
                    <w:rPr>
                      <w:bCs/>
                      <w:szCs w:val="21"/>
                    </w:rPr>
                    <w:t>《挥发性有机物（VOCs）污染防治技术政策》</w:t>
                  </w:r>
                </w:p>
              </w:tc>
              <w:tc>
                <w:tcPr>
                  <w:tcW w:w="2499" w:type="dxa"/>
                  <w:vAlign w:val="center"/>
                </w:tcPr>
                <w:p w14:paraId="3711A4C4">
                  <w:pPr>
                    <w:jc w:val="center"/>
                    <w:rPr>
                      <w:bCs/>
                      <w:szCs w:val="21"/>
                    </w:rPr>
                  </w:pPr>
                  <w:r>
                    <w:rPr>
                      <w:bCs/>
                      <w:szCs w:val="21"/>
                    </w:rPr>
                    <w:t>本项目情况</w:t>
                  </w:r>
                </w:p>
              </w:tc>
              <w:tc>
                <w:tcPr>
                  <w:tcW w:w="532" w:type="dxa"/>
                  <w:vAlign w:val="center"/>
                </w:tcPr>
                <w:p w14:paraId="3AEACDB8">
                  <w:pPr>
                    <w:jc w:val="center"/>
                    <w:rPr>
                      <w:bCs/>
                      <w:szCs w:val="21"/>
                    </w:rPr>
                  </w:pPr>
                  <w:r>
                    <w:rPr>
                      <w:bCs/>
                      <w:szCs w:val="21"/>
                    </w:rPr>
                    <w:t>相符性分析</w:t>
                  </w:r>
                </w:p>
              </w:tc>
            </w:tr>
            <w:tr w14:paraId="51CBB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1" w:type="dxa"/>
                  <w:vAlign w:val="center"/>
                </w:tcPr>
                <w:p w14:paraId="0EB3A6A5">
                  <w:pPr>
                    <w:widowControl/>
                    <w:jc w:val="center"/>
                    <w:rPr>
                      <w:bCs/>
                      <w:szCs w:val="21"/>
                    </w:rPr>
                  </w:pPr>
                  <w:r>
                    <w:rPr>
                      <w:color w:val="000000"/>
                      <w:kern w:val="0"/>
                      <w:szCs w:val="21"/>
                      <w:lang w:bidi="ar"/>
                    </w:rPr>
                    <w:t>含 VOCs 产品的使用过程中，应采取废气收集措施，提高废气收集效率，减少废气的无组织排放与逸散，并对收集后的废气进行回收或处理后达标排放</w:t>
                  </w:r>
                </w:p>
              </w:tc>
              <w:tc>
                <w:tcPr>
                  <w:tcW w:w="2499" w:type="dxa"/>
                  <w:vAlign w:val="center"/>
                </w:tcPr>
                <w:p w14:paraId="1D0CB400">
                  <w:pPr>
                    <w:jc w:val="center"/>
                    <w:rPr>
                      <w:bCs/>
                      <w:szCs w:val="21"/>
                    </w:rPr>
                  </w:pPr>
                  <w:r>
                    <w:rPr>
                      <w:rFonts w:hint="eastAsia"/>
                      <w:bCs/>
                      <w:szCs w:val="21"/>
                    </w:rPr>
                    <w:t>本项目超声复合、撒粉涂布烘干废气排至 VOCs废气收集处理系统</w:t>
                  </w:r>
                </w:p>
              </w:tc>
              <w:tc>
                <w:tcPr>
                  <w:tcW w:w="532" w:type="dxa"/>
                  <w:vAlign w:val="center"/>
                </w:tcPr>
                <w:p w14:paraId="0B62365A">
                  <w:pPr>
                    <w:jc w:val="center"/>
                    <w:rPr>
                      <w:bCs/>
                      <w:szCs w:val="21"/>
                    </w:rPr>
                  </w:pPr>
                  <w:r>
                    <w:rPr>
                      <w:bCs/>
                      <w:szCs w:val="21"/>
                    </w:rPr>
                    <w:t>相符</w:t>
                  </w:r>
                </w:p>
              </w:tc>
            </w:tr>
            <w:tr w14:paraId="7B41B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1" w:type="dxa"/>
                  <w:vAlign w:val="center"/>
                </w:tcPr>
                <w:p w14:paraId="11CE1487">
                  <w:pPr>
                    <w:widowControl/>
                    <w:jc w:val="center"/>
                    <w:rPr>
                      <w:bCs/>
                      <w:szCs w:val="21"/>
                    </w:rPr>
                  </w:pPr>
                  <w:r>
                    <w:rPr>
                      <w:color w:val="000000"/>
                      <w:kern w:val="0"/>
                      <w:szCs w:val="21"/>
                      <w:lang w:bidi="ar"/>
                    </w:rPr>
                    <w:t>对于不能再生的过滤材料、吸附剂及催化剂等净化材料，应按照国家固体废物管理的相关规定处理处置。</w:t>
                  </w:r>
                </w:p>
              </w:tc>
              <w:tc>
                <w:tcPr>
                  <w:tcW w:w="2499" w:type="dxa"/>
                  <w:vAlign w:val="center"/>
                </w:tcPr>
                <w:p w14:paraId="29F62B54">
                  <w:pPr>
                    <w:jc w:val="center"/>
                    <w:rPr>
                      <w:bCs/>
                      <w:szCs w:val="21"/>
                    </w:rPr>
                  </w:pPr>
                  <w:r>
                    <w:rPr>
                      <w:bCs/>
                      <w:szCs w:val="21"/>
                    </w:rPr>
                    <w:t>本项目废活性炭交由有危险废物处置资质的单位处理</w:t>
                  </w:r>
                </w:p>
              </w:tc>
              <w:tc>
                <w:tcPr>
                  <w:tcW w:w="532" w:type="dxa"/>
                  <w:vAlign w:val="center"/>
                </w:tcPr>
                <w:p w14:paraId="63E8F667">
                  <w:pPr>
                    <w:jc w:val="center"/>
                    <w:rPr>
                      <w:bCs/>
                      <w:szCs w:val="21"/>
                    </w:rPr>
                  </w:pPr>
                  <w:r>
                    <w:rPr>
                      <w:bCs/>
                      <w:szCs w:val="21"/>
                    </w:rPr>
                    <w:t>相符</w:t>
                  </w:r>
                </w:p>
              </w:tc>
            </w:tr>
            <w:tr w14:paraId="2E5E4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1" w:type="dxa"/>
                  <w:vAlign w:val="center"/>
                </w:tcPr>
                <w:p w14:paraId="7F764CDA">
                  <w:pPr>
                    <w:widowControl/>
                    <w:jc w:val="center"/>
                    <w:rPr>
                      <w:bCs/>
                      <w:szCs w:val="21"/>
                    </w:rPr>
                  </w:pPr>
                  <w:r>
                    <w:rPr>
                      <w:color w:val="000000"/>
                      <w:kern w:val="0"/>
                      <w:szCs w:val="21"/>
                      <w:lang w:bidi="ar"/>
                    </w:rPr>
                    <w:t>鼓励企业自行开展 VOCs监测，并及时主动向当地环保行政主管部门报送监测结果，企业应建立健全 VOCs 治理设施的运行维护规程和台帐等日常管理制度，并根据工艺要求定期对各类设备、电气、自控仪表等进行检修维护，确保设施的稳定运行；当采用吸附回收（浓缩）、催化燃烧、 热力焚烧、等离子体等方法进行末端治理时，应编制本单位事故火灾、爆炸等应急救援预案，配备应急救援人员和器材，并开展应急演练</w:t>
                  </w:r>
                </w:p>
              </w:tc>
              <w:tc>
                <w:tcPr>
                  <w:tcW w:w="2499" w:type="dxa"/>
                  <w:vAlign w:val="center"/>
                </w:tcPr>
                <w:p w14:paraId="786F4F1D">
                  <w:pPr>
                    <w:jc w:val="center"/>
                    <w:rPr>
                      <w:bCs/>
                      <w:szCs w:val="21"/>
                    </w:rPr>
                  </w:pPr>
                  <w:r>
                    <w:rPr>
                      <w:bCs/>
                      <w:szCs w:val="21"/>
                    </w:rPr>
                    <w:t>本项目正在办理环境影响评价审批手续，后续将落实排污许可制度，自行开展VOCs监测，编制应急救援预案，配备应急救援器材和人员，并开展应急演练。</w:t>
                  </w:r>
                </w:p>
              </w:tc>
              <w:tc>
                <w:tcPr>
                  <w:tcW w:w="532" w:type="dxa"/>
                  <w:vAlign w:val="center"/>
                </w:tcPr>
                <w:p w14:paraId="613AF88E">
                  <w:pPr>
                    <w:jc w:val="center"/>
                    <w:rPr>
                      <w:bCs/>
                      <w:szCs w:val="21"/>
                    </w:rPr>
                  </w:pPr>
                  <w:r>
                    <w:rPr>
                      <w:bCs/>
                      <w:szCs w:val="21"/>
                    </w:rPr>
                    <w:t>相符</w:t>
                  </w:r>
                </w:p>
              </w:tc>
            </w:tr>
          </w:tbl>
          <w:p w14:paraId="3A28A942">
            <w:pPr>
              <w:widowControl/>
              <w:spacing w:line="360" w:lineRule="auto"/>
              <w:jc w:val="left"/>
              <w:rPr>
                <w:rFonts w:ascii="宋体" w:hAnsi="宋体" w:cs="宋体"/>
                <w:b/>
                <w:bCs/>
                <w:color w:val="000000"/>
                <w:kern w:val="0"/>
                <w:sz w:val="24"/>
                <w:lang w:bidi="ar"/>
              </w:rPr>
            </w:pPr>
          </w:p>
          <w:p w14:paraId="76A94362">
            <w:pPr>
              <w:widowControl/>
              <w:spacing w:line="360" w:lineRule="auto"/>
              <w:ind w:firstLine="378"/>
              <w:jc w:val="left"/>
              <w:rPr>
                <w:rFonts w:ascii="宋体" w:hAnsi="宋体" w:cs="宋体"/>
                <w:sz w:val="24"/>
              </w:rPr>
            </w:pPr>
            <w:r>
              <w:rPr>
                <w:rFonts w:hint="eastAsia" w:ascii="宋体" w:hAnsi="宋体" w:cs="宋体"/>
                <w:color w:val="000000"/>
                <w:kern w:val="0"/>
                <w:sz w:val="24"/>
                <w:lang w:bidi="ar"/>
              </w:rPr>
              <w:t>7、与《安徽省大气办关于深入开展挥发性有机物污染治理工作的通知》皖大气办〔2021〕4号相符性分析</w:t>
            </w:r>
          </w:p>
          <w:p w14:paraId="568AF259">
            <w:pPr>
              <w:widowControl/>
              <w:jc w:val="center"/>
              <w:rPr>
                <w:rFonts w:ascii="宋体" w:hAnsi="宋体" w:cs="宋体"/>
                <w:b/>
                <w:bCs/>
                <w:color w:val="000000"/>
                <w:kern w:val="0"/>
                <w:szCs w:val="21"/>
                <w:lang w:bidi="ar"/>
              </w:rPr>
            </w:pPr>
            <w:r>
              <w:rPr>
                <w:rFonts w:hint="eastAsia" w:ascii="宋体" w:hAnsi="宋体" w:cs="宋体"/>
                <w:b/>
                <w:bCs/>
                <w:color w:val="000000"/>
                <w:kern w:val="0"/>
                <w:szCs w:val="21"/>
                <w:lang w:bidi="ar"/>
              </w:rPr>
              <w:t>表1-8 与皖大气办〔2021〕4号相符性分析</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8"/>
              <w:gridCol w:w="2276"/>
              <w:gridCol w:w="1011"/>
            </w:tblGrid>
            <w:tr w14:paraId="3D64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9" w:type="pct"/>
                  <w:vAlign w:val="center"/>
                </w:tcPr>
                <w:p w14:paraId="2B8021F7">
                  <w:pPr>
                    <w:pStyle w:val="51"/>
                    <w:spacing w:line="240" w:lineRule="auto"/>
                    <w:jc w:val="center"/>
                    <w:rPr>
                      <w:rFonts w:ascii="宋体" w:hAnsi="宋体" w:cs="宋体"/>
                      <w:sz w:val="21"/>
                      <w:szCs w:val="21"/>
                    </w:rPr>
                  </w:pPr>
                  <w:r>
                    <w:rPr>
                      <w:rFonts w:hint="eastAsia" w:ascii="宋体" w:hAnsi="宋体" w:cs="宋体"/>
                      <w:sz w:val="21"/>
                      <w:szCs w:val="21"/>
                    </w:rPr>
                    <w:t>文件要求</w:t>
                  </w:r>
                </w:p>
              </w:tc>
              <w:tc>
                <w:tcPr>
                  <w:tcW w:w="1392" w:type="pct"/>
                  <w:vAlign w:val="center"/>
                </w:tcPr>
                <w:p w14:paraId="6DA3CE34">
                  <w:pPr>
                    <w:pStyle w:val="51"/>
                    <w:spacing w:line="240" w:lineRule="auto"/>
                    <w:jc w:val="center"/>
                    <w:rPr>
                      <w:rFonts w:ascii="宋体" w:hAnsi="宋体" w:cs="宋体"/>
                      <w:sz w:val="21"/>
                      <w:szCs w:val="21"/>
                    </w:rPr>
                  </w:pPr>
                  <w:r>
                    <w:rPr>
                      <w:rFonts w:hint="eastAsia" w:ascii="宋体" w:hAnsi="宋体" w:cs="宋体"/>
                      <w:sz w:val="21"/>
                      <w:szCs w:val="21"/>
                    </w:rPr>
                    <w:t>本项目情况</w:t>
                  </w:r>
                </w:p>
              </w:tc>
              <w:tc>
                <w:tcPr>
                  <w:tcW w:w="618" w:type="pct"/>
                  <w:vAlign w:val="center"/>
                </w:tcPr>
                <w:p w14:paraId="402A9A0D">
                  <w:pPr>
                    <w:pStyle w:val="51"/>
                    <w:spacing w:line="240" w:lineRule="auto"/>
                    <w:jc w:val="center"/>
                    <w:rPr>
                      <w:rFonts w:ascii="宋体" w:hAnsi="宋体" w:cs="宋体"/>
                      <w:sz w:val="21"/>
                      <w:szCs w:val="21"/>
                    </w:rPr>
                  </w:pPr>
                  <w:r>
                    <w:rPr>
                      <w:rFonts w:hint="eastAsia" w:ascii="宋体" w:hAnsi="宋体" w:cs="宋体"/>
                      <w:sz w:val="21"/>
                      <w:szCs w:val="21"/>
                    </w:rPr>
                    <w:t>相符性</w:t>
                  </w:r>
                </w:p>
              </w:tc>
            </w:tr>
            <w:tr w14:paraId="7B1F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9" w:type="pct"/>
                  <w:vAlign w:val="center"/>
                </w:tcPr>
                <w:p w14:paraId="5B4BBEDD">
                  <w:pPr>
                    <w:pStyle w:val="51"/>
                    <w:spacing w:line="240" w:lineRule="auto"/>
                    <w:jc w:val="center"/>
                    <w:rPr>
                      <w:rFonts w:ascii="宋体" w:hAnsi="宋体" w:cs="宋体"/>
                      <w:b w:val="0"/>
                      <w:bCs/>
                      <w:sz w:val="21"/>
                      <w:szCs w:val="21"/>
                    </w:rPr>
                  </w:pPr>
                  <w:r>
                    <w:rPr>
                      <w:rFonts w:hint="eastAsia" w:ascii="宋体" w:hAnsi="宋体" w:cs="宋体"/>
                      <w:b w:val="0"/>
                      <w:bCs/>
                      <w:sz w:val="21"/>
                      <w:szCs w:val="21"/>
                    </w:rPr>
                    <w:t>重点推进源头削减。鼓励支持使用涂料、油墨、胶粘剂、涂层剂(树脂)、清洗剂等</w:t>
                  </w:r>
                </w:p>
                <w:p w14:paraId="03E617E7">
                  <w:pPr>
                    <w:pStyle w:val="51"/>
                    <w:spacing w:line="240" w:lineRule="auto"/>
                    <w:jc w:val="center"/>
                    <w:rPr>
                      <w:rFonts w:ascii="宋体" w:hAnsi="宋体" w:cs="宋体"/>
                      <w:sz w:val="21"/>
                      <w:szCs w:val="21"/>
                    </w:rPr>
                  </w:pPr>
                  <w:r>
                    <w:rPr>
                      <w:rFonts w:hint="eastAsia" w:ascii="宋体" w:hAnsi="宋体" w:cs="宋体"/>
                      <w:b w:val="0"/>
                      <w:bCs/>
                      <w:sz w:val="21"/>
                      <w:szCs w:val="21"/>
                    </w:rPr>
                    <w:t>原辅材料的企业，进行低VOCs含量原辅材料的源头替代，7月1日前各地指导企业建立管理台账，记录VOCs 原辅材料的产品名称、VOCs含量和使用量等。重点在工业涂装、包装、印刷、鞋革箱包制造、竹木制品胶合、电子等重点领域，推广VOCs含量低于10%原辅材料的源头替代，并纳入年度源头削减项目管理，实现“可替尽替、应代尽代”，源头削减年度完成项目占30%以上。</w:t>
                  </w:r>
                </w:p>
              </w:tc>
              <w:tc>
                <w:tcPr>
                  <w:tcW w:w="1392" w:type="pct"/>
                  <w:vAlign w:val="center"/>
                </w:tcPr>
                <w:p w14:paraId="2D2FB6CF">
                  <w:pPr>
                    <w:pStyle w:val="7"/>
                    <w:jc w:val="center"/>
                    <w:rPr>
                      <w:rFonts w:ascii="宋体" w:hAnsi="宋体" w:cs="宋体"/>
                      <w:sz w:val="21"/>
                      <w:szCs w:val="21"/>
                    </w:rPr>
                  </w:pPr>
                  <w:r>
                    <w:rPr>
                      <w:rFonts w:hint="eastAsia" w:ascii="宋体" w:hAnsi="宋体" w:cs="宋体"/>
                      <w:sz w:val="21"/>
                      <w:szCs w:val="21"/>
                    </w:rPr>
                    <w:t>本项目不涉及石化、化工、工业涂装、包装印刷等行业，本项目仅为焊接后零星补漆</w:t>
                  </w:r>
                </w:p>
              </w:tc>
              <w:tc>
                <w:tcPr>
                  <w:tcW w:w="618" w:type="pct"/>
                  <w:vAlign w:val="center"/>
                </w:tcPr>
                <w:p w14:paraId="1A84FE64">
                  <w:pPr>
                    <w:pStyle w:val="51"/>
                    <w:spacing w:line="240" w:lineRule="auto"/>
                    <w:jc w:val="center"/>
                    <w:rPr>
                      <w:rFonts w:ascii="宋体" w:hAnsi="宋体" w:cs="宋体"/>
                      <w:sz w:val="21"/>
                      <w:szCs w:val="21"/>
                    </w:rPr>
                  </w:pPr>
                  <w:r>
                    <w:rPr>
                      <w:rFonts w:hint="eastAsia" w:ascii="宋体" w:hAnsi="宋体" w:cs="宋体"/>
                      <w:b w:val="0"/>
                      <w:bCs/>
                      <w:sz w:val="21"/>
                      <w:szCs w:val="21"/>
                    </w:rPr>
                    <w:t>符合</w:t>
                  </w:r>
                </w:p>
              </w:tc>
            </w:tr>
            <w:tr w14:paraId="695B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9" w:type="pct"/>
                  <w:vAlign w:val="center"/>
                </w:tcPr>
                <w:p w14:paraId="0311A086">
                  <w:pPr>
                    <w:pStyle w:val="51"/>
                    <w:spacing w:line="240" w:lineRule="auto"/>
                    <w:jc w:val="center"/>
                    <w:rPr>
                      <w:rFonts w:ascii="宋体" w:hAnsi="宋体" w:cs="宋体"/>
                      <w:sz w:val="21"/>
                      <w:szCs w:val="21"/>
                    </w:rPr>
                  </w:pPr>
                  <w:r>
                    <w:rPr>
                      <w:rFonts w:hint="eastAsia" w:ascii="宋体" w:hAnsi="宋体" w:cs="宋体"/>
                      <w:b w:val="0"/>
                      <w:bCs/>
                      <w:sz w:val="21"/>
                      <w:szCs w:val="21"/>
                    </w:rPr>
                    <w:t>各地要督促企业落实自行监测责任，各地要组织企业对VOCs治理设施安装运行情况进行系统梳理，建立管理台账，按照“双随机”原则，对VOCs重点企业和采用简易治理工艺的企业开展抽测并形成抽测报告，超标数据及时移送执法部门。各地应督促企业落实自行监测主体责任，指导企业按照自行监测技术指南要求开展固定污染源监测。</w:t>
                  </w:r>
                </w:p>
              </w:tc>
              <w:tc>
                <w:tcPr>
                  <w:tcW w:w="1392" w:type="pct"/>
                  <w:vAlign w:val="center"/>
                </w:tcPr>
                <w:p w14:paraId="5647EE60">
                  <w:pPr>
                    <w:pStyle w:val="51"/>
                    <w:spacing w:line="240" w:lineRule="auto"/>
                    <w:jc w:val="center"/>
                    <w:rPr>
                      <w:rFonts w:ascii="宋体" w:hAnsi="宋体" w:cs="宋体"/>
                      <w:sz w:val="21"/>
                      <w:szCs w:val="21"/>
                    </w:rPr>
                  </w:pPr>
                  <w:r>
                    <w:rPr>
                      <w:rFonts w:hint="eastAsia" w:ascii="宋体" w:hAnsi="宋体" w:cs="宋体"/>
                      <w:b w:val="0"/>
                      <w:bCs/>
                      <w:sz w:val="21"/>
                      <w:szCs w:val="21"/>
                    </w:rPr>
                    <w:t>本项目配备VOCs治理设施，项目建成后，企业应对VOCs治理设施的安装运行情况进行记录，建立管理台账，并按要求定期开展固定污染源监测。</w:t>
                  </w:r>
                </w:p>
              </w:tc>
              <w:tc>
                <w:tcPr>
                  <w:tcW w:w="618" w:type="pct"/>
                  <w:vAlign w:val="center"/>
                </w:tcPr>
                <w:p w14:paraId="2090AD79">
                  <w:pPr>
                    <w:pStyle w:val="51"/>
                    <w:spacing w:line="240" w:lineRule="auto"/>
                    <w:jc w:val="center"/>
                    <w:rPr>
                      <w:rFonts w:ascii="宋体" w:hAnsi="宋体" w:cs="宋体"/>
                      <w:b w:val="0"/>
                      <w:bCs/>
                      <w:sz w:val="21"/>
                      <w:szCs w:val="21"/>
                    </w:rPr>
                  </w:pPr>
                  <w:r>
                    <w:rPr>
                      <w:rFonts w:hint="eastAsia" w:ascii="宋体" w:hAnsi="宋体" w:cs="宋体"/>
                      <w:b w:val="0"/>
                      <w:bCs/>
                      <w:sz w:val="21"/>
                      <w:szCs w:val="21"/>
                    </w:rPr>
                    <w:t>符合</w:t>
                  </w:r>
                </w:p>
              </w:tc>
            </w:tr>
            <w:tr w14:paraId="5CDD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9" w:type="pct"/>
                  <w:vAlign w:val="center"/>
                </w:tcPr>
                <w:p w14:paraId="011C7D83">
                  <w:pPr>
                    <w:pStyle w:val="51"/>
                    <w:spacing w:line="240" w:lineRule="auto"/>
                    <w:jc w:val="center"/>
                    <w:rPr>
                      <w:rFonts w:ascii="宋体" w:hAnsi="宋体" w:cs="宋体"/>
                      <w:b w:val="0"/>
                      <w:bCs/>
                      <w:sz w:val="21"/>
                      <w:szCs w:val="21"/>
                    </w:rPr>
                  </w:pPr>
                  <w:r>
                    <w:rPr>
                      <w:rFonts w:hint="eastAsia" w:ascii="宋体" w:hAnsi="宋体" w:cs="宋体"/>
                      <w:b w:val="0"/>
                      <w:bCs/>
                      <w:sz w:val="21"/>
                      <w:szCs w:val="21"/>
                    </w:rPr>
                    <w:t>实行错峰生产。加大溶剂使用源等工业企业生产季节性调控力度，污染高发时段，鼓励涉VOCs排放重点行业企业实行生产调控、错时生产。</w:t>
                  </w:r>
                </w:p>
              </w:tc>
              <w:tc>
                <w:tcPr>
                  <w:tcW w:w="1392" w:type="pct"/>
                  <w:vAlign w:val="center"/>
                </w:tcPr>
                <w:p w14:paraId="3D07BF6A">
                  <w:pPr>
                    <w:pStyle w:val="51"/>
                    <w:spacing w:line="240" w:lineRule="auto"/>
                    <w:jc w:val="center"/>
                    <w:rPr>
                      <w:rFonts w:ascii="宋体" w:hAnsi="宋体" w:cs="宋体"/>
                      <w:b w:val="0"/>
                      <w:bCs/>
                      <w:sz w:val="21"/>
                      <w:szCs w:val="21"/>
                    </w:rPr>
                  </w:pPr>
                  <w:r>
                    <w:rPr>
                      <w:rFonts w:hint="eastAsia" w:ascii="宋体" w:hAnsi="宋体" w:cs="宋体"/>
                      <w:b w:val="0"/>
                      <w:bCs/>
                      <w:sz w:val="21"/>
                      <w:szCs w:val="21"/>
                    </w:rPr>
                    <w:t>本项目建成后，企业应响应管理部门要求，鼓励实行错峰生产。</w:t>
                  </w:r>
                </w:p>
              </w:tc>
              <w:tc>
                <w:tcPr>
                  <w:tcW w:w="618" w:type="pct"/>
                  <w:vAlign w:val="center"/>
                </w:tcPr>
                <w:p w14:paraId="6D472185">
                  <w:pPr>
                    <w:pStyle w:val="51"/>
                    <w:spacing w:line="240" w:lineRule="auto"/>
                    <w:jc w:val="center"/>
                    <w:rPr>
                      <w:rFonts w:ascii="宋体" w:hAnsi="宋体" w:cs="宋体"/>
                      <w:b w:val="0"/>
                      <w:bCs/>
                      <w:sz w:val="21"/>
                      <w:szCs w:val="21"/>
                    </w:rPr>
                  </w:pPr>
                  <w:r>
                    <w:rPr>
                      <w:rFonts w:hint="eastAsia" w:ascii="宋体" w:hAnsi="宋体" w:cs="宋体"/>
                      <w:b w:val="0"/>
                      <w:bCs/>
                      <w:sz w:val="21"/>
                      <w:szCs w:val="21"/>
                    </w:rPr>
                    <w:t>符合</w:t>
                  </w:r>
                </w:p>
              </w:tc>
            </w:tr>
          </w:tbl>
          <w:p w14:paraId="7BB73359">
            <w:pPr>
              <w:pStyle w:val="52"/>
              <w:ind w:left="480" w:firstLine="0"/>
              <w:jc w:val="left"/>
              <w:rPr>
                <w:rFonts w:hAnsi="宋体" w:cs="宋体"/>
                <w:sz w:val="24"/>
                <w:szCs w:val="24"/>
              </w:rPr>
            </w:pPr>
          </w:p>
          <w:p w14:paraId="44E9A9CC">
            <w:pPr>
              <w:pStyle w:val="52"/>
              <w:ind w:left="18" w:firstLine="360"/>
              <w:jc w:val="left"/>
              <w:rPr>
                <w:rFonts w:hAnsi="宋体" w:cs="宋体"/>
                <w:sz w:val="24"/>
                <w:szCs w:val="24"/>
              </w:rPr>
            </w:pPr>
            <w:r>
              <w:rPr>
                <w:rFonts w:hint="eastAsia" w:hAnsi="宋体" w:cs="宋体"/>
                <w:sz w:val="24"/>
                <w:szCs w:val="24"/>
              </w:rPr>
              <w:t>8、与《2022-2023 年秋冬季大气污染综合治理攻坚行动方案》相符性分析：</w:t>
            </w:r>
          </w:p>
          <w:p w14:paraId="5323BF7D">
            <w:pPr>
              <w:pStyle w:val="52"/>
              <w:ind w:firstLine="422"/>
              <w:jc w:val="center"/>
              <w:rPr>
                <w:rFonts w:hAnsi="宋体" w:cs="宋体"/>
                <w:b/>
                <w:bCs/>
                <w:sz w:val="21"/>
                <w:szCs w:val="21"/>
              </w:rPr>
            </w:pPr>
            <w:r>
              <w:rPr>
                <w:rFonts w:hint="eastAsia" w:hAnsi="宋体" w:cs="宋体"/>
                <w:b/>
                <w:bCs/>
                <w:sz w:val="21"/>
                <w:szCs w:val="21"/>
              </w:rPr>
              <w:t>表1-9  与《2022-2023 年秋冬季大气污染综合治理攻坚行动方案》相符性分析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5235"/>
              <w:gridCol w:w="1734"/>
              <w:gridCol w:w="493"/>
            </w:tblGrid>
            <w:tr w14:paraId="411F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9" w:type="pct"/>
                  <w:gridSpan w:val="2"/>
                  <w:vAlign w:val="center"/>
                </w:tcPr>
                <w:p w14:paraId="1D760A16">
                  <w:pPr>
                    <w:adjustRightInd w:val="0"/>
                    <w:snapToGrid w:val="0"/>
                    <w:jc w:val="center"/>
                    <w:rPr>
                      <w:rFonts w:ascii="宋体" w:hAnsi="宋体" w:cs="宋体"/>
                      <w:b/>
                      <w:szCs w:val="21"/>
                    </w:rPr>
                  </w:pPr>
                  <w:r>
                    <w:rPr>
                      <w:rFonts w:hint="eastAsia" w:ascii="宋体" w:hAnsi="宋体" w:cs="宋体"/>
                      <w:b/>
                      <w:szCs w:val="21"/>
                    </w:rPr>
                    <w:t>内容</w:t>
                  </w:r>
                </w:p>
              </w:tc>
              <w:tc>
                <w:tcPr>
                  <w:tcW w:w="1060" w:type="pct"/>
                  <w:vAlign w:val="center"/>
                </w:tcPr>
                <w:p w14:paraId="546DA224">
                  <w:pPr>
                    <w:adjustRightInd w:val="0"/>
                    <w:snapToGrid w:val="0"/>
                    <w:jc w:val="center"/>
                    <w:rPr>
                      <w:rFonts w:ascii="宋体" w:hAnsi="宋体" w:cs="宋体"/>
                      <w:b/>
                      <w:szCs w:val="21"/>
                    </w:rPr>
                  </w:pPr>
                  <w:r>
                    <w:rPr>
                      <w:rFonts w:hint="eastAsia" w:ascii="宋体" w:hAnsi="宋体" w:cs="宋体"/>
                      <w:b/>
                      <w:szCs w:val="21"/>
                    </w:rPr>
                    <w:t>本项目情况</w:t>
                  </w:r>
                </w:p>
              </w:tc>
              <w:tc>
                <w:tcPr>
                  <w:tcW w:w="301" w:type="pct"/>
                  <w:vAlign w:val="center"/>
                </w:tcPr>
                <w:p w14:paraId="0CF2291B">
                  <w:pPr>
                    <w:adjustRightInd w:val="0"/>
                    <w:snapToGrid w:val="0"/>
                    <w:jc w:val="center"/>
                    <w:rPr>
                      <w:rFonts w:ascii="宋体" w:hAnsi="宋体" w:cs="宋体"/>
                      <w:b/>
                      <w:szCs w:val="21"/>
                    </w:rPr>
                  </w:pPr>
                  <w:r>
                    <w:rPr>
                      <w:rFonts w:hint="eastAsia" w:ascii="宋体" w:hAnsi="宋体" w:cs="宋体"/>
                      <w:b/>
                      <w:szCs w:val="21"/>
                    </w:rPr>
                    <w:t>相符性</w:t>
                  </w:r>
                </w:p>
              </w:tc>
            </w:tr>
            <w:tr w14:paraId="20EA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760DF4C4">
                  <w:pPr>
                    <w:adjustRightInd w:val="0"/>
                    <w:snapToGrid w:val="0"/>
                    <w:jc w:val="center"/>
                    <w:rPr>
                      <w:rFonts w:ascii="宋体" w:hAnsi="宋体" w:cs="宋体"/>
                      <w:szCs w:val="21"/>
                    </w:rPr>
                  </w:pPr>
                  <w:r>
                    <w:rPr>
                      <w:rFonts w:hint="eastAsia" w:ascii="宋体" w:hAnsi="宋体" w:cs="宋体"/>
                      <w:szCs w:val="21"/>
                    </w:rPr>
                    <w:t>坚决</w:t>
                  </w:r>
                </w:p>
                <w:p w14:paraId="1073FBFE">
                  <w:pPr>
                    <w:adjustRightInd w:val="0"/>
                    <w:snapToGrid w:val="0"/>
                    <w:jc w:val="center"/>
                    <w:rPr>
                      <w:rFonts w:ascii="宋体" w:hAnsi="宋体" w:cs="宋体"/>
                      <w:szCs w:val="21"/>
                    </w:rPr>
                  </w:pPr>
                  <w:r>
                    <w:rPr>
                      <w:rFonts w:hint="eastAsia" w:ascii="宋体" w:hAnsi="宋体" w:cs="宋体"/>
                      <w:szCs w:val="21"/>
                    </w:rPr>
                    <w:t>遏制</w:t>
                  </w:r>
                </w:p>
                <w:p w14:paraId="4C96EB42">
                  <w:pPr>
                    <w:adjustRightInd w:val="0"/>
                    <w:snapToGrid w:val="0"/>
                    <w:jc w:val="center"/>
                    <w:rPr>
                      <w:rFonts w:ascii="宋体" w:hAnsi="宋体" w:cs="宋体"/>
                      <w:szCs w:val="21"/>
                    </w:rPr>
                  </w:pPr>
                  <w:r>
                    <w:rPr>
                      <w:rFonts w:hint="eastAsia" w:ascii="宋体" w:hAnsi="宋体" w:cs="宋体"/>
                      <w:szCs w:val="21"/>
                    </w:rPr>
                    <w:t>“两</w:t>
                  </w:r>
                </w:p>
                <w:p w14:paraId="54CC0E5A">
                  <w:pPr>
                    <w:adjustRightInd w:val="0"/>
                    <w:snapToGrid w:val="0"/>
                    <w:jc w:val="center"/>
                    <w:rPr>
                      <w:rFonts w:ascii="宋体" w:hAnsi="宋体" w:cs="宋体"/>
                      <w:szCs w:val="21"/>
                    </w:rPr>
                  </w:pPr>
                  <w:r>
                    <w:rPr>
                      <w:rFonts w:hint="eastAsia" w:ascii="宋体" w:hAnsi="宋体" w:cs="宋体"/>
                      <w:szCs w:val="21"/>
                    </w:rPr>
                    <w:t>高” 项目</w:t>
                  </w:r>
                </w:p>
                <w:p w14:paraId="334F888F">
                  <w:pPr>
                    <w:adjustRightInd w:val="0"/>
                    <w:snapToGrid w:val="0"/>
                    <w:jc w:val="center"/>
                    <w:rPr>
                      <w:rFonts w:ascii="宋体" w:hAnsi="宋体" w:cs="宋体"/>
                      <w:szCs w:val="21"/>
                    </w:rPr>
                  </w:pPr>
                  <w:r>
                    <w:rPr>
                      <w:rFonts w:hint="eastAsia" w:ascii="宋体" w:hAnsi="宋体" w:cs="宋体"/>
                      <w:szCs w:val="21"/>
                    </w:rPr>
                    <w:t>盲目</w:t>
                  </w:r>
                </w:p>
                <w:p w14:paraId="0D36A514">
                  <w:pPr>
                    <w:adjustRightInd w:val="0"/>
                    <w:snapToGrid w:val="0"/>
                    <w:jc w:val="center"/>
                    <w:rPr>
                      <w:rFonts w:ascii="宋体" w:hAnsi="宋体" w:cs="宋体"/>
                      <w:szCs w:val="21"/>
                    </w:rPr>
                  </w:pPr>
                  <w:r>
                    <w:rPr>
                      <w:rFonts w:hint="eastAsia" w:ascii="宋体" w:hAnsi="宋体" w:cs="宋体"/>
                      <w:szCs w:val="21"/>
                    </w:rPr>
                    <w:t>发展</w:t>
                  </w:r>
                </w:p>
              </w:tc>
              <w:tc>
                <w:tcPr>
                  <w:tcW w:w="3200" w:type="pct"/>
                  <w:vAlign w:val="center"/>
                </w:tcPr>
                <w:p w14:paraId="5571AD8D">
                  <w:pPr>
                    <w:adjustRightInd w:val="0"/>
                    <w:snapToGrid w:val="0"/>
                    <w:jc w:val="center"/>
                    <w:rPr>
                      <w:rFonts w:ascii="宋体" w:hAnsi="宋体" w:cs="宋体"/>
                      <w:szCs w:val="21"/>
                    </w:rPr>
                  </w:pPr>
                  <w:r>
                    <w:rPr>
                      <w:rFonts w:hint="eastAsia" w:ascii="宋体" w:hAnsi="宋体" w:cs="宋体"/>
                      <w:szCs w:val="21"/>
                    </w:rPr>
                    <w:t>各地要深入贯彻落实党中央、国务院关于坚决遏制“两高”项目盲目发展相关决策部署，按照《关于加强高耗能、高排放建设项目生态环境源头防控的指导意见》等文件要求，全面梳理排查拟建、在建和存量“两高”项目，对“两高”项目实行清单管理，进行分类处置、动态监控。严格落实能耗双控、产能置换、污染物区域削减、煤炭减量替代等要求，不符合要求的“两高”项目要坚决整改。认真开展自查自纠，严查违规上马、未批先建项目，严格依法查处违法违规企业。对标国内外产品能效、环保先进水平，推动在建和拟建“两高” 项目能效、环保水平提升，推进存量“两高” 项目改造升级。严厉打击“两高”企业无证排污、不按证排污等各类违法行为，及时曝光违反排污许可制度的典型案例。</w:t>
                  </w:r>
                </w:p>
              </w:tc>
              <w:tc>
                <w:tcPr>
                  <w:tcW w:w="1060" w:type="pct"/>
                  <w:vAlign w:val="center"/>
                </w:tcPr>
                <w:p w14:paraId="63FA569A">
                  <w:pPr>
                    <w:adjustRightInd w:val="0"/>
                    <w:snapToGrid w:val="0"/>
                    <w:jc w:val="center"/>
                    <w:rPr>
                      <w:rFonts w:ascii="宋体" w:hAnsi="宋体" w:cs="宋体"/>
                      <w:szCs w:val="21"/>
                    </w:rPr>
                  </w:pPr>
                  <w:r>
                    <w:rPr>
                      <w:rFonts w:hint="eastAsia" w:ascii="宋体" w:hAnsi="宋体" w:cs="宋体"/>
                      <w:szCs w:val="21"/>
                    </w:rPr>
                    <w:t>本项目属于</w:t>
                  </w:r>
                  <w:r>
                    <w:rPr>
                      <w:rFonts w:hint="eastAsia"/>
                    </w:rPr>
                    <w:t xml:space="preserve"> </w:t>
                  </w:r>
                  <w:r>
                    <w:rPr>
                      <w:rFonts w:hint="eastAsia" w:ascii="宋体" w:hAnsi="宋体" w:cs="宋体"/>
                      <w:szCs w:val="21"/>
                    </w:rPr>
                    <w:t>C3591 环境保护专用设备制造</w:t>
                  </w:r>
                </w:p>
                <w:p w14:paraId="1641AB65">
                  <w:pPr>
                    <w:adjustRightInd w:val="0"/>
                    <w:snapToGrid w:val="0"/>
                    <w:jc w:val="center"/>
                    <w:rPr>
                      <w:rFonts w:ascii="宋体" w:hAnsi="宋体" w:cs="宋体"/>
                      <w:szCs w:val="21"/>
                    </w:rPr>
                  </w:pPr>
                  <w:r>
                    <w:rPr>
                      <w:rFonts w:hint="eastAsia" w:ascii="宋体" w:hAnsi="宋体" w:cs="宋体"/>
                      <w:szCs w:val="21"/>
                    </w:rPr>
                    <w:t>不属于“两高”项目</w:t>
                  </w:r>
                </w:p>
              </w:tc>
              <w:tc>
                <w:tcPr>
                  <w:tcW w:w="301" w:type="pct"/>
                  <w:vAlign w:val="center"/>
                </w:tcPr>
                <w:p w14:paraId="7058FCE2">
                  <w:pPr>
                    <w:adjustRightInd w:val="0"/>
                    <w:snapToGrid w:val="0"/>
                    <w:jc w:val="center"/>
                    <w:rPr>
                      <w:rFonts w:ascii="宋体" w:hAnsi="宋体" w:cs="宋体"/>
                      <w:szCs w:val="21"/>
                    </w:rPr>
                  </w:pPr>
                  <w:r>
                    <w:rPr>
                      <w:rFonts w:hint="eastAsia" w:ascii="宋体" w:hAnsi="宋体" w:cs="宋体"/>
                      <w:szCs w:val="21"/>
                    </w:rPr>
                    <w:t>符合</w:t>
                  </w:r>
                </w:p>
              </w:tc>
            </w:tr>
            <w:tr w14:paraId="1D5E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439" w:type="pct"/>
                  <w:vAlign w:val="center"/>
                </w:tcPr>
                <w:p w14:paraId="59176573">
                  <w:pPr>
                    <w:adjustRightInd w:val="0"/>
                    <w:snapToGrid w:val="0"/>
                    <w:jc w:val="center"/>
                    <w:rPr>
                      <w:rFonts w:ascii="宋体" w:hAnsi="宋体" w:cs="宋体"/>
                      <w:szCs w:val="21"/>
                    </w:rPr>
                  </w:pPr>
                  <w:r>
                    <w:rPr>
                      <w:rFonts w:hint="eastAsia" w:ascii="宋体" w:hAnsi="宋体" w:cs="宋体"/>
                      <w:szCs w:val="21"/>
                    </w:rPr>
                    <w:t>扎实</w:t>
                  </w:r>
                </w:p>
                <w:p w14:paraId="719BC231">
                  <w:pPr>
                    <w:adjustRightInd w:val="0"/>
                    <w:snapToGrid w:val="0"/>
                    <w:jc w:val="center"/>
                    <w:rPr>
                      <w:rFonts w:ascii="宋体" w:hAnsi="宋体" w:cs="宋体"/>
                      <w:szCs w:val="21"/>
                    </w:rPr>
                  </w:pPr>
                  <w:r>
                    <w:rPr>
                      <w:rFonts w:hint="eastAsia" w:ascii="宋体" w:hAnsi="宋体" w:cs="宋体"/>
                      <w:szCs w:val="21"/>
                    </w:rPr>
                    <w:t>推进</w:t>
                  </w:r>
                </w:p>
                <w:p w14:paraId="7F75D4B2">
                  <w:pPr>
                    <w:adjustRightInd w:val="0"/>
                    <w:snapToGrid w:val="0"/>
                    <w:jc w:val="center"/>
                    <w:rPr>
                      <w:rFonts w:ascii="宋体" w:hAnsi="宋体" w:cs="宋体"/>
                      <w:szCs w:val="21"/>
                    </w:rPr>
                  </w:pPr>
                  <w:r>
                    <w:rPr>
                      <w:rFonts w:hint="eastAsia" w:ascii="宋体" w:hAnsi="宋体" w:cs="宋体"/>
                      <w:szCs w:val="21"/>
                    </w:rPr>
                    <w:t>VOC</w:t>
                  </w:r>
                  <w:r>
                    <w:rPr>
                      <w:rFonts w:hint="eastAsia" w:ascii="宋体" w:hAnsi="宋体" w:cs="宋体"/>
                      <w:szCs w:val="21"/>
                      <w:vertAlign w:val="subscript"/>
                    </w:rPr>
                    <w:t>S</w:t>
                  </w:r>
                </w:p>
                <w:p w14:paraId="666DBD74">
                  <w:pPr>
                    <w:adjustRightInd w:val="0"/>
                    <w:snapToGrid w:val="0"/>
                    <w:jc w:val="center"/>
                    <w:rPr>
                      <w:rFonts w:ascii="宋体" w:hAnsi="宋体" w:cs="宋体"/>
                      <w:szCs w:val="21"/>
                    </w:rPr>
                  </w:pPr>
                  <w:r>
                    <w:rPr>
                      <w:rFonts w:hint="eastAsia" w:ascii="宋体" w:hAnsi="宋体" w:cs="宋体"/>
                      <w:szCs w:val="21"/>
                    </w:rPr>
                    <w:t>治理</w:t>
                  </w:r>
                </w:p>
                <w:p w14:paraId="1B09F0AC">
                  <w:pPr>
                    <w:adjustRightInd w:val="0"/>
                    <w:snapToGrid w:val="0"/>
                    <w:jc w:val="center"/>
                    <w:rPr>
                      <w:rFonts w:ascii="宋体" w:hAnsi="宋体" w:cs="宋体"/>
                      <w:szCs w:val="21"/>
                    </w:rPr>
                  </w:pPr>
                  <w:r>
                    <w:rPr>
                      <w:rFonts w:hint="eastAsia" w:ascii="宋体" w:hAnsi="宋体" w:cs="宋体"/>
                      <w:szCs w:val="21"/>
                    </w:rPr>
                    <w:t>突出</w:t>
                  </w:r>
                </w:p>
                <w:p w14:paraId="6762AEAE">
                  <w:pPr>
                    <w:adjustRightInd w:val="0"/>
                    <w:snapToGrid w:val="0"/>
                    <w:jc w:val="center"/>
                    <w:rPr>
                      <w:rFonts w:ascii="宋体" w:hAnsi="宋体" w:cs="宋体"/>
                      <w:szCs w:val="21"/>
                    </w:rPr>
                  </w:pPr>
                  <w:r>
                    <w:rPr>
                      <w:rFonts w:hint="eastAsia" w:ascii="宋体" w:hAnsi="宋体" w:cs="宋体"/>
                      <w:szCs w:val="21"/>
                    </w:rPr>
                    <w:t>问题</w:t>
                  </w:r>
                </w:p>
                <w:p w14:paraId="4FD42BE4">
                  <w:pPr>
                    <w:adjustRightInd w:val="0"/>
                    <w:snapToGrid w:val="0"/>
                    <w:jc w:val="center"/>
                    <w:rPr>
                      <w:rFonts w:ascii="宋体" w:hAnsi="宋体" w:cs="宋体"/>
                      <w:szCs w:val="21"/>
                    </w:rPr>
                  </w:pPr>
                  <w:r>
                    <w:rPr>
                      <w:rFonts w:hint="eastAsia" w:ascii="宋体" w:hAnsi="宋体" w:cs="宋体"/>
                      <w:szCs w:val="21"/>
                    </w:rPr>
                    <w:t>排查</w:t>
                  </w:r>
                </w:p>
                <w:p w14:paraId="19A4AC23">
                  <w:pPr>
                    <w:adjustRightInd w:val="0"/>
                    <w:snapToGrid w:val="0"/>
                    <w:jc w:val="center"/>
                    <w:rPr>
                      <w:rFonts w:ascii="宋体" w:hAnsi="宋体" w:cs="宋体"/>
                      <w:szCs w:val="21"/>
                    </w:rPr>
                  </w:pPr>
                  <w:r>
                    <w:rPr>
                      <w:rFonts w:hint="eastAsia" w:ascii="宋体" w:hAnsi="宋体" w:cs="宋体"/>
                      <w:szCs w:val="21"/>
                    </w:rPr>
                    <w:t>整治</w:t>
                  </w:r>
                </w:p>
              </w:tc>
              <w:tc>
                <w:tcPr>
                  <w:tcW w:w="3200" w:type="pct"/>
                  <w:vAlign w:val="center"/>
                </w:tcPr>
                <w:p w14:paraId="54E26CDA">
                  <w:pPr>
                    <w:adjustRightInd w:val="0"/>
                    <w:snapToGrid w:val="0"/>
                    <w:jc w:val="center"/>
                    <w:rPr>
                      <w:rFonts w:ascii="宋体" w:hAnsi="宋体" w:cs="宋体"/>
                      <w:szCs w:val="21"/>
                    </w:rPr>
                  </w:pPr>
                  <w:r>
                    <w:rPr>
                      <w:rFonts w:hint="eastAsia" w:ascii="宋体" w:hAnsi="宋体" w:cs="宋体"/>
                      <w:szCs w:val="21"/>
                    </w:rPr>
                    <w:t>严格落实《关于加快解决当前挥发性有机物治理突出问题的通知》有关要求，高质量完成排查治理工作。2021年10月底前，以石化、化工、工业涂装、包装印刷以及油品储运销为重点，结合本地特色产业，组织企业针对挥发性有机液体储罐、装卸、敞开液面、泄漏检测与修复、废气收集、废气旁路、治理设施、加油站、非正常工况、产品VOC</w:t>
                  </w:r>
                  <w:r>
                    <w:rPr>
                      <w:rFonts w:hint="eastAsia" w:ascii="宋体" w:hAnsi="宋体" w:cs="宋体"/>
                      <w:szCs w:val="21"/>
                      <w:vertAlign w:val="subscript"/>
                    </w:rPr>
                    <w:t>S</w:t>
                  </w:r>
                  <w:r>
                    <w:rPr>
                      <w:rFonts w:hint="eastAsia" w:ascii="宋体" w:hAnsi="宋体" w:cs="宋体"/>
                      <w:szCs w:val="21"/>
                    </w:rPr>
                    <w:t>含量等10个关键环节完成一轮排查工作。在企业自查基础上，各地生态环境部门开展一轮检查抽测，对排污许可重点管理企业全覆盖。2021年12月底前，各地对检查抽测以及夏季臭氧污染防治监督帮扶工作中发现存在的突</w:t>
                  </w:r>
                </w:p>
                <w:p w14:paraId="0D76CB01">
                  <w:pPr>
                    <w:adjustRightInd w:val="0"/>
                    <w:snapToGrid w:val="0"/>
                    <w:jc w:val="center"/>
                    <w:rPr>
                      <w:rFonts w:ascii="宋体" w:hAnsi="宋体" w:cs="宋体"/>
                      <w:szCs w:val="21"/>
                    </w:rPr>
                  </w:pPr>
                  <w:r>
                    <w:rPr>
                      <w:rFonts w:hint="eastAsia" w:ascii="宋体" w:hAnsi="宋体" w:cs="宋体"/>
                      <w:szCs w:val="21"/>
                    </w:rPr>
                    <w:t>出问题，指导企业制定整改方案加快按照治理要求进行整治，提高 VOC</w:t>
                  </w:r>
                  <w:r>
                    <w:rPr>
                      <w:rFonts w:hint="eastAsia" w:ascii="宋体" w:hAnsi="宋体" w:cs="宋体"/>
                      <w:szCs w:val="21"/>
                      <w:vertAlign w:val="subscript"/>
                    </w:rPr>
                    <w:t>S</w:t>
                  </w:r>
                  <w:r>
                    <w:rPr>
                      <w:rFonts w:hint="eastAsia" w:ascii="宋体" w:hAnsi="宋体" w:cs="宋体"/>
                      <w:szCs w:val="21"/>
                    </w:rPr>
                    <w:t>治理工作的针对性和有效性，做到“夏病冬治”。加强国家和地方涂料、油墨、胶粘剂、清洗剂等产品VOC</w:t>
                  </w:r>
                  <w:r>
                    <w:rPr>
                      <w:rFonts w:hint="eastAsia" w:ascii="宋体" w:hAnsi="宋体" w:cs="宋体"/>
                      <w:szCs w:val="21"/>
                      <w:vertAlign w:val="subscript"/>
                    </w:rPr>
                    <w:t>S</w:t>
                  </w:r>
                  <w:r>
                    <w:rPr>
                      <w:rFonts w:hint="eastAsia" w:ascii="宋体" w:hAnsi="宋体" w:cs="宋体"/>
                      <w:szCs w:val="21"/>
                    </w:rPr>
                    <w:t>含量限值标准执行情况的监督检查。培育树立一批 VOC</w:t>
                  </w:r>
                  <w:r>
                    <w:rPr>
                      <w:rFonts w:hint="eastAsia" w:ascii="宋体" w:hAnsi="宋体" w:cs="宋体"/>
                      <w:szCs w:val="21"/>
                      <w:vertAlign w:val="subscript"/>
                    </w:rPr>
                    <w:t>S</w:t>
                  </w:r>
                  <w:r>
                    <w:rPr>
                      <w:rFonts w:hint="eastAsia" w:ascii="宋体" w:hAnsi="宋体" w:cs="宋体"/>
                      <w:szCs w:val="21"/>
                    </w:rPr>
                    <w:t>治理的标杆企业，加大宣传力度，形成带动效应。</w:t>
                  </w:r>
                </w:p>
              </w:tc>
              <w:tc>
                <w:tcPr>
                  <w:tcW w:w="1060" w:type="pct"/>
                  <w:vAlign w:val="center"/>
                </w:tcPr>
                <w:p w14:paraId="215696BE">
                  <w:pPr>
                    <w:adjustRightInd w:val="0"/>
                    <w:snapToGrid w:val="0"/>
                    <w:jc w:val="center"/>
                    <w:rPr>
                      <w:rFonts w:ascii="宋体" w:hAnsi="宋体" w:cs="宋体"/>
                      <w:szCs w:val="21"/>
                    </w:rPr>
                  </w:pPr>
                  <w:r>
                    <w:rPr>
                      <w:rFonts w:hint="eastAsia" w:ascii="宋体" w:hAnsi="宋体" w:cs="宋体"/>
                      <w:szCs w:val="21"/>
                    </w:rPr>
                    <w:t>本项目产生VOCs工序设置至活性炭吸附装置处理后通过15m高排气筒排放。</w:t>
                  </w:r>
                </w:p>
              </w:tc>
              <w:tc>
                <w:tcPr>
                  <w:tcW w:w="301" w:type="pct"/>
                  <w:vAlign w:val="center"/>
                </w:tcPr>
                <w:p w14:paraId="11E1C567">
                  <w:pPr>
                    <w:adjustRightInd w:val="0"/>
                    <w:snapToGrid w:val="0"/>
                    <w:jc w:val="center"/>
                    <w:rPr>
                      <w:rFonts w:ascii="宋体" w:hAnsi="宋体" w:cs="宋体"/>
                      <w:szCs w:val="21"/>
                    </w:rPr>
                  </w:pPr>
                  <w:r>
                    <w:rPr>
                      <w:rFonts w:hint="eastAsia" w:ascii="宋体" w:hAnsi="宋体" w:cs="宋体"/>
                      <w:szCs w:val="21"/>
                    </w:rPr>
                    <w:t>符合</w:t>
                  </w:r>
                </w:p>
              </w:tc>
            </w:tr>
          </w:tbl>
          <w:p w14:paraId="55226A1F">
            <w:pPr>
              <w:pStyle w:val="52"/>
              <w:ind w:firstLine="480"/>
              <w:jc w:val="left"/>
              <w:rPr>
                <w:rFonts w:hAnsi="宋体" w:cs="宋体"/>
                <w:sz w:val="24"/>
                <w:szCs w:val="24"/>
              </w:rPr>
            </w:pPr>
          </w:p>
          <w:p w14:paraId="244E08E5">
            <w:pPr>
              <w:autoSpaceDE w:val="0"/>
              <w:autoSpaceDN w:val="0"/>
              <w:spacing w:line="360" w:lineRule="auto"/>
              <w:ind w:right="14" w:firstLine="432"/>
              <w:rPr>
                <w:rFonts w:ascii="宋体" w:hAnsi="宋体" w:cs="宋体"/>
                <w:color w:val="000000"/>
                <w:sz w:val="24"/>
              </w:rPr>
            </w:pPr>
            <w:r>
              <w:rPr>
                <w:rFonts w:hint="eastAsia" w:ascii="宋体" w:hAnsi="宋体" w:cs="宋体"/>
                <w:color w:val="000000"/>
                <w:sz w:val="24"/>
              </w:rPr>
              <w:t>9、与《挥发性有机物无组织排放控制标准》（GB37822-2019 ）中对无组织排放控制规定的符合性分析</w:t>
            </w:r>
          </w:p>
          <w:p w14:paraId="60B806AA">
            <w:pPr>
              <w:ind w:firstLine="482"/>
              <w:jc w:val="center"/>
              <w:rPr>
                <w:rFonts w:ascii="宋体" w:hAnsi="宋体" w:cs="宋体"/>
                <w:b/>
                <w:color w:val="000000"/>
                <w:sz w:val="24"/>
              </w:rPr>
            </w:pPr>
            <w:r>
              <w:rPr>
                <w:rFonts w:hint="eastAsia" w:ascii="宋体" w:hAnsi="宋体" w:cs="宋体"/>
                <w:b/>
                <w:color w:val="000000"/>
                <w:szCs w:val="21"/>
              </w:rPr>
              <w:t>表1-10  VOCs 无组织排放废气收集处理系统要求</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3"/>
              <w:gridCol w:w="2496"/>
              <w:gridCol w:w="1491"/>
            </w:tblGrid>
            <w:tr w14:paraId="0599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pct"/>
                  <w:vAlign w:val="center"/>
                </w:tcPr>
                <w:p w14:paraId="0EE4A0EC">
                  <w:pPr>
                    <w:jc w:val="center"/>
                    <w:rPr>
                      <w:rFonts w:ascii="宋体" w:hAnsi="宋体" w:cs="宋体"/>
                      <w:b/>
                      <w:bCs/>
                      <w:color w:val="000000"/>
                      <w:szCs w:val="21"/>
                    </w:rPr>
                  </w:pPr>
                  <w:r>
                    <w:rPr>
                      <w:rFonts w:hint="eastAsia" w:ascii="宋体" w:hAnsi="宋体" w:cs="宋体"/>
                      <w:b/>
                      <w:bCs/>
                      <w:color w:val="000000"/>
                      <w:szCs w:val="21"/>
                    </w:rPr>
                    <w:t>应采取的控制措施</w:t>
                  </w:r>
                </w:p>
              </w:tc>
              <w:tc>
                <w:tcPr>
                  <w:tcW w:w="1525" w:type="pct"/>
                  <w:vAlign w:val="center"/>
                </w:tcPr>
                <w:p w14:paraId="73FE2631">
                  <w:pPr>
                    <w:jc w:val="center"/>
                    <w:rPr>
                      <w:rFonts w:ascii="宋体" w:hAnsi="宋体" w:cs="宋体"/>
                      <w:b/>
                      <w:bCs/>
                      <w:color w:val="000000"/>
                      <w:szCs w:val="21"/>
                    </w:rPr>
                  </w:pPr>
                  <w:r>
                    <w:rPr>
                      <w:rFonts w:hint="eastAsia" w:ascii="宋体" w:hAnsi="宋体" w:cs="宋体"/>
                      <w:b/>
                      <w:bCs/>
                      <w:color w:val="000000"/>
                      <w:szCs w:val="21"/>
                    </w:rPr>
                    <w:t>本项目采取的控制措施</w:t>
                  </w:r>
                </w:p>
              </w:tc>
              <w:tc>
                <w:tcPr>
                  <w:tcW w:w="911" w:type="pct"/>
                  <w:vAlign w:val="center"/>
                </w:tcPr>
                <w:p w14:paraId="780C294C">
                  <w:pPr>
                    <w:jc w:val="center"/>
                    <w:rPr>
                      <w:rFonts w:ascii="宋体" w:hAnsi="宋体" w:cs="宋体"/>
                      <w:b/>
                      <w:bCs/>
                      <w:color w:val="000000"/>
                      <w:szCs w:val="21"/>
                    </w:rPr>
                  </w:pPr>
                  <w:r>
                    <w:rPr>
                      <w:rFonts w:hint="eastAsia" w:ascii="宋体" w:hAnsi="宋体" w:cs="宋体"/>
                      <w:b/>
                      <w:bCs/>
                      <w:color w:val="000000"/>
                      <w:szCs w:val="21"/>
                    </w:rPr>
                    <w:t>符合性</w:t>
                  </w:r>
                </w:p>
              </w:tc>
            </w:tr>
            <w:tr w14:paraId="7DB2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pct"/>
                  <w:vAlign w:val="center"/>
                </w:tcPr>
                <w:p w14:paraId="634933CB">
                  <w:pPr>
                    <w:jc w:val="center"/>
                    <w:rPr>
                      <w:rFonts w:ascii="宋体" w:hAnsi="宋体" w:cs="宋体"/>
                      <w:b/>
                      <w:bCs/>
                      <w:color w:val="000000"/>
                      <w:szCs w:val="21"/>
                    </w:rPr>
                  </w:pPr>
                  <w:r>
                    <w:rPr>
                      <w:rFonts w:hint="eastAsia" w:ascii="宋体" w:hAnsi="宋体" w:cs="宋体"/>
                      <w:color w:val="000000"/>
                      <w:szCs w:val="21"/>
                    </w:rPr>
                    <w:t>VOCs 废气收集处理系统应与生产工艺设备同步进行。VOCs 废气收集处理系统发生故障或检修时，对应的生产工艺设备停止运行，待检修完毕后同步投入使用；生产工艺设备不能停止运行或不能及时停止运行的，应设置废气应急处理设施或采取其他替代措施</w:t>
                  </w:r>
                </w:p>
              </w:tc>
              <w:tc>
                <w:tcPr>
                  <w:tcW w:w="1525" w:type="pct"/>
                  <w:vAlign w:val="center"/>
                </w:tcPr>
                <w:p w14:paraId="0A54D44E">
                  <w:pPr>
                    <w:jc w:val="center"/>
                    <w:rPr>
                      <w:rFonts w:ascii="宋体" w:hAnsi="宋体" w:cs="宋体"/>
                      <w:b/>
                      <w:bCs/>
                      <w:color w:val="000000"/>
                      <w:szCs w:val="21"/>
                    </w:rPr>
                  </w:pPr>
                  <w:r>
                    <w:rPr>
                      <w:rFonts w:hint="eastAsia" w:ascii="宋体" w:hAnsi="宋体" w:cs="宋体"/>
                      <w:color w:val="000000"/>
                      <w:szCs w:val="21"/>
                    </w:rPr>
                    <w:t>环评要求污染治理设施先于生产设备运行，后于生产设备关闭，出现废气治理设施故障等非正常工况时，应立即停止相应工段的生产并进行检修，检修完成后恢复生产</w:t>
                  </w:r>
                </w:p>
              </w:tc>
              <w:tc>
                <w:tcPr>
                  <w:tcW w:w="911" w:type="pct"/>
                  <w:vAlign w:val="center"/>
                </w:tcPr>
                <w:p w14:paraId="73617AD7">
                  <w:pPr>
                    <w:jc w:val="center"/>
                    <w:rPr>
                      <w:rFonts w:ascii="宋体" w:hAnsi="宋体" w:cs="宋体"/>
                      <w:color w:val="000000"/>
                      <w:szCs w:val="21"/>
                    </w:rPr>
                  </w:pPr>
                  <w:r>
                    <w:rPr>
                      <w:rFonts w:hint="eastAsia" w:ascii="宋体" w:hAnsi="宋体" w:cs="宋体"/>
                      <w:color w:val="000000"/>
                      <w:szCs w:val="21"/>
                    </w:rPr>
                    <w:t>符合</w:t>
                  </w:r>
                </w:p>
              </w:tc>
            </w:tr>
            <w:tr w14:paraId="59E2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pct"/>
                  <w:vAlign w:val="center"/>
                </w:tcPr>
                <w:p w14:paraId="4500AF6A">
                  <w:pPr>
                    <w:jc w:val="center"/>
                    <w:rPr>
                      <w:rFonts w:ascii="宋体" w:hAnsi="宋体" w:cs="宋体"/>
                      <w:color w:val="000000"/>
                      <w:szCs w:val="21"/>
                    </w:rPr>
                  </w:pPr>
                  <w:r>
                    <w:rPr>
                      <w:rFonts w:hint="eastAsia" w:ascii="宋体" w:hAnsi="宋体" w:cs="宋体"/>
                      <w:color w:val="000000"/>
                      <w:szCs w:val="21"/>
                    </w:rPr>
                    <w:t>收集的废气中 NMHC 初始排放速率≥3kg/h 时，应配置VOCs 处理设施，处理效率不应低于 80%；对于重点区域，收集的废气中 NMHC 初始排放速率≥2kg/h 时，应配置VOCs 处理设施，处理效率不应低于 80%；采用的原辅材料符合国家有关低 VOCs 含量产品规定的除外。</w:t>
                  </w:r>
                </w:p>
              </w:tc>
              <w:tc>
                <w:tcPr>
                  <w:tcW w:w="1525" w:type="pct"/>
                  <w:vAlign w:val="center"/>
                </w:tcPr>
                <w:p w14:paraId="4656563D">
                  <w:pPr>
                    <w:jc w:val="center"/>
                    <w:rPr>
                      <w:rFonts w:ascii="宋体" w:hAnsi="宋体" w:cs="宋体"/>
                      <w:color w:val="000000"/>
                      <w:szCs w:val="21"/>
                    </w:rPr>
                  </w:pPr>
                  <w:r>
                    <w:rPr>
                      <w:rFonts w:hint="eastAsia" w:ascii="宋体" w:hAnsi="宋体" w:cs="宋体"/>
                      <w:color w:val="000000"/>
                      <w:szCs w:val="21"/>
                    </w:rPr>
                    <w:t>项目产生VOC</w:t>
                  </w:r>
                  <w:r>
                    <w:rPr>
                      <w:rFonts w:hint="eastAsia" w:ascii="宋体" w:hAnsi="宋体" w:cs="宋体"/>
                      <w:color w:val="000000"/>
                      <w:szCs w:val="21"/>
                      <w:vertAlign w:val="subscript"/>
                    </w:rPr>
                    <w:t>S</w:t>
                  </w:r>
                  <w:r>
                    <w:rPr>
                      <w:rFonts w:hint="eastAsia" w:ascii="宋体" w:hAnsi="宋体" w:cs="宋体"/>
                      <w:color w:val="000000"/>
                      <w:szCs w:val="21"/>
                    </w:rPr>
                    <w:t>工段均设置了高效废气收集处理系统，有机废气处理效率不低于90%，满足标准要求。</w:t>
                  </w:r>
                </w:p>
              </w:tc>
              <w:tc>
                <w:tcPr>
                  <w:tcW w:w="911" w:type="pct"/>
                  <w:vAlign w:val="center"/>
                </w:tcPr>
                <w:p w14:paraId="79374F1A">
                  <w:pPr>
                    <w:jc w:val="center"/>
                    <w:rPr>
                      <w:rFonts w:ascii="宋体" w:hAnsi="宋体" w:cs="宋体"/>
                      <w:color w:val="000000"/>
                      <w:szCs w:val="21"/>
                    </w:rPr>
                  </w:pPr>
                  <w:r>
                    <w:rPr>
                      <w:rFonts w:hint="eastAsia" w:ascii="宋体" w:hAnsi="宋体" w:cs="宋体"/>
                      <w:color w:val="000000"/>
                      <w:szCs w:val="21"/>
                    </w:rPr>
                    <w:t>符合</w:t>
                  </w:r>
                </w:p>
              </w:tc>
            </w:tr>
            <w:tr w14:paraId="0EB7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pct"/>
                  <w:vAlign w:val="center"/>
                </w:tcPr>
                <w:p w14:paraId="65A22311">
                  <w:pPr>
                    <w:jc w:val="center"/>
                    <w:rPr>
                      <w:rFonts w:ascii="宋体" w:hAnsi="宋体" w:cs="宋体"/>
                      <w:color w:val="000000"/>
                      <w:szCs w:val="21"/>
                    </w:rPr>
                  </w:pPr>
                  <w:r>
                    <w:rPr>
                      <w:rFonts w:hint="eastAsia" w:ascii="宋体" w:hAnsi="宋体" w:cs="宋体"/>
                      <w:color w:val="000000"/>
                      <w:szCs w:val="21"/>
                    </w:rPr>
                    <w:t>排气筒高度不低于 15m（因安全考虑或有特殊工艺要求的除外），具体高度以及与周围建筑物的相对高度关系应根据环境影响评价文件确定。</w:t>
                  </w:r>
                </w:p>
              </w:tc>
              <w:tc>
                <w:tcPr>
                  <w:tcW w:w="1525" w:type="pct"/>
                  <w:vAlign w:val="center"/>
                </w:tcPr>
                <w:p w14:paraId="18282B2E">
                  <w:pPr>
                    <w:jc w:val="center"/>
                    <w:rPr>
                      <w:rFonts w:ascii="宋体" w:hAnsi="宋体" w:cs="宋体"/>
                      <w:color w:val="000000"/>
                      <w:szCs w:val="21"/>
                    </w:rPr>
                  </w:pPr>
                  <w:r>
                    <w:rPr>
                      <w:rFonts w:hint="eastAsia" w:ascii="宋体" w:hAnsi="宋体" w:cs="宋体"/>
                      <w:color w:val="000000"/>
                      <w:szCs w:val="21"/>
                    </w:rPr>
                    <w:t>项目排气筒高度不低于 15m</w:t>
                  </w:r>
                </w:p>
              </w:tc>
              <w:tc>
                <w:tcPr>
                  <w:tcW w:w="911" w:type="pct"/>
                  <w:vAlign w:val="center"/>
                </w:tcPr>
                <w:p w14:paraId="580D3BAE">
                  <w:pPr>
                    <w:jc w:val="center"/>
                    <w:rPr>
                      <w:rFonts w:ascii="宋体" w:hAnsi="宋体" w:cs="宋体"/>
                      <w:color w:val="000000"/>
                      <w:szCs w:val="21"/>
                      <w:highlight w:val="yellow"/>
                    </w:rPr>
                  </w:pPr>
                  <w:r>
                    <w:rPr>
                      <w:rFonts w:hint="eastAsia" w:ascii="宋体" w:hAnsi="宋体" w:cs="宋体"/>
                      <w:color w:val="000000"/>
                      <w:szCs w:val="21"/>
                    </w:rPr>
                    <w:t>符合</w:t>
                  </w:r>
                </w:p>
              </w:tc>
            </w:tr>
            <w:tr w14:paraId="40B6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pct"/>
                  <w:vAlign w:val="center"/>
                </w:tcPr>
                <w:p w14:paraId="2F442301">
                  <w:pPr>
                    <w:jc w:val="center"/>
                    <w:rPr>
                      <w:rFonts w:ascii="宋体" w:hAnsi="宋体" w:cs="宋体"/>
                      <w:color w:val="000000"/>
                      <w:szCs w:val="21"/>
                    </w:rPr>
                  </w:pPr>
                  <w:r>
                    <w:rPr>
                      <w:rFonts w:hint="eastAsia" w:ascii="宋体" w:hAnsi="宋体" w:cs="宋体"/>
                      <w:color w:val="000000"/>
                      <w:szCs w:val="21"/>
                    </w:rPr>
                    <w:t>企业应建立台账，记录废气收集系统、VOCs 处理设施的主要运行和维护信息，如运行时间、废气处理量、操作温度、停留时间、吸附剂再生/更换周期和更换量、催化剂更换周期和更换量、吸收液 pH 值等关键运行参数。台账保存期限不少于 3 年</w:t>
                  </w:r>
                </w:p>
              </w:tc>
              <w:tc>
                <w:tcPr>
                  <w:tcW w:w="1525" w:type="pct"/>
                  <w:vAlign w:val="center"/>
                </w:tcPr>
                <w:p w14:paraId="63FF9BB4">
                  <w:pPr>
                    <w:jc w:val="center"/>
                    <w:rPr>
                      <w:rFonts w:ascii="宋体" w:hAnsi="宋体" w:cs="宋体"/>
                      <w:color w:val="000000"/>
                      <w:szCs w:val="21"/>
                    </w:rPr>
                  </w:pPr>
                  <w:r>
                    <w:rPr>
                      <w:rFonts w:hint="eastAsia" w:ascii="宋体" w:hAnsi="宋体" w:cs="宋体"/>
                      <w:color w:val="000000"/>
                      <w:szCs w:val="21"/>
                    </w:rPr>
                    <w:t>环评要求建设单位建立环境管理体系和管理台账，按要求记录相关内容。台账保存3年</w:t>
                  </w:r>
                </w:p>
              </w:tc>
              <w:tc>
                <w:tcPr>
                  <w:tcW w:w="911" w:type="pct"/>
                  <w:vAlign w:val="center"/>
                </w:tcPr>
                <w:p w14:paraId="60052706">
                  <w:pPr>
                    <w:jc w:val="center"/>
                    <w:rPr>
                      <w:rFonts w:ascii="宋体" w:hAnsi="宋体" w:cs="宋体"/>
                      <w:color w:val="000000"/>
                      <w:szCs w:val="21"/>
                      <w:highlight w:val="yellow"/>
                    </w:rPr>
                  </w:pPr>
                  <w:r>
                    <w:rPr>
                      <w:rFonts w:hint="eastAsia" w:ascii="宋体" w:hAnsi="宋体" w:cs="宋体"/>
                      <w:color w:val="000000"/>
                      <w:szCs w:val="21"/>
                    </w:rPr>
                    <w:t>符合</w:t>
                  </w:r>
                </w:p>
              </w:tc>
            </w:tr>
          </w:tbl>
          <w:p w14:paraId="46C17533">
            <w:pPr>
              <w:pStyle w:val="52"/>
              <w:ind w:firstLine="480"/>
              <w:jc w:val="left"/>
              <w:rPr>
                <w:rFonts w:hAnsi="宋体" w:cs="宋体"/>
                <w:sz w:val="24"/>
                <w:szCs w:val="24"/>
              </w:rPr>
            </w:pPr>
          </w:p>
          <w:p w14:paraId="06BA0BBC">
            <w:pPr>
              <w:pStyle w:val="52"/>
              <w:spacing w:line="360" w:lineRule="auto"/>
              <w:ind w:firstLine="480"/>
              <w:jc w:val="left"/>
              <w:rPr>
                <w:rFonts w:hAnsi="宋体" w:cs="宋体"/>
                <w:bCs/>
                <w:sz w:val="24"/>
                <w:szCs w:val="24"/>
              </w:rPr>
            </w:pPr>
            <w:r>
              <w:rPr>
                <w:rFonts w:hint="eastAsia" w:hAnsi="宋体" w:cs="宋体"/>
                <w:bCs/>
                <w:sz w:val="24"/>
                <w:szCs w:val="24"/>
              </w:rPr>
              <w:t xml:space="preserve"> </w:t>
            </w:r>
            <w:r>
              <w:rPr>
                <w:rStyle w:val="27"/>
                <w:rFonts w:hint="eastAsia"/>
                <w:bCs/>
              </w:rPr>
              <w:t>10、</w:t>
            </w:r>
            <w:r>
              <w:rPr>
                <w:rStyle w:val="27"/>
                <w:rFonts w:hint="eastAsia" w:hAnsi="宋体" w:cs="宋体"/>
                <w:bCs/>
                <w:szCs w:val="24"/>
              </w:rPr>
              <w:t>与关于印发《安徽省低挥发性有机物含量原辅材料替代工作方案》（皖环发[2024]1号）的通知符合性分析</w:t>
            </w:r>
          </w:p>
          <w:p w14:paraId="2A60D57C">
            <w:pPr>
              <w:pStyle w:val="52"/>
              <w:ind w:firstLine="422"/>
              <w:jc w:val="center"/>
              <w:rPr>
                <w:rFonts w:hAnsi="宋体" w:cs="宋体"/>
                <w:b/>
                <w:bCs/>
                <w:sz w:val="24"/>
                <w:szCs w:val="24"/>
              </w:rPr>
            </w:pPr>
            <w:r>
              <w:rPr>
                <w:rFonts w:hint="eastAsia" w:hAnsi="宋体" w:cs="宋体"/>
                <w:b/>
                <w:bCs/>
                <w:sz w:val="21"/>
                <w:szCs w:val="21"/>
              </w:rPr>
              <w:t>表1-11与《安徽省低挥发性有机物含量原辅材料替代工作方案》（</w:t>
            </w:r>
            <w:r>
              <w:rPr>
                <w:rStyle w:val="27"/>
                <w:rFonts w:hint="eastAsia" w:hAnsi="宋体" w:cs="宋体"/>
                <w:b/>
                <w:bCs/>
                <w:szCs w:val="21"/>
              </w:rPr>
              <w:t>皖环发[2024]1号</w:t>
            </w:r>
            <w:r>
              <w:rPr>
                <w:rFonts w:hint="eastAsia" w:hAnsi="宋体" w:cs="宋体"/>
                <w:b/>
                <w:bCs/>
                <w:sz w:val="21"/>
                <w:szCs w:val="21"/>
              </w:rPr>
              <w:t>）符合性分析</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3271"/>
              <w:gridCol w:w="2653"/>
              <w:gridCol w:w="786"/>
            </w:tblGrid>
            <w:tr w14:paraId="48E3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pct"/>
                  <w:gridSpan w:val="2"/>
                  <w:vAlign w:val="center"/>
                </w:tcPr>
                <w:p w14:paraId="5FEAB3A3">
                  <w:pPr>
                    <w:jc w:val="center"/>
                    <w:rPr>
                      <w:rFonts w:ascii="宋体" w:hAnsi="宋体" w:cs="宋体"/>
                      <w:b/>
                      <w:bCs/>
                      <w:color w:val="000000"/>
                      <w:szCs w:val="21"/>
                    </w:rPr>
                  </w:pPr>
                  <w:r>
                    <w:rPr>
                      <w:rFonts w:hint="eastAsia" w:ascii="宋体" w:hAnsi="宋体" w:cs="宋体"/>
                      <w:b/>
                      <w:bCs/>
                      <w:color w:val="000000"/>
                      <w:szCs w:val="21"/>
                    </w:rPr>
                    <w:t>政策要求</w:t>
                  </w:r>
                </w:p>
              </w:tc>
              <w:tc>
                <w:tcPr>
                  <w:tcW w:w="1622" w:type="pct"/>
                  <w:vAlign w:val="center"/>
                </w:tcPr>
                <w:p w14:paraId="49FA59E4">
                  <w:pPr>
                    <w:jc w:val="center"/>
                    <w:rPr>
                      <w:rFonts w:ascii="宋体" w:hAnsi="宋体" w:cs="宋体"/>
                      <w:b/>
                      <w:bCs/>
                      <w:color w:val="000000"/>
                      <w:szCs w:val="21"/>
                    </w:rPr>
                  </w:pPr>
                  <w:r>
                    <w:rPr>
                      <w:rFonts w:hint="eastAsia" w:ascii="宋体" w:hAnsi="宋体" w:cs="宋体"/>
                      <w:b/>
                      <w:bCs/>
                      <w:color w:val="000000"/>
                      <w:szCs w:val="21"/>
                    </w:rPr>
                    <w:t>本项目内容</w:t>
                  </w:r>
                </w:p>
              </w:tc>
              <w:tc>
                <w:tcPr>
                  <w:tcW w:w="480" w:type="pct"/>
                  <w:vAlign w:val="center"/>
                </w:tcPr>
                <w:p w14:paraId="24576C54">
                  <w:pPr>
                    <w:jc w:val="center"/>
                    <w:rPr>
                      <w:rFonts w:ascii="宋体" w:hAnsi="宋体" w:cs="宋体"/>
                      <w:b/>
                      <w:bCs/>
                      <w:color w:val="000000"/>
                      <w:szCs w:val="21"/>
                    </w:rPr>
                  </w:pPr>
                  <w:r>
                    <w:rPr>
                      <w:rFonts w:hint="eastAsia" w:ascii="宋体" w:hAnsi="宋体" w:cs="宋体"/>
                      <w:b/>
                      <w:bCs/>
                      <w:color w:val="000000"/>
                      <w:szCs w:val="21"/>
                    </w:rPr>
                    <w:t>符合性</w:t>
                  </w:r>
                </w:p>
              </w:tc>
            </w:tr>
            <w:tr w14:paraId="423B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5BAF31E9">
                  <w:pPr>
                    <w:rPr>
                      <w:rFonts w:ascii="宋体" w:hAnsi="宋体" w:cs="宋体"/>
                      <w:color w:val="000000"/>
                      <w:szCs w:val="21"/>
                    </w:rPr>
                  </w:pPr>
                  <w:r>
                    <w:rPr>
                      <w:rFonts w:hint="eastAsia" w:ascii="宋体" w:hAnsi="宋体" w:cs="宋体"/>
                      <w:color w:val="000000"/>
                      <w:szCs w:val="21"/>
                    </w:rPr>
                    <w:t>重点任务（二）严格项目准入</w:t>
                  </w:r>
                </w:p>
              </w:tc>
              <w:tc>
                <w:tcPr>
                  <w:tcW w:w="2000" w:type="pct"/>
                  <w:vAlign w:val="center"/>
                </w:tcPr>
                <w:p w14:paraId="6B1A966D">
                  <w:pPr>
                    <w:rPr>
                      <w:rFonts w:ascii="宋体" w:hAnsi="宋体" w:cs="宋体"/>
                      <w:color w:val="000000"/>
                      <w:szCs w:val="21"/>
                    </w:rPr>
                  </w:pPr>
                  <w:r>
                    <w:rPr>
                      <w:rFonts w:hint="eastAsia" w:ascii="宋体" w:hAnsi="宋体" w:cs="宋体"/>
                      <w:color w:val="000000"/>
                      <w:szCs w:val="21"/>
                    </w:rPr>
                    <w:t>禁止建设生产和使用高VOCs含量的溶剂型涂料、油墨、胶黏剂等项目。全省工业涂装、包装印刷等重点行业和涂料、油墨等生产企业的新（改、扩）建项目需满足低（无）VOCs 含量限值要求</w:t>
                  </w:r>
                </w:p>
              </w:tc>
              <w:tc>
                <w:tcPr>
                  <w:tcW w:w="1622" w:type="pct"/>
                  <w:vAlign w:val="center"/>
                </w:tcPr>
                <w:p w14:paraId="35500A7A">
                  <w:pPr>
                    <w:jc w:val="center"/>
                    <w:rPr>
                      <w:color w:val="000000"/>
                      <w:szCs w:val="21"/>
                    </w:rPr>
                  </w:pPr>
                  <w:r>
                    <w:rPr>
                      <w:rFonts w:hint="eastAsia" w:ascii="宋体" w:hAnsi="宋体" w:cs="宋体"/>
                      <w:color w:val="000000"/>
                      <w:szCs w:val="21"/>
                    </w:rPr>
                    <w:t>本项目为环境专用设备制造业，</w:t>
                  </w:r>
                  <w:r>
                    <w:rPr>
                      <w:color w:val="000000"/>
                      <w:szCs w:val="21"/>
                    </w:rPr>
                    <w:t>不属于重点行业；</w:t>
                  </w:r>
                </w:p>
                <w:p w14:paraId="7609CB2E">
                  <w:pPr>
                    <w:jc w:val="center"/>
                    <w:rPr>
                      <w:rFonts w:ascii="宋体" w:hAnsi="宋体" w:cs="宋体"/>
                      <w:b/>
                      <w:bCs/>
                      <w:color w:val="000000"/>
                      <w:szCs w:val="21"/>
                    </w:rPr>
                  </w:pPr>
                  <w:r>
                    <w:rPr>
                      <w:color w:val="000000"/>
                      <w:szCs w:val="21"/>
                    </w:rPr>
                    <w:t>项目瓶装手喷漆为水性漆，胶黏剂及PA树脂均为低VOCs原料</w:t>
                  </w:r>
                </w:p>
              </w:tc>
              <w:tc>
                <w:tcPr>
                  <w:tcW w:w="480" w:type="pct"/>
                  <w:vAlign w:val="center"/>
                </w:tcPr>
                <w:p w14:paraId="70C4A004">
                  <w:pPr>
                    <w:jc w:val="center"/>
                    <w:rPr>
                      <w:rFonts w:ascii="宋体" w:hAnsi="宋体" w:cs="宋体"/>
                      <w:color w:val="000000"/>
                      <w:szCs w:val="21"/>
                    </w:rPr>
                  </w:pPr>
                  <w:r>
                    <w:rPr>
                      <w:rFonts w:hint="eastAsia" w:ascii="宋体" w:hAnsi="宋体" w:cs="宋体"/>
                      <w:color w:val="000000"/>
                      <w:szCs w:val="21"/>
                    </w:rPr>
                    <w:t>符合</w:t>
                  </w:r>
                </w:p>
              </w:tc>
            </w:tr>
          </w:tbl>
          <w:p w14:paraId="71774920">
            <w:pPr>
              <w:spacing w:line="500" w:lineRule="exact"/>
              <w:ind w:firstLine="480" w:firstLineChars="200"/>
              <w:rPr>
                <w:bCs/>
                <w:sz w:val="24"/>
              </w:rPr>
            </w:pPr>
          </w:p>
          <w:p w14:paraId="083D5447">
            <w:pPr>
              <w:spacing w:line="360" w:lineRule="auto"/>
              <w:ind w:firstLine="480" w:firstLineChars="200"/>
              <w:rPr>
                <w:bCs/>
                <w:sz w:val="24"/>
              </w:rPr>
            </w:pPr>
            <w:r>
              <w:rPr>
                <w:rFonts w:hint="eastAsia"/>
                <w:bCs/>
                <w:sz w:val="24"/>
              </w:rPr>
              <w:t>6、选址规划符合性</w:t>
            </w:r>
          </w:p>
          <w:p w14:paraId="33D6E0D1">
            <w:pPr>
              <w:numPr>
                <w:ilvl w:val="0"/>
                <w:numId w:val="2"/>
              </w:numPr>
              <w:spacing w:line="360" w:lineRule="auto"/>
              <w:ind w:firstLine="480" w:firstLineChars="200"/>
              <w:rPr>
                <w:rFonts w:ascii="宋体" w:hAnsi="宋体" w:cs="宋体"/>
                <w:color w:val="000000"/>
                <w:kern w:val="0"/>
                <w:sz w:val="24"/>
                <w:lang w:bidi="ar"/>
              </w:rPr>
            </w:pPr>
            <w:r>
              <w:rPr>
                <w:rFonts w:hint="eastAsia" w:ascii="宋体" w:hAnsi="宋体" w:cs="宋体"/>
                <w:color w:val="000000"/>
                <w:kern w:val="0"/>
                <w:sz w:val="24"/>
                <w:lang w:bidi="ar"/>
              </w:rPr>
              <w:t>环境相容性分析</w:t>
            </w:r>
          </w:p>
          <w:p w14:paraId="557B6E2B">
            <w:pPr>
              <w:spacing w:line="360" w:lineRule="auto"/>
              <w:ind w:firstLine="480" w:firstLineChars="200"/>
              <w:rPr>
                <w:kern w:val="0"/>
                <w:sz w:val="24"/>
              </w:rPr>
            </w:pPr>
            <w:r>
              <w:rPr>
                <w:rFonts w:hint="eastAsia"/>
                <w:bCs/>
                <w:sz w:val="24"/>
              </w:rPr>
              <w:t>根据现场勘查，项目西南侧为长运物流，其余均为空地。</w:t>
            </w:r>
            <w:r>
              <w:rPr>
                <w:rFonts w:hint="eastAsia"/>
                <w:kern w:val="0"/>
                <w:sz w:val="24"/>
              </w:rPr>
              <w:t>项目周边无文物保护单位、自然保护区、风景名胜区和生态敏感点等环境敏感区域，外环境关系相对较为单纯，外环境制约因素较小。</w:t>
            </w:r>
            <w:r>
              <w:rPr>
                <w:bCs/>
                <w:sz w:val="24"/>
              </w:rPr>
              <w:t>项目</w:t>
            </w:r>
            <w:r>
              <w:rPr>
                <w:rFonts w:hint="eastAsia"/>
                <w:bCs/>
                <w:sz w:val="24"/>
              </w:rPr>
              <w:t>生产过程中不产生废气废水</w:t>
            </w:r>
            <w:r>
              <w:rPr>
                <w:rFonts w:hint="eastAsia"/>
                <w:kern w:val="0"/>
                <w:sz w:val="24"/>
              </w:rPr>
              <w:t>；生活废水直接进入废水处理系统进行处理；少量金属固废由生产厂家回收再利用，生活垃圾由环卫部门清运处理。本项目的废气、废水以及固废均得到妥善处理，对周边环境影响较小，与周边环境关系较相容。</w:t>
            </w:r>
          </w:p>
          <w:p w14:paraId="7B3E42F5">
            <w:pPr>
              <w:spacing w:line="360" w:lineRule="auto"/>
              <w:ind w:firstLine="480" w:firstLineChars="200"/>
              <w:rPr>
                <w:kern w:val="0"/>
                <w:sz w:val="24"/>
              </w:rPr>
            </w:pPr>
            <w:r>
              <w:rPr>
                <w:rFonts w:hint="eastAsia"/>
                <w:kern w:val="0"/>
                <w:sz w:val="24"/>
              </w:rPr>
              <w:t>（2）外部建设条件可行性</w:t>
            </w:r>
          </w:p>
          <w:p w14:paraId="1E9B9AF4">
            <w:pPr>
              <w:spacing w:line="360" w:lineRule="auto"/>
              <w:ind w:firstLine="480" w:firstLineChars="200"/>
              <w:rPr>
                <w:kern w:val="0"/>
                <w:sz w:val="24"/>
              </w:rPr>
            </w:pPr>
            <w:r>
              <w:rPr>
                <w:rFonts w:hint="eastAsia"/>
                <w:kern w:val="0"/>
                <w:sz w:val="24"/>
              </w:rPr>
              <w:t>项目选址位于安徽省六安市金寨县经济开发区，企业所在地理位置条件较好，交通便利，区域水、电、通讯等基础配套设施齐全。</w:t>
            </w:r>
          </w:p>
          <w:p w14:paraId="5294567C">
            <w:pPr>
              <w:spacing w:line="360" w:lineRule="auto"/>
              <w:ind w:firstLine="480" w:firstLineChars="200"/>
              <w:rPr>
                <w:kern w:val="0"/>
                <w:sz w:val="24"/>
              </w:rPr>
            </w:pPr>
            <w:r>
              <w:rPr>
                <w:rFonts w:hint="eastAsia"/>
                <w:kern w:val="0"/>
                <w:sz w:val="24"/>
              </w:rPr>
              <w:t>（3）对外环境的影响：本项目自身产污环节较少，污染物相对简单，在采取相应的防治措施后，可满足各污染物的排放标准要求，对区域环境影响较小。</w:t>
            </w:r>
          </w:p>
          <w:p w14:paraId="1FC6B6B4">
            <w:pPr>
              <w:spacing w:line="360" w:lineRule="auto"/>
              <w:ind w:firstLine="480" w:firstLineChars="200"/>
              <w:rPr>
                <w:kern w:val="0"/>
                <w:sz w:val="24"/>
              </w:rPr>
            </w:pPr>
            <w:r>
              <w:rPr>
                <w:rFonts w:hint="eastAsia"/>
                <w:kern w:val="0"/>
                <w:sz w:val="24"/>
              </w:rPr>
              <w:t>综上所述，本项目建设选址比较合理。</w:t>
            </w:r>
          </w:p>
          <w:p w14:paraId="255BE132">
            <w:pPr>
              <w:spacing w:line="360" w:lineRule="auto"/>
              <w:ind w:firstLine="480" w:firstLineChars="200"/>
              <w:rPr>
                <w:kern w:val="0"/>
                <w:sz w:val="24"/>
              </w:rPr>
            </w:pPr>
          </w:p>
          <w:p w14:paraId="50DB11C8">
            <w:pPr>
              <w:spacing w:line="500" w:lineRule="exact"/>
              <w:ind w:firstLine="480" w:firstLineChars="200"/>
              <w:rPr>
                <w:bCs/>
                <w:sz w:val="24"/>
              </w:rPr>
            </w:pPr>
          </w:p>
          <w:p w14:paraId="7F45FE98">
            <w:pPr>
              <w:spacing w:line="500" w:lineRule="exact"/>
              <w:rPr>
                <w:rFonts w:ascii="宋体" w:hAnsi="宋体" w:cs="宋体"/>
                <w:kern w:val="0"/>
                <w:szCs w:val="21"/>
              </w:rPr>
            </w:pPr>
          </w:p>
          <w:p w14:paraId="3B44FE5C">
            <w:pPr>
              <w:spacing w:line="500" w:lineRule="exact"/>
              <w:ind w:firstLine="420" w:firstLineChars="200"/>
              <w:rPr>
                <w:rFonts w:ascii="宋体" w:hAnsi="宋体" w:cs="宋体"/>
                <w:kern w:val="0"/>
                <w:szCs w:val="21"/>
              </w:rPr>
            </w:pPr>
          </w:p>
          <w:p w14:paraId="60DEF40D">
            <w:pPr>
              <w:spacing w:line="500" w:lineRule="exact"/>
              <w:rPr>
                <w:rFonts w:ascii="宋体" w:hAnsi="宋体" w:cs="宋体"/>
                <w:kern w:val="0"/>
                <w:szCs w:val="21"/>
              </w:rPr>
            </w:pPr>
          </w:p>
        </w:tc>
      </w:tr>
    </w:tbl>
    <w:p w14:paraId="56A8B9BC">
      <w:pPr>
        <w:rPr>
          <w:snapToGrid w:val="0"/>
        </w:rPr>
      </w:pPr>
    </w:p>
    <w:p w14:paraId="24390FA7">
      <w:pPr>
        <w:rPr>
          <w:snapToGrid w:val="0"/>
        </w:rPr>
      </w:pPr>
    </w:p>
    <w:p w14:paraId="58CBD65B">
      <w:pPr>
        <w:rPr>
          <w:snapToGrid w:val="0"/>
        </w:rPr>
      </w:pPr>
    </w:p>
    <w:p w14:paraId="416A7949">
      <w:pPr>
        <w:rPr>
          <w:snapToGrid w:val="0"/>
        </w:rPr>
      </w:pPr>
    </w:p>
    <w:p w14:paraId="3BD3C522">
      <w:pPr>
        <w:rPr>
          <w:snapToGrid w:val="0"/>
        </w:rPr>
      </w:pPr>
    </w:p>
    <w:p w14:paraId="68B44F87">
      <w:pPr>
        <w:rPr>
          <w:snapToGrid w:val="0"/>
        </w:rPr>
      </w:pPr>
    </w:p>
    <w:p w14:paraId="29541E1F">
      <w:pPr>
        <w:rPr>
          <w:snapToGrid w:val="0"/>
        </w:rPr>
      </w:pPr>
    </w:p>
    <w:p w14:paraId="7635A21C">
      <w:pPr>
        <w:rPr>
          <w:snapToGrid w:val="0"/>
        </w:rPr>
      </w:pPr>
    </w:p>
    <w:p w14:paraId="42128C5A">
      <w:pPr>
        <w:rPr>
          <w:snapToGrid w:val="0"/>
        </w:rPr>
      </w:pPr>
    </w:p>
    <w:p w14:paraId="62DE34E2">
      <w:pPr>
        <w:rPr>
          <w:snapToGrid w:val="0"/>
        </w:rPr>
      </w:pPr>
    </w:p>
    <w:p w14:paraId="63F1B56D">
      <w:pPr>
        <w:rPr>
          <w:snapToGrid w:val="0"/>
        </w:rPr>
      </w:pPr>
    </w:p>
    <w:p w14:paraId="4407E88F">
      <w:pPr>
        <w:rPr>
          <w:snapToGrid w:val="0"/>
        </w:rPr>
      </w:pPr>
    </w:p>
    <w:p w14:paraId="66B15E06">
      <w:pPr>
        <w:rPr>
          <w:snapToGrid w:val="0"/>
        </w:rPr>
      </w:pPr>
    </w:p>
    <w:p w14:paraId="1E1D2BB4">
      <w:pPr>
        <w:widowControl/>
        <w:jc w:val="left"/>
        <w:rPr>
          <w:rFonts w:ascii="黑体" w:hAnsi="黑体" w:eastAsia="黑体"/>
          <w:snapToGrid w:val="0"/>
          <w:kern w:val="0"/>
          <w:sz w:val="30"/>
          <w:szCs w:val="30"/>
        </w:rPr>
      </w:pPr>
      <w:r>
        <w:rPr>
          <w:rFonts w:ascii="黑体" w:hAnsi="黑体" w:eastAsia="黑体"/>
          <w:snapToGrid w:val="0"/>
          <w:sz w:val="30"/>
          <w:szCs w:val="30"/>
        </w:rPr>
        <w:br w:type="page"/>
      </w:r>
    </w:p>
    <w:p w14:paraId="6CB5BF6E">
      <w:pPr>
        <w:pStyle w:val="19"/>
        <w:jc w:val="center"/>
        <w:outlineLvl w:val="0"/>
        <w:rPr>
          <w:rFonts w:ascii="黑体" w:hAnsi="黑体" w:eastAsia="黑体"/>
          <w:snapToGrid w:val="0"/>
          <w:sz w:val="30"/>
          <w:szCs w:val="30"/>
        </w:rPr>
      </w:pPr>
      <w:bookmarkStart w:id="2" w:name="_Toc189401881"/>
      <w:r>
        <w:rPr>
          <w:rFonts w:hint="eastAsia" w:ascii="黑体" w:hAnsi="黑体" w:eastAsia="黑体"/>
          <w:snapToGrid w:val="0"/>
          <w:sz w:val="30"/>
          <w:szCs w:val="30"/>
        </w:rPr>
        <w:t>二、</w:t>
      </w:r>
      <w:r>
        <w:rPr>
          <w:rFonts w:ascii="黑体" w:hAnsi="黑体" w:eastAsia="黑体"/>
          <w:snapToGrid w:val="0"/>
          <w:sz w:val="30"/>
          <w:szCs w:val="30"/>
        </w:rPr>
        <w:t>建设项目工程分析</w:t>
      </w:r>
      <w:bookmarkEnd w:id="2"/>
    </w:p>
    <w:p w14:paraId="6EC4824D"/>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14:paraId="196E3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10" w:type="dxa"/>
            <w:vAlign w:val="center"/>
          </w:tcPr>
          <w:p w14:paraId="37D737C7">
            <w:pPr>
              <w:pStyle w:val="19"/>
              <w:adjustRightInd w:val="0"/>
              <w:snapToGrid w:val="0"/>
              <w:spacing w:before="0" w:beforeAutospacing="0" w:after="0" w:afterAutospacing="0"/>
              <w:jc w:val="center"/>
              <w:rPr>
                <w:rFonts w:cs="宋体"/>
                <w:sz w:val="21"/>
                <w:szCs w:val="21"/>
              </w:rPr>
            </w:pPr>
          </w:p>
          <w:p w14:paraId="3283D889">
            <w:pPr>
              <w:pStyle w:val="19"/>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414" w:type="dxa"/>
          </w:tcPr>
          <w:p w14:paraId="0716BE90">
            <w:pPr>
              <w:spacing w:line="500" w:lineRule="exact"/>
              <w:ind w:firstLine="482" w:firstLineChars="200"/>
              <w:rPr>
                <w:b/>
                <w:sz w:val="24"/>
              </w:rPr>
            </w:pPr>
            <w:r>
              <w:rPr>
                <w:b/>
                <w:sz w:val="24"/>
              </w:rPr>
              <w:t>1、项目概况</w:t>
            </w:r>
          </w:p>
          <w:p w14:paraId="0E995609">
            <w:pPr>
              <w:spacing w:line="500" w:lineRule="exact"/>
              <w:ind w:firstLine="480" w:firstLineChars="200"/>
              <w:rPr>
                <w:color w:val="000000"/>
                <w:sz w:val="24"/>
              </w:rPr>
            </w:pPr>
            <w:r>
              <w:rPr>
                <w:rFonts w:hint="eastAsia"/>
                <w:color w:val="000000"/>
                <w:sz w:val="24"/>
              </w:rPr>
              <w:t>安徽智辉环境科技有限公司环保设备及产品生产加工项目位于金寨县经济开发区（现代产业园区）笔架山路以南,南溪路以西,金水路以北。</w:t>
            </w:r>
          </w:p>
          <w:p w14:paraId="2B8641D5">
            <w:pPr>
              <w:spacing w:line="500" w:lineRule="exact"/>
              <w:ind w:firstLine="480" w:firstLineChars="200"/>
              <w:rPr>
                <w:color w:val="000000"/>
                <w:sz w:val="24"/>
              </w:rPr>
            </w:pPr>
            <w:r>
              <w:rPr>
                <w:rFonts w:hint="eastAsia"/>
                <w:color w:val="000000"/>
                <w:sz w:val="24"/>
              </w:rPr>
              <w:t>企业拟投资51000万元，公司主要生产环保用除尘过滤设备，建成后能保证15条环保设备流水线的满负荷生产，年产环保除尘过滤设备50套。</w:t>
            </w:r>
          </w:p>
          <w:p w14:paraId="58984272">
            <w:pPr>
              <w:spacing w:line="500" w:lineRule="exact"/>
              <w:ind w:firstLine="480" w:firstLineChars="200"/>
              <w:rPr>
                <w:color w:val="000000"/>
                <w:sz w:val="24"/>
              </w:rPr>
            </w:pPr>
            <w:r>
              <w:rPr>
                <w:rFonts w:hint="eastAsia"/>
                <w:color w:val="000000"/>
                <w:sz w:val="24"/>
              </w:rPr>
              <w:t>根据《中华人民共和国环境影响评价法》（第77号主席令）、中华人民共和国国务院令682号《建设项目环境保护管理条例》及其修改稿等文件规定，该项目执行环境影响审批制度。本项目为计算机零部件制造，根据《建设项目环境影响评价分类管理名录》（2021年版）的规定，属于“三十二、专用设备制造业 35—环保、邮政、社会公共服务及其他专用设备制造 359-其他（仅分割、焊接、组装的 除外；年用非溶剂型低VOCs含量涂料10吨以下的除外）；”</w:t>
            </w:r>
            <w:r>
              <w:rPr>
                <w:color w:val="000000"/>
                <w:sz w:val="24"/>
              </w:rPr>
              <w:t>，</w:t>
            </w:r>
            <w:r>
              <w:rPr>
                <w:rFonts w:hint="eastAsia"/>
                <w:color w:val="000000"/>
                <w:sz w:val="24"/>
              </w:rPr>
              <w:t>不纳入环评管理范围，以及 “十四、纺织业 17—产业用纺织制成品制造 178*——后整理工序涉及有机溶剂的”,需要编制环境影响报告表，综合考虑，编制环境影响报告表。</w:t>
            </w:r>
            <w:r>
              <w:rPr>
                <w:color w:val="000000"/>
                <w:sz w:val="24"/>
              </w:rPr>
              <w:t>我公司接受委托后，经现场踏勘及工程分析，依据《建设项目环境影响报告表编制技术指南（污染影响类）》的要求，编制了该项目的环境影响评价报告表。对项目产生的污染和对环境的影响进行分析，从环境保护角度评估项目建设的可行性。</w:t>
            </w:r>
          </w:p>
          <w:p w14:paraId="49F639A3">
            <w:pPr>
              <w:spacing w:line="360" w:lineRule="auto"/>
              <w:ind w:firstLine="480" w:firstLineChars="200"/>
              <w:rPr>
                <w:rFonts w:ascii="宋体" w:hAnsi="宋体" w:cs="宋体"/>
                <w:color w:val="333333"/>
                <w:sz w:val="24"/>
                <w:shd w:val="clear" w:color="auto" w:fill="FFFFFF"/>
              </w:rPr>
            </w:pPr>
            <w:r>
              <w:rPr>
                <w:rFonts w:hint="eastAsia" w:ascii="宋体" w:hAnsi="宋体" w:cs="宋体"/>
                <w:color w:val="333333"/>
                <w:sz w:val="24"/>
                <w:shd w:val="clear" w:color="auto" w:fill="FFFFFF"/>
              </w:rPr>
              <w:t>具体见下表2-1、2-2。</w:t>
            </w:r>
          </w:p>
          <w:p w14:paraId="060E001B">
            <w:pPr>
              <w:pStyle w:val="9"/>
              <w:spacing w:before="0" w:after="0" w:line="240" w:lineRule="auto"/>
              <w:ind w:right="0"/>
              <w:jc w:val="center"/>
              <w:rPr>
                <w:rFonts w:ascii="宋体" w:hAnsi="宋体" w:cs="宋体"/>
                <w:b/>
                <w:bCs/>
                <w:color w:val="333333"/>
                <w:kern w:val="2"/>
                <w:sz w:val="21"/>
                <w:szCs w:val="21"/>
                <w:shd w:val="clear" w:color="auto" w:fill="FFFFFF"/>
              </w:rPr>
            </w:pPr>
            <w:r>
              <w:rPr>
                <w:rFonts w:hint="eastAsia" w:ascii="宋体" w:hAnsi="宋体" w:cs="宋体"/>
                <w:b/>
                <w:bCs/>
                <w:color w:val="333333"/>
                <w:kern w:val="2"/>
                <w:sz w:val="21"/>
                <w:szCs w:val="21"/>
                <w:shd w:val="clear" w:color="auto" w:fill="FFFFFF"/>
              </w:rPr>
              <w:t>表2-1  建设项目环境影响评价分类管理名录（摘录）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561"/>
              <w:gridCol w:w="2317"/>
              <w:gridCol w:w="1574"/>
              <w:gridCol w:w="1867"/>
            </w:tblGrid>
            <w:tr w14:paraId="70D6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trPr>
              <w:tc>
                <w:tcPr>
                  <w:tcW w:w="1576" w:type="pct"/>
                  <w:gridSpan w:val="2"/>
                  <w:vMerge w:val="restart"/>
                  <w:tcBorders>
                    <w:top w:val="single" w:color="auto" w:sz="4" w:space="0"/>
                    <w:left w:val="single" w:color="auto" w:sz="4" w:space="0"/>
                    <w:bottom w:val="single" w:color="auto" w:sz="4" w:space="0"/>
                    <w:tl2br w:val="single" w:color="auto" w:sz="4" w:space="0"/>
                  </w:tcBorders>
                  <w:vAlign w:val="center"/>
                </w:tcPr>
                <w:p w14:paraId="6226AFC6">
                  <w:pPr>
                    <w:kinsoku w:val="0"/>
                    <w:overflowPunct w:val="0"/>
                    <w:autoSpaceDE w:val="0"/>
                    <w:autoSpaceDN w:val="0"/>
                    <w:jc w:val="righ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环评类别</w:t>
                  </w:r>
                </w:p>
                <w:p w14:paraId="01321FF7">
                  <w:pPr>
                    <w:kinsoku w:val="0"/>
                    <w:overflowPunct w:val="0"/>
                    <w:autoSpaceDE w:val="0"/>
                    <w:autoSpaceDN w:val="0"/>
                    <w:jc w:val="lef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项目类别</w:t>
                  </w:r>
                </w:p>
              </w:tc>
              <w:tc>
                <w:tcPr>
                  <w:tcW w:w="3424" w:type="pct"/>
                  <w:gridSpan w:val="3"/>
                  <w:tcBorders>
                    <w:top w:val="single" w:color="auto" w:sz="4" w:space="0"/>
                    <w:bottom w:val="single" w:color="auto" w:sz="4" w:space="0"/>
                    <w:right w:val="single" w:color="auto" w:sz="4" w:space="0"/>
                  </w:tcBorders>
                  <w:vAlign w:val="center"/>
                </w:tcPr>
                <w:p w14:paraId="7B0102D2">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环境影响评价类别</w:t>
                  </w:r>
                </w:p>
              </w:tc>
            </w:tr>
            <w:tr w14:paraId="04C0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trPr>
              <w:tc>
                <w:tcPr>
                  <w:tcW w:w="1576" w:type="pct"/>
                  <w:gridSpan w:val="2"/>
                  <w:vMerge w:val="continue"/>
                  <w:tcBorders>
                    <w:left w:val="single" w:color="auto" w:sz="4" w:space="0"/>
                    <w:bottom w:val="single" w:color="auto" w:sz="4" w:space="0"/>
                    <w:tl2br w:val="single" w:color="auto" w:sz="4" w:space="0"/>
                  </w:tcBorders>
                  <w:vAlign w:val="center"/>
                </w:tcPr>
                <w:p w14:paraId="627EBE87">
                  <w:pPr>
                    <w:kinsoku w:val="0"/>
                    <w:overflowPunct w:val="0"/>
                    <w:autoSpaceDE w:val="0"/>
                    <w:autoSpaceDN w:val="0"/>
                    <w:jc w:val="left"/>
                    <w:rPr>
                      <w:rFonts w:ascii="宋体" w:hAnsi="宋体" w:cs="宋体"/>
                      <w:b/>
                      <w:bCs/>
                      <w:color w:val="333333"/>
                      <w:szCs w:val="21"/>
                      <w:shd w:val="clear" w:color="auto" w:fill="FFFFFF"/>
                    </w:rPr>
                  </w:pPr>
                </w:p>
              </w:tc>
              <w:tc>
                <w:tcPr>
                  <w:tcW w:w="1378" w:type="pct"/>
                  <w:tcBorders>
                    <w:bottom w:val="single" w:color="auto" w:sz="4" w:space="0"/>
                  </w:tcBorders>
                  <w:vAlign w:val="center"/>
                </w:tcPr>
                <w:p w14:paraId="336019FC">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报告书</w:t>
                  </w:r>
                </w:p>
              </w:tc>
              <w:tc>
                <w:tcPr>
                  <w:tcW w:w="936" w:type="pct"/>
                  <w:tcBorders>
                    <w:bottom w:val="single" w:color="auto" w:sz="4" w:space="0"/>
                  </w:tcBorders>
                  <w:vAlign w:val="center"/>
                </w:tcPr>
                <w:p w14:paraId="08D1A354">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报告表</w:t>
                  </w:r>
                </w:p>
              </w:tc>
              <w:tc>
                <w:tcPr>
                  <w:tcW w:w="1110" w:type="pct"/>
                  <w:tcBorders>
                    <w:bottom w:val="single" w:color="auto" w:sz="4" w:space="0"/>
                  </w:tcBorders>
                  <w:vAlign w:val="center"/>
                </w:tcPr>
                <w:p w14:paraId="6D738BA1">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登记表</w:t>
                  </w:r>
                </w:p>
              </w:tc>
            </w:tr>
            <w:tr w14:paraId="43E3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000" w:type="pct"/>
                  <w:gridSpan w:val="5"/>
                  <w:tcBorders>
                    <w:top w:val="single" w:color="auto" w:sz="4" w:space="0"/>
                    <w:left w:val="single" w:color="auto" w:sz="4" w:space="0"/>
                    <w:bottom w:val="single" w:color="auto" w:sz="4" w:space="0"/>
                  </w:tcBorders>
                  <w:vAlign w:val="center"/>
                </w:tcPr>
                <w:p w14:paraId="6A5116C7">
                  <w:pPr>
                    <w:tabs>
                      <w:tab w:val="left" w:pos="368"/>
                    </w:tabs>
                    <w:kinsoku w:val="0"/>
                    <w:overflowPunct w:val="0"/>
                    <w:autoSpaceDE w:val="0"/>
                    <w:autoSpaceDN w:val="0"/>
                    <w:jc w:val="lef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三十二、专用设备制造业 35</w:t>
                  </w:r>
                </w:p>
              </w:tc>
            </w:tr>
            <w:tr w14:paraId="6F70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9" w:hRule="atLeast"/>
              </w:trPr>
              <w:tc>
                <w:tcPr>
                  <w:tcW w:w="648" w:type="pct"/>
                  <w:tcBorders>
                    <w:top w:val="single" w:color="auto" w:sz="4" w:space="0"/>
                    <w:left w:val="single" w:color="auto" w:sz="4" w:space="0"/>
                    <w:bottom w:val="single" w:color="auto" w:sz="4" w:space="0"/>
                    <w:right w:val="single" w:color="auto" w:sz="4" w:space="0"/>
                  </w:tcBorders>
                  <w:vAlign w:val="center"/>
                </w:tcPr>
                <w:p w14:paraId="107E4677">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70</w:t>
                  </w:r>
                </w:p>
              </w:tc>
              <w:tc>
                <w:tcPr>
                  <w:tcW w:w="928" w:type="pct"/>
                  <w:tcBorders>
                    <w:top w:val="single" w:color="auto" w:sz="4" w:space="0"/>
                    <w:left w:val="single" w:color="auto" w:sz="4" w:space="0"/>
                    <w:bottom w:val="single" w:color="auto" w:sz="4" w:space="0"/>
                  </w:tcBorders>
                  <w:vAlign w:val="center"/>
                </w:tcPr>
                <w:p w14:paraId="2F956951">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采矿、冶金、建筑专用设备制造 351； 化工、木材、非金属加工 专用设备制造</w:t>
                  </w:r>
                </w:p>
                <w:p w14:paraId="584DA62C">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352；食品、饮料、烟草及饲料生产专用设备制造 353；印刷、制药、日化及日用品生产专用设备制造354；纺织、服装和皮革加工专用设备制造355；电子和电工机械专用设备制造 356；农、林、牧、渔专用机械制造 357；医疗仪器设备及器械制造358； 环保、邮政、</w:t>
                  </w:r>
                </w:p>
                <w:p w14:paraId="576204DE">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社会公共服务及其他专用设备制造 359</w:t>
                  </w:r>
                </w:p>
              </w:tc>
              <w:tc>
                <w:tcPr>
                  <w:tcW w:w="1378" w:type="pct"/>
                  <w:tcBorders>
                    <w:top w:val="single" w:color="auto" w:sz="4" w:space="0"/>
                    <w:bottom w:val="single" w:color="auto" w:sz="4" w:space="0"/>
                  </w:tcBorders>
                  <w:vAlign w:val="center"/>
                </w:tcPr>
                <w:p w14:paraId="666196FB">
                  <w:pPr>
                    <w:widowControl/>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有电镀工艺的；年用溶剂型涂料（含稀释剂）10吨及以上的</w:t>
                  </w:r>
                </w:p>
              </w:tc>
              <w:tc>
                <w:tcPr>
                  <w:tcW w:w="936" w:type="pct"/>
                  <w:tcBorders>
                    <w:top w:val="single" w:color="auto" w:sz="4" w:space="0"/>
                    <w:bottom w:val="single" w:color="auto" w:sz="4" w:space="0"/>
                  </w:tcBorders>
                  <w:vAlign w:val="center"/>
                </w:tcPr>
                <w:p w14:paraId="48EA0F52">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其他（仅分割、焊接、组装的除外；年用非溶剂型低VOCs含量涂料10吨以下的除外）</w:t>
                  </w:r>
                </w:p>
              </w:tc>
              <w:tc>
                <w:tcPr>
                  <w:tcW w:w="1110" w:type="pct"/>
                  <w:tcBorders>
                    <w:top w:val="single" w:color="auto" w:sz="4" w:space="0"/>
                    <w:bottom w:val="single" w:color="auto" w:sz="4" w:space="0"/>
                  </w:tcBorders>
                  <w:vAlign w:val="center"/>
                </w:tcPr>
                <w:p w14:paraId="565AAB75">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w:t>
                  </w:r>
                </w:p>
              </w:tc>
            </w:tr>
          </w:tbl>
          <w:p w14:paraId="4BBFABE3">
            <w:pPr>
              <w:autoSpaceDE w:val="0"/>
              <w:autoSpaceDN w:val="0"/>
              <w:spacing w:line="360" w:lineRule="auto"/>
              <w:rPr>
                <w:color w:val="333333"/>
                <w:szCs w:val="21"/>
                <w:shd w:val="clear" w:color="auto" w:fill="FFFFFF"/>
              </w:rPr>
            </w:pPr>
          </w:p>
          <w:p w14:paraId="13320D31">
            <w:pPr>
              <w:pStyle w:val="9"/>
              <w:spacing w:before="0" w:after="0" w:line="240" w:lineRule="auto"/>
              <w:ind w:right="0"/>
              <w:jc w:val="center"/>
              <w:rPr>
                <w:rFonts w:ascii="宋体" w:hAnsi="宋体" w:cs="宋体"/>
                <w:b/>
                <w:bCs/>
                <w:color w:val="333333"/>
                <w:kern w:val="2"/>
                <w:sz w:val="21"/>
                <w:szCs w:val="21"/>
                <w:shd w:val="clear" w:color="auto" w:fill="FFFFFF"/>
              </w:rPr>
            </w:pPr>
            <w:r>
              <w:rPr>
                <w:rFonts w:hint="eastAsia" w:ascii="宋体" w:hAnsi="宋体" w:cs="宋体"/>
                <w:b/>
                <w:bCs/>
                <w:color w:val="333333"/>
                <w:kern w:val="2"/>
                <w:sz w:val="21"/>
                <w:szCs w:val="21"/>
                <w:shd w:val="clear" w:color="auto" w:fill="FFFFFF"/>
              </w:rPr>
              <w:t>表2-2  建设项目环境影响评价分类管理名录（摘录）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557"/>
              <w:gridCol w:w="1387"/>
              <w:gridCol w:w="2943"/>
              <w:gridCol w:w="1470"/>
            </w:tblGrid>
            <w:tr w14:paraId="0700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51" w:type="pct"/>
                  <w:gridSpan w:val="2"/>
                  <w:vMerge w:val="restart"/>
                  <w:tcBorders>
                    <w:tl2br w:val="single" w:color="auto" w:sz="4" w:space="0"/>
                  </w:tcBorders>
                  <w:shd w:val="clear" w:color="auto" w:fill="auto"/>
                  <w:vAlign w:val="center"/>
                </w:tcPr>
                <w:p w14:paraId="0230CF98">
                  <w:pPr>
                    <w:autoSpaceDE w:val="0"/>
                    <w:autoSpaceDN w:val="0"/>
                    <w:spacing w:line="360" w:lineRule="auto"/>
                    <w:ind w:firstLine="1265" w:firstLineChars="600"/>
                    <w:rPr>
                      <w:b/>
                      <w:bCs/>
                      <w:color w:val="333333"/>
                      <w:szCs w:val="21"/>
                      <w:shd w:val="clear" w:color="auto" w:fill="FFFFFF"/>
                    </w:rPr>
                  </w:pPr>
                  <w:r>
                    <w:rPr>
                      <w:rFonts w:hint="eastAsia"/>
                      <w:b/>
                      <w:bCs/>
                      <w:color w:val="333333"/>
                      <w:szCs w:val="21"/>
                      <w:shd w:val="clear" w:color="auto" w:fill="FFFFFF"/>
                    </w:rPr>
                    <w:t>环评类别</w:t>
                  </w:r>
                </w:p>
                <w:p w14:paraId="2598B5F0">
                  <w:pPr>
                    <w:autoSpaceDE w:val="0"/>
                    <w:autoSpaceDN w:val="0"/>
                    <w:spacing w:line="360" w:lineRule="auto"/>
                    <w:rPr>
                      <w:b/>
                      <w:bCs/>
                      <w:color w:val="333333"/>
                      <w:szCs w:val="21"/>
                      <w:shd w:val="clear" w:color="auto" w:fill="FFFFFF"/>
                    </w:rPr>
                  </w:pPr>
                  <w:r>
                    <w:rPr>
                      <w:rFonts w:hint="eastAsia"/>
                      <w:b/>
                      <w:bCs/>
                      <w:color w:val="333333"/>
                      <w:szCs w:val="21"/>
                      <w:shd w:val="clear" w:color="auto" w:fill="FFFFFF"/>
                    </w:rPr>
                    <w:t>项目类别</w:t>
                  </w:r>
                </w:p>
              </w:tc>
              <w:tc>
                <w:tcPr>
                  <w:tcW w:w="3449" w:type="pct"/>
                  <w:gridSpan w:val="3"/>
                  <w:shd w:val="clear" w:color="auto" w:fill="auto"/>
                  <w:vAlign w:val="center"/>
                </w:tcPr>
                <w:p w14:paraId="6E88891C">
                  <w:pPr>
                    <w:autoSpaceDE w:val="0"/>
                    <w:autoSpaceDN w:val="0"/>
                    <w:spacing w:line="360" w:lineRule="auto"/>
                    <w:jc w:val="center"/>
                    <w:rPr>
                      <w:b/>
                      <w:bCs/>
                      <w:color w:val="333333"/>
                      <w:szCs w:val="21"/>
                      <w:shd w:val="clear" w:color="auto" w:fill="FFFFFF"/>
                    </w:rPr>
                  </w:pPr>
                  <w:r>
                    <w:rPr>
                      <w:rFonts w:hint="eastAsia" w:ascii="宋体" w:hAnsi="宋体" w:cs="宋体"/>
                      <w:b/>
                      <w:bCs/>
                      <w:color w:val="333333"/>
                      <w:szCs w:val="21"/>
                      <w:shd w:val="clear" w:color="auto" w:fill="FFFFFF"/>
                    </w:rPr>
                    <w:t>环境影响评价类别</w:t>
                  </w:r>
                </w:p>
              </w:tc>
            </w:tr>
            <w:tr w14:paraId="08B0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gridSpan w:val="2"/>
                  <w:vMerge w:val="continue"/>
                  <w:shd w:val="clear" w:color="auto" w:fill="auto"/>
                  <w:vAlign w:val="center"/>
                </w:tcPr>
                <w:p w14:paraId="49CE9ED4">
                  <w:pPr>
                    <w:autoSpaceDE w:val="0"/>
                    <w:autoSpaceDN w:val="0"/>
                    <w:spacing w:line="360" w:lineRule="auto"/>
                    <w:rPr>
                      <w:b/>
                      <w:bCs/>
                      <w:color w:val="333333"/>
                      <w:szCs w:val="21"/>
                      <w:shd w:val="clear" w:color="auto" w:fill="FFFFFF"/>
                    </w:rPr>
                  </w:pPr>
                </w:p>
              </w:tc>
              <w:tc>
                <w:tcPr>
                  <w:tcW w:w="825" w:type="pct"/>
                  <w:shd w:val="clear" w:color="auto" w:fill="auto"/>
                  <w:vAlign w:val="center"/>
                </w:tcPr>
                <w:p w14:paraId="16B001C9">
                  <w:pPr>
                    <w:autoSpaceDE w:val="0"/>
                    <w:autoSpaceDN w:val="0"/>
                    <w:spacing w:line="360" w:lineRule="auto"/>
                    <w:jc w:val="center"/>
                    <w:rPr>
                      <w:b/>
                      <w:bCs/>
                      <w:color w:val="333333"/>
                      <w:szCs w:val="21"/>
                      <w:shd w:val="clear" w:color="auto" w:fill="FFFFFF"/>
                    </w:rPr>
                  </w:pPr>
                  <w:r>
                    <w:rPr>
                      <w:rFonts w:hint="eastAsia"/>
                      <w:b/>
                      <w:bCs/>
                      <w:color w:val="333333"/>
                      <w:szCs w:val="21"/>
                      <w:shd w:val="clear" w:color="auto" w:fill="FFFFFF"/>
                    </w:rPr>
                    <w:t>报告书</w:t>
                  </w:r>
                </w:p>
              </w:tc>
              <w:tc>
                <w:tcPr>
                  <w:tcW w:w="1750" w:type="pct"/>
                  <w:shd w:val="clear" w:color="auto" w:fill="auto"/>
                  <w:vAlign w:val="center"/>
                </w:tcPr>
                <w:p w14:paraId="79413C88">
                  <w:pPr>
                    <w:autoSpaceDE w:val="0"/>
                    <w:autoSpaceDN w:val="0"/>
                    <w:spacing w:line="360" w:lineRule="auto"/>
                    <w:jc w:val="center"/>
                    <w:rPr>
                      <w:b/>
                      <w:bCs/>
                      <w:color w:val="333333"/>
                      <w:szCs w:val="21"/>
                      <w:shd w:val="clear" w:color="auto" w:fill="FFFFFF"/>
                    </w:rPr>
                  </w:pPr>
                  <w:r>
                    <w:rPr>
                      <w:rFonts w:hint="eastAsia"/>
                      <w:b/>
                      <w:bCs/>
                      <w:color w:val="333333"/>
                      <w:szCs w:val="21"/>
                      <w:shd w:val="clear" w:color="auto" w:fill="FFFFFF"/>
                    </w:rPr>
                    <w:t>报告表</w:t>
                  </w:r>
                </w:p>
              </w:tc>
              <w:tc>
                <w:tcPr>
                  <w:tcW w:w="875" w:type="pct"/>
                  <w:shd w:val="clear" w:color="auto" w:fill="auto"/>
                  <w:vAlign w:val="center"/>
                </w:tcPr>
                <w:p w14:paraId="56BC164E">
                  <w:pPr>
                    <w:autoSpaceDE w:val="0"/>
                    <w:autoSpaceDN w:val="0"/>
                    <w:spacing w:line="360" w:lineRule="auto"/>
                    <w:jc w:val="center"/>
                    <w:rPr>
                      <w:b/>
                      <w:bCs/>
                      <w:color w:val="333333"/>
                      <w:szCs w:val="21"/>
                      <w:shd w:val="clear" w:color="auto" w:fill="FFFFFF"/>
                    </w:rPr>
                  </w:pPr>
                  <w:r>
                    <w:rPr>
                      <w:rFonts w:hint="eastAsia"/>
                      <w:b/>
                      <w:bCs/>
                      <w:color w:val="333333"/>
                      <w:szCs w:val="21"/>
                      <w:shd w:val="clear" w:color="auto" w:fill="FFFFFF"/>
                    </w:rPr>
                    <w:t>登记表</w:t>
                  </w:r>
                </w:p>
              </w:tc>
            </w:tr>
            <w:tr w14:paraId="715A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14:paraId="7919E45C">
                  <w:pPr>
                    <w:autoSpaceDE w:val="0"/>
                    <w:autoSpaceDN w:val="0"/>
                    <w:spacing w:line="360" w:lineRule="auto"/>
                    <w:rPr>
                      <w:b/>
                      <w:bCs/>
                      <w:color w:val="333333"/>
                      <w:szCs w:val="21"/>
                      <w:shd w:val="clear" w:color="auto" w:fill="FFFFFF"/>
                    </w:rPr>
                  </w:pPr>
                  <w:r>
                    <w:rPr>
                      <w:rFonts w:hint="eastAsia"/>
                      <w:b/>
                      <w:bCs/>
                      <w:color w:val="333333"/>
                      <w:szCs w:val="21"/>
                      <w:shd w:val="clear" w:color="auto" w:fill="FFFFFF"/>
                    </w:rPr>
                    <w:t>十四、纺织业 17</w:t>
                  </w:r>
                </w:p>
              </w:tc>
            </w:tr>
            <w:tr w14:paraId="6C3D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shd w:val="clear" w:color="auto" w:fill="auto"/>
                  <w:vAlign w:val="center"/>
                </w:tcPr>
                <w:p w14:paraId="3A69AB60">
                  <w:pPr>
                    <w:autoSpaceDE w:val="0"/>
                    <w:autoSpaceDN w:val="0"/>
                    <w:spacing w:line="360" w:lineRule="auto"/>
                    <w:jc w:val="center"/>
                    <w:rPr>
                      <w:color w:val="333333"/>
                      <w:szCs w:val="21"/>
                      <w:shd w:val="clear" w:color="auto" w:fill="FFFFFF"/>
                    </w:rPr>
                  </w:pPr>
                  <w:r>
                    <w:rPr>
                      <w:rFonts w:hint="eastAsia"/>
                      <w:color w:val="333333"/>
                      <w:szCs w:val="21"/>
                      <w:shd w:val="clear" w:color="auto" w:fill="FFFFFF"/>
                    </w:rPr>
                    <w:t>28</w:t>
                  </w:r>
                </w:p>
              </w:tc>
              <w:tc>
                <w:tcPr>
                  <w:tcW w:w="926" w:type="pct"/>
                  <w:shd w:val="clear" w:color="auto" w:fill="auto"/>
                  <w:vAlign w:val="center"/>
                </w:tcPr>
                <w:p w14:paraId="02E05679">
                  <w:pPr>
                    <w:widowControl/>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棉纺织及印染精加工171*；毛纺织及染整精加工 172*；麻纺织及染整精加工 173*；</w:t>
                  </w:r>
                  <w:r>
                    <w:rPr>
                      <w:rFonts w:hint="eastAsia" w:ascii="宋体" w:hAnsi="宋体" w:cs="宋体"/>
                      <w:color w:val="333333"/>
                      <w:szCs w:val="21"/>
                      <w:shd w:val="clear" w:color="auto" w:fill="FFFFFF"/>
                    </w:rPr>
                    <w:cr/>
                  </w:r>
                  <w:r>
                    <w:rPr>
                      <w:rFonts w:hint="eastAsia" w:ascii="宋体" w:hAnsi="宋体" w:cs="宋体"/>
                      <w:color w:val="333333"/>
                      <w:szCs w:val="21"/>
                      <w:shd w:val="clear" w:color="auto" w:fill="FFFFFF"/>
                    </w:rPr>
                    <w:t>丝绢纺织及印染精加工 174*；化纤织造及印染精加工 175*；针织或钩针编织物及其制品制造 176*；家用纺织制成品 制造177*；产业用纺织制成品制造178*</w:t>
                  </w:r>
                </w:p>
              </w:tc>
              <w:tc>
                <w:tcPr>
                  <w:tcW w:w="825" w:type="pct"/>
                  <w:shd w:val="clear" w:color="auto" w:fill="auto"/>
                  <w:vAlign w:val="center"/>
                </w:tcPr>
                <w:p w14:paraId="73621634">
                  <w:pPr>
                    <w:widowControl/>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有洗毛、脱胶、缫丝工艺的；染整工艺有前处理、染色、印花（喷墨印花和数码印花的除外）工序的；有使用有机溶剂的涂层工艺的</w:t>
                  </w:r>
                </w:p>
              </w:tc>
              <w:tc>
                <w:tcPr>
                  <w:tcW w:w="1750" w:type="pct"/>
                  <w:shd w:val="clear" w:color="auto" w:fill="auto"/>
                  <w:vAlign w:val="center"/>
                </w:tcPr>
                <w:p w14:paraId="14FAB637">
                  <w:pPr>
                    <w:autoSpaceDE w:val="0"/>
                    <w:autoSpaceDN w:val="0"/>
                    <w:rPr>
                      <w:color w:val="333333"/>
                      <w:szCs w:val="21"/>
                      <w:shd w:val="clear" w:color="auto" w:fill="FFFFFF"/>
                    </w:rPr>
                  </w:pPr>
                  <w:r>
                    <w:rPr>
                      <w:rFonts w:hint="eastAsia" w:ascii="宋体" w:hAnsi="宋体" w:cs="宋体"/>
                      <w:color w:val="333333"/>
                      <w:szCs w:val="21"/>
                      <w:shd w:val="clear" w:color="auto" w:fill="FFFFFF"/>
                    </w:rPr>
                    <w:t>有喷墨印花或数码印花工艺的；后整理工序涉及有机溶剂的；有喷水织造工艺的；有水刺无纺布织造工艺的</w:t>
                  </w:r>
                </w:p>
              </w:tc>
              <w:tc>
                <w:tcPr>
                  <w:tcW w:w="875" w:type="pct"/>
                  <w:shd w:val="clear" w:color="auto" w:fill="auto"/>
                  <w:vAlign w:val="center"/>
                </w:tcPr>
                <w:p w14:paraId="712D26FB">
                  <w:pPr>
                    <w:autoSpaceDE w:val="0"/>
                    <w:autoSpaceDN w:val="0"/>
                    <w:spacing w:line="360" w:lineRule="auto"/>
                    <w:jc w:val="center"/>
                    <w:rPr>
                      <w:color w:val="333333"/>
                      <w:szCs w:val="21"/>
                      <w:shd w:val="clear" w:color="auto" w:fill="FFFFFF"/>
                    </w:rPr>
                  </w:pPr>
                  <w:r>
                    <w:rPr>
                      <w:rFonts w:hint="eastAsia"/>
                      <w:color w:val="333333"/>
                      <w:szCs w:val="21"/>
                      <w:shd w:val="clear" w:color="auto" w:fill="FFFFFF"/>
                    </w:rPr>
                    <w:t>/</w:t>
                  </w:r>
                </w:p>
              </w:tc>
            </w:tr>
          </w:tbl>
          <w:p w14:paraId="0A47F269">
            <w:pPr>
              <w:autoSpaceDE w:val="0"/>
              <w:autoSpaceDN w:val="0"/>
              <w:spacing w:line="360" w:lineRule="auto"/>
              <w:rPr>
                <w:color w:val="333333"/>
                <w:szCs w:val="21"/>
                <w:shd w:val="clear" w:color="auto" w:fill="FFFFFF"/>
              </w:rPr>
            </w:pPr>
          </w:p>
          <w:p w14:paraId="052B50A2">
            <w:pPr>
              <w:autoSpaceDE w:val="0"/>
              <w:autoSpaceDN w:val="0"/>
              <w:spacing w:line="360" w:lineRule="auto"/>
              <w:ind w:firstLine="480" w:firstLineChars="200"/>
              <w:rPr>
                <w:rFonts w:ascii="宋体" w:hAnsi="宋体" w:cs="宋体"/>
                <w:color w:val="333333"/>
                <w:sz w:val="24"/>
                <w:shd w:val="clear" w:color="auto" w:fill="FFFFFF"/>
              </w:rPr>
            </w:pPr>
            <w:r>
              <w:rPr>
                <w:rFonts w:hint="eastAsia" w:ascii="宋体" w:hAnsi="宋体" w:cs="宋体"/>
                <w:color w:val="333333"/>
                <w:sz w:val="24"/>
                <w:shd w:val="clear" w:color="auto" w:fill="FFFFFF"/>
              </w:rPr>
              <w:t>安徽智辉环境科技有限公司委托我单位编制“环保设备及产品生产加工项目”环境影响报告表，我单位接受委托后，认真研究了该项目的有关资料，在踏勘现场的社会、自然环境状况，调查、收集建设项目资料的基础上，根据项目所在区域的环境特征、结合工程实际污染特性等因素，编制了本项目环境影响报告表。</w:t>
            </w:r>
          </w:p>
          <w:p w14:paraId="63C1EFE7">
            <w:pPr>
              <w:pStyle w:val="7"/>
              <w:spacing w:line="360" w:lineRule="auto"/>
              <w:ind w:firstLine="480" w:firstLineChars="200"/>
              <w:rPr>
                <w:rFonts w:ascii="宋体" w:hAnsi="宋体" w:cs="宋体"/>
                <w:color w:val="333333"/>
                <w:szCs w:val="24"/>
                <w:shd w:val="clear" w:color="auto" w:fill="FFFFFF"/>
              </w:rPr>
            </w:pPr>
            <w:r>
              <w:rPr>
                <w:rFonts w:hint="eastAsia" w:ascii="宋体" w:hAnsi="宋体" w:cs="宋体"/>
                <w:color w:val="333333"/>
                <w:kern w:val="2"/>
                <w:szCs w:val="24"/>
                <w:shd w:val="clear" w:color="auto" w:fill="FFFFFF"/>
              </w:rPr>
              <w:t>根据《国民经济行业分类》（GB/T4754-2017）2019年修改版，本项目属于C3591 环境保护专用设备制造\</w:t>
            </w:r>
            <w:r>
              <w:rPr>
                <w:rFonts w:hint="eastAsia"/>
              </w:rPr>
              <w:t xml:space="preserve"> </w:t>
            </w:r>
            <w:r>
              <w:rPr>
                <w:rFonts w:hint="eastAsia" w:ascii="宋体" w:hAnsi="宋体" w:cs="宋体"/>
                <w:color w:val="333333"/>
                <w:kern w:val="2"/>
                <w:szCs w:val="24"/>
                <w:shd w:val="clear" w:color="auto" w:fill="FFFFFF"/>
              </w:rPr>
              <w:t>C1781 非织造布制造，对照《固定污染源排污许可证分类管理名录》（2019版），本项目属于《固定污染源排污许可分类管理名录》(2019年版)中</w:t>
            </w:r>
            <w:r>
              <w:rPr>
                <w:rFonts w:hint="eastAsia"/>
              </w:rPr>
              <w:t xml:space="preserve"> “</w:t>
            </w:r>
            <w:r>
              <w:rPr>
                <w:rFonts w:hint="eastAsia" w:ascii="宋体" w:hAnsi="宋体" w:cs="宋体"/>
                <w:color w:val="333333"/>
                <w:kern w:val="2"/>
                <w:szCs w:val="24"/>
                <w:shd w:val="clear" w:color="auto" w:fill="FFFFFF"/>
              </w:rPr>
              <w:t>三十、专用设备制造业 35</w:t>
            </w:r>
            <w:r>
              <w:rPr>
                <w:rFonts w:hint="eastAsia" w:ascii="宋体" w:hAnsi="宋体" w:cs="宋体"/>
                <w:color w:val="333333"/>
                <w:szCs w:val="24"/>
                <w:shd w:val="clear" w:color="auto" w:fill="FFFFFF"/>
              </w:rPr>
              <w:t>，与 十二、纺织业17</w:t>
            </w:r>
            <w:r>
              <w:rPr>
                <w:rFonts w:hint="eastAsia"/>
              </w:rPr>
              <w:t>”中“其他”</w:t>
            </w:r>
            <w:r>
              <w:rPr>
                <w:rFonts w:hint="eastAsia" w:ascii="宋体" w:hAnsi="宋体" w:cs="宋体"/>
                <w:color w:val="333333"/>
                <w:szCs w:val="24"/>
                <w:shd w:val="clear" w:color="auto" w:fill="FFFFFF"/>
              </w:rPr>
              <w:t>，属于排污许可中“登记管理”。</w:t>
            </w:r>
          </w:p>
          <w:p w14:paraId="592CF1A6">
            <w:pPr>
              <w:pStyle w:val="7"/>
              <w:spacing w:line="360" w:lineRule="auto"/>
              <w:ind w:firstLine="480" w:firstLineChars="200"/>
              <w:rPr>
                <w:rFonts w:ascii="宋体" w:hAnsi="宋体" w:cs="宋体"/>
                <w:color w:val="333333"/>
                <w:szCs w:val="24"/>
                <w:shd w:val="clear" w:color="auto" w:fill="FFFFFF"/>
              </w:rPr>
            </w:pPr>
            <w:r>
              <w:rPr>
                <w:rFonts w:hint="eastAsia" w:ascii="宋体" w:hAnsi="宋体" w:cs="宋体"/>
                <w:color w:val="333333"/>
                <w:szCs w:val="24"/>
                <w:shd w:val="clear" w:color="auto" w:fill="FFFFFF"/>
              </w:rPr>
              <w:t>综合考虑，排污许可按照“登记管理”进行。</w:t>
            </w:r>
          </w:p>
          <w:p w14:paraId="69C109F3">
            <w:pPr>
              <w:pStyle w:val="7"/>
              <w:spacing w:line="360" w:lineRule="auto"/>
              <w:ind w:firstLine="480" w:firstLineChars="200"/>
              <w:rPr>
                <w:rFonts w:ascii="宋体" w:hAnsi="宋体" w:cs="宋体"/>
                <w:color w:val="333333"/>
                <w:szCs w:val="24"/>
                <w:shd w:val="clear" w:color="auto" w:fill="FFFFFF"/>
              </w:rPr>
            </w:pPr>
            <w:r>
              <w:rPr>
                <w:rFonts w:hint="eastAsia" w:ascii="宋体" w:hAnsi="宋体" w:cs="宋体"/>
                <w:color w:val="333333"/>
                <w:szCs w:val="24"/>
                <w:shd w:val="clear" w:color="auto" w:fill="FFFFFF"/>
              </w:rPr>
              <w:t>相关内容如下：</w:t>
            </w:r>
          </w:p>
          <w:p w14:paraId="2DA7AAD6">
            <w:pPr>
              <w:pStyle w:val="9"/>
              <w:spacing w:before="0" w:after="0" w:line="240" w:lineRule="auto"/>
              <w:ind w:right="0"/>
              <w:jc w:val="center"/>
              <w:rPr>
                <w:rFonts w:ascii="宋体" w:hAnsi="宋体" w:cs="宋体"/>
                <w:b/>
                <w:bCs/>
                <w:color w:val="333333"/>
                <w:kern w:val="2"/>
                <w:sz w:val="21"/>
                <w:szCs w:val="21"/>
                <w:shd w:val="clear" w:color="auto" w:fill="FFFFFF"/>
              </w:rPr>
            </w:pPr>
          </w:p>
          <w:p w14:paraId="14519B60">
            <w:pPr>
              <w:pStyle w:val="9"/>
              <w:spacing w:before="0" w:after="0" w:line="240" w:lineRule="auto"/>
              <w:ind w:right="0"/>
              <w:jc w:val="center"/>
              <w:rPr>
                <w:rFonts w:ascii="宋体" w:hAnsi="宋体" w:cs="宋体"/>
                <w:b/>
                <w:bCs/>
                <w:color w:val="333333"/>
                <w:kern w:val="2"/>
                <w:sz w:val="21"/>
                <w:szCs w:val="21"/>
                <w:shd w:val="clear" w:color="auto" w:fill="FFFFFF"/>
              </w:rPr>
            </w:pPr>
            <w:r>
              <w:rPr>
                <w:rFonts w:hint="eastAsia" w:ascii="宋体" w:hAnsi="宋体" w:cs="宋体"/>
                <w:b/>
                <w:bCs/>
                <w:color w:val="333333"/>
                <w:kern w:val="2"/>
                <w:sz w:val="21"/>
                <w:szCs w:val="21"/>
                <w:shd w:val="clear" w:color="auto" w:fill="FFFFFF"/>
              </w:rPr>
              <w:t>表2-3 固定污染源排污许可证分类管理名录（2019版）对照表（摘录）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428"/>
              <w:gridCol w:w="1601"/>
              <w:gridCol w:w="3195"/>
              <w:gridCol w:w="1138"/>
            </w:tblGrid>
            <w:tr w14:paraId="3E4D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470" w:type="pct"/>
                  <w:gridSpan w:val="2"/>
                  <w:vMerge w:val="restart"/>
                  <w:tcBorders>
                    <w:top w:val="single" w:color="auto" w:sz="4" w:space="0"/>
                    <w:left w:val="single" w:color="auto" w:sz="4" w:space="0"/>
                    <w:bottom w:val="single" w:color="auto" w:sz="4" w:space="0"/>
                    <w:tl2br w:val="single" w:color="auto" w:sz="4" w:space="0"/>
                  </w:tcBorders>
                  <w:vAlign w:val="center"/>
                </w:tcPr>
                <w:p w14:paraId="19C27E3B">
                  <w:pPr>
                    <w:kinsoku w:val="0"/>
                    <w:overflowPunct w:val="0"/>
                    <w:autoSpaceDE w:val="0"/>
                    <w:autoSpaceDN w:val="0"/>
                    <w:jc w:val="righ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行业类别</w:t>
                  </w:r>
                </w:p>
                <w:p w14:paraId="5571546E">
                  <w:pPr>
                    <w:kinsoku w:val="0"/>
                    <w:overflowPunct w:val="0"/>
                    <w:autoSpaceDE w:val="0"/>
                    <w:autoSpaceDN w:val="0"/>
                    <w:jc w:val="lef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序号</w:t>
                  </w:r>
                </w:p>
              </w:tc>
              <w:tc>
                <w:tcPr>
                  <w:tcW w:w="3530" w:type="pct"/>
                  <w:gridSpan w:val="3"/>
                  <w:tcBorders>
                    <w:top w:val="single" w:color="auto" w:sz="4" w:space="0"/>
                    <w:bottom w:val="single" w:color="auto" w:sz="4" w:space="0"/>
                    <w:right w:val="single" w:color="auto" w:sz="4" w:space="0"/>
                  </w:tcBorders>
                  <w:vAlign w:val="center"/>
                </w:tcPr>
                <w:p w14:paraId="77C0E63C">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排污许可类别</w:t>
                  </w:r>
                </w:p>
              </w:tc>
            </w:tr>
            <w:tr w14:paraId="6194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470" w:type="pct"/>
                  <w:gridSpan w:val="2"/>
                  <w:vMerge w:val="continue"/>
                  <w:tcBorders>
                    <w:left w:val="single" w:color="auto" w:sz="4" w:space="0"/>
                    <w:bottom w:val="single" w:color="auto" w:sz="4" w:space="0"/>
                    <w:tl2br w:val="single" w:color="auto" w:sz="4" w:space="0"/>
                  </w:tcBorders>
                  <w:vAlign w:val="center"/>
                </w:tcPr>
                <w:p w14:paraId="3FA791AE">
                  <w:pPr>
                    <w:kinsoku w:val="0"/>
                    <w:overflowPunct w:val="0"/>
                    <w:autoSpaceDE w:val="0"/>
                    <w:autoSpaceDN w:val="0"/>
                    <w:jc w:val="left"/>
                    <w:rPr>
                      <w:rFonts w:ascii="宋体" w:hAnsi="宋体" w:cs="宋体"/>
                      <w:b/>
                      <w:bCs/>
                      <w:color w:val="333333"/>
                      <w:szCs w:val="21"/>
                      <w:shd w:val="clear" w:color="auto" w:fill="FFFFFF"/>
                    </w:rPr>
                  </w:pPr>
                </w:p>
              </w:tc>
              <w:tc>
                <w:tcPr>
                  <w:tcW w:w="952" w:type="pct"/>
                  <w:tcBorders>
                    <w:bottom w:val="single" w:color="auto" w:sz="4" w:space="0"/>
                  </w:tcBorders>
                  <w:vAlign w:val="center"/>
                </w:tcPr>
                <w:p w14:paraId="1A8CA644">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重点管理</w:t>
                  </w:r>
                </w:p>
              </w:tc>
              <w:tc>
                <w:tcPr>
                  <w:tcW w:w="1900" w:type="pct"/>
                  <w:tcBorders>
                    <w:bottom w:val="single" w:color="auto" w:sz="4" w:space="0"/>
                  </w:tcBorders>
                  <w:vAlign w:val="center"/>
                </w:tcPr>
                <w:p w14:paraId="20D34151">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简化管理</w:t>
                  </w:r>
                </w:p>
              </w:tc>
              <w:tc>
                <w:tcPr>
                  <w:tcW w:w="679" w:type="pct"/>
                  <w:tcBorders>
                    <w:bottom w:val="single" w:color="auto" w:sz="4" w:space="0"/>
                  </w:tcBorders>
                  <w:vAlign w:val="center"/>
                </w:tcPr>
                <w:p w14:paraId="637D8642">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登记管理</w:t>
                  </w:r>
                </w:p>
              </w:tc>
            </w:tr>
            <w:tr w14:paraId="4D9A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00" w:type="pct"/>
                  <w:gridSpan w:val="5"/>
                  <w:tcBorders>
                    <w:top w:val="single" w:color="auto" w:sz="4" w:space="0"/>
                    <w:left w:val="single" w:color="auto" w:sz="4" w:space="0"/>
                    <w:bottom w:val="single" w:color="auto" w:sz="4" w:space="0"/>
                  </w:tcBorders>
                  <w:vAlign w:val="center"/>
                </w:tcPr>
                <w:p w14:paraId="17A26F76">
                  <w:pPr>
                    <w:kinsoku w:val="0"/>
                    <w:overflowPunct w:val="0"/>
                    <w:autoSpaceDE w:val="0"/>
                    <w:autoSpaceDN w:val="0"/>
                    <w:jc w:val="lef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三十、专用设备制造业 35</w:t>
                  </w:r>
                </w:p>
              </w:tc>
            </w:tr>
            <w:tr w14:paraId="67B8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622" w:type="pct"/>
                  <w:tcBorders>
                    <w:top w:val="single" w:color="auto" w:sz="4" w:space="0"/>
                    <w:left w:val="single" w:color="auto" w:sz="4" w:space="0"/>
                    <w:bottom w:val="single" w:color="auto" w:sz="4" w:space="0"/>
                    <w:right w:val="single" w:color="auto" w:sz="4" w:space="0"/>
                  </w:tcBorders>
                  <w:vAlign w:val="center"/>
                </w:tcPr>
                <w:p w14:paraId="43AFFCB1">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84</w:t>
                  </w:r>
                </w:p>
              </w:tc>
              <w:tc>
                <w:tcPr>
                  <w:tcW w:w="849" w:type="pct"/>
                  <w:tcBorders>
                    <w:top w:val="single" w:color="auto" w:sz="4" w:space="0"/>
                    <w:left w:val="single" w:color="auto" w:sz="4" w:space="0"/>
                    <w:bottom w:val="single" w:color="auto" w:sz="4" w:space="0"/>
                  </w:tcBorders>
                  <w:vAlign w:val="center"/>
                </w:tcPr>
                <w:p w14:paraId="517DEDF0">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采矿、冶金、建筑专用设备制造 351，化工、木材、非金属加工专用设备制造 352，食品、饮料、烟草及饲料生</w:t>
                  </w:r>
                  <w:r>
                    <w:rPr>
                      <w:rFonts w:hint="eastAsia" w:ascii="宋体" w:hAnsi="宋体" w:cs="宋体"/>
                      <w:color w:val="333333"/>
                      <w:szCs w:val="21"/>
                      <w:shd w:val="clear" w:color="auto" w:fill="FFFFFF"/>
                    </w:rPr>
                    <w:cr/>
                  </w:r>
                  <w:r>
                    <w:rPr>
                      <w:rFonts w:hint="eastAsia" w:ascii="宋体" w:hAnsi="宋体" w:cs="宋体"/>
                      <w:color w:val="333333"/>
                      <w:szCs w:val="21"/>
                      <w:shd w:val="clear" w:color="auto" w:fill="FFFFFF"/>
                    </w:rPr>
                    <w:t>产专用设备制造 353， 印刷、制药、日化及日用品生产专用设备制造 354，纺织、服装和皮革加工专用设备制造</w:t>
                  </w:r>
                  <w:r>
                    <w:rPr>
                      <w:rFonts w:hint="eastAsia" w:ascii="宋体" w:hAnsi="宋体" w:cs="宋体"/>
                      <w:color w:val="333333"/>
                      <w:szCs w:val="21"/>
                      <w:shd w:val="clear" w:color="auto" w:fill="FFFFFF"/>
                    </w:rPr>
                    <w:cr/>
                  </w:r>
                  <w:r>
                    <w:rPr>
                      <w:rFonts w:hint="eastAsia" w:ascii="宋体" w:hAnsi="宋体" w:cs="宋体"/>
                      <w:color w:val="333333"/>
                      <w:szCs w:val="21"/>
                      <w:shd w:val="clear" w:color="auto" w:fill="FFFFFF"/>
                    </w:rPr>
                    <w:t>355， 电子和电工机械专用设备制造356，农、林、牧、渔专用机械制造357， 医疗仪器设备及器械制造 358，环保、邮政、社会公共服务及其他专用设备制造 359</w:t>
                  </w:r>
                </w:p>
              </w:tc>
              <w:tc>
                <w:tcPr>
                  <w:tcW w:w="952" w:type="pct"/>
                  <w:tcBorders>
                    <w:top w:val="single" w:color="auto" w:sz="4" w:space="0"/>
                    <w:bottom w:val="single" w:color="auto" w:sz="4" w:space="0"/>
                  </w:tcBorders>
                  <w:vAlign w:val="center"/>
                </w:tcPr>
                <w:p w14:paraId="671DEFA5">
                  <w:pPr>
                    <w:widowControl/>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涉及通用工序重点管理的</w:t>
                  </w:r>
                </w:p>
              </w:tc>
              <w:tc>
                <w:tcPr>
                  <w:tcW w:w="1900" w:type="pct"/>
                  <w:tcBorders>
                    <w:top w:val="single" w:color="auto" w:sz="4" w:space="0"/>
                    <w:bottom w:val="single" w:color="auto" w:sz="4" w:space="0"/>
                  </w:tcBorders>
                  <w:vAlign w:val="center"/>
                </w:tcPr>
                <w:p w14:paraId="027F7685">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hd w:val="clear" w:color="auto" w:fill="FFFFFF"/>
                    </w:rPr>
                    <w:t>涉及通用工序简化管理的</w:t>
                  </w:r>
                </w:p>
              </w:tc>
              <w:tc>
                <w:tcPr>
                  <w:tcW w:w="679" w:type="pct"/>
                  <w:tcBorders>
                    <w:top w:val="single" w:color="auto" w:sz="4" w:space="0"/>
                    <w:bottom w:val="single" w:color="auto" w:sz="4" w:space="0"/>
                  </w:tcBorders>
                  <w:vAlign w:val="center"/>
                </w:tcPr>
                <w:p w14:paraId="6EF27D2B">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其他</w:t>
                  </w:r>
                </w:p>
              </w:tc>
            </w:tr>
          </w:tbl>
          <w:p w14:paraId="36685F17">
            <w:pPr>
              <w:pStyle w:val="52"/>
              <w:ind w:firstLine="422"/>
              <w:rPr>
                <w:rFonts w:ascii="Times New Roman"/>
                <w:b/>
                <w:bCs/>
                <w:color w:val="333333"/>
                <w:kern w:val="2"/>
                <w:sz w:val="21"/>
                <w:szCs w:val="21"/>
                <w:shd w:val="clear" w:color="auto" w:fill="FFFFFF"/>
              </w:rPr>
            </w:pPr>
          </w:p>
          <w:p w14:paraId="5D14D3C3">
            <w:pPr>
              <w:pStyle w:val="9"/>
              <w:spacing w:before="0" w:after="0" w:line="240" w:lineRule="auto"/>
              <w:ind w:right="0"/>
              <w:jc w:val="center"/>
              <w:rPr>
                <w:rFonts w:ascii="宋体" w:hAnsi="宋体" w:cs="宋体"/>
                <w:b/>
                <w:bCs/>
                <w:color w:val="333333"/>
                <w:kern w:val="2"/>
                <w:sz w:val="21"/>
                <w:szCs w:val="21"/>
                <w:shd w:val="clear" w:color="auto" w:fill="FFFFFF"/>
              </w:rPr>
            </w:pPr>
            <w:r>
              <w:rPr>
                <w:rFonts w:hint="eastAsia" w:ascii="宋体" w:hAnsi="宋体" w:cs="宋体"/>
                <w:b/>
                <w:bCs/>
                <w:color w:val="333333"/>
                <w:kern w:val="2"/>
                <w:sz w:val="21"/>
                <w:szCs w:val="21"/>
                <w:shd w:val="clear" w:color="auto" w:fill="FFFFFF"/>
              </w:rPr>
              <w:t>表2-4 固定污染源排污许可证分类管理名录（2019版）对照表（摘录）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055"/>
              <w:gridCol w:w="1821"/>
              <w:gridCol w:w="1821"/>
              <w:gridCol w:w="1665"/>
            </w:tblGrid>
            <w:tr w14:paraId="0859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843" w:type="pct"/>
                  <w:gridSpan w:val="2"/>
                  <w:vMerge w:val="restart"/>
                  <w:tcBorders>
                    <w:top w:val="single" w:color="auto" w:sz="4" w:space="0"/>
                    <w:left w:val="single" w:color="auto" w:sz="4" w:space="0"/>
                    <w:bottom w:val="single" w:color="auto" w:sz="4" w:space="0"/>
                    <w:tl2br w:val="single" w:color="auto" w:sz="4" w:space="0"/>
                  </w:tcBorders>
                  <w:vAlign w:val="center"/>
                </w:tcPr>
                <w:p w14:paraId="27963456">
                  <w:pPr>
                    <w:kinsoku w:val="0"/>
                    <w:overflowPunct w:val="0"/>
                    <w:autoSpaceDE w:val="0"/>
                    <w:autoSpaceDN w:val="0"/>
                    <w:jc w:val="righ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行业类别</w:t>
                  </w:r>
                </w:p>
                <w:p w14:paraId="486297F1">
                  <w:pPr>
                    <w:kinsoku w:val="0"/>
                    <w:overflowPunct w:val="0"/>
                    <w:autoSpaceDE w:val="0"/>
                    <w:autoSpaceDN w:val="0"/>
                    <w:jc w:val="lef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序号</w:t>
                  </w:r>
                </w:p>
              </w:tc>
              <w:tc>
                <w:tcPr>
                  <w:tcW w:w="3157" w:type="pct"/>
                  <w:gridSpan w:val="3"/>
                  <w:tcBorders>
                    <w:top w:val="single" w:color="auto" w:sz="4" w:space="0"/>
                    <w:bottom w:val="single" w:color="auto" w:sz="4" w:space="0"/>
                    <w:right w:val="single" w:color="auto" w:sz="4" w:space="0"/>
                  </w:tcBorders>
                  <w:vAlign w:val="center"/>
                </w:tcPr>
                <w:p w14:paraId="096BD1B8">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排污许可类别</w:t>
                  </w:r>
                </w:p>
              </w:tc>
            </w:tr>
            <w:tr w14:paraId="5C85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843" w:type="pct"/>
                  <w:gridSpan w:val="2"/>
                  <w:vMerge w:val="continue"/>
                  <w:tcBorders>
                    <w:left w:val="single" w:color="auto" w:sz="4" w:space="0"/>
                    <w:bottom w:val="single" w:color="auto" w:sz="4" w:space="0"/>
                    <w:tl2br w:val="single" w:color="auto" w:sz="4" w:space="0"/>
                  </w:tcBorders>
                  <w:vAlign w:val="center"/>
                </w:tcPr>
                <w:p w14:paraId="61F2D85F">
                  <w:pPr>
                    <w:kinsoku w:val="0"/>
                    <w:overflowPunct w:val="0"/>
                    <w:autoSpaceDE w:val="0"/>
                    <w:autoSpaceDN w:val="0"/>
                    <w:jc w:val="left"/>
                    <w:rPr>
                      <w:rFonts w:ascii="宋体" w:hAnsi="宋体" w:cs="宋体"/>
                      <w:b/>
                      <w:bCs/>
                      <w:color w:val="333333"/>
                      <w:szCs w:val="21"/>
                      <w:shd w:val="clear" w:color="auto" w:fill="FFFFFF"/>
                    </w:rPr>
                  </w:pPr>
                </w:p>
              </w:tc>
              <w:tc>
                <w:tcPr>
                  <w:tcW w:w="1083" w:type="pct"/>
                  <w:tcBorders>
                    <w:bottom w:val="single" w:color="auto" w:sz="4" w:space="0"/>
                  </w:tcBorders>
                  <w:vAlign w:val="center"/>
                </w:tcPr>
                <w:p w14:paraId="3C63A5BB">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重点管理</w:t>
                  </w:r>
                </w:p>
              </w:tc>
              <w:tc>
                <w:tcPr>
                  <w:tcW w:w="1083" w:type="pct"/>
                  <w:tcBorders>
                    <w:bottom w:val="single" w:color="auto" w:sz="4" w:space="0"/>
                  </w:tcBorders>
                  <w:vAlign w:val="center"/>
                </w:tcPr>
                <w:p w14:paraId="55D9BC04">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简化管理</w:t>
                  </w:r>
                </w:p>
              </w:tc>
              <w:tc>
                <w:tcPr>
                  <w:tcW w:w="990" w:type="pct"/>
                  <w:tcBorders>
                    <w:bottom w:val="single" w:color="auto" w:sz="4" w:space="0"/>
                  </w:tcBorders>
                  <w:vAlign w:val="center"/>
                </w:tcPr>
                <w:p w14:paraId="1D0ED16D">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登记管理</w:t>
                  </w:r>
                </w:p>
              </w:tc>
            </w:tr>
            <w:tr w14:paraId="39DE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00" w:type="pct"/>
                  <w:gridSpan w:val="5"/>
                  <w:tcBorders>
                    <w:top w:val="single" w:color="auto" w:sz="4" w:space="0"/>
                    <w:left w:val="single" w:color="auto" w:sz="4" w:space="0"/>
                    <w:bottom w:val="single" w:color="auto" w:sz="4" w:space="0"/>
                  </w:tcBorders>
                  <w:vAlign w:val="center"/>
                </w:tcPr>
                <w:p w14:paraId="7828374C">
                  <w:pPr>
                    <w:kinsoku w:val="0"/>
                    <w:overflowPunct w:val="0"/>
                    <w:autoSpaceDE w:val="0"/>
                    <w:autoSpaceDN w:val="0"/>
                    <w:jc w:val="lef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十二、纺织业17</w:t>
                  </w:r>
                </w:p>
              </w:tc>
            </w:tr>
            <w:tr w14:paraId="79F3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622" w:type="pct"/>
                  <w:tcBorders>
                    <w:top w:val="single" w:color="auto" w:sz="4" w:space="0"/>
                    <w:left w:val="single" w:color="auto" w:sz="4" w:space="0"/>
                    <w:bottom w:val="single" w:color="auto" w:sz="4" w:space="0"/>
                    <w:right w:val="single" w:color="auto" w:sz="4" w:space="0"/>
                  </w:tcBorders>
                  <w:vAlign w:val="center"/>
                </w:tcPr>
                <w:p w14:paraId="23413F61">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26</w:t>
                  </w:r>
                </w:p>
              </w:tc>
              <w:tc>
                <w:tcPr>
                  <w:tcW w:w="1222" w:type="pct"/>
                  <w:tcBorders>
                    <w:top w:val="single" w:color="auto" w:sz="4" w:space="0"/>
                    <w:left w:val="single" w:color="auto" w:sz="4" w:space="0"/>
                    <w:bottom w:val="single" w:color="auto" w:sz="4" w:space="0"/>
                  </w:tcBorders>
                  <w:vAlign w:val="center"/>
                </w:tcPr>
                <w:p w14:paraId="1929208A">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针织或钩针编织物及其制品制造 176,家用纺织制成品制造 177,产业用纺织制成品制造 178</w:t>
                  </w:r>
                </w:p>
              </w:tc>
              <w:tc>
                <w:tcPr>
                  <w:tcW w:w="1083" w:type="pct"/>
                  <w:tcBorders>
                    <w:top w:val="single" w:color="auto" w:sz="4" w:space="0"/>
                    <w:bottom w:val="single" w:color="auto" w:sz="4" w:space="0"/>
                  </w:tcBorders>
                  <w:vAlign w:val="center"/>
                </w:tcPr>
                <w:p w14:paraId="59D21FBA">
                  <w:pPr>
                    <w:widowControl/>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涉及通用工序重点管理的</w:t>
                  </w:r>
                </w:p>
              </w:tc>
              <w:tc>
                <w:tcPr>
                  <w:tcW w:w="1083" w:type="pct"/>
                  <w:tcBorders>
                    <w:top w:val="single" w:color="auto" w:sz="4" w:space="0"/>
                    <w:bottom w:val="single" w:color="auto" w:sz="4" w:space="0"/>
                  </w:tcBorders>
                  <w:vAlign w:val="center"/>
                </w:tcPr>
                <w:p w14:paraId="6D181B5A">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hd w:val="clear" w:color="auto" w:fill="FFFFFF"/>
                    </w:rPr>
                    <w:t>涉及通用工序简化管理的</w:t>
                  </w:r>
                </w:p>
              </w:tc>
              <w:tc>
                <w:tcPr>
                  <w:tcW w:w="990" w:type="pct"/>
                  <w:tcBorders>
                    <w:top w:val="single" w:color="auto" w:sz="4" w:space="0"/>
                    <w:bottom w:val="single" w:color="auto" w:sz="4" w:space="0"/>
                  </w:tcBorders>
                  <w:vAlign w:val="center"/>
                </w:tcPr>
                <w:p w14:paraId="50DE4467">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其他</w:t>
                  </w:r>
                  <w:r>
                    <w:rPr>
                      <w:rFonts w:ascii="宋体" w:hAnsi="宋体" w:cs="宋体"/>
                      <w:color w:val="333333"/>
                      <w:szCs w:val="21"/>
                      <w:shd w:val="clear" w:color="auto" w:fill="FFFFFF"/>
                    </w:rPr>
                    <w:t>*</w:t>
                  </w:r>
                </w:p>
              </w:tc>
            </w:tr>
          </w:tbl>
          <w:p w14:paraId="00C04827">
            <w:pPr>
              <w:pStyle w:val="9"/>
              <w:spacing w:before="0" w:after="0" w:line="240" w:lineRule="auto"/>
              <w:ind w:right="0"/>
              <w:jc w:val="center"/>
              <w:rPr>
                <w:rFonts w:ascii="宋体" w:hAnsi="宋体" w:cs="宋体"/>
                <w:b/>
                <w:bCs/>
                <w:color w:val="333333"/>
                <w:kern w:val="2"/>
                <w:sz w:val="21"/>
                <w:szCs w:val="21"/>
                <w:shd w:val="clear" w:color="auto" w:fill="FFFFFF"/>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055"/>
              <w:gridCol w:w="1821"/>
              <w:gridCol w:w="1821"/>
              <w:gridCol w:w="1665"/>
            </w:tblGrid>
            <w:tr w14:paraId="2AA3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844" w:type="pct"/>
                  <w:gridSpan w:val="2"/>
                  <w:vMerge w:val="restart"/>
                  <w:tcBorders>
                    <w:top w:val="single" w:color="auto" w:sz="4" w:space="0"/>
                    <w:left w:val="single" w:color="auto" w:sz="4" w:space="0"/>
                    <w:bottom w:val="single" w:color="auto" w:sz="4" w:space="0"/>
                    <w:tl2br w:val="single" w:color="auto" w:sz="4" w:space="0"/>
                  </w:tcBorders>
                  <w:vAlign w:val="center"/>
                </w:tcPr>
                <w:p w14:paraId="3C2AF753">
                  <w:pPr>
                    <w:kinsoku w:val="0"/>
                    <w:overflowPunct w:val="0"/>
                    <w:autoSpaceDE w:val="0"/>
                    <w:autoSpaceDN w:val="0"/>
                    <w:jc w:val="righ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行业类别</w:t>
                  </w:r>
                </w:p>
                <w:p w14:paraId="575EEDD6">
                  <w:pPr>
                    <w:kinsoku w:val="0"/>
                    <w:overflowPunct w:val="0"/>
                    <w:autoSpaceDE w:val="0"/>
                    <w:autoSpaceDN w:val="0"/>
                    <w:jc w:val="lef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序号</w:t>
                  </w:r>
                </w:p>
              </w:tc>
              <w:tc>
                <w:tcPr>
                  <w:tcW w:w="3156" w:type="pct"/>
                  <w:gridSpan w:val="3"/>
                  <w:tcBorders>
                    <w:top w:val="single" w:color="auto" w:sz="4" w:space="0"/>
                    <w:bottom w:val="single" w:color="auto" w:sz="4" w:space="0"/>
                    <w:right w:val="single" w:color="auto" w:sz="4" w:space="0"/>
                  </w:tcBorders>
                  <w:vAlign w:val="center"/>
                </w:tcPr>
                <w:p w14:paraId="6FD71DE8">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排污许可类别</w:t>
                  </w:r>
                </w:p>
              </w:tc>
            </w:tr>
            <w:tr w14:paraId="6A5A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844" w:type="pct"/>
                  <w:gridSpan w:val="2"/>
                  <w:vMerge w:val="continue"/>
                  <w:tcBorders>
                    <w:left w:val="single" w:color="auto" w:sz="4" w:space="0"/>
                    <w:bottom w:val="single" w:color="auto" w:sz="4" w:space="0"/>
                    <w:tl2br w:val="single" w:color="auto" w:sz="4" w:space="0"/>
                  </w:tcBorders>
                  <w:vAlign w:val="center"/>
                </w:tcPr>
                <w:p w14:paraId="512BF5E8">
                  <w:pPr>
                    <w:kinsoku w:val="0"/>
                    <w:overflowPunct w:val="0"/>
                    <w:autoSpaceDE w:val="0"/>
                    <w:autoSpaceDN w:val="0"/>
                    <w:jc w:val="left"/>
                    <w:rPr>
                      <w:rFonts w:ascii="宋体" w:hAnsi="宋体" w:cs="宋体"/>
                      <w:b/>
                      <w:bCs/>
                      <w:color w:val="333333"/>
                      <w:szCs w:val="21"/>
                      <w:shd w:val="clear" w:color="auto" w:fill="FFFFFF"/>
                    </w:rPr>
                  </w:pPr>
                </w:p>
              </w:tc>
              <w:tc>
                <w:tcPr>
                  <w:tcW w:w="1083" w:type="pct"/>
                  <w:tcBorders>
                    <w:bottom w:val="single" w:color="auto" w:sz="4" w:space="0"/>
                  </w:tcBorders>
                  <w:vAlign w:val="center"/>
                </w:tcPr>
                <w:p w14:paraId="1E859F0C">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重点管理</w:t>
                  </w:r>
                </w:p>
              </w:tc>
              <w:tc>
                <w:tcPr>
                  <w:tcW w:w="1083" w:type="pct"/>
                  <w:tcBorders>
                    <w:bottom w:val="single" w:color="auto" w:sz="4" w:space="0"/>
                  </w:tcBorders>
                  <w:vAlign w:val="center"/>
                </w:tcPr>
                <w:p w14:paraId="07335A11">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简化管理</w:t>
                  </w:r>
                </w:p>
              </w:tc>
              <w:tc>
                <w:tcPr>
                  <w:tcW w:w="990" w:type="pct"/>
                  <w:tcBorders>
                    <w:bottom w:val="single" w:color="auto" w:sz="4" w:space="0"/>
                  </w:tcBorders>
                  <w:vAlign w:val="center"/>
                </w:tcPr>
                <w:p w14:paraId="5812F552">
                  <w:pPr>
                    <w:kinsoku w:val="0"/>
                    <w:overflowPunct w:val="0"/>
                    <w:autoSpaceDE w:val="0"/>
                    <w:autoSpaceDN w:val="0"/>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登记管理</w:t>
                  </w:r>
                </w:p>
              </w:tc>
            </w:tr>
            <w:tr w14:paraId="7D96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00" w:type="pct"/>
                  <w:gridSpan w:val="5"/>
                  <w:tcBorders>
                    <w:top w:val="single" w:color="auto" w:sz="4" w:space="0"/>
                    <w:left w:val="single" w:color="auto" w:sz="4" w:space="0"/>
                    <w:bottom w:val="single" w:color="auto" w:sz="4" w:space="0"/>
                  </w:tcBorders>
                  <w:vAlign w:val="center"/>
                </w:tcPr>
                <w:p w14:paraId="232FD8A4">
                  <w:pPr>
                    <w:kinsoku w:val="0"/>
                    <w:overflowPunct w:val="0"/>
                    <w:autoSpaceDE w:val="0"/>
                    <w:autoSpaceDN w:val="0"/>
                    <w:jc w:val="left"/>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五十一、通用工序</w:t>
                  </w:r>
                </w:p>
              </w:tc>
            </w:tr>
            <w:tr w14:paraId="1A58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622" w:type="pct"/>
                  <w:tcBorders>
                    <w:top w:val="single" w:color="auto" w:sz="4" w:space="0"/>
                    <w:left w:val="single" w:color="auto" w:sz="4" w:space="0"/>
                    <w:bottom w:val="single" w:color="auto" w:sz="4" w:space="0"/>
                    <w:right w:val="single" w:color="auto" w:sz="4" w:space="0"/>
                  </w:tcBorders>
                  <w:vAlign w:val="center"/>
                </w:tcPr>
                <w:p w14:paraId="1C2F021F">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111</w:t>
                  </w:r>
                </w:p>
              </w:tc>
              <w:tc>
                <w:tcPr>
                  <w:tcW w:w="1222" w:type="pct"/>
                  <w:tcBorders>
                    <w:top w:val="single" w:color="auto" w:sz="4" w:space="0"/>
                    <w:left w:val="single" w:color="auto" w:sz="4" w:space="0"/>
                    <w:bottom w:val="single" w:color="auto" w:sz="4" w:space="0"/>
                  </w:tcBorders>
                  <w:vAlign w:val="center"/>
                </w:tcPr>
                <w:p w14:paraId="52711F06">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表面处理</w:t>
                  </w:r>
                </w:p>
              </w:tc>
              <w:tc>
                <w:tcPr>
                  <w:tcW w:w="1083" w:type="pct"/>
                  <w:tcBorders>
                    <w:top w:val="single" w:color="auto" w:sz="4" w:space="0"/>
                    <w:bottom w:val="single" w:color="auto" w:sz="4" w:space="0"/>
                  </w:tcBorders>
                  <w:vAlign w:val="center"/>
                </w:tcPr>
                <w:p w14:paraId="58C0191F">
                  <w:pPr>
                    <w:widowControl/>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纳入重点排污单位名录的</w:t>
                  </w:r>
                </w:p>
              </w:tc>
              <w:tc>
                <w:tcPr>
                  <w:tcW w:w="1083" w:type="pct"/>
                  <w:tcBorders>
                    <w:top w:val="single" w:color="auto" w:sz="4" w:space="0"/>
                    <w:bottom w:val="single" w:color="auto" w:sz="4" w:space="0"/>
                  </w:tcBorders>
                  <w:vAlign w:val="center"/>
                </w:tcPr>
                <w:p w14:paraId="5C90A256">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hd w:val="clear" w:color="auto" w:fill="FFFFFF"/>
                    </w:rPr>
                    <w:t>除纳入重点排污单位名录的，有电镀工序、酸洗、抛光（电解抛光和化学抛光）、热浸镀（溶剂法）、淬火或者钝化等工序的、年使用10吨及以上有机溶剂的</w:t>
                  </w:r>
                </w:p>
              </w:tc>
              <w:tc>
                <w:tcPr>
                  <w:tcW w:w="990" w:type="pct"/>
                  <w:tcBorders>
                    <w:top w:val="single" w:color="auto" w:sz="4" w:space="0"/>
                    <w:bottom w:val="single" w:color="auto" w:sz="4" w:space="0"/>
                  </w:tcBorders>
                  <w:vAlign w:val="center"/>
                </w:tcPr>
                <w:p w14:paraId="33B0A28C">
                  <w:pPr>
                    <w:kinsoku w:val="0"/>
                    <w:overflowPunct w:val="0"/>
                    <w:autoSpaceDE w:val="0"/>
                    <w:autoSpaceDN w:val="0"/>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其他</w:t>
                  </w:r>
                </w:p>
              </w:tc>
            </w:tr>
          </w:tbl>
          <w:p w14:paraId="22E110C2">
            <w:pPr>
              <w:pStyle w:val="9"/>
              <w:spacing w:before="0" w:after="0" w:line="240" w:lineRule="auto"/>
              <w:ind w:right="0"/>
              <w:jc w:val="center"/>
              <w:rPr>
                <w:rFonts w:ascii="宋体" w:hAnsi="宋体" w:cs="宋体"/>
                <w:b/>
                <w:bCs/>
                <w:color w:val="333333"/>
                <w:kern w:val="2"/>
                <w:sz w:val="21"/>
                <w:szCs w:val="21"/>
                <w:shd w:val="clear" w:color="auto" w:fill="FFFFFF"/>
              </w:rPr>
            </w:pPr>
          </w:p>
          <w:p w14:paraId="643A06D9">
            <w:pPr>
              <w:spacing w:line="500" w:lineRule="exact"/>
              <w:ind w:firstLine="482" w:firstLineChars="200"/>
              <w:rPr>
                <w:b/>
                <w:sz w:val="24"/>
              </w:rPr>
            </w:pPr>
            <w:r>
              <w:rPr>
                <w:b/>
                <w:sz w:val="24"/>
              </w:rPr>
              <w:t>2、项目建设内容</w:t>
            </w:r>
          </w:p>
          <w:p w14:paraId="2125A134">
            <w:pPr>
              <w:spacing w:line="500" w:lineRule="exact"/>
              <w:rPr>
                <w:color w:val="000000"/>
                <w:sz w:val="24"/>
              </w:rPr>
            </w:pPr>
            <w:r>
              <w:rPr>
                <w:rFonts w:hint="eastAsia"/>
              </w:rPr>
              <w:t xml:space="preserve">  </w:t>
            </w:r>
            <w:r>
              <w:rPr>
                <w:rFonts w:hint="eastAsia"/>
                <w:color w:val="000000"/>
                <w:sz w:val="24"/>
              </w:rPr>
              <w:t>本项目由主体工程、储运工程、公辅工程、环保工程组成，项目组成及主要建设内容见下表。</w:t>
            </w:r>
          </w:p>
          <w:p w14:paraId="3BA610B9">
            <w:pPr>
              <w:spacing w:line="500" w:lineRule="exact"/>
              <w:jc w:val="center"/>
              <w:rPr>
                <w:b/>
                <w:bCs/>
              </w:rPr>
            </w:pPr>
            <w:r>
              <w:rPr>
                <w:b/>
                <w:bCs/>
              </w:rPr>
              <w:t>表</w:t>
            </w:r>
            <w:r>
              <w:rPr>
                <w:rFonts w:hint="eastAsia"/>
                <w:b/>
                <w:bCs/>
              </w:rPr>
              <w:t>2-5</w:t>
            </w:r>
            <w:r>
              <w:rPr>
                <w:rFonts w:hint="eastAsia"/>
                <w:b/>
                <w:bCs/>
                <w:color w:val="000000"/>
                <w:szCs w:val="21"/>
              </w:rPr>
              <w:t>项目工程组成</w:t>
            </w:r>
            <w:r>
              <w:rPr>
                <w:b/>
                <w:bCs/>
              </w:rPr>
              <w:t>一览表</w:t>
            </w:r>
          </w:p>
          <w:tbl>
            <w:tblPr>
              <w:tblStyle w:val="22"/>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1620"/>
              <w:gridCol w:w="5151"/>
            </w:tblGrid>
            <w:tr w14:paraId="66CE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Align w:val="center"/>
                </w:tcPr>
                <w:p w14:paraId="6CDC51F6">
                  <w:pPr>
                    <w:adjustRightInd w:val="0"/>
                    <w:snapToGrid w:val="0"/>
                    <w:jc w:val="center"/>
                    <w:rPr>
                      <w:rFonts w:ascii="宋体" w:hAnsi="宋体" w:cs="宋体"/>
                      <w:b/>
                      <w:bCs/>
                      <w:szCs w:val="21"/>
                    </w:rPr>
                  </w:pPr>
                  <w:r>
                    <w:rPr>
                      <w:rFonts w:hint="eastAsia" w:ascii="宋体" w:hAnsi="宋体" w:cs="宋体"/>
                      <w:b/>
                      <w:bCs/>
                      <w:szCs w:val="21"/>
                    </w:rPr>
                    <w:t>类别</w:t>
                  </w:r>
                </w:p>
              </w:tc>
              <w:tc>
                <w:tcPr>
                  <w:tcW w:w="1620" w:type="dxa"/>
                  <w:vAlign w:val="center"/>
                </w:tcPr>
                <w:p w14:paraId="5B413284">
                  <w:pPr>
                    <w:adjustRightInd w:val="0"/>
                    <w:snapToGrid w:val="0"/>
                    <w:jc w:val="center"/>
                    <w:rPr>
                      <w:rFonts w:ascii="宋体" w:hAnsi="宋体" w:cs="宋体"/>
                      <w:b/>
                      <w:bCs/>
                      <w:szCs w:val="21"/>
                    </w:rPr>
                  </w:pPr>
                  <w:r>
                    <w:rPr>
                      <w:rFonts w:hint="eastAsia" w:ascii="宋体" w:hAnsi="宋体" w:cs="宋体"/>
                      <w:b/>
                      <w:bCs/>
                      <w:szCs w:val="21"/>
                    </w:rPr>
                    <w:t>名称</w:t>
                  </w:r>
                </w:p>
              </w:tc>
              <w:tc>
                <w:tcPr>
                  <w:tcW w:w="5151" w:type="dxa"/>
                  <w:vAlign w:val="center"/>
                </w:tcPr>
                <w:p w14:paraId="6F3BDE5F">
                  <w:pPr>
                    <w:adjustRightInd w:val="0"/>
                    <w:snapToGrid w:val="0"/>
                    <w:jc w:val="center"/>
                    <w:rPr>
                      <w:rFonts w:ascii="宋体" w:hAnsi="宋体" w:cs="宋体"/>
                      <w:b/>
                      <w:bCs/>
                      <w:szCs w:val="21"/>
                    </w:rPr>
                  </w:pPr>
                  <w:r>
                    <w:rPr>
                      <w:rFonts w:hint="eastAsia" w:ascii="宋体" w:hAnsi="宋体" w:cs="宋体"/>
                      <w:b/>
                      <w:bCs/>
                      <w:szCs w:val="21"/>
                    </w:rPr>
                    <w:t>主要建设内容</w:t>
                  </w:r>
                </w:p>
              </w:tc>
            </w:tr>
            <w:tr w14:paraId="7A04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1645" w:type="dxa"/>
                  <w:vAlign w:val="center"/>
                </w:tcPr>
                <w:p w14:paraId="28E8034C">
                  <w:pPr>
                    <w:adjustRightInd w:val="0"/>
                    <w:snapToGrid w:val="0"/>
                    <w:jc w:val="center"/>
                    <w:rPr>
                      <w:rFonts w:ascii="宋体" w:hAnsi="宋体" w:cs="宋体"/>
                      <w:szCs w:val="21"/>
                    </w:rPr>
                  </w:pPr>
                  <w:r>
                    <w:rPr>
                      <w:rFonts w:hint="eastAsia" w:ascii="宋体" w:hAnsi="宋体" w:cs="宋体"/>
                      <w:szCs w:val="21"/>
                    </w:rPr>
                    <w:t>主体工程</w:t>
                  </w:r>
                </w:p>
              </w:tc>
              <w:tc>
                <w:tcPr>
                  <w:tcW w:w="1620" w:type="dxa"/>
                  <w:vAlign w:val="center"/>
                </w:tcPr>
                <w:p w14:paraId="67D34097">
                  <w:pPr>
                    <w:adjustRightInd w:val="0"/>
                    <w:snapToGrid w:val="0"/>
                    <w:jc w:val="center"/>
                    <w:rPr>
                      <w:rFonts w:ascii="宋体" w:hAnsi="宋体" w:cs="宋体"/>
                      <w:szCs w:val="21"/>
                    </w:rPr>
                  </w:pPr>
                  <w:r>
                    <w:rPr>
                      <w:rFonts w:hint="eastAsia" w:ascii="宋体" w:hAnsi="宋体" w:cs="宋体"/>
                      <w:szCs w:val="21"/>
                    </w:rPr>
                    <w:t>生产车间</w:t>
                  </w:r>
                </w:p>
              </w:tc>
              <w:tc>
                <w:tcPr>
                  <w:tcW w:w="5151" w:type="dxa"/>
                  <w:vAlign w:val="center"/>
                </w:tcPr>
                <w:p w14:paraId="51612BAC">
                  <w:pPr>
                    <w:adjustRightInd w:val="0"/>
                    <w:snapToGrid w:val="0"/>
                    <w:jc w:val="left"/>
                    <w:rPr>
                      <w:rFonts w:ascii="宋体" w:hAnsi="宋体" w:cs="宋体"/>
                      <w:szCs w:val="21"/>
                    </w:rPr>
                  </w:pPr>
                  <w:r>
                    <w:rPr>
                      <w:rFonts w:hint="eastAsia" w:ascii="宋体" w:hAnsi="宋体" w:cs="宋体"/>
                      <w:szCs w:val="21"/>
                    </w:rPr>
                    <w:t>新建厂房2栋。</w:t>
                  </w:r>
                </w:p>
                <w:p w14:paraId="2E61D3B9">
                  <w:pPr>
                    <w:adjustRightInd w:val="0"/>
                    <w:snapToGrid w:val="0"/>
                    <w:jc w:val="left"/>
                    <w:rPr>
                      <w:rFonts w:ascii="宋体" w:hAnsi="宋体" w:cs="宋体"/>
                      <w:szCs w:val="21"/>
                    </w:rPr>
                  </w:pPr>
                  <w:r>
                    <w:rPr>
                      <w:rFonts w:hint="eastAsia" w:ascii="宋体" w:hAnsi="宋体" w:cs="宋体"/>
                      <w:szCs w:val="21"/>
                    </w:rPr>
                    <w:t>新建15条完整的环保设备流水线。</w:t>
                  </w:r>
                </w:p>
              </w:tc>
            </w:tr>
            <w:tr w14:paraId="0D9E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645" w:type="dxa"/>
                  <w:vMerge w:val="restart"/>
                  <w:vAlign w:val="center"/>
                </w:tcPr>
                <w:p w14:paraId="0C11B41E">
                  <w:pPr>
                    <w:adjustRightInd w:val="0"/>
                    <w:snapToGrid w:val="0"/>
                    <w:jc w:val="center"/>
                    <w:rPr>
                      <w:rFonts w:ascii="宋体" w:hAnsi="宋体" w:cs="宋体"/>
                      <w:szCs w:val="21"/>
                    </w:rPr>
                  </w:pPr>
                  <w:r>
                    <w:rPr>
                      <w:rFonts w:hint="eastAsia" w:ascii="宋体" w:hAnsi="宋体" w:cs="宋体"/>
                      <w:szCs w:val="21"/>
                    </w:rPr>
                    <w:t>储运工程</w:t>
                  </w:r>
                </w:p>
              </w:tc>
              <w:tc>
                <w:tcPr>
                  <w:tcW w:w="1620" w:type="dxa"/>
                  <w:vAlign w:val="center"/>
                </w:tcPr>
                <w:p w14:paraId="1E3794E1">
                  <w:pPr>
                    <w:widowControl/>
                    <w:jc w:val="center"/>
                    <w:rPr>
                      <w:rFonts w:ascii="宋体" w:hAnsi="宋体" w:cs="宋体"/>
                      <w:szCs w:val="21"/>
                    </w:rPr>
                  </w:pPr>
                  <w:r>
                    <w:rPr>
                      <w:rFonts w:ascii="瀹嬩綋" w:hAnsi="瀹嬩綋" w:eastAsia="瀹嬩綋" w:cs="瀹嬩綋"/>
                      <w:color w:val="000000"/>
                      <w:kern w:val="0"/>
                      <w:szCs w:val="21"/>
                      <w:lang w:bidi="ar"/>
                    </w:rPr>
                    <w:t>仓库</w:t>
                  </w:r>
                </w:p>
              </w:tc>
              <w:tc>
                <w:tcPr>
                  <w:tcW w:w="5151" w:type="dxa"/>
                  <w:vAlign w:val="center"/>
                </w:tcPr>
                <w:p w14:paraId="55573522">
                  <w:pPr>
                    <w:widowControl/>
                    <w:jc w:val="left"/>
                    <w:rPr>
                      <w:rFonts w:ascii="宋体" w:hAnsi="宋体" w:cs="宋体"/>
                      <w:szCs w:val="21"/>
                    </w:rPr>
                  </w:pPr>
                  <w:r>
                    <w:rPr>
                      <w:rFonts w:hint="eastAsia" w:ascii="瀹嬩綋" w:hAnsi="瀹嬩綋" w:eastAsia="瀹嬩綋" w:cs="瀹嬩綋"/>
                      <w:color w:val="000000"/>
                      <w:kern w:val="0"/>
                      <w:szCs w:val="21"/>
                      <w:lang w:bidi="ar"/>
                    </w:rPr>
                    <w:t>新建仓库</w:t>
                  </w:r>
                  <w:r>
                    <w:rPr>
                      <w:rFonts w:ascii="瀹嬩綋" w:hAnsi="瀹嬩綋" w:eastAsia="瀹嬩綋" w:cs="瀹嬩綋"/>
                      <w:color w:val="000000"/>
                      <w:kern w:val="0"/>
                      <w:szCs w:val="21"/>
                      <w:lang w:bidi="ar"/>
                    </w:rPr>
                    <w:t>分为成品仓库、原材料仓库、来料检验室、仓库办公室</w:t>
                  </w:r>
                  <w:r>
                    <w:rPr>
                      <w:rFonts w:hint="eastAsia" w:ascii="瀹嬩綋" w:hAnsi="瀹嬩綋" w:eastAsia="瀹嬩綋" w:cs="瀹嬩綋"/>
                      <w:color w:val="000000"/>
                      <w:kern w:val="0"/>
                      <w:szCs w:val="21"/>
                      <w:lang w:bidi="ar"/>
                    </w:rPr>
                    <w:t>。</w:t>
                  </w:r>
                </w:p>
              </w:tc>
            </w:tr>
            <w:tr w14:paraId="4BAF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645" w:type="dxa"/>
                  <w:vMerge w:val="continue"/>
                  <w:vAlign w:val="center"/>
                </w:tcPr>
                <w:p w14:paraId="09E7E76C">
                  <w:pPr>
                    <w:adjustRightInd w:val="0"/>
                    <w:snapToGrid w:val="0"/>
                    <w:jc w:val="center"/>
                  </w:pPr>
                </w:p>
              </w:tc>
              <w:tc>
                <w:tcPr>
                  <w:tcW w:w="1620" w:type="dxa"/>
                  <w:vAlign w:val="center"/>
                </w:tcPr>
                <w:p w14:paraId="20A5DFB2">
                  <w:pPr>
                    <w:widowControl/>
                    <w:jc w:val="center"/>
                    <w:rPr>
                      <w:rFonts w:ascii="宋体" w:hAnsi="宋体" w:cs="宋体"/>
                      <w:szCs w:val="21"/>
                    </w:rPr>
                  </w:pPr>
                  <w:r>
                    <w:rPr>
                      <w:rFonts w:ascii="瀹嬩綋" w:hAnsi="瀹嬩綋" w:eastAsia="瀹嬩綋" w:cs="瀹嬩綋"/>
                      <w:color w:val="000000"/>
                      <w:kern w:val="0"/>
                      <w:szCs w:val="21"/>
                      <w:lang w:bidi="ar"/>
                    </w:rPr>
                    <w:t>化学品房</w:t>
                  </w:r>
                </w:p>
              </w:tc>
              <w:tc>
                <w:tcPr>
                  <w:tcW w:w="5151" w:type="dxa"/>
                  <w:vAlign w:val="center"/>
                </w:tcPr>
                <w:p w14:paraId="168371C1">
                  <w:pPr>
                    <w:widowControl/>
                    <w:jc w:val="left"/>
                    <w:rPr>
                      <w:rFonts w:ascii="宋体" w:hAnsi="宋体" w:cs="宋体"/>
                      <w:szCs w:val="21"/>
                    </w:rPr>
                  </w:pPr>
                  <w:r>
                    <w:rPr>
                      <w:rFonts w:ascii="瀹嬩綋" w:hAnsi="瀹嬩綋" w:eastAsia="瀹嬩綋" w:cs="瀹嬩綋"/>
                      <w:color w:val="000000"/>
                      <w:kern w:val="0"/>
                      <w:szCs w:val="21"/>
                      <w:lang w:bidi="ar"/>
                    </w:rPr>
                    <w:t>主要用于存放酒精、</w:t>
                  </w:r>
                  <w:r>
                    <w:rPr>
                      <w:rFonts w:hint="eastAsia" w:ascii="宋体" w:hAnsi="宋体" w:cs="宋体"/>
                      <w:color w:val="000000"/>
                      <w:kern w:val="0"/>
                      <w:szCs w:val="21"/>
                      <w:lang w:bidi="ar"/>
                    </w:rPr>
                    <w:t>粘</w:t>
                  </w:r>
                  <w:r>
                    <w:rPr>
                      <w:rFonts w:ascii="瀹嬩綋" w:hAnsi="瀹嬩綋" w:eastAsia="瀹嬩綋" w:cs="瀹嬩綋"/>
                      <w:color w:val="000000"/>
                      <w:kern w:val="0"/>
                      <w:szCs w:val="21"/>
                      <w:lang w:bidi="ar"/>
                    </w:rPr>
                    <w:t>黏剂、</w:t>
                  </w:r>
                  <w:r>
                    <w:rPr>
                      <w:rFonts w:hint="eastAsia" w:ascii="宋体" w:hAnsi="宋体" w:cs="宋体"/>
                      <w:color w:val="000000"/>
                      <w:kern w:val="0"/>
                      <w:szCs w:val="21"/>
                      <w:lang w:bidi="ar"/>
                    </w:rPr>
                    <w:t>自喷漆</w:t>
                  </w:r>
                  <w:r>
                    <w:rPr>
                      <w:rFonts w:ascii="瀹嬩綋" w:hAnsi="瀹嬩綋" w:eastAsia="瀹嬩綋" w:cs="瀹嬩綋"/>
                      <w:color w:val="000000"/>
                      <w:kern w:val="0"/>
                      <w:szCs w:val="21"/>
                      <w:lang w:bidi="ar"/>
                    </w:rPr>
                    <w:t>等化学品。</w:t>
                  </w:r>
                </w:p>
              </w:tc>
            </w:tr>
            <w:tr w14:paraId="5E2A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645" w:type="dxa"/>
                  <w:vMerge w:val="restart"/>
                  <w:vAlign w:val="center"/>
                </w:tcPr>
                <w:p w14:paraId="2EADA0D2">
                  <w:pPr>
                    <w:adjustRightInd w:val="0"/>
                    <w:snapToGrid w:val="0"/>
                    <w:jc w:val="center"/>
                    <w:rPr>
                      <w:rFonts w:ascii="宋体" w:hAnsi="宋体" w:cs="宋体"/>
                      <w:szCs w:val="21"/>
                    </w:rPr>
                  </w:pPr>
                  <w:r>
                    <w:rPr>
                      <w:rFonts w:hint="eastAsia" w:ascii="宋体" w:hAnsi="宋体" w:cs="宋体"/>
                      <w:szCs w:val="21"/>
                    </w:rPr>
                    <w:t>辅助工程</w:t>
                  </w:r>
                </w:p>
              </w:tc>
              <w:tc>
                <w:tcPr>
                  <w:tcW w:w="1620" w:type="dxa"/>
                  <w:vAlign w:val="center"/>
                </w:tcPr>
                <w:p w14:paraId="55FF62D7">
                  <w:pPr>
                    <w:adjustRightInd w:val="0"/>
                    <w:snapToGrid w:val="0"/>
                    <w:jc w:val="center"/>
                    <w:rPr>
                      <w:rFonts w:ascii="宋体" w:hAnsi="宋体" w:cs="宋体"/>
                      <w:szCs w:val="21"/>
                    </w:rPr>
                  </w:pPr>
                  <w:r>
                    <w:rPr>
                      <w:rFonts w:hint="eastAsia" w:ascii="宋体" w:hAnsi="宋体" w:cs="宋体"/>
                      <w:szCs w:val="21"/>
                    </w:rPr>
                    <w:t>办公区</w:t>
                  </w:r>
                </w:p>
              </w:tc>
              <w:tc>
                <w:tcPr>
                  <w:tcW w:w="5151" w:type="dxa"/>
                  <w:vAlign w:val="center"/>
                </w:tcPr>
                <w:p w14:paraId="417FC80B">
                  <w:pPr>
                    <w:adjustRightInd w:val="0"/>
                    <w:snapToGrid w:val="0"/>
                    <w:jc w:val="center"/>
                    <w:rPr>
                      <w:rFonts w:ascii="宋体" w:hAnsi="宋体" w:cs="宋体"/>
                      <w:szCs w:val="21"/>
                    </w:rPr>
                  </w:pPr>
                  <w:r>
                    <w:rPr>
                      <w:rFonts w:hint="eastAsia" w:ascii="宋体" w:hAnsi="宋体" w:cs="宋体"/>
                      <w:szCs w:val="21"/>
                    </w:rPr>
                    <w:t xml:space="preserve">位于1#厂房                                   </w:t>
                  </w:r>
                </w:p>
              </w:tc>
            </w:tr>
            <w:tr w14:paraId="211B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645" w:type="dxa"/>
                  <w:vMerge w:val="continue"/>
                  <w:vAlign w:val="center"/>
                </w:tcPr>
                <w:p w14:paraId="11B754E2">
                  <w:pPr>
                    <w:adjustRightInd w:val="0"/>
                    <w:snapToGrid w:val="0"/>
                    <w:jc w:val="center"/>
                  </w:pPr>
                </w:p>
              </w:tc>
              <w:tc>
                <w:tcPr>
                  <w:tcW w:w="1620" w:type="dxa"/>
                  <w:vAlign w:val="center"/>
                </w:tcPr>
                <w:p w14:paraId="4140235D">
                  <w:pPr>
                    <w:adjustRightInd w:val="0"/>
                    <w:snapToGrid w:val="0"/>
                    <w:jc w:val="center"/>
                    <w:rPr>
                      <w:rFonts w:ascii="宋体" w:hAnsi="宋体" w:cs="宋体"/>
                      <w:szCs w:val="21"/>
                    </w:rPr>
                  </w:pPr>
                  <w:r>
                    <w:rPr>
                      <w:rFonts w:hint="eastAsia" w:ascii="宋体" w:hAnsi="宋体" w:cs="宋体"/>
                      <w:szCs w:val="21"/>
                    </w:rPr>
                    <w:t>样品调试区</w:t>
                  </w:r>
                </w:p>
              </w:tc>
              <w:tc>
                <w:tcPr>
                  <w:tcW w:w="5151" w:type="dxa"/>
                  <w:vAlign w:val="center"/>
                </w:tcPr>
                <w:p w14:paraId="549988A4">
                  <w:pPr>
                    <w:adjustRightInd w:val="0"/>
                    <w:snapToGrid w:val="0"/>
                    <w:jc w:val="center"/>
                    <w:rPr>
                      <w:rFonts w:ascii="宋体" w:hAnsi="宋体" w:cs="宋体"/>
                      <w:szCs w:val="21"/>
                    </w:rPr>
                  </w:pPr>
                  <w:r>
                    <w:rPr>
                      <w:rFonts w:hint="eastAsia" w:ascii="宋体" w:hAnsi="宋体" w:cs="宋体"/>
                      <w:szCs w:val="21"/>
                    </w:rPr>
                    <w:t>1#厂房</w:t>
                  </w:r>
                </w:p>
              </w:tc>
            </w:tr>
            <w:tr w14:paraId="396B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645" w:type="dxa"/>
                  <w:vMerge w:val="continue"/>
                  <w:vAlign w:val="center"/>
                </w:tcPr>
                <w:p w14:paraId="451EECCD">
                  <w:pPr>
                    <w:adjustRightInd w:val="0"/>
                    <w:snapToGrid w:val="0"/>
                    <w:jc w:val="center"/>
                    <w:rPr>
                      <w:rFonts w:ascii="宋体" w:hAnsi="宋体" w:cs="宋体"/>
                      <w:szCs w:val="21"/>
                    </w:rPr>
                  </w:pPr>
                </w:p>
              </w:tc>
              <w:tc>
                <w:tcPr>
                  <w:tcW w:w="1620" w:type="dxa"/>
                  <w:vAlign w:val="center"/>
                </w:tcPr>
                <w:p w14:paraId="4E6F446C">
                  <w:pPr>
                    <w:adjustRightInd w:val="0"/>
                    <w:snapToGrid w:val="0"/>
                    <w:jc w:val="center"/>
                    <w:rPr>
                      <w:rFonts w:ascii="宋体" w:hAnsi="宋体" w:cs="宋体"/>
                      <w:szCs w:val="21"/>
                    </w:rPr>
                  </w:pPr>
                  <w:r>
                    <w:rPr>
                      <w:rFonts w:hint="eastAsia" w:ascii="宋体" w:hAnsi="宋体" w:cs="宋体"/>
                      <w:szCs w:val="21"/>
                    </w:rPr>
                    <w:t>QA房</w:t>
                  </w:r>
                </w:p>
              </w:tc>
              <w:tc>
                <w:tcPr>
                  <w:tcW w:w="5151" w:type="dxa"/>
                  <w:vAlign w:val="center"/>
                </w:tcPr>
                <w:p w14:paraId="1DA0B5CF">
                  <w:pPr>
                    <w:adjustRightInd w:val="0"/>
                    <w:snapToGrid w:val="0"/>
                    <w:jc w:val="center"/>
                    <w:rPr>
                      <w:rFonts w:ascii="宋体" w:hAnsi="宋体" w:cs="宋体"/>
                      <w:szCs w:val="21"/>
                    </w:rPr>
                  </w:pPr>
                  <w:r>
                    <w:rPr>
                      <w:rFonts w:hint="eastAsia" w:ascii="宋体" w:hAnsi="宋体" w:cs="宋体"/>
                      <w:szCs w:val="21"/>
                    </w:rPr>
                    <w:t>1#厂房</w:t>
                  </w:r>
                </w:p>
              </w:tc>
            </w:tr>
            <w:tr w14:paraId="3D32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45" w:type="dxa"/>
                  <w:vMerge w:val="restart"/>
                  <w:vAlign w:val="center"/>
                </w:tcPr>
                <w:p w14:paraId="6C1EE865">
                  <w:pPr>
                    <w:adjustRightInd w:val="0"/>
                    <w:snapToGrid w:val="0"/>
                    <w:jc w:val="center"/>
                    <w:rPr>
                      <w:rFonts w:ascii="宋体" w:hAnsi="宋体" w:cs="宋体"/>
                      <w:szCs w:val="21"/>
                    </w:rPr>
                  </w:pPr>
                  <w:r>
                    <w:rPr>
                      <w:rFonts w:hint="eastAsia" w:ascii="宋体" w:hAnsi="宋体" w:cs="宋体"/>
                      <w:szCs w:val="21"/>
                    </w:rPr>
                    <w:t>公用工程</w:t>
                  </w:r>
                </w:p>
              </w:tc>
              <w:tc>
                <w:tcPr>
                  <w:tcW w:w="1620" w:type="dxa"/>
                  <w:vAlign w:val="center"/>
                </w:tcPr>
                <w:p w14:paraId="78C6614D">
                  <w:pPr>
                    <w:adjustRightInd w:val="0"/>
                    <w:snapToGrid w:val="0"/>
                    <w:jc w:val="center"/>
                    <w:rPr>
                      <w:rFonts w:ascii="宋体" w:hAnsi="宋体" w:cs="宋体"/>
                      <w:szCs w:val="21"/>
                    </w:rPr>
                  </w:pPr>
                  <w:r>
                    <w:rPr>
                      <w:rFonts w:hint="eastAsia" w:ascii="宋体" w:hAnsi="宋体" w:cs="宋体"/>
                      <w:szCs w:val="21"/>
                    </w:rPr>
                    <w:t>供电工程</w:t>
                  </w:r>
                </w:p>
              </w:tc>
              <w:tc>
                <w:tcPr>
                  <w:tcW w:w="5151" w:type="dxa"/>
                </w:tcPr>
                <w:p w14:paraId="6D8FB57D">
                  <w:pPr>
                    <w:widowControl/>
                    <w:jc w:val="left"/>
                    <w:rPr>
                      <w:rFonts w:ascii="宋体" w:hAnsi="宋体" w:cs="宋体"/>
                      <w:szCs w:val="21"/>
                    </w:rPr>
                  </w:pPr>
                  <w:r>
                    <w:rPr>
                      <w:rFonts w:ascii="瀹嬩綋" w:hAnsi="瀹嬩綋" w:eastAsia="瀹嬩綋" w:cs="瀹嬩綋"/>
                      <w:color w:val="000000"/>
                      <w:kern w:val="0"/>
                      <w:szCs w:val="21"/>
                      <w:lang w:bidi="ar"/>
                    </w:rPr>
                    <w:t>依托市政电网供电</w:t>
                  </w:r>
                </w:p>
              </w:tc>
            </w:tr>
            <w:tr w14:paraId="7AF9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645" w:type="dxa"/>
                  <w:vMerge w:val="continue"/>
                  <w:vAlign w:val="center"/>
                </w:tcPr>
                <w:p w14:paraId="547069F4">
                  <w:pPr>
                    <w:adjustRightInd w:val="0"/>
                    <w:snapToGrid w:val="0"/>
                    <w:jc w:val="center"/>
                  </w:pPr>
                </w:p>
              </w:tc>
              <w:tc>
                <w:tcPr>
                  <w:tcW w:w="1620" w:type="dxa"/>
                  <w:vAlign w:val="center"/>
                </w:tcPr>
                <w:p w14:paraId="779DA162">
                  <w:pPr>
                    <w:adjustRightInd w:val="0"/>
                    <w:snapToGrid w:val="0"/>
                    <w:jc w:val="center"/>
                    <w:rPr>
                      <w:rFonts w:ascii="宋体" w:hAnsi="宋体" w:cs="宋体"/>
                      <w:szCs w:val="21"/>
                    </w:rPr>
                  </w:pPr>
                  <w:r>
                    <w:rPr>
                      <w:rFonts w:hint="eastAsia" w:ascii="宋体" w:hAnsi="宋体" w:cs="宋体"/>
                      <w:szCs w:val="21"/>
                    </w:rPr>
                    <w:t>供水工程</w:t>
                  </w:r>
                </w:p>
              </w:tc>
              <w:tc>
                <w:tcPr>
                  <w:tcW w:w="5151" w:type="dxa"/>
                </w:tcPr>
                <w:p w14:paraId="75453472">
                  <w:pPr>
                    <w:widowControl/>
                    <w:jc w:val="left"/>
                    <w:rPr>
                      <w:rFonts w:ascii="宋体" w:hAnsi="宋体" w:cs="宋体"/>
                      <w:szCs w:val="21"/>
                    </w:rPr>
                  </w:pPr>
                  <w:r>
                    <w:rPr>
                      <w:rFonts w:ascii="瀹嬩綋" w:hAnsi="瀹嬩綋" w:eastAsia="瀹嬩綋" w:cs="瀹嬩綋"/>
                      <w:color w:val="000000"/>
                      <w:kern w:val="0"/>
                      <w:szCs w:val="21"/>
                      <w:lang w:bidi="ar"/>
                    </w:rPr>
                    <w:t xml:space="preserve">依托市政供水网供水 </w:t>
                  </w:r>
                </w:p>
              </w:tc>
            </w:tr>
            <w:tr w14:paraId="4E43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645" w:type="dxa"/>
                  <w:vMerge w:val="continue"/>
                  <w:vAlign w:val="center"/>
                </w:tcPr>
                <w:p w14:paraId="5EFBE168">
                  <w:pPr>
                    <w:adjustRightInd w:val="0"/>
                    <w:snapToGrid w:val="0"/>
                    <w:jc w:val="center"/>
                    <w:rPr>
                      <w:rFonts w:ascii="宋体" w:hAnsi="宋体" w:cs="宋体"/>
                      <w:szCs w:val="21"/>
                    </w:rPr>
                  </w:pPr>
                </w:p>
              </w:tc>
              <w:tc>
                <w:tcPr>
                  <w:tcW w:w="1620" w:type="dxa"/>
                  <w:vAlign w:val="center"/>
                </w:tcPr>
                <w:p w14:paraId="00034A25">
                  <w:pPr>
                    <w:widowControl/>
                    <w:jc w:val="center"/>
                    <w:rPr>
                      <w:rFonts w:ascii="宋体" w:hAnsi="宋体" w:cs="宋体"/>
                      <w:szCs w:val="21"/>
                    </w:rPr>
                  </w:pPr>
                  <w:r>
                    <w:rPr>
                      <w:rFonts w:ascii="瀹嬩綋" w:hAnsi="瀹嬩綋" w:eastAsia="瀹嬩綋" w:cs="瀹嬩綋"/>
                      <w:color w:val="000000"/>
                      <w:kern w:val="0"/>
                      <w:szCs w:val="21"/>
                      <w:lang w:bidi="ar"/>
                    </w:rPr>
                    <w:t>排水工程</w:t>
                  </w:r>
                </w:p>
              </w:tc>
              <w:tc>
                <w:tcPr>
                  <w:tcW w:w="5151" w:type="dxa"/>
                </w:tcPr>
                <w:p w14:paraId="19402E7B">
                  <w:pPr>
                    <w:widowControl/>
                    <w:jc w:val="left"/>
                    <w:rPr>
                      <w:rFonts w:ascii="宋体" w:hAnsi="宋体" w:cs="宋体"/>
                      <w:szCs w:val="21"/>
                    </w:rPr>
                  </w:pPr>
                  <w:r>
                    <w:rPr>
                      <w:rFonts w:hint="eastAsia"/>
                      <w:bCs/>
                      <w:szCs w:val="21"/>
                      <w:lang w:bidi="ar"/>
                    </w:rPr>
                    <w:t>项目采用雨污分流制；</w:t>
                  </w:r>
                  <w:r>
                    <w:rPr>
                      <w:bCs/>
                      <w:szCs w:val="21"/>
                      <w:lang w:bidi="ar"/>
                    </w:rPr>
                    <w:t>生活污水</w:t>
                  </w:r>
                  <w:r>
                    <w:rPr>
                      <w:rFonts w:hint="eastAsia"/>
                      <w:bCs/>
                      <w:szCs w:val="21"/>
                      <w:lang w:bidi="ar"/>
                    </w:rPr>
                    <w:t>经化粪池预处理后经开发区污水管网纳入开发区污水处理厂处理；</w:t>
                  </w:r>
                </w:p>
              </w:tc>
            </w:tr>
            <w:tr w14:paraId="6891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5" w:type="dxa"/>
                  <w:vMerge w:val="restart"/>
                  <w:vAlign w:val="center"/>
                </w:tcPr>
                <w:p w14:paraId="1F99D06C">
                  <w:pPr>
                    <w:adjustRightInd w:val="0"/>
                    <w:snapToGrid w:val="0"/>
                    <w:jc w:val="center"/>
                    <w:rPr>
                      <w:rFonts w:ascii="宋体" w:hAnsi="宋体" w:cs="宋体"/>
                      <w:szCs w:val="21"/>
                    </w:rPr>
                  </w:pPr>
                  <w:r>
                    <w:rPr>
                      <w:rFonts w:hint="eastAsia" w:ascii="宋体" w:hAnsi="宋体" w:cs="宋体"/>
                      <w:szCs w:val="21"/>
                    </w:rPr>
                    <w:t>环保工程</w:t>
                  </w:r>
                </w:p>
              </w:tc>
              <w:tc>
                <w:tcPr>
                  <w:tcW w:w="1620" w:type="dxa"/>
                  <w:vAlign w:val="center"/>
                </w:tcPr>
                <w:p w14:paraId="6ADD8511">
                  <w:pPr>
                    <w:adjustRightInd w:val="0"/>
                    <w:snapToGrid w:val="0"/>
                    <w:jc w:val="center"/>
                    <w:rPr>
                      <w:rFonts w:ascii="宋体" w:hAnsi="宋体" w:cs="宋体"/>
                      <w:szCs w:val="21"/>
                    </w:rPr>
                  </w:pPr>
                  <w:r>
                    <w:rPr>
                      <w:rFonts w:hint="eastAsia" w:ascii="宋体" w:hAnsi="宋体" w:cs="宋体"/>
                      <w:szCs w:val="21"/>
                    </w:rPr>
                    <w:t>废水</w:t>
                  </w:r>
                </w:p>
              </w:tc>
              <w:tc>
                <w:tcPr>
                  <w:tcW w:w="5151" w:type="dxa"/>
                  <w:vAlign w:val="center"/>
                </w:tcPr>
                <w:p w14:paraId="4F46C21B">
                  <w:pPr>
                    <w:widowControl/>
                    <w:jc w:val="left"/>
                    <w:rPr>
                      <w:rFonts w:ascii="宋体" w:hAnsi="宋体" w:cs="宋体"/>
                      <w:szCs w:val="21"/>
                    </w:rPr>
                  </w:pPr>
                  <w:r>
                    <w:rPr>
                      <w:rFonts w:hint="eastAsia"/>
                      <w:bCs/>
                      <w:szCs w:val="21"/>
                      <w:lang w:bidi="ar"/>
                    </w:rPr>
                    <w:t>生活污水经化粪池预处理后经开发区污水管网纳入开发区污水处理厂处理。</w:t>
                  </w:r>
                </w:p>
              </w:tc>
            </w:tr>
            <w:tr w14:paraId="56B6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5" w:type="dxa"/>
                  <w:vMerge w:val="continue"/>
                  <w:vAlign w:val="center"/>
                </w:tcPr>
                <w:p w14:paraId="6B4A0A2B">
                  <w:pPr>
                    <w:adjustRightInd w:val="0"/>
                    <w:snapToGrid w:val="0"/>
                    <w:jc w:val="center"/>
                    <w:rPr>
                      <w:rFonts w:ascii="宋体" w:hAnsi="宋体" w:cs="宋体"/>
                      <w:szCs w:val="21"/>
                    </w:rPr>
                  </w:pPr>
                </w:p>
              </w:tc>
              <w:tc>
                <w:tcPr>
                  <w:tcW w:w="1620" w:type="dxa"/>
                  <w:vAlign w:val="center"/>
                </w:tcPr>
                <w:p w14:paraId="1274FE8C">
                  <w:pPr>
                    <w:adjustRightInd w:val="0"/>
                    <w:snapToGrid w:val="0"/>
                    <w:jc w:val="center"/>
                    <w:rPr>
                      <w:rFonts w:ascii="宋体" w:hAnsi="宋体" w:cs="宋体"/>
                      <w:szCs w:val="21"/>
                    </w:rPr>
                  </w:pPr>
                  <w:r>
                    <w:rPr>
                      <w:rFonts w:hint="eastAsia" w:ascii="宋体" w:hAnsi="宋体" w:cs="宋体"/>
                      <w:szCs w:val="21"/>
                    </w:rPr>
                    <w:t>废气</w:t>
                  </w:r>
                </w:p>
              </w:tc>
              <w:tc>
                <w:tcPr>
                  <w:tcW w:w="5151" w:type="dxa"/>
                  <w:vAlign w:val="center"/>
                </w:tcPr>
                <w:p w14:paraId="24D56ADA">
                  <w:pPr>
                    <w:widowControl/>
                    <w:jc w:val="left"/>
                    <w:rPr>
                      <w:bCs/>
                      <w:szCs w:val="21"/>
                      <w:lang w:bidi="ar"/>
                    </w:rPr>
                  </w:pPr>
                  <w:r>
                    <w:rPr>
                      <w:rFonts w:hint="eastAsia"/>
                      <w:bCs/>
                      <w:szCs w:val="21"/>
                      <w:lang w:bidi="ar"/>
                    </w:rPr>
                    <w:t>超声复合、撒粉涂布烘干生产线废气采用二级静电油雾器+活性炭吸附+催化燃烧装置处理后通过15m高排气筒（DA001）排放；</w:t>
                  </w:r>
                </w:p>
                <w:p w14:paraId="2D55FC21">
                  <w:pPr>
                    <w:widowControl/>
                    <w:jc w:val="left"/>
                    <w:rPr>
                      <w:bCs/>
                      <w:szCs w:val="21"/>
                      <w:lang w:bidi="ar"/>
                    </w:rPr>
                  </w:pPr>
                  <w:r>
                    <w:rPr>
                      <w:rFonts w:hint="eastAsia"/>
                      <w:bCs/>
                      <w:szCs w:val="21"/>
                      <w:lang w:bidi="ar"/>
                    </w:rPr>
                    <w:t>食堂油烟经油烟机处理后排放至大气。</w:t>
                  </w:r>
                </w:p>
              </w:tc>
            </w:tr>
            <w:tr w14:paraId="13E7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5" w:type="dxa"/>
                  <w:vMerge w:val="continue"/>
                  <w:vAlign w:val="center"/>
                </w:tcPr>
                <w:p w14:paraId="2A2C4AB4">
                  <w:pPr>
                    <w:adjustRightInd w:val="0"/>
                    <w:snapToGrid w:val="0"/>
                    <w:jc w:val="center"/>
                  </w:pPr>
                </w:p>
              </w:tc>
              <w:tc>
                <w:tcPr>
                  <w:tcW w:w="1620" w:type="dxa"/>
                  <w:vAlign w:val="center"/>
                </w:tcPr>
                <w:p w14:paraId="003AB695">
                  <w:pPr>
                    <w:adjustRightInd w:val="0"/>
                    <w:snapToGrid w:val="0"/>
                    <w:jc w:val="center"/>
                    <w:rPr>
                      <w:rFonts w:ascii="宋体" w:hAnsi="宋体" w:cs="宋体"/>
                      <w:szCs w:val="21"/>
                    </w:rPr>
                  </w:pPr>
                  <w:r>
                    <w:rPr>
                      <w:rFonts w:hint="eastAsia" w:ascii="宋体" w:hAnsi="宋体" w:cs="宋体"/>
                      <w:szCs w:val="21"/>
                    </w:rPr>
                    <w:t>噪声</w:t>
                  </w:r>
                </w:p>
              </w:tc>
              <w:tc>
                <w:tcPr>
                  <w:tcW w:w="5151" w:type="dxa"/>
                  <w:vAlign w:val="center"/>
                </w:tcPr>
                <w:p w14:paraId="7AB1D93A">
                  <w:pPr>
                    <w:widowControl/>
                    <w:jc w:val="left"/>
                    <w:rPr>
                      <w:rFonts w:ascii="宋体" w:hAnsi="宋体" w:cs="宋体"/>
                      <w:szCs w:val="21"/>
                    </w:rPr>
                  </w:pPr>
                  <w:r>
                    <w:rPr>
                      <w:rFonts w:ascii="瀹嬩綋" w:hAnsi="瀹嬩綋" w:eastAsia="瀹嬩綋" w:cs="瀹嬩綋"/>
                      <w:color w:val="000000"/>
                      <w:kern w:val="0"/>
                      <w:szCs w:val="21"/>
                      <w:lang w:bidi="ar"/>
                    </w:rPr>
                    <w:t>减震、消声、消声措施</w:t>
                  </w:r>
                </w:p>
              </w:tc>
            </w:tr>
            <w:tr w14:paraId="5382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5" w:type="dxa"/>
                  <w:vMerge w:val="continue"/>
                  <w:vAlign w:val="center"/>
                </w:tcPr>
                <w:p w14:paraId="35840CD4">
                  <w:pPr>
                    <w:adjustRightInd w:val="0"/>
                    <w:snapToGrid w:val="0"/>
                    <w:jc w:val="center"/>
                    <w:rPr>
                      <w:rFonts w:ascii="宋体" w:hAnsi="宋体" w:cs="宋体"/>
                      <w:szCs w:val="21"/>
                    </w:rPr>
                  </w:pPr>
                </w:p>
              </w:tc>
              <w:tc>
                <w:tcPr>
                  <w:tcW w:w="1620" w:type="dxa"/>
                  <w:vAlign w:val="center"/>
                </w:tcPr>
                <w:p w14:paraId="25ECEFB1">
                  <w:pPr>
                    <w:adjustRightInd w:val="0"/>
                    <w:snapToGrid w:val="0"/>
                    <w:jc w:val="center"/>
                    <w:rPr>
                      <w:rFonts w:ascii="宋体" w:hAnsi="宋体" w:cs="宋体"/>
                      <w:szCs w:val="21"/>
                    </w:rPr>
                  </w:pPr>
                  <w:r>
                    <w:rPr>
                      <w:rFonts w:hint="eastAsia" w:ascii="宋体" w:hAnsi="宋体" w:cs="宋体"/>
                      <w:szCs w:val="21"/>
                    </w:rPr>
                    <w:t>固废</w:t>
                  </w:r>
                </w:p>
              </w:tc>
              <w:tc>
                <w:tcPr>
                  <w:tcW w:w="5151" w:type="dxa"/>
                  <w:vAlign w:val="center"/>
                </w:tcPr>
                <w:p w14:paraId="61C95B14">
                  <w:pPr>
                    <w:widowControl/>
                    <w:jc w:val="left"/>
                    <w:rPr>
                      <w:rFonts w:ascii="宋体" w:hAnsi="宋体" w:cs="宋体"/>
                      <w:szCs w:val="21"/>
                    </w:rPr>
                  </w:pPr>
                  <w:r>
                    <w:rPr>
                      <w:rFonts w:hint="eastAsia" w:ascii="宋体" w:hAnsi="宋体" w:cs="宋体"/>
                      <w:szCs w:val="21"/>
                    </w:rPr>
                    <w:t>废活性炭、废催化剂、废油污等交由有危险废物处置资质的单位处理。</w:t>
                  </w:r>
                </w:p>
                <w:p w14:paraId="0DB42881">
                  <w:pPr>
                    <w:widowControl/>
                    <w:jc w:val="left"/>
                    <w:rPr>
                      <w:rFonts w:ascii="宋体" w:hAnsi="宋体" w:cs="宋体"/>
                      <w:szCs w:val="21"/>
                    </w:rPr>
                  </w:pPr>
                  <w:r>
                    <w:rPr>
                      <w:rFonts w:hint="eastAsia" w:ascii="宋体" w:hAnsi="宋体" w:cs="宋体"/>
                      <w:szCs w:val="21"/>
                    </w:rPr>
                    <w:t>生活垃圾交由环卫进行处理。</w:t>
                  </w:r>
                </w:p>
              </w:tc>
            </w:tr>
            <w:tr w14:paraId="3900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5" w:type="dxa"/>
                  <w:vMerge w:val="continue"/>
                  <w:vAlign w:val="center"/>
                </w:tcPr>
                <w:p w14:paraId="168EAC5F">
                  <w:pPr>
                    <w:adjustRightInd w:val="0"/>
                    <w:snapToGrid w:val="0"/>
                    <w:jc w:val="center"/>
                    <w:rPr>
                      <w:rFonts w:ascii="宋体" w:hAnsi="宋体" w:cs="宋体"/>
                      <w:szCs w:val="21"/>
                    </w:rPr>
                  </w:pPr>
                </w:p>
              </w:tc>
              <w:tc>
                <w:tcPr>
                  <w:tcW w:w="1620" w:type="dxa"/>
                  <w:vAlign w:val="center"/>
                </w:tcPr>
                <w:p w14:paraId="7A776684">
                  <w:pPr>
                    <w:adjustRightInd w:val="0"/>
                    <w:snapToGrid w:val="0"/>
                    <w:jc w:val="center"/>
                    <w:rPr>
                      <w:rFonts w:ascii="宋体" w:hAnsi="宋体" w:cs="宋体"/>
                      <w:szCs w:val="21"/>
                    </w:rPr>
                  </w:pPr>
                  <w:r>
                    <w:rPr>
                      <w:rFonts w:hint="eastAsia" w:ascii="宋体" w:hAnsi="宋体" w:cs="宋体"/>
                      <w:szCs w:val="21"/>
                    </w:rPr>
                    <w:t>一般固废仓库</w:t>
                  </w:r>
                </w:p>
              </w:tc>
              <w:tc>
                <w:tcPr>
                  <w:tcW w:w="5151" w:type="dxa"/>
                  <w:vAlign w:val="center"/>
                </w:tcPr>
                <w:p w14:paraId="51A4C406">
                  <w:pPr>
                    <w:widowControl/>
                    <w:jc w:val="left"/>
                    <w:rPr>
                      <w:rFonts w:ascii="宋体" w:hAnsi="宋体" w:cs="宋体"/>
                      <w:szCs w:val="21"/>
                    </w:rPr>
                  </w:pPr>
                  <w:r>
                    <w:rPr>
                      <w:szCs w:val="21"/>
                    </w:rPr>
                    <w:t>按照</w:t>
                  </w:r>
                  <w:r>
                    <w:rPr>
                      <w:rFonts w:hint="eastAsia"/>
                    </w:rPr>
                    <w:t>《一般工业固体废物贮存和填埋污染控制标准》（GB18599-2020）</w:t>
                  </w:r>
                  <w:r>
                    <w:rPr>
                      <w:rFonts w:hint="eastAsia"/>
                      <w:szCs w:val="21"/>
                    </w:rPr>
                    <w:t>相关要求建设</w:t>
                  </w:r>
                  <w:r>
                    <w:rPr>
                      <w:rFonts w:hint="eastAsia"/>
                      <w:bCs/>
                      <w:szCs w:val="21"/>
                    </w:rPr>
                    <w:t>一般固废暂存间，面积10m</w:t>
                  </w:r>
                  <w:r>
                    <w:rPr>
                      <w:rFonts w:hint="eastAsia"/>
                      <w:bCs/>
                      <w:szCs w:val="21"/>
                      <w:vertAlign w:val="superscript"/>
                    </w:rPr>
                    <w:t>2</w:t>
                  </w:r>
                  <w:r>
                    <w:rPr>
                      <w:rFonts w:hint="eastAsia"/>
                      <w:bCs/>
                      <w:szCs w:val="21"/>
                    </w:rPr>
                    <w:t>，</w:t>
                  </w:r>
                  <w:r>
                    <w:rPr>
                      <w:rFonts w:hint="eastAsia"/>
                      <w:szCs w:val="21"/>
                    </w:rPr>
                    <w:t>暂存处具有防风、防雨、防渗功能，并粘贴标识牌。</w:t>
                  </w:r>
                </w:p>
              </w:tc>
            </w:tr>
            <w:tr w14:paraId="4DBB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5" w:type="dxa"/>
                  <w:vMerge w:val="continue"/>
                  <w:vAlign w:val="center"/>
                </w:tcPr>
                <w:p w14:paraId="4D640FEB">
                  <w:pPr>
                    <w:adjustRightInd w:val="0"/>
                    <w:snapToGrid w:val="0"/>
                    <w:jc w:val="center"/>
                    <w:rPr>
                      <w:rFonts w:ascii="宋体" w:hAnsi="宋体" w:cs="宋体"/>
                      <w:szCs w:val="21"/>
                    </w:rPr>
                  </w:pPr>
                </w:p>
              </w:tc>
              <w:tc>
                <w:tcPr>
                  <w:tcW w:w="1620" w:type="dxa"/>
                  <w:vAlign w:val="center"/>
                </w:tcPr>
                <w:p w14:paraId="12C379B9">
                  <w:pPr>
                    <w:adjustRightInd w:val="0"/>
                    <w:snapToGrid w:val="0"/>
                    <w:jc w:val="center"/>
                    <w:rPr>
                      <w:rFonts w:ascii="宋体" w:hAnsi="宋体" w:cs="宋体"/>
                      <w:szCs w:val="21"/>
                    </w:rPr>
                  </w:pPr>
                  <w:r>
                    <w:rPr>
                      <w:rFonts w:hint="eastAsia" w:ascii="宋体" w:hAnsi="宋体" w:cs="宋体"/>
                      <w:szCs w:val="21"/>
                    </w:rPr>
                    <w:t>危险废物仓库</w:t>
                  </w:r>
                </w:p>
              </w:tc>
              <w:tc>
                <w:tcPr>
                  <w:tcW w:w="5151" w:type="dxa"/>
                  <w:vAlign w:val="center"/>
                </w:tcPr>
                <w:p w14:paraId="70216F64">
                  <w:pPr>
                    <w:widowControl/>
                    <w:jc w:val="left"/>
                    <w:rPr>
                      <w:rFonts w:ascii="宋体" w:hAnsi="宋体" w:cs="宋体"/>
                      <w:szCs w:val="21"/>
                    </w:rPr>
                  </w:pPr>
                  <w:r>
                    <w:rPr>
                      <w:rFonts w:hint="eastAsia" w:ascii="宋体" w:hAnsi="宋体" w:cs="宋体"/>
                      <w:szCs w:val="21"/>
                    </w:rPr>
                    <w:t>按照《危险废物贮存污染控制标准》（GB 18597-2023）中相关要求建设危险废物暂存设施，面积10m</w:t>
                  </w:r>
                  <w:r>
                    <w:rPr>
                      <w:rFonts w:hint="eastAsia" w:ascii="宋体" w:hAnsi="宋体" w:cs="宋体"/>
                      <w:szCs w:val="21"/>
                      <w:vertAlign w:val="superscript"/>
                    </w:rPr>
                    <w:t>2</w:t>
                  </w:r>
                  <w:r>
                    <w:rPr>
                      <w:rFonts w:hint="eastAsia" w:ascii="宋体" w:hAnsi="宋体" w:cs="宋体"/>
                      <w:szCs w:val="21"/>
                    </w:rPr>
                    <w:t>，设施外张贴标识牌，该设施内地面刷环氧树脂漆进行防渗，设施主要暂存废活性炭、废包装桶等，存放设施处须张贴标识牌，明确废物种类、性质、重量及去向，制定危险废物管理台账。危废库进行重点防渗，要求渗漏系数≤10</w:t>
                  </w:r>
                  <w:r>
                    <w:rPr>
                      <w:rFonts w:hint="eastAsia" w:ascii="宋体" w:hAnsi="宋体" w:cs="宋体"/>
                      <w:szCs w:val="21"/>
                      <w:vertAlign w:val="superscript"/>
                    </w:rPr>
                    <w:t>-10</w:t>
                  </w:r>
                  <w:r>
                    <w:rPr>
                      <w:rFonts w:hint="eastAsia" w:ascii="宋体" w:hAnsi="宋体" w:cs="宋体"/>
                      <w:szCs w:val="21"/>
                    </w:rPr>
                    <w:t>cm/s。</w:t>
                  </w:r>
                </w:p>
              </w:tc>
            </w:tr>
          </w:tbl>
          <w:p w14:paraId="02483DCA">
            <w:pPr>
              <w:spacing w:line="360" w:lineRule="auto"/>
              <w:ind w:left="482"/>
              <w:rPr>
                <w:b/>
                <w:bCs/>
                <w:color w:val="333333"/>
                <w:sz w:val="24"/>
                <w:shd w:val="clear" w:color="auto" w:fill="FFFFFF"/>
              </w:rPr>
            </w:pPr>
          </w:p>
          <w:p w14:paraId="09195676">
            <w:pPr>
              <w:spacing w:line="360" w:lineRule="auto"/>
              <w:ind w:left="482"/>
              <w:rPr>
                <w:b/>
                <w:bCs/>
                <w:color w:val="333333"/>
                <w:sz w:val="24"/>
                <w:shd w:val="clear" w:color="auto" w:fill="FFFFFF"/>
              </w:rPr>
            </w:pPr>
            <w:r>
              <w:rPr>
                <w:rFonts w:hint="eastAsia"/>
                <w:b/>
                <w:bCs/>
                <w:color w:val="333333"/>
                <w:sz w:val="24"/>
                <w:shd w:val="clear" w:color="auto" w:fill="FFFFFF"/>
              </w:rPr>
              <w:t>3、项目产品方案</w:t>
            </w:r>
          </w:p>
          <w:p w14:paraId="2C1698A0">
            <w:pPr>
              <w:spacing w:line="360" w:lineRule="auto"/>
              <w:ind w:firstLine="480" w:firstLineChars="200"/>
              <w:rPr>
                <w:color w:val="333333"/>
                <w:szCs w:val="21"/>
                <w:shd w:val="clear" w:color="auto" w:fill="FFFFFF"/>
              </w:rPr>
            </w:pPr>
            <w:r>
              <w:rPr>
                <w:rFonts w:hint="eastAsia"/>
                <w:color w:val="333333"/>
                <w:sz w:val="24"/>
                <w:shd w:val="clear" w:color="auto" w:fill="FFFFFF"/>
              </w:rPr>
              <w:t>产品方案及生产规模见下表</w:t>
            </w:r>
            <w:r>
              <w:rPr>
                <w:rFonts w:hint="eastAsia"/>
                <w:color w:val="333333"/>
                <w:szCs w:val="21"/>
                <w:shd w:val="clear" w:color="auto" w:fill="FFFFFF"/>
              </w:rPr>
              <w:t>：</w:t>
            </w:r>
          </w:p>
          <w:p w14:paraId="79EA0EF5">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表2-6 建设项目产品方案</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688"/>
              <w:gridCol w:w="2084"/>
              <w:gridCol w:w="1421"/>
              <w:gridCol w:w="910"/>
              <w:gridCol w:w="1547"/>
            </w:tblGrid>
            <w:tr w14:paraId="6993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1" w:type="pct"/>
                  <w:vAlign w:val="center"/>
                </w:tcPr>
                <w:p w14:paraId="234CCF3B">
                  <w:pP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序号</w:t>
                  </w:r>
                </w:p>
              </w:tc>
              <w:tc>
                <w:tcPr>
                  <w:tcW w:w="1004" w:type="pct"/>
                  <w:vAlign w:val="center"/>
                </w:tcPr>
                <w:p w14:paraId="54B6D895">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行业类别</w:t>
                  </w:r>
                </w:p>
              </w:tc>
              <w:tc>
                <w:tcPr>
                  <w:tcW w:w="1239" w:type="pct"/>
                  <w:vAlign w:val="center"/>
                </w:tcPr>
                <w:p w14:paraId="059FB748">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生产线名称</w:t>
                  </w:r>
                </w:p>
              </w:tc>
              <w:tc>
                <w:tcPr>
                  <w:tcW w:w="845" w:type="pct"/>
                  <w:vAlign w:val="center"/>
                </w:tcPr>
                <w:p w14:paraId="5B46EEE4">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生产线编号</w:t>
                  </w:r>
                </w:p>
              </w:tc>
              <w:tc>
                <w:tcPr>
                  <w:tcW w:w="541" w:type="pct"/>
                  <w:vAlign w:val="center"/>
                </w:tcPr>
                <w:p w14:paraId="4B478156">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产品名称</w:t>
                  </w:r>
                </w:p>
              </w:tc>
              <w:tc>
                <w:tcPr>
                  <w:tcW w:w="920" w:type="pct"/>
                  <w:vAlign w:val="center"/>
                </w:tcPr>
                <w:p w14:paraId="11399849">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生产能力</w:t>
                  </w:r>
                </w:p>
              </w:tc>
            </w:tr>
            <w:tr w14:paraId="30DD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1" w:type="pct"/>
                  <w:vAlign w:val="center"/>
                </w:tcPr>
                <w:p w14:paraId="6AE11AFC">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w:t>
                  </w:r>
                </w:p>
              </w:tc>
              <w:tc>
                <w:tcPr>
                  <w:tcW w:w="1004" w:type="pct"/>
                  <w:vAlign w:val="center"/>
                </w:tcPr>
                <w:p w14:paraId="58D52125">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环境保护专用设备制造</w:t>
                  </w:r>
                </w:p>
              </w:tc>
              <w:tc>
                <w:tcPr>
                  <w:tcW w:w="1239" w:type="pct"/>
                  <w:vAlign w:val="center"/>
                </w:tcPr>
                <w:p w14:paraId="03655BFE">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环保设备生产线</w:t>
                  </w:r>
                </w:p>
              </w:tc>
              <w:tc>
                <w:tcPr>
                  <w:tcW w:w="845" w:type="pct"/>
                  <w:vAlign w:val="center"/>
                </w:tcPr>
                <w:p w14:paraId="6286C0B1">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SCX-01-15</w:t>
                  </w:r>
                </w:p>
              </w:tc>
              <w:tc>
                <w:tcPr>
                  <w:tcW w:w="541" w:type="pct"/>
                  <w:vAlign w:val="center"/>
                </w:tcPr>
                <w:p w14:paraId="669B2096">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环保除尘器</w:t>
                  </w:r>
                </w:p>
              </w:tc>
              <w:tc>
                <w:tcPr>
                  <w:tcW w:w="920" w:type="pct"/>
                  <w:vAlign w:val="center"/>
                </w:tcPr>
                <w:p w14:paraId="683E15F9">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50套/a</w:t>
                  </w:r>
                </w:p>
              </w:tc>
            </w:tr>
          </w:tbl>
          <w:p w14:paraId="3EBD7348">
            <w:pPr>
              <w:pStyle w:val="52"/>
              <w:spacing w:line="360" w:lineRule="auto"/>
              <w:ind w:firstLine="482" w:firstLineChars="200"/>
              <w:rPr>
                <w:rFonts w:hAnsi="宋体" w:cs="宋体"/>
                <w:b/>
                <w:bCs/>
                <w:color w:val="333333"/>
                <w:kern w:val="2"/>
                <w:sz w:val="24"/>
                <w:szCs w:val="24"/>
                <w:shd w:val="clear" w:color="auto" w:fill="FFFFFF"/>
              </w:rPr>
            </w:pPr>
          </w:p>
          <w:p w14:paraId="227FD0E2">
            <w:pPr>
              <w:pStyle w:val="52"/>
              <w:spacing w:line="360" w:lineRule="auto"/>
              <w:ind w:firstLine="482" w:firstLineChars="200"/>
              <w:rPr>
                <w:rFonts w:hAnsi="宋体" w:cs="宋体"/>
                <w:b/>
                <w:bCs/>
                <w:color w:val="333333"/>
                <w:kern w:val="2"/>
                <w:sz w:val="24"/>
                <w:szCs w:val="24"/>
                <w:shd w:val="clear" w:color="auto" w:fill="FFFFFF"/>
              </w:rPr>
            </w:pPr>
            <w:r>
              <w:rPr>
                <w:rFonts w:hint="eastAsia" w:hAnsi="宋体" w:cs="宋体"/>
                <w:b/>
                <w:bCs/>
                <w:color w:val="333333"/>
                <w:kern w:val="2"/>
                <w:sz w:val="24"/>
                <w:szCs w:val="24"/>
                <w:shd w:val="clear" w:color="auto" w:fill="FFFFFF"/>
              </w:rPr>
              <w:t>4 主要原辅料用量</w:t>
            </w:r>
          </w:p>
          <w:p w14:paraId="1C7D3403">
            <w:pPr>
              <w:pStyle w:val="52"/>
              <w:spacing w:line="360" w:lineRule="auto"/>
              <w:ind w:firstLine="482" w:firstLineChars="200"/>
              <w:rPr>
                <w:rFonts w:hAnsi="宋体" w:cs="宋体"/>
                <w:b/>
                <w:bCs/>
                <w:color w:val="333333"/>
                <w:kern w:val="2"/>
                <w:sz w:val="24"/>
                <w:szCs w:val="24"/>
                <w:shd w:val="clear" w:color="auto" w:fill="FFFFFF"/>
              </w:rPr>
            </w:pPr>
            <w:r>
              <w:rPr>
                <w:rFonts w:hint="eastAsia" w:hAnsi="宋体" w:cs="宋体"/>
                <w:b/>
                <w:bCs/>
                <w:color w:val="333333"/>
                <w:kern w:val="2"/>
                <w:sz w:val="24"/>
                <w:szCs w:val="24"/>
                <w:shd w:val="clear" w:color="auto" w:fill="FFFFFF"/>
              </w:rPr>
              <w:t>本项目原辅料消耗见下表。</w:t>
            </w:r>
          </w:p>
          <w:p w14:paraId="0A412821">
            <w:pPr>
              <w:pStyle w:val="52"/>
              <w:spacing w:line="360" w:lineRule="auto"/>
              <w:ind w:firstLine="0"/>
              <w:jc w:val="center"/>
              <w:rPr>
                <w:rFonts w:hAnsi="宋体" w:cs="宋体"/>
                <w:b/>
                <w:bCs/>
                <w:color w:val="333333"/>
                <w:kern w:val="2"/>
                <w:sz w:val="21"/>
                <w:szCs w:val="21"/>
                <w:shd w:val="clear" w:color="auto" w:fill="FFFFFF"/>
              </w:rPr>
            </w:pPr>
            <w:r>
              <w:rPr>
                <w:rFonts w:hint="eastAsia" w:hAnsi="宋体" w:cs="宋体"/>
                <w:b/>
                <w:bCs/>
                <w:color w:val="333333"/>
                <w:kern w:val="2"/>
                <w:sz w:val="21"/>
                <w:szCs w:val="21"/>
                <w:shd w:val="clear" w:color="auto" w:fill="FFFFFF"/>
              </w:rPr>
              <w:t>表2-7 主要原辅材料消耗量</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334"/>
              <w:gridCol w:w="1339"/>
              <w:gridCol w:w="1201"/>
              <w:gridCol w:w="2127"/>
              <w:gridCol w:w="1603"/>
            </w:tblGrid>
            <w:tr w14:paraId="6AF2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Align w:val="center"/>
                </w:tcPr>
                <w:p w14:paraId="00AD2B55">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序号</w:t>
                  </w:r>
                </w:p>
              </w:tc>
              <w:tc>
                <w:tcPr>
                  <w:tcW w:w="793" w:type="pct"/>
                  <w:vAlign w:val="center"/>
                </w:tcPr>
                <w:p w14:paraId="0E641397">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名称</w:t>
                  </w:r>
                </w:p>
              </w:tc>
              <w:tc>
                <w:tcPr>
                  <w:tcW w:w="796" w:type="pct"/>
                  <w:vAlign w:val="center"/>
                </w:tcPr>
                <w:p w14:paraId="3050506D">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包装规格</w:t>
                  </w:r>
                </w:p>
              </w:tc>
              <w:tc>
                <w:tcPr>
                  <w:tcW w:w="714" w:type="pct"/>
                  <w:vAlign w:val="center"/>
                </w:tcPr>
                <w:p w14:paraId="142A34A6">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消耗量</w:t>
                  </w:r>
                </w:p>
              </w:tc>
              <w:tc>
                <w:tcPr>
                  <w:tcW w:w="1265" w:type="pct"/>
                  <w:vAlign w:val="center"/>
                </w:tcPr>
                <w:p w14:paraId="32328FFC">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储存方式</w:t>
                  </w:r>
                </w:p>
              </w:tc>
              <w:tc>
                <w:tcPr>
                  <w:tcW w:w="953" w:type="pct"/>
                  <w:vAlign w:val="center"/>
                </w:tcPr>
                <w:p w14:paraId="58CA7B8E">
                  <w:pPr>
                    <w:jc w:val="center"/>
                    <w:rPr>
                      <w:rFonts w:ascii="宋体" w:hAnsi="宋体" w:cs="宋体"/>
                      <w:b/>
                      <w:bCs/>
                      <w:color w:val="333333"/>
                      <w:szCs w:val="21"/>
                      <w:shd w:val="clear" w:color="auto" w:fill="FFFFFF"/>
                    </w:rPr>
                  </w:pPr>
                  <w:r>
                    <w:rPr>
                      <w:rFonts w:hint="eastAsia" w:ascii="宋体" w:hAnsi="宋体" w:cs="宋体"/>
                      <w:b/>
                      <w:bCs/>
                      <w:color w:val="333333"/>
                      <w:szCs w:val="21"/>
                      <w:shd w:val="clear" w:color="auto" w:fill="FFFFFF"/>
                    </w:rPr>
                    <w:t>最大存储量</w:t>
                  </w:r>
                </w:p>
              </w:tc>
            </w:tr>
            <w:tr w14:paraId="26B7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79" w:type="pct"/>
                  <w:vAlign w:val="center"/>
                </w:tcPr>
                <w:p w14:paraId="01DF0401">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w:t>
                  </w:r>
                </w:p>
              </w:tc>
              <w:tc>
                <w:tcPr>
                  <w:tcW w:w="793" w:type="pct"/>
                  <w:vAlign w:val="center"/>
                </w:tcPr>
                <w:p w14:paraId="63A94D3D">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镀锌钢卷</w:t>
                  </w:r>
                </w:p>
              </w:tc>
              <w:tc>
                <w:tcPr>
                  <w:tcW w:w="796" w:type="pct"/>
                  <w:vAlign w:val="center"/>
                </w:tcPr>
                <w:p w14:paraId="710503D0">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20kg/箱</w:t>
                  </w:r>
                </w:p>
              </w:tc>
              <w:tc>
                <w:tcPr>
                  <w:tcW w:w="714" w:type="pct"/>
                  <w:vAlign w:val="center"/>
                </w:tcPr>
                <w:p w14:paraId="68702D8F">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40</w:t>
                  </w:r>
                  <w:r>
                    <w:rPr>
                      <w:rFonts w:ascii="宋体" w:hAnsi="宋体" w:cs="宋体"/>
                      <w:color w:val="333333"/>
                      <w:szCs w:val="21"/>
                      <w:shd w:val="clear" w:color="auto" w:fill="FFFFFF"/>
                    </w:rPr>
                    <w:t>t/a</w:t>
                  </w:r>
                </w:p>
              </w:tc>
              <w:tc>
                <w:tcPr>
                  <w:tcW w:w="1265" w:type="pct"/>
                  <w:vAlign w:val="center"/>
                </w:tcPr>
                <w:p w14:paraId="3290AF7A">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w:t>
                  </w:r>
                </w:p>
              </w:tc>
              <w:tc>
                <w:tcPr>
                  <w:tcW w:w="953" w:type="pct"/>
                  <w:vAlign w:val="center"/>
                </w:tcPr>
                <w:p w14:paraId="73A89DB4">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w:t>
                  </w:r>
                  <w:r>
                    <w:rPr>
                      <w:rFonts w:ascii="宋体" w:hAnsi="宋体" w:cs="宋体"/>
                      <w:color w:val="333333"/>
                      <w:szCs w:val="21"/>
                      <w:shd w:val="clear" w:color="auto" w:fill="FFFFFF"/>
                    </w:rPr>
                    <w:t xml:space="preserve"> t</w:t>
                  </w:r>
                </w:p>
              </w:tc>
            </w:tr>
            <w:tr w14:paraId="3B21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Align w:val="center"/>
                </w:tcPr>
                <w:p w14:paraId="1DA58892">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2</w:t>
                  </w:r>
                </w:p>
              </w:tc>
              <w:tc>
                <w:tcPr>
                  <w:tcW w:w="793" w:type="pct"/>
                  <w:vAlign w:val="center"/>
                </w:tcPr>
                <w:p w14:paraId="727516F6">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酒精</w:t>
                  </w:r>
                </w:p>
              </w:tc>
              <w:tc>
                <w:tcPr>
                  <w:tcW w:w="796" w:type="pct"/>
                  <w:vAlign w:val="center"/>
                </w:tcPr>
                <w:p w14:paraId="10FED7FA">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20L/桶</w:t>
                  </w:r>
                </w:p>
              </w:tc>
              <w:tc>
                <w:tcPr>
                  <w:tcW w:w="714" w:type="pct"/>
                  <w:vAlign w:val="center"/>
                </w:tcPr>
                <w:p w14:paraId="1BB047FF">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 xml:space="preserve">0.5 </w:t>
                  </w:r>
                  <w:r>
                    <w:rPr>
                      <w:rFonts w:ascii="宋体" w:hAnsi="宋体" w:cs="宋体"/>
                      <w:color w:val="333333"/>
                      <w:szCs w:val="21"/>
                      <w:shd w:val="clear" w:color="auto" w:fill="FFFFFF"/>
                    </w:rPr>
                    <w:t>t/a</w:t>
                  </w:r>
                </w:p>
              </w:tc>
              <w:tc>
                <w:tcPr>
                  <w:tcW w:w="1265" w:type="pct"/>
                  <w:vAlign w:val="center"/>
                </w:tcPr>
                <w:p w14:paraId="54C6C1A0">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液态，桶装</w:t>
                  </w:r>
                </w:p>
              </w:tc>
              <w:tc>
                <w:tcPr>
                  <w:tcW w:w="953" w:type="pct"/>
                  <w:vAlign w:val="center"/>
                </w:tcPr>
                <w:p w14:paraId="67FEF59C">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0.05t</w:t>
                  </w:r>
                </w:p>
              </w:tc>
            </w:tr>
            <w:tr w14:paraId="6145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Align w:val="center"/>
                </w:tcPr>
                <w:p w14:paraId="38ED740A">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3</w:t>
                  </w:r>
                </w:p>
              </w:tc>
              <w:tc>
                <w:tcPr>
                  <w:tcW w:w="793" w:type="pct"/>
                  <w:vAlign w:val="center"/>
                </w:tcPr>
                <w:p w14:paraId="08897815">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胶黏剂</w:t>
                  </w:r>
                </w:p>
              </w:tc>
              <w:tc>
                <w:tcPr>
                  <w:tcW w:w="796" w:type="pct"/>
                  <w:vAlign w:val="center"/>
                </w:tcPr>
                <w:p w14:paraId="1CD065F1">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10kg/桶</w:t>
                  </w:r>
                </w:p>
              </w:tc>
              <w:tc>
                <w:tcPr>
                  <w:tcW w:w="714" w:type="pct"/>
                  <w:vAlign w:val="center"/>
                </w:tcPr>
                <w:p w14:paraId="01E39DC1">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110 t/a</w:t>
                  </w:r>
                </w:p>
              </w:tc>
              <w:tc>
                <w:tcPr>
                  <w:tcW w:w="1265" w:type="pct"/>
                  <w:vAlign w:val="center"/>
                </w:tcPr>
                <w:p w14:paraId="1427A85E">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液态，桶装</w:t>
                  </w:r>
                </w:p>
              </w:tc>
              <w:tc>
                <w:tcPr>
                  <w:tcW w:w="953" w:type="pct"/>
                  <w:vAlign w:val="center"/>
                </w:tcPr>
                <w:p w14:paraId="5072DAEB">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5t</w:t>
                  </w:r>
                </w:p>
              </w:tc>
            </w:tr>
            <w:tr w14:paraId="4F55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Align w:val="center"/>
                </w:tcPr>
                <w:p w14:paraId="4A3C40B0">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4</w:t>
                  </w:r>
                </w:p>
              </w:tc>
              <w:tc>
                <w:tcPr>
                  <w:tcW w:w="793" w:type="pct"/>
                  <w:vAlign w:val="center"/>
                </w:tcPr>
                <w:p w14:paraId="048A6DCB">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自喷漆</w:t>
                  </w:r>
                </w:p>
              </w:tc>
              <w:tc>
                <w:tcPr>
                  <w:tcW w:w="796" w:type="pct"/>
                  <w:vAlign w:val="center"/>
                </w:tcPr>
                <w:p w14:paraId="4DA2ADA8">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1kg/瓶</w:t>
                  </w:r>
                </w:p>
              </w:tc>
              <w:tc>
                <w:tcPr>
                  <w:tcW w:w="714" w:type="pct"/>
                  <w:vAlign w:val="center"/>
                </w:tcPr>
                <w:p w14:paraId="74ECE69C">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 xml:space="preserve">0.3 </w:t>
                  </w:r>
                  <w:r>
                    <w:rPr>
                      <w:rFonts w:ascii="宋体" w:hAnsi="宋体" w:cs="宋体"/>
                      <w:color w:val="333333"/>
                      <w:szCs w:val="21"/>
                      <w:shd w:val="clear" w:color="auto" w:fill="FFFFFF"/>
                    </w:rPr>
                    <w:t>t/a</w:t>
                  </w:r>
                </w:p>
              </w:tc>
              <w:tc>
                <w:tcPr>
                  <w:tcW w:w="1265" w:type="pct"/>
                  <w:vAlign w:val="center"/>
                </w:tcPr>
                <w:p w14:paraId="3F57F40B">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液态，瓶装</w:t>
                  </w:r>
                </w:p>
              </w:tc>
              <w:tc>
                <w:tcPr>
                  <w:tcW w:w="953" w:type="pct"/>
                  <w:vAlign w:val="center"/>
                </w:tcPr>
                <w:p w14:paraId="2C3A3020">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0.1t</w:t>
                  </w:r>
                </w:p>
              </w:tc>
            </w:tr>
            <w:tr w14:paraId="0A67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Align w:val="center"/>
                </w:tcPr>
                <w:p w14:paraId="0AB24B52">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5</w:t>
                  </w:r>
                </w:p>
              </w:tc>
              <w:tc>
                <w:tcPr>
                  <w:tcW w:w="793" w:type="pct"/>
                  <w:vAlign w:val="center"/>
                </w:tcPr>
                <w:p w14:paraId="75003824">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熔喷布</w:t>
                  </w:r>
                </w:p>
              </w:tc>
              <w:tc>
                <w:tcPr>
                  <w:tcW w:w="796" w:type="pct"/>
                  <w:vAlign w:val="center"/>
                </w:tcPr>
                <w:p w14:paraId="2476B57D">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100m/捆</w:t>
                  </w:r>
                </w:p>
              </w:tc>
              <w:tc>
                <w:tcPr>
                  <w:tcW w:w="714" w:type="pct"/>
                  <w:vAlign w:val="center"/>
                </w:tcPr>
                <w:p w14:paraId="791D525A">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10万m/a</w:t>
                  </w:r>
                </w:p>
              </w:tc>
              <w:tc>
                <w:tcPr>
                  <w:tcW w:w="1265" w:type="pct"/>
                  <w:vAlign w:val="center"/>
                </w:tcPr>
                <w:p w14:paraId="74ED2DA5">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w:t>
                  </w:r>
                </w:p>
              </w:tc>
              <w:tc>
                <w:tcPr>
                  <w:tcW w:w="953" w:type="pct"/>
                  <w:vAlign w:val="center"/>
                </w:tcPr>
                <w:p w14:paraId="49FD02F5">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1万m</w:t>
                  </w:r>
                </w:p>
              </w:tc>
            </w:tr>
            <w:tr w14:paraId="1E0C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Align w:val="center"/>
                </w:tcPr>
                <w:p w14:paraId="6FB32D5F">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6</w:t>
                  </w:r>
                </w:p>
              </w:tc>
              <w:tc>
                <w:tcPr>
                  <w:tcW w:w="793" w:type="pct"/>
                  <w:vAlign w:val="center"/>
                </w:tcPr>
                <w:p w14:paraId="47E09770">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无纺布</w:t>
                  </w:r>
                </w:p>
              </w:tc>
              <w:tc>
                <w:tcPr>
                  <w:tcW w:w="796" w:type="pct"/>
                  <w:vAlign w:val="center"/>
                </w:tcPr>
                <w:p w14:paraId="0E1E7C55">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100m/捆</w:t>
                  </w:r>
                </w:p>
              </w:tc>
              <w:tc>
                <w:tcPr>
                  <w:tcW w:w="714" w:type="pct"/>
                  <w:vAlign w:val="center"/>
                </w:tcPr>
                <w:p w14:paraId="429477C9">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10万m/a</w:t>
                  </w:r>
                </w:p>
              </w:tc>
              <w:tc>
                <w:tcPr>
                  <w:tcW w:w="1265" w:type="pct"/>
                  <w:vAlign w:val="center"/>
                </w:tcPr>
                <w:p w14:paraId="54C4289E">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w:t>
                  </w:r>
                </w:p>
              </w:tc>
              <w:tc>
                <w:tcPr>
                  <w:tcW w:w="953" w:type="pct"/>
                  <w:vAlign w:val="center"/>
                </w:tcPr>
                <w:p w14:paraId="045723FF">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1万m</w:t>
                  </w:r>
                </w:p>
              </w:tc>
            </w:tr>
            <w:tr w14:paraId="3DE2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Align w:val="center"/>
                </w:tcPr>
                <w:p w14:paraId="6389433E">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7</w:t>
                  </w:r>
                </w:p>
              </w:tc>
              <w:tc>
                <w:tcPr>
                  <w:tcW w:w="793" w:type="pct"/>
                  <w:vAlign w:val="center"/>
                </w:tcPr>
                <w:p w14:paraId="23E58D6C">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PA树脂</w:t>
                  </w:r>
                </w:p>
              </w:tc>
              <w:tc>
                <w:tcPr>
                  <w:tcW w:w="796" w:type="pct"/>
                  <w:vAlign w:val="center"/>
                </w:tcPr>
                <w:p w14:paraId="386F314A">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50kg/桶</w:t>
                  </w:r>
                </w:p>
              </w:tc>
              <w:tc>
                <w:tcPr>
                  <w:tcW w:w="714" w:type="pct"/>
                  <w:vAlign w:val="center"/>
                </w:tcPr>
                <w:p w14:paraId="1CC2C18C">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30 t/a</w:t>
                  </w:r>
                </w:p>
              </w:tc>
              <w:tc>
                <w:tcPr>
                  <w:tcW w:w="1265" w:type="pct"/>
                  <w:vAlign w:val="center"/>
                </w:tcPr>
                <w:p w14:paraId="7687CD48">
                  <w:pPr>
                    <w:jc w:val="center"/>
                    <w:rPr>
                      <w:rFonts w:ascii="宋体" w:hAnsi="宋体" w:cs="宋体"/>
                      <w:color w:val="333333"/>
                      <w:szCs w:val="21"/>
                      <w:shd w:val="clear" w:color="auto" w:fill="FFFFFF"/>
                    </w:rPr>
                  </w:pPr>
                  <w:r>
                    <w:rPr>
                      <w:rFonts w:hint="eastAsia"/>
                      <w:szCs w:val="21"/>
                      <w:shd w:val="clear" w:color="auto" w:fill="FFFFFF"/>
                    </w:rPr>
                    <w:t>固态，桶装</w:t>
                  </w:r>
                </w:p>
              </w:tc>
              <w:tc>
                <w:tcPr>
                  <w:tcW w:w="953" w:type="pct"/>
                  <w:vAlign w:val="center"/>
                </w:tcPr>
                <w:p w14:paraId="52DB308D">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3 t</w:t>
                  </w:r>
                </w:p>
              </w:tc>
            </w:tr>
            <w:tr w14:paraId="1979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Align w:val="center"/>
                </w:tcPr>
                <w:p w14:paraId="69324BA3">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8</w:t>
                  </w:r>
                </w:p>
              </w:tc>
              <w:tc>
                <w:tcPr>
                  <w:tcW w:w="793" w:type="pct"/>
                  <w:vAlign w:val="center"/>
                </w:tcPr>
                <w:p w14:paraId="498C9C62">
                  <w:pPr>
                    <w:jc w:val="center"/>
                    <w:rPr>
                      <w:rFonts w:ascii="宋体" w:hAnsi="宋体" w:cs="宋体"/>
                      <w:color w:val="333333"/>
                      <w:szCs w:val="21"/>
                      <w:shd w:val="clear" w:color="auto" w:fill="FFFFFF"/>
                    </w:rPr>
                  </w:pPr>
                  <w:r>
                    <w:rPr>
                      <w:rFonts w:hint="eastAsia"/>
                      <w:szCs w:val="21"/>
                      <w:shd w:val="clear" w:color="auto" w:fill="FFFFFF"/>
                    </w:rPr>
                    <w:t>机油</w:t>
                  </w:r>
                </w:p>
              </w:tc>
              <w:tc>
                <w:tcPr>
                  <w:tcW w:w="796" w:type="pct"/>
                  <w:vAlign w:val="center"/>
                </w:tcPr>
                <w:p w14:paraId="32583238">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1kg/桶</w:t>
                  </w:r>
                </w:p>
              </w:tc>
              <w:tc>
                <w:tcPr>
                  <w:tcW w:w="714" w:type="pct"/>
                  <w:vAlign w:val="center"/>
                </w:tcPr>
                <w:p w14:paraId="7C8B6748">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0.01t/a</w:t>
                  </w:r>
                </w:p>
              </w:tc>
              <w:tc>
                <w:tcPr>
                  <w:tcW w:w="1265" w:type="pct"/>
                  <w:vAlign w:val="center"/>
                </w:tcPr>
                <w:p w14:paraId="0B06264D">
                  <w:pPr>
                    <w:jc w:val="center"/>
                    <w:rPr>
                      <w:rFonts w:ascii="宋体" w:hAnsi="宋体" w:cs="宋体"/>
                      <w:color w:val="333333"/>
                      <w:szCs w:val="21"/>
                      <w:shd w:val="clear" w:color="auto" w:fill="FFFFFF"/>
                    </w:rPr>
                  </w:pPr>
                  <w:r>
                    <w:rPr>
                      <w:rFonts w:hint="eastAsia"/>
                      <w:szCs w:val="21"/>
                      <w:shd w:val="clear" w:color="auto" w:fill="FFFFFF"/>
                    </w:rPr>
                    <w:t>固态，桶装</w:t>
                  </w:r>
                </w:p>
              </w:tc>
              <w:tc>
                <w:tcPr>
                  <w:tcW w:w="953" w:type="pct"/>
                  <w:vAlign w:val="center"/>
                </w:tcPr>
                <w:p w14:paraId="05F8163E">
                  <w:pPr>
                    <w:jc w:val="center"/>
                    <w:rPr>
                      <w:rFonts w:ascii="宋体" w:hAnsi="宋体" w:cs="宋体"/>
                      <w:color w:val="333333"/>
                      <w:szCs w:val="21"/>
                      <w:shd w:val="clear" w:color="auto" w:fill="FFFFFF"/>
                    </w:rPr>
                  </w:pPr>
                  <w:r>
                    <w:rPr>
                      <w:rFonts w:hint="eastAsia"/>
                      <w:szCs w:val="21"/>
                      <w:shd w:val="clear" w:color="auto" w:fill="FFFFFF"/>
                    </w:rPr>
                    <w:t>0.01 t</w:t>
                  </w:r>
                </w:p>
              </w:tc>
            </w:tr>
            <w:tr w14:paraId="655B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Align w:val="center"/>
                </w:tcPr>
                <w:p w14:paraId="1DA526DD">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9</w:t>
                  </w:r>
                </w:p>
              </w:tc>
              <w:tc>
                <w:tcPr>
                  <w:tcW w:w="793" w:type="pct"/>
                  <w:vAlign w:val="center"/>
                </w:tcPr>
                <w:p w14:paraId="63D0BC75">
                  <w:pPr>
                    <w:jc w:val="center"/>
                    <w:rPr>
                      <w:rFonts w:ascii="宋体" w:hAnsi="宋体" w:cs="宋体"/>
                      <w:color w:val="333333"/>
                      <w:szCs w:val="21"/>
                      <w:shd w:val="clear" w:color="auto" w:fill="FFFFFF"/>
                    </w:rPr>
                  </w:pPr>
                  <w:r>
                    <w:rPr>
                      <w:rFonts w:hint="eastAsia"/>
                      <w:szCs w:val="21"/>
                      <w:shd w:val="clear" w:color="auto" w:fill="FFFFFF"/>
                    </w:rPr>
                    <w:t>密封胶</w:t>
                  </w:r>
                </w:p>
              </w:tc>
              <w:tc>
                <w:tcPr>
                  <w:tcW w:w="796" w:type="pct"/>
                  <w:vAlign w:val="center"/>
                </w:tcPr>
                <w:p w14:paraId="59DABBFB">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1 kg/支</w:t>
                  </w:r>
                </w:p>
              </w:tc>
              <w:tc>
                <w:tcPr>
                  <w:tcW w:w="714" w:type="pct"/>
                  <w:vAlign w:val="center"/>
                </w:tcPr>
                <w:p w14:paraId="376A601B">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 xml:space="preserve">0.5 </w:t>
                  </w:r>
                  <w:r>
                    <w:rPr>
                      <w:rFonts w:ascii="宋体" w:hAnsi="宋体" w:cs="宋体"/>
                      <w:color w:val="333333"/>
                      <w:szCs w:val="21"/>
                      <w:shd w:val="clear" w:color="auto" w:fill="FFFFFF"/>
                    </w:rPr>
                    <w:t>t/a</w:t>
                  </w:r>
                </w:p>
              </w:tc>
              <w:tc>
                <w:tcPr>
                  <w:tcW w:w="1265" w:type="pct"/>
                  <w:vAlign w:val="center"/>
                </w:tcPr>
                <w:p w14:paraId="06F5B012">
                  <w:pPr>
                    <w:jc w:val="center"/>
                    <w:rPr>
                      <w:rFonts w:ascii="宋体" w:hAnsi="宋体" w:cs="宋体"/>
                      <w:color w:val="333333"/>
                      <w:szCs w:val="21"/>
                      <w:shd w:val="clear" w:color="auto" w:fill="FFFFFF"/>
                    </w:rPr>
                  </w:pPr>
                  <w:r>
                    <w:rPr>
                      <w:rFonts w:hint="eastAsia"/>
                      <w:szCs w:val="21"/>
                      <w:shd w:val="clear" w:color="auto" w:fill="FFFFFF"/>
                    </w:rPr>
                    <w:t>固态，桶装</w:t>
                  </w:r>
                </w:p>
              </w:tc>
              <w:tc>
                <w:tcPr>
                  <w:tcW w:w="953" w:type="pct"/>
                  <w:vAlign w:val="center"/>
                </w:tcPr>
                <w:p w14:paraId="1A70683A">
                  <w:pPr>
                    <w:jc w:val="center"/>
                    <w:rPr>
                      <w:rFonts w:ascii="宋体" w:hAnsi="宋体" w:cs="宋体"/>
                      <w:color w:val="333333"/>
                      <w:szCs w:val="21"/>
                      <w:shd w:val="clear" w:color="auto" w:fill="FFFFFF"/>
                    </w:rPr>
                  </w:pPr>
                  <w:r>
                    <w:rPr>
                      <w:rFonts w:hint="eastAsia" w:ascii="宋体" w:hAnsi="宋体" w:cs="宋体"/>
                      <w:color w:val="333333"/>
                      <w:szCs w:val="21"/>
                      <w:shd w:val="clear" w:color="auto" w:fill="FFFFFF"/>
                    </w:rPr>
                    <w:t>0.1 t</w:t>
                  </w:r>
                </w:p>
              </w:tc>
            </w:tr>
          </w:tbl>
          <w:p w14:paraId="10D9DCD8">
            <w:pPr>
              <w:spacing w:line="500" w:lineRule="exact"/>
              <w:ind w:firstLine="482" w:firstLineChars="200"/>
              <w:rPr>
                <w:b/>
                <w:sz w:val="24"/>
              </w:rPr>
            </w:pPr>
            <w:r>
              <w:rPr>
                <w:rFonts w:hint="eastAsia"/>
                <w:b/>
                <w:sz w:val="24"/>
              </w:rPr>
              <w:t>主要化学品的理化性质</w:t>
            </w:r>
          </w:p>
          <w:p w14:paraId="10F9FBDA">
            <w:pPr>
              <w:spacing w:line="500" w:lineRule="exact"/>
              <w:ind w:firstLine="480" w:firstLineChars="200"/>
              <w:rPr>
                <w:bCs/>
                <w:sz w:val="24"/>
              </w:rPr>
            </w:pPr>
            <w:r>
              <w:rPr>
                <w:rFonts w:hint="eastAsia"/>
                <w:bCs/>
                <w:sz w:val="24"/>
              </w:rPr>
              <w:t>本项目涉及的化学品原辅材料的理化性质如下表所示：</w:t>
            </w:r>
          </w:p>
          <w:p w14:paraId="736D2F0D">
            <w:pPr>
              <w:pStyle w:val="52"/>
              <w:spacing w:line="360" w:lineRule="auto"/>
              <w:ind w:firstLine="0"/>
              <w:jc w:val="center"/>
              <w:rPr>
                <w:rFonts w:hAnsi="宋体" w:cs="宋体"/>
                <w:b/>
                <w:bCs/>
                <w:color w:val="333333"/>
                <w:kern w:val="2"/>
                <w:sz w:val="21"/>
                <w:szCs w:val="21"/>
                <w:shd w:val="clear" w:color="auto" w:fill="FFFFFF"/>
              </w:rPr>
            </w:pPr>
            <w:r>
              <w:rPr>
                <w:rFonts w:hint="eastAsia" w:hAnsi="宋体" w:cs="宋体"/>
                <w:b/>
                <w:bCs/>
                <w:color w:val="333333"/>
                <w:kern w:val="2"/>
                <w:sz w:val="21"/>
                <w:szCs w:val="21"/>
                <w:shd w:val="clear" w:color="auto" w:fill="FFFFFF"/>
              </w:rPr>
              <w:t>表2-8 原辅材料理化性质一览表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136"/>
              <w:gridCol w:w="6564"/>
            </w:tblGrid>
            <w:tr w14:paraId="6D26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9BF6C02">
                  <w:pPr>
                    <w:spacing w:line="500" w:lineRule="exact"/>
                    <w:jc w:val="center"/>
                    <w:rPr>
                      <w:b/>
                      <w:sz w:val="22"/>
                      <w:szCs w:val="22"/>
                    </w:rPr>
                  </w:pPr>
                  <w:r>
                    <w:rPr>
                      <w:rFonts w:hint="eastAsia"/>
                      <w:b/>
                      <w:sz w:val="22"/>
                      <w:szCs w:val="22"/>
                    </w:rPr>
                    <w:t>序号</w:t>
                  </w:r>
                </w:p>
              </w:tc>
              <w:tc>
                <w:tcPr>
                  <w:tcW w:w="1136" w:type="dxa"/>
                  <w:vAlign w:val="center"/>
                </w:tcPr>
                <w:p w14:paraId="2F9F40D9">
                  <w:pPr>
                    <w:spacing w:line="500" w:lineRule="exact"/>
                    <w:jc w:val="center"/>
                    <w:rPr>
                      <w:b/>
                      <w:sz w:val="22"/>
                      <w:szCs w:val="22"/>
                    </w:rPr>
                  </w:pPr>
                  <w:r>
                    <w:rPr>
                      <w:rFonts w:hint="eastAsia"/>
                      <w:b/>
                      <w:sz w:val="22"/>
                      <w:szCs w:val="22"/>
                    </w:rPr>
                    <w:t>原辅料名称</w:t>
                  </w:r>
                </w:p>
              </w:tc>
              <w:tc>
                <w:tcPr>
                  <w:tcW w:w="6564" w:type="dxa"/>
                  <w:vAlign w:val="center"/>
                </w:tcPr>
                <w:p w14:paraId="0B87A08C">
                  <w:pPr>
                    <w:spacing w:line="500" w:lineRule="exact"/>
                    <w:jc w:val="center"/>
                    <w:rPr>
                      <w:b/>
                      <w:sz w:val="22"/>
                      <w:szCs w:val="22"/>
                    </w:rPr>
                  </w:pPr>
                  <w:r>
                    <w:rPr>
                      <w:rFonts w:hint="eastAsia"/>
                      <w:b/>
                      <w:sz w:val="22"/>
                      <w:szCs w:val="22"/>
                    </w:rPr>
                    <w:t>主要性质</w:t>
                  </w:r>
                </w:p>
              </w:tc>
            </w:tr>
            <w:tr w14:paraId="15E1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6A97531">
                  <w:pPr>
                    <w:widowControl/>
                    <w:jc w:val="center"/>
                    <w:rPr>
                      <w:bCs/>
                      <w:szCs w:val="21"/>
                    </w:rPr>
                  </w:pPr>
                  <w:r>
                    <w:rPr>
                      <w:rFonts w:hint="eastAsia"/>
                      <w:bCs/>
                      <w:szCs w:val="21"/>
                    </w:rPr>
                    <w:t>1</w:t>
                  </w:r>
                </w:p>
              </w:tc>
              <w:tc>
                <w:tcPr>
                  <w:tcW w:w="1136" w:type="dxa"/>
                  <w:vAlign w:val="center"/>
                </w:tcPr>
                <w:p w14:paraId="2E018A2E">
                  <w:pPr>
                    <w:widowControl/>
                    <w:jc w:val="center"/>
                    <w:rPr>
                      <w:bCs/>
                      <w:szCs w:val="21"/>
                    </w:rPr>
                  </w:pPr>
                  <w:r>
                    <w:rPr>
                      <w:rFonts w:hint="eastAsia"/>
                      <w:bCs/>
                      <w:szCs w:val="21"/>
                    </w:rPr>
                    <w:t>镀锌钢板</w:t>
                  </w:r>
                </w:p>
              </w:tc>
              <w:tc>
                <w:tcPr>
                  <w:tcW w:w="6564" w:type="dxa"/>
                  <w:vAlign w:val="center"/>
                </w:tcPr>
                <w:p w14:paraId="0C1ED517">
                  <w:pPr>
                    <w:widowControl/>
                    <w:jc w:val="center"/>
                    <w:rPr>
                      <w:bCs/>
                      <w:szCs w:val="21"/>
                    </w:rPr>
                  </w:pPr>
                  <w:r>
                    <w:rPr>
                      <w:rFonts w:hint="eastAsia"/>
                      <w:bCs/>
                      <w:szCs w:val="21"/>
                    </w:rPr>
                    <w:t>主要成分是铁，表面为镀锌层。</w:t>
                  </w:r>
                </w:p>
              </w:tc>
            </w:tr>
            <w:tr w14:paraId="4514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7B09BA">
                  <w:pPr>
                    <w:widowControl/>
                    <w:jc w:val="center"/>
                    <w:rPr>
                      <w:bCs/>
                      <w:szCs w:val="21"/>
                    </w:rPr>
                  </w:pPr>
                  <w:r>
                    <w:rPr>
                      <w:rFonts w:hint="eastAsia"/>
                      <w:bCs/>
                      <w:szCs w:val="21"/>
                    </w:rPr>
                    <w:t>2</w:t>
                  </w:r>
                </w:p>
              </w:tc>
              <w:tc>
                <w:tcPr>
                  <w:tcW w:w="1136" w:type="dxa"/>
                  <w:vAlign w:val="center"/>
                </w:tcPr>
                <w:p w14:paraId="6C31152F">
                  <w:pPr>
                    <w:widowControl/>
                    <w:jc w:val="center"/>
                    <w:rPr>
                      <w:bCs/>
                      <w:szCs w:val="21"/>
                    </w:rPr>
                  </w:pPr>
                  <w:r>
                    <w:rPr>
                      <w:rFonts w:hint="eastAsia"/>
                      <w:bCs/>
                      <w:szCs w:val="21"/>
                    </w:rPr>
                    <w:t>酒精</w:t>
                  </w:r>
                </w:p>
              </w:tc>
              <w:tc>
                <w:tcPr>
                  <w:tcW w:w="6564" w:type="dxa"/>
                  <w:vAlign w:val="center"/>
                </w:tcPr>
                <w:p w14:paraId="3206AC81">
                  <w:pPr>
                    <w:widowControl/>
                    <w:jc w:val="center"/>
                    <w:rPr>
                      <w:bCs/>
                      <w:szCs w:val="21"/>
                    </w:rPr>
                  </w:pPr>
                  <w:r>
                    <w:rPr>
                      <w:rFonts w:hint="eastAsia"/>
                      <w:bCs/>
                      <w:szCs w:val="21"/>
                    </w:rPr>
                    <w:t>即乙醇（ethanol），是一种有机化合物，结构简式为 CH</w:t>
                  </w:r>
                  <w:r>
                    <w:rPr>
                      <w:rFonts w:hint="eastAsia"/>
                      <w:bCs/>
                      <w:szCs w:val="21"/>
                      <w:vertAlign w:val="subscript"/>
                    </w:rPr>
                    <w:t>3</w:t>
                  </w:r>
                  <w:r>
                    <w:rPr>
                      <w:rFonts w:hint="eastAsia"/>
                      <w:bCs/>
                      <w:szCs w:val="21"/>
                    </w:rPr>
                    <w:t>CH</w:t>
                  </w:r>
                  <w:r>
                    <w:rPr>
                      <w:rFonts w:hint="eastAsia"/>
                      <w:bCs/>
                      <w:szCs w:val="21"/>
                      <w:vertAlign w:val="subscript"/>
                    </w:rPr>
                    <w:t>2</w:t>
                  </w:r>
                  <w:r>
                    <w:rPr>
                      <w:rFonts w:hint="eastAsia"/>
                      <w:bCs/>
                      <w:szCs w:val="21"/>
                    </w:rPr>
                    <w:t>OH 或C</w:t>
                  </w:r>
                  <w:r>
                    <w:rPr>
                      <w:rFonts w:hint="eastAsia"/>
                      <w:bCs/>
                      <w:szCs w:val="21"/>
                      <w:vertAlign w:val="subscript"/>
                    </w:rPr>
                    <w:t>2</w:t>
                  </w:r>
                  <w:r>
                    <w:rPr>
                      <w:rFonts w:hint="eastAsia"/>
                      <w:bCs/>
                      <w:szCs w:val="21"/>
                    </w:rPr>
                    <w:t>H</w:t>
                  </w:r>
                  <w:r>
                    <w:rPr>
                      <w:rFonts w:hint="eastAsia"/>
                      <w:bCs/>
                      <w:szCs w:val="21"/>
                      <w:vertAlign w:val="subscript"/>
                    </w:rPr>
                    <w:t>5</w:t>
                  </w:r>
                  <w:r>
                    <w:rPr>
                      <w:rFonts w:hint="eastAsia"/>
                      <w:bCs/>
                      <w:szCs w:val="21"/>
                    </w:rPr>
                    <w:t>OH，分子式为 C</w:t>
                  </w:r>
                  <w:r>
                    <w:rPr>
                      <w:rFonts w:hint="eastAsia"/>
                      <w:bCs/>
                      <w:szCs w:val="21"/>
                      <w:vertAlign w:val="subscript"/>
                    </w:rPr>
                    <w:t>2</w:t>
                  </w:r>
                  <w:r>
                    <w:rPr>
                      <w:rFonts w:hint="eastAsia"/>
                      <w:bCs/>
                      <w:szCs w:val="21"/>
                    </w:rPr>
                    <w:t>H</w:t>
                  </w:r>
                  <w:r>
                    <w:rPr>
                      <w:rFonts w:hint="eastAsia"/>
                      <w:bCs/>
                      <w:szCs w:val="21"/>
                      <w:vertAlign w:val="subscript"/>
                    </w:rPr>
                    <w:t>6</w:t>
                  </w:r>
                  <w:r>
                    <w:rPr>
                      <w:rFonts w:hint="eastAsia"/>
                      <w:bCs/>
                      <w:szCs w:val="21"/>
                    </w:rPr>
                    <w:t>O，俗称酒精。 乙醇在常温常压下是一种易挥发的无色透明液体，低毒性， 乙醇能与水以任意比互溶，能与氯仿、乙醚、甲醇、丙酮和其他多数有机溶剂混溶。 乙醇的水溶液具有酒香的气味，并略带刺激性，味甘。乙醇易燃，其蒸气能与空气形成爆炸性混合物。乙醇可用于制造醋酸、饮料、香精、染料、燃料等，医疗上常用体积分数为 70%~75%的乙醇作消毒剂。乙醇在化学工业、医疗卫生、食品工业、农业生产等领域都有广泛的用途。</w:t>
                  </w:r>
                </w:p>
              </w:tc>
            </w:tr>
            <w:tr w14:paraId="19C4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1143909">
                  <w:pPr>
                    <w:widowControl/>
                    <w:jc w:val="center"/>
                    <w:rPr>
                      <w:bCs/>
                      <w:szCs w:val="21"/>
                    </w:rPr>
                  </w:pPr>
                  <w:r>
                    <w:rPr>
                      <w:rFonts w:hint="eastAsia"/>
                      <w:bCs/>
                      <w:szCs w:val="21"/>
                    </w:rPr>
                    <w:t>3</w:t>
                  </w:r>
                </w:p>
              </w:tc>
              <w:tc>
                <w:tcPr>
                  <w:tcW w:w="1136" w:type="dxa"/>
                  <w:vAlign w:val="center"/>
                </w:tcPr>
                <w:p w14:paraId="3FDCD560">
                  <w:pPr>
                    <w:widowControl/>
                    <w:jc w:val="center"/>
                    <w:rPr>
                      <w:bCs/>
                      <w:szCs w:val="21"/>
                    </w:rPr>
                  </w:pPr>
                  <w:r>
                    <w:rPr>
                      <w:rFonts w:hint="eastAsia"/>
                      <w:bCs/>
                      <w:szCs w:val="21"/>
                    </w:rPr>
                    <w:t>粘黏剂</w:t>
                  </w:r>
                </w:p>
              </w:tc>
              <w:tc>
                <w:tcPr>
                  <w:tcW w:w="6564" w:type="dxa"/>
                  <w:vAlign w:val="center"/>
                </w:tcPr>
                <w:p w14:paraId="15F2AC2E">
                  <w:pPr>
                    <w:widowControl/>
                    <w:jc w:val="center"/>
                    <w:rPr>
                      <w:bCs/>
                      <w:szCs w:val="21"/>
                    </w:rPr>
                  </w:pPr>
                  <w:r>
                    <w:rPr>
                      <w:rFonts w:hint="eastAsia"/>
                      <w:bCs/>
                      <w:szCs w:val="21"/>
                    </w:rPr>
                    <w:t>本项目涂胶所用粘黏剂为硅橡胶粘黏剂，根据建设单位提供的MSDS，其主要成分为：a,w-二羟基二甲基硅氧烷</w:t>
                  </w:r>
                  <w:r>
                    <w:rPr>
                      <w:bCs/>
                      <w:szCs w:val="21"/>
                    </w:rPr>
                    <w:t>15~25</w:t>
                  </w:r>
                  <w:r>
                    <w:rPr>
                      <w:rFonts w:hint="eastAsia"/>
                      <w:bCs/>
                      <w:szCs w:val="21"/>
                    </w:rPr>
                    <w:t>%、氧化铝</w:t>
                  </w:r>
                  <w:r>
                    <w:rPr>
                      <w:bCs/>
                      <w:szCs w:val="21"/>
                    </w:rPr>
                    <w:t>35~55</w:t>
                  </w:r>
                  <w:r>
                    <w:rPr>
                      <w:rFonts w:hint="eastAsia"/>
                      <w:bCs/>
                      <w:szCs w:val="21"/>
                    </w:rPr>
                    <w:t>%、氧化锌</w:t>
                  </w:r>
                  <w:r>
                    <w:rPr>
                      <w:bCs/>
                      <w:szCs w:val="21"/>
                    </w:rPr>
                    <w:t>35~45</w:t>
                  </w:r>
                  <w:r>
                    <w:rPr>
                      <w:rFonts w:hint="eastAsia"/>
                      <w:bCs/>
                      <w:szCs w:val="21"/>
                    </w:rPr>
                    <w:t>%，闪点＞101.1℃，根据建设单位提供的 VOCs 检测报告（详见附件 5），其VOCs含量为22g/kg，满足《胶黏剂挥发性有机化合物限量》（GB33372-2020）中表3本体型有机硅类胶黏剂的要求≤100g/kg，为低 VOCs 型粘黏剂。</w:t>
                  </w:r>
                </w:p>
              </w:tc>
            </w:tr>
            <w:tr w14:paraId="073E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41C80E">
                  <w:pPr>
                    <w:widowControl/>
                    <w:jc w:val="center"/>
                    <w:rPr>
                      <w:bCs/>
                      <w:szCs w:val="21"/>
                    </w:rPr>
                  </w:pPr>
                  <w:r>
                    <w:rPr>
                      <w:rFonts w:hint="eastAsia"/>
                      <w:bCs/>
                      <w:szCs w:val="21"/>
                    </w:rPr>
                    <w:t>4</w:t>
                  </w:r>
                </w:p>
              </w:tc>
              <w:tc>
                <w:tcPr>
                  <w:tcW w:w="1136" w:type="dxa"/>
                  <w:vAlign w:val="center"/>
                </w:tcPr>
                <w:p w14:paraId="7DA4941A">
                  <w:pPr>
                    <w:widowControl/>
                    <w:jc w:val="center"/>
                    <w:rPr>
                      <w:szCs w:val="21"/>
                    </w:rPr>
                  </w:pPr>
                  <w:r>
                    <w:rPr>
                      <w:rFonts w:hint="eastAsia"/>
                      <w:color w:val="333333"/>
                      <w:sz w:val="24"/>
                      <w:shd w:val="clear" w:color="auto" w:fill="FFFFFF"/>
                    </w:rPr>
                    <w:t>PA树脂（共聚酰胺热熔胶）</w:t>
                  </w:r>
                </w:p>
              </w:tc>
              <w:tc>
                <w:tcPr>
                  <w:tcW w:w="6564" w:type="dxa"/>
                  <w:vAlign w:val="center"/>
                </w:tcPr>
                <w:p w14:paraId="0D460080">
                  <w:pPr>
                    <w:widowControl/>
                    <w:jc w:val="center"/>
                    <w:rPr>
                      <w:bCs/>
                      <w:szCs w:val="21"/>
                    </w:rPr>
                  </w:pPr>
                  <w:r>
                    <w:rPr>
                      <w:bCs/>
                      <w:szCs w:val="21"/>
                    </w:rPr>
                    <w:t>Polyamide(聚酰胺树脂)，俗称尼龙(Nylon)，是分子主链上含有重复酰胺基团-[NHCO]-的热塑性树脂总称，包括脂肪族PA，脂肪-芳香族PA和芳香族PA。其中脂肪族PA品种多，产量大，应用广泛，其命名由合成单体具体的碳原子数而定。其是一种热塑性高分子材料</w:t>
                  </w:r>
                  <w:r>
                    <w:rPr>
                      <w:rFonts w:hint="eastAsia"/>
                      <w:bCs/>
                      <w:szCs w:val="21"/>
                    </w:rPr>
                    <w:t>，具有优秀的耐热性能。聚酰胺树脂最突出的优点为软化点的范围特别窄，而不像其它热塑性树脂那样,有一个逐渐固化或软化的过程，当温度稍低于熔点时就引起急速地固化。熔</w:t>
                  </w:r>
                  <w:r>
                    <w:rPr>
                      <w:bCs/>
                      <w:szCs w:val="21"/>
                    </w:rPr>
                    <w:t>点约110~135℃，PA的分解温度一般在300℃以上，具体取决于材料的牌号和制备工艺。在这个温度范围内，PA分子链会断裂，产生小分子物质的挥发和气体的释放。这些小分子物质和气体的生成会导致材料的性能下降，失去原有的力学强度和尺寸稳定性。</w:t>
                  </w:r>
                </w:p>
                <w:p w14:paraId="518DF621">
                  <w:pPr>
                    <w:pStyle w:val="18"/>
                    <w:spacing w:before="120" w:beforeLines="50" w:afterLines="50" w:line="360" w:lineRule="auto"/>
                    <w:jc w:val="center"/>
                    <w:rPr>
                      <w:color w:val="333333"/>
                      <w:sz w:val="24"/>
                      <w:shd w:val="clear" w:color="auto" w:fill="FFFFFF"/>
                    </w:rPr>
                  </w:pPr>
                  <w:r>
                    <w:drawing>
                      <wp:inline distT="0" distB="0" distL="0" distR="0">
                        <wp:extent cx="2598420" cy="1798320"/>
                        <wp:effectExtent l="0" t="0" r="0" b="0"/>
                        <wp:docPr id="13822822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82295"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98420" cy="1798320"/>
                                </a:xfrm>
                                <a:prstGeom prst="rect">
                                  <a:avLst/>
                                </a:prstGeom>
                                <a:noFill/>
                                <a:ln>
                                  <a:noFill/>
                                </a:ln>
                              </pic:spPr>
                            </pic:pic>
                          </a:graphicData>
                        </a:graphic>
                      </wp:inline>
                    </w:drawing>
                  </w:r>
                </w:p>
                <w:p w14:paraId="2DD2B38A">
                  <w:pPr>
                    <w:widowControl/>
                    <w:jc w:val="center"/>
                    <w:rPr>
                      <w:bCs/>
                      <w:szCs w:val="21"/>
                    </w:rPr>
                  </w:pPr>
                </w:p>
              </w:tc>
            </w:tr>
          </w:tbl>
          <w:p w14:paraId="2728E419">
            <w:pPr>
              <w:spacing w:line="500" w:lineRule="exact"/>
              <w:ind w:firstLine="482" w:firstLineChars="200"/>
              <w:rPr>
                <w:b/>
                <w:sz w:val="24"/>
              </w:rPr>
            </w:pPr>
            <w:r>
              <w:rPr>
                <w:rFonts w:hint="eastAsia"/>
                <w:b/>
                <w:sz w:val="24"/>
              </w:rPr>
              <w:t>5、 项目主要生产单元及生产设施一览表</w:t>
            </w:r>
          </w:p>
          <w:p w14:paraId="66C35BAF">
            <w:pPr>
              <w:spacing w:line="500" w:lineRule="exact"/>
              <w:ind w:firstLine="480" w:firstLineChars="200"/>
              <w:rPr>
                <w:bCs/>
                <w:sz w:val="24"/>
              </w:rPr>
            </w:pPr>
            <w:r>
              <w:rPr>
                <w:rFonts w:hint="eastAsia"/>
                <w:bCs/>
                <w:sz w:val="24"/>
              </w:rPr>
              <w:t>项目主要生产单元及生产设施见下表：</w:t>
            </w:r>
          </w:p>
          <w:p w14:paraId="74AC6A34">
            <w:pPr>
              <w:spacing w:line="500" w:lineRule="exact"/>
              <w:jc w:val="center"/>
              <w:rPr>
                <w:b/>
                <w:sz w:val="24"/>
              </w:rPr>
            </w:pPr>
            <w:r>
              <w:rPr>
                <w:rFonts w:hint="eastAsia"/>
                <w:b/>
                <w:sz w:val="24"/>
              </w:rPr>
              <w:t>表2-9 主要设备清单一览表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2766"/>
              <w:gridCol w:w="1229"/>
              <w:gridCol w:w="3233"/>
            </w:tblGrid>
            <w:tr w14:paraId="52F6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vAlign w:val="center"/>
                </w:tcPr>
                <w:p w14:paraId="7CC0D67B">
                  <w:pPr>
                    <w:spacing w:line="500" w:lineRule="exact"/>
                    <w:jc w:val="center"/>
                    <w:rPr>
                      <w:b/>
                      <w:sz w:val="24"/>
                    </w:rPr>
                  </w:pPr>
                  <w:r>
                    <w:rPr>
                      <w:rFonts w:hint="eastAsia"/>
                      <w:b/>
                      <w:sz w:val="24"/>
                    </w:rPr>
                    <w:t>序号</w:t>
                  </w:r>
                </w:p>
              </w:tc>
              <w:tc>
                <w:tcPr>
                  <w:tcW w:w="1645" w:type="pct"/>
                  <w:vAlign w:val="center"/>
                </w:tcPr>
                <w:p w14:paraId="42A37B74">
                  <w:pPr>
                    <w:spacing w:line="500" w:lineRule="exact"/>
                    <w:jc w:val="center"/>
                    <w:rPr>
                      <w:b/>
                      <w:sz w:val="24"/>
                    </w:rPr>
                  </w:pPr>
                  <w:r>
                    <w:rPr>
                      <w:rFonts w:hint="eastAsia"/>
                      <w:b/>
                      <w:sz w:val="24"/>
                    </w:rPr>
                    <w:t>生产设施</w:t>
                  </w:r>
                </w:p>
              </w:tc>
              <w:tc>
                <w:tcPr>
                  <w:tcW w:w="731" w:type="pct"/>
                  <w:vAlign w:val="center"/>
                </w:tcPr>
                <w:p w14:paraId="14C3F120">
                  <w:pPr>
                    <w:spacing w:line="500" w:lineRule="exact"/>
                    <w:jc w:val="center"/>
                    <w:rPr>
                      <w:b/>
                      <w:sz w:val="24"/>
                    </w:rPr>
                  </w:pPr>
                  <w:r>
                    <w:rPr>
                      <w:rFonts w:hint="eastAsia"/>
                      <w:b/>
                      <w:sz w:val="24"/>
                    </w:rPr>
                    <w:t>设施参数</w:t>
                  </w:r>
                </w:p>
              </w:tc>
              <w:tc>
                <w:tcPr>
                  <w:tcW w:w="1922" w:type="pct"/>
                  <w:vAlign w:val="center"/>
                </w:tcPr>
                <w:p w14:paraId="3C062640">
                  <w:pPr>
                    <w:spacing w:line="500" w:lineRule="exact"/>
                    <w:jc w:val="center"/>
                    <w:rPr>
                      <w:b/>
                      <w:sz w:val="24"/>
                    </w:rPr>
                  </w:pPr>
                  <w:r>
                    <w:rPr>
                      <w:rFonts w:hint="eastAsia"/>
                      <w:b/>
                      <w:sz w:val="24"/>
                    </w:rPr>
                    <w:t>数量</w:t>
                  </w:r>
                </w:p>
              </w:tc>
            </w:tr>
            <w:tr w14:paraId="1403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vAlign w:val="center"/>
                </w:tcPr>
                <w:p w14:paraId="1166A2FD">
                  <w:pPr>
                    <w:widowControl/>
                    <w:jc w:val="center"/>
                    <w:rPr>
                      <w:bCs/>
                      <w:szCs w:val="21"/>
                    </w:rPr>
                  </w:pPr>
                  <w:r>
                    <w:rPr>
                      <w:rFonts w:hint="eastAsia"/>
                      <w:bCs/>
                      <w:szCs w:val="21"/>
                    </w:rPr>
                    <w:t>1</w:t>
                  </w:r>
                </w:p>
              </w:tc>
              <w:tc>
                <w:tcPr>
                  <w:tcW w:w="1645" w:type="pct"/>
                  <w:vAlign w:val="center"/>
                </w:tcPr>
                <w:p w14:paraId="28FBCA71">
                  <w:pPr>
                    <w:widowControl/>
                    <w:jc w:val="center"/>
                    <w:rPr>
                      <w:bCs/>
                      <w:szCs w:val="21"/>
                    </w:rPr>
                  </w:pPr>
                  <w:r>
                    <w:rPr>
                      <w:rFonts w:hint="eastAsia"/>
                      <w:bCs/>
                      <w:szCs w:val="21"/>
                    </w:rPr>
                    <w:t>压条成型机</w:t>
                  </w:r>
                </w:p>
              </w:tc>
              <w:tc>
                <w:tcPr>
                  <w:tcW w:w="731" w:type="pct"/>
                  <w:vAlign w:val="center"/>
                </w:tcPr>
                <w:p w14:paraId="5E922558">
                  <w:pPr>
                    <w:widowControl/>
                    <w:jc w:val="center"/>
                    <w:rPr>
                      <w:bCs/>
                      <w:szCs w:val="21"/>
                    </w:rPr>
                  </w:pPr>
                  <w:r>
                    <w:rPr>
                      <w:rFonts w:hint="eastAsia"/>
                      <w:bCs/>
                      <w:szCs w:val="21"/>
                    </w:rPr>
                    <w:t>/</w:t>
                  </w:r>
                </w:p>
              </w:tc>
              <w:tc>
                <w:tcPr>
                  <w:tcW w:w="1922" w:type="pct"/>
                  <w:vAlign w:val="center"/>
                </w:tcPr>
                <w:p w14:paraId="27AF8812">
                  <w:pPr>
                    <w:widowControl/>
                    <w:jc w:val="center"/>
                    <w:rPr>
                      <w:bCs/>
                      <w:szCs w:val="21"/>
                    </w:rPr>
                  </w:pPr>
                  <w:r>
                    <w:rPr>
                      <w:rFonts w:hint="eastAsia"/>
                      <w:bCs/>
                      <w:szCs w:val="21"/>
                    </w:rPr>
                    <w:t>15台</w:t>
                  </w:r>
                </w:p>
              </w:tc>
            </w:tr>
            <w:tr w14:paraId="59BD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vAlign w:val="center"/>
                </w:tcPr>
                <w:p w14:paraId="4CE79B21">
                  <w:pPr>
                    <w:widowControl/>
                    <w:jc w:val="center"/>
                    <w:rPr>
                      <w:bCs/>
                      <w:szCs w:val="21"/>
                    </w:rPr>
                  </w:pPr>
                  <w:r>
                    <w:rPr>
                      <w:rFonts w:hint="eastAsia"/>
                      <w:bCs/>
                      <w:szCs w:val="21"/>
                    </w:rPr>
                    <w:t>2</w:t>
                  </w:r>
                </w:p>
              </w:tc>
              <w:tc>
                <w:tcPr>
                  <w:tcW w:w="1645" w:type="pct"/>
                  <w:vAlign w:val="center"/>
                </w:tcPr>
                <w:p w14:paraId="66ED776C">
                  <w:pPr>
                    <w:widowControl/>
                    <w:jc w:val="center"/>
                    <w:rPr>
                      <w:bCs/>
                      <w:szCs w:val="21"/>
                    </w:rPr>
                  </w:pPr>
                  <w:r>
                    <w:rPr>
                      <w:rFonts w:hint="eastAsia"/>
                      <w:bCs/>
                      <w:szCs w:val="21"/>
                    </w:rPr>
                    <w:t>内框成型机</w:t>
                  </w:r>
                </w:p>
              </w:tc>
              <w:tc>
                <w:tcPr>
                  <w:tcW w:w="731" w:type="pct"/>
                  <w:vAlign w:val="center"/>
                </w:tcPr>
                <w:p w14:paraId="3F0B4CB1">
                  <w:pPr>
                    <w:widowControl/>
                    <w:jc w:val="center"/>
                    <w:rPr>
                      <w:bCs/>
                      <w:szCs w:val="21"/>
                    </w:rPr>
                  </w:pPr>
                  <w:r>
                    <w:rPr>
                      <w:rFonts w:hint="eastAsia"/>
                      <w:bCs/>
                      <w:szCs w:val="21"/>
                    </w:rPr>
                    <w:t>/</w:t>
                  </w:r>
                </w:p>
              </w:tc>
              <w:tc>
                <w:tcPr>
                  <w:tcW w:w="1922" w:type="pct"/>
                  <w:vAlign w:val="center"/>
                </w:tcPr>
                <w:p w14:paraId="2F89EFB4">
                  <w:pPr>
                    <w:widowControl/>
                    <w:jc w:val="center"/>
                    <w:rPr>
                      <w:bCs/>
                      <w:szCs w:val="21"/>
                    </w:rPr>
                  </w:pPr>
                  <w:r>
                    <w:rPr>
                      <w:rFonts w:hint="eastAsia"/>
                      <w:bCs/>
                      <w:szCs w:val="21"/>
                    </w:rPr>
                    <w:t>15台</w:t>
                  </w:r>
                </w:p>
              </w:tc>
            </w:tr>
            <w:tr w14:paraId="7C24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vAlign w:val="center"/>
                </w:tcPr>
                <w:p w14:paraId="59856F4A">
                  <w:pPr>
                    <w:widowControl/>
                    <w:jc w:val="center"/>
                    <w:rPr>
                      <w:bCs/>
                      <w:szCs w:val="21"/>
                    </w:rPr>
                  </w:pPr>
                  <w:r>
                    <w:rPr>
                      <w:rFonts w:hint="eastAsia"/>
                      <w:bCs/>
                      <w:szCs w:val="21"/>
                    </w:rPr>
                    <w:t>3</w:t>
                  </w:r>
                </w:p>
              </w:tc>
              <w:tc>
                <w:tcPr>
                  <w:tcW w:w="1645" w:type="pct"/>
                  <w:vAlign w:val="center"/>
                </w:tcPr>
                <w:p w14:paraId="476D6FF0">
                  <w:pPr>
                    <w:widowControl/>
                    <w:jc w:val="center"/>
                    <w:rPr>
                      <w:bCs/>
                      <w:szCs w:val="21"/>
                    </w:rPr>
                  </w:pPr>
                  <w:r>
                    <w:rPr>
                      <w:rFonts w:hint="eastAsia"/>
                      <w:bCs/>
                      <w:szCs w:val="21"/>
                    </w:rPr>
                    <w:t>外框一体机</w:t>
                  </w:r>
                </w:p>
              </w:tc>
              <w:tc>
                <w:tcPr>
                  <w:tcW w:w="731" w:type="pct"/>
                  <w:vAlign w:val="center"/>
                </w:tcPr>
                <w:p w14:paraId="4C6C2DFE">
                  <w:pPr>
                    <w:widowControl/>
                    <w:jc w:val="center"/>
                    <w:rPr>
                      <w:bCs/>
                      <w:szCs w:val="21"/>
                    </w:rPr>
                  </w:pPr>
                  <w:r>
                    <w:rPr>
                      <w:rFonts w:hint="eastAsia"/>
                      <w:bCs/>
                      <w:szCs w:val="21"/>
                    </w:rPr>
                    <w:t>/</w:t>
                  </w:r>
                </w:p>
              </w:tc>
              <w:tc>
                <w:tcPr>
                  <w:tcW w:w="1922" w:type="pct"/>
                  <w:vAlign w:val="center"/>
                </w:tcPr>
                <w:p w14:paraId="6D2D4103">
                  <w:pPr>
                    <w:widowControl/>
                    <w:jc w:val="center"/>
                    <w:rPr>
                      <w:bCs/>
                      <w:szCs w:val="21"/>
                    </w:rPr>
                  </w:pPr>
                  <w:r>
                    <w:rPr>
                      <w:rFonts w:hint="eastAsia"/>
                      <w:bCs/>
                      <w:szCs w:val="21"/>
                    </w:rPr>
                    <w:t>15台</w:t>
                  </w:r>
                </w:p>
              </w:tc>
            </w:tr>
            <w:tr w14:paraId="349E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vAlign w:val="center"/>
                </w:tcPr>
                <w:p w14:paraId="0CDA12DC">
                  <w:pPr>
                    <w:widowControl/>
                    <w:jc w:val="center"/>
                    <w:rPr>
                      <w:bCs/>
                      <w:szCs w:val="21"/>
                    </w:rPr>
                  </w:pPr>
                  <w:r>
                    <w:rPr>
                      <w:rFonts w:hint="eastAsia"/>
                      <w:bCs/>
                      <w:szCs w:val="21"/>
                    </w:rPr>
                    <w:t>4</w:t>
                  </w:r>
                </w:p>
              </w:tc>
              <w:tc>
                <w:tcPr>
                  <w:tcW w:w="1645" w:type="pct"/>
                  <w:vAlign w:val="center"/>
                </w:tcPr>
                <w:p w14:paraId="31F21BC5">
                  <w:pPr>
                    <w:widowControl/>
                    <w:jc w:val="center"/>
                    <w:rPr>
                      <w:bCs/>
                      <w:szCs w:val="21"/>
                    </w:rPr>
                  </w:pPr>
                  <w:r>
                    <w:rPr>
                      <w:rFonts w:hint="eastAsia"/>
                      <w:bCs/>
                      <w:szCs w:val="21"/>
                    </w:rPr>
                    <w:t>手动电焊机</w:t>
                  </w:r>
                </w:p>
              </w:tc>
              <w:tc>
                <w:tcPr>
                  <w:tcW w:w="731" w:type="pct"/>
                  <w:vAlign w:val="center"/>
                </w:tcPr>
                <w:p w14:paraId="302020B2">
                  <w:pPr>
                    <w:widowControl/>
                    <w:jc w:val="center"/>
                    <w:rPr>
                      <w:bCs/>
                      <w:szCs w:val="21"/>
                    </w:rPr>
                  </w:pPr>
                  <w:r>
                    <w:rPr>
                      <w:rFonts w:hint="eastAsia"/>
                      <w:bCs/>
                      <w:szCs w:val="21"/>
                    </w:rPr>
                    <w:t>/</w:t>
                  </w:r>
                </w:p>
              </w:tc>
              <w:tc>
                <w:tcPr>
                  <w:tcW w:w="1922" w:type="pct"/>
                  <w:vAlign w:val="center"/>
                </w:tcPr>
                <w:p w14:paraId="5B93151E">
                  <w:pPr>
                    <w:widowControl/>
                    <w:jc w:val="center"/>
                    <w:rPr>
                      <w:bCs/>
                      <w:szCs w:val="21"/>
                    </w:rPr>
                  </w:pPr>
                  <w:r>
                    <w:rPr>
                      <w:rFonts w:hint="eastAsia"/>
                      <w:bCs/>
                      <w:szCs w:val="21"/>
                    </w:rPr>
                    <w:t>50台</w:t>
                  </w:r>
                </w:p>
              </w:tc>
            </w:tr>
            <w:tr w14:paraId="1BBB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vAlign w:val="center"/>
                </w:tcPr>
                <w:p w14:paraId="2F3A0E87">
                  <w:pPr>
                    <w:widowControl/>
                    <w:jc w:val="center"/>
                    <w:rPr>
                      <w:bCs/>
                      <w:szCs w:val="21"/>
                    </w:rPr>
                  </w:pPr>
                  <w:r>
                    <w:rPr>
                      <w:rFonts w:hint="eastAsia"/>
                      <w:bCs/>
                      <w:szCs w:val="21"/>
                    </w:rPr>
                    <w:t>5</w:t>
                  </w:r>
                </w:p>
              </w:tc>
              <w:tc>
                <w:tcPr>
                  <w:tcW w:w="1645" w:type="pct"/>
                  <w:vAlign w:val="center"/>
                </w:tcPr>
                <w:p w14:paraId="04DEB424">
                  <w:pPr>
                    <w:widowControl/>
                    <w:jc w:val="center"/>
                    <w:rPr>
                      <w:bCs/>
                      <w:szCs w:val="21"/>
                    </w:rPr>
                  </w:pPr>
                  <w:r>
                    <w:rPr>
                      <w:rFonts w:hint="eastAsia"/>
                      <w:bCs/>
                      <w:szCs w:val="21"/>
                    </w:rPr>
                    <w:t>超声复合机</w:t>
                  </w:r>
                </w:p>
              </w:tc>
              <w:tc>
                <w:tcPr>
                  <w:tcW w:w="731" w:type="pct"/>
                  <w:vAlign w:val="center"/>
                </w:tcPr>
                <w:p w14:paraId="6EB17702">
                  <w:pPr>
                    <w:widowControl/>
                    <w:jc w:val="center"/>
                    <w:rPr>
                      <w:bCs/>
                      <w:szCs w:val="21"/>
                    </w:rPr>
                  </w:pPr>
                  <w:r>
                    <w:rPr>
                      <w:rFonts w:hint="eastAsia"/>
                      <w:bCs/>
                      <w:szCs w:val="21"/>
                    </w:rPr>
                    <w:t>/</w:t>
                  </w:r>
                </w:p>
              </w:tc>
              <w:tc>
                <w:tcPr>
                  <w:tcW w:w="1922" w:type="pct"/>
                  <w:vAlign w:val="center"/>
                </w:tcPr>
                <w:p w14:paraId="292F6ED4">
                  <w:pPr>
                    <w:widowControl/>
                    <w:jc w:val="center"/>
                    <w:rPr>
                      <w:bCs/>
                      <w:szCs w:val="21"/>
                    </w:rPr>
                  </w:pPr>
                  <w:r>
                    <w:rPr>
                      <w:rFonts w:hint="eastAsia"/>
                      <w:bCs/>
                      <w:szCs w:val="21"/>
                    </w:rPr>
                    <w:t>5套</w:t>
                  </w:r>
                </w:p>
              </w:tc>
            </w:tr>
            <w:tr w14:paraId="1016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vAlign w:val="center"/>
                </w:tcPr>
                <w:p w14:paraId="05EE6B5F">
                  <w:pPr>
                    <w:widowControl/>
                    <w:jc w:val="center"/>
                    <w:rPr>
                      <w:bCs/>
                      <w:szCs w:val="21"/>
                    </w:rPr>
                  </w:pPr>
                  <w:r>
                    <w:rPr>
                      <w:rFonts w:hint="eastAsia"/>
                      <w:bCs/>
                      <w:szCs w:val="21"/>
                    </w:rPr>
                    <w:t>6</w:t>
                  </w:r>
                </w:p>
              </w:tc>
              <w:tc>
                <w:tcPr>
                  <w:tcW w:w="1645" w:type="pct"/>
                  <w:vAlign w:val="center"/>
                </w:tcPr>
                <w:p w14:paraId="7A2206AE">
                  <w:pPr>
                    <w:widowControl/>
                    <w:jc w:val="center"/>
                    <w:rPr>
                      <w:bCs/>
                      <w:szCs w:val="21"/>
                    </w:rPr>
                  </w:pPr>
                  <w:r>
                    <w:rPr>
                      <w:rFonts w:hint="eastAsia"/>
                      <w:bCs/>
                      <w:szCs w:val="21"/>
                    </w:rPr>
                    <w:t>撒粉涂布烘干一体机</w:t>
                  </w:r>
                </w:p>
              </w:tc>
              <w:tc>
                <w:tcPr>
                  <w:tcW w:w="731" w:type="pct"/>
                  <w:vAlign w:val="center"/>
                </w:tcPr>
                <w:p w14:paraId="06673AD3">
                  <w:pPr>
                    <w:widowControl/>
                    <w:jc w:val="center"/>
                    <w:rPr>
                      <w:bCs/>
                      <w:szCs w:val="21"/>
                    </w:rPr>
                  </w:pPr>
                  <w:r>
                    <w:rPr>
                      <w:rFonts w:hint="eastAsia"/>
                      <w:bCs/>
                      <w:szCs w:val="21"/>
                    </w:rPr>
                    <w:t>/</w:t>
                  </w:r>
                </w:p>
              </w:tc>
              <w:tc>
                <w:tcPr>
                  <w:tcW w:w="1922" w:type="pct"/>
                  <w:vAlign w:val="center"/>
                </w:tcPr>
                <w:p w14:paraId="41485CA3">
                  <w:pPr>
                    <w:widowControl/>
                    <w:jc w:val="center"/>
                    <w:rPr>
                      <w:bCs/>
                      <w:szCs w:val="21"/>
                    </w:rPr>
                  </w:pPr>
                  <w:r>
                    <w:rPr>
                      <w:rFonts w:hint="eastAsia"/>
                      <w:bCs/>
                      <w:szCs w:val="21"/>
                    </w:rPr>
                    <w:t>6台</w:t>
                  </w:r>
                </w:p>
              </w:tc>
            </w:tr>
            <w:tr w14:paraId="5E89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vAlign w:val="center"/>
                </w:tcPr>
                <w:p w14:paraId="4FB52AB8">
                  <w:pPr>
                    <w:widowControl/>
                    <w:jc w:val="center"/>
                    <w:rPr>
                      <w:bCs/>
                      <w:szCs w:val="21"/>
                    </w:rPr>
                  </w:pPr>
                  <w:r>
                    <w:rPr>
                      <w:rFonts w:hint="eastAsia"/>
                      <w:bCs/>
                      <w:szCs w:val="21"/>
                    </w:rPr>
                    <w:t>7</w:t>
                  </w:r>
                </w:p>
              </w:tc>
              <w:tc>
                <w:tcPr>
                  <w:tcW w:w="1645" w:type="pct"/>
                  <w:vAlign w:val="center"/>
                </w:tcPr>
                <w:p w14:paraId="1E64C0FD">
                  <w:pPr>
                    <w:widowControl/>
                    <w:jc w:val="center"/>
                    <w:rPr>
                      <w:bCs/>
                      <w:szCs w:val="21"/>
                    </w:rPr>
                  </w:pPr>
                  <w:r>
                    <w:rPr>
                      <w:rFonts w:hint="eastAsia"/>
                      <w:bCs/>
                      <w:szCs w:val="21"/>
                    </w:rPr>
                    <w:t>裁剪机</w:t>
                  </w:r>
                </w:p>
              </w:tc>
              <w:tc>
                <w:tcPr>
                  <w:tcW w:w="731" w:type="pct"/>
                  <w:vAlign w:val="center"/>
                </w:tcPr>
                <w:p w14:paraId="1A4C6FE5">
                  <w:pPr>
                    <w:widowControl/>
                    <w:jc w:val="center"/>
                    <w:rPr>
                      <w:bCs/>
                      <w:szCs w:val="21"/>
                    </w:rPr>
                  </w:pPr>
                  <w:r>
                    <w:rPr>
                      <w:rFonts w:hint="eastAsia"/>
                      <w:bCs/>
                      <w:szCs w:val="21"/>
                    </w:rPr>
                    <w:t>/</w:t>
                  </w:r>
                </w:p>
              </w:tc>
              <w:tc>
                <w:tcPr>
                  <w:tcW w:w="1922" w:type="pct"/>
                  <w:vAlign w:val="center"/>
                </w:tcPr>
                <w:p w14:paraId="016D70B3">
                  <w:pPr>
                    <w:widowControl/>
                    <w:jc w:val="center"/>
                    <w:rPr>
                      <w:bCs/>
                      <w:szCs w:val="21"/>
                    </w:rPr>
                  </w:pPr>
                  <w:r>
                    <w:rPr>
                      <w:rFonts w:hint="eastAsia"/>
                      <w:bCs/>
                      <w:szCs w:val="21"/>
                    </w:rPr>
                    <w:t>10台</w:t>
                  </w:r>
                </w:p>
              </w:tc>
            </w:tr>
            <w:tr w14:paraId="538B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pct"/>
                  <w:vAlign w:val="center"/>
                </w:tcPr>
                <w:p w14:paraId="4DDAC89E">
                  <w:pPr>
                    <w:widowControl/>
                    <w:jc w:val="center"/>
                    <w:rPr>
                      <w:bCs/>
                      <w:szCs w:val="21"/>
                    </w:rPr>
                  </w:pPr>
                  <w:r>
                    <w:rPr>
                      <w:rFonts w:hint="eastAsia"/>
                      <w:bCs/>
                      <w:szCs w:val="21"/>
                    </w:rPr>
                    <w:t>8</w:t>
                  </w:r>
                </w:p>
              </w:tc>
              <w:tc>
                <w:tcPr>
                  <w:tcW w:w="1645" w:type="pct"/>
                  <w:vAlign w:val="center"/>
                </w:tcPr>
                <w:p w14:paraId="5AB24656">
                  <w:pPr>
                    <w:widowControl/>
                    <w:jc w:val="center"/>
                    <w:rPr>
                      <w:bCs/>
                      <w:szCs w:val="21"/>
                    </w:rPr>
                  </w:pPr>
                  <w:r>
                    <w:rPr>
                      <w:rFonts w:hint="eastAsia"/>
                      <w:bCs/>
                      <w:szCs w:val="21"/>
                    </w:rPr>
                    <w:t>缝纫机</w:t>
                  </w:r>
                </w:p>
              </w:tc>
              <w:tc>
                <w:tcPr>
                  <w:tcW w:w="731" w:type="pct"/>
                  <w:vAlign w:val="center"/>
                </w:tcPr>
                <w:p w14:paraId="04412A90">
                  <w:pPr>
                    <w:widowControl/>
                    <w:jc w:val="center"/>
                    <w:rPr>
                      <w:bCs/>
                      <w:szCs w:val="21"/>
                    </w:rPr>
                  </w:pPr>
                  <w:r>
                    <w:rPr>
                      <w:rFonts w:hint="eastAsia"/>
                      <w:bCs/>
                      <w:szCs w:val="21"/>
                    </w:rPr>
                    <w:t>/</w:t>
                  </w:r>
                </w:p>
              </w:tc>
              <w:tc>
                <w:tcPr>
                  <w:tcW w:w="1922" w:type="pct"/>
                  <w:vAlign w:val="center"/>
                </w:tcPr>
                <w:p w14:paraId="530A7735">
                  <w:pPr>
                    <w:widowControl/>
                    <w:jc w:val="center"/>
                    <w:rPr>
                      <w:bCs/>
                      <w:szCs w:val="21"/>
                    </w:rPr>
                  </w:pPr>
                  <w:r>
                    <w:rPr>
                      <w:rFonts w:hint="eastAsia"/>
                      <w:bCs/>
                      <w:szCs w:val="21"/>
                    </w:rPr>
                    <w:t>50台</w:t>
                  </w:r>
                </w:p>
              </w:tc>
            </w:tr>
          </w:tbl>
          <w:p w14:paraId="10ADB870">
            <w:pPr>
              <w:spacing w:line="500" w:lineRule="exact"/>
              <w:ind w:firstLine="482" w:firstLineChars="200"/>
              <w:rPr>
                <w:b/>
                <w:sz w:val="24"/>
              </w:rPr>
            </w:pPr>
          </w:p>
          <w:p w14:paraId="52DF8BAA">
            <w:pPr>
              <w:spacing w:line="500" w:lineRule="exact"/>
              <w:ind w:firstLine="482" w:firstLineChars="200"/>
              <w:rPr>
                <w:b/>
                <w:sz w:val="24"/>
              </w:rPr>
            </w:pPr>
            <w:r>
              <w:rPr>
                <w:rFonts w:hint="eastAsia"/>
                <w:b/>
                <w:sz w:val="24"/>
              </w:rPr>
              <w:t>3、工程投资概算</w:t>
            </w:r>
          </w:p>
          <w:p w14:paraId="64FDDE82">
            <w:pPr>
              <w:spacing w:line="500" w:lineRule="exact"/>
              <w:ind w:firstLine="420" w:firstLineChars="200"/>
              <w:rPr>
                <w:color w:val="000000"/>
                <w:sz w:val="24"/>
              </w:rPr>
            </w:pPr>
            <w:r>
              <w:rPr>
                <w:rFonts w:hint="eastAsia"/>
              </w:rPr>
              <w:t xml:space="preserve">   </w:t>
            </w:r>
            <w:r>
              <w:rPr>
                <w:rFonts w:hint="eastAsia"/>
                <w:color w:val="000000"/>
                <w:sz w:val="24"/>
              </w:rPr>
              <w:t>本项目总投资51000万元，其中环保投资100万元，占比0.196%。</w:t>
            </w:r>
          </w:p>
          <w:p w14:paraId="7A4E14B0">
            <w:pPr>
              <w:spacing w:line="500" w:lineRule="exact"/>
              <w:ind w:left="420" w:leftChars="200"/>
              <w:rPr>
                <w:b/>
                <w:sz w:val="24"/>
              </w:rPr>
            </w:pPr>
            <w:r>
              <w:rPr>
                <w:rFonts w:hint="eastAsia"/>
                <w:b/>
                <w:sz w:val="24"/>
              </w:rPr>
              <w:t>4、用能规模</w:t>
            </w:r>
          </w:p>
          <w:p w14:paraId="207CA09F">
            <w:pPr>
              <w:spacing w:line="500" w:lineRule="exact"/>
              <w:ind w:firstLine="720" w:firstLineChars="300"/>
              <w:rPr>
                <w:b/>
                <w:sz w:val="24"/>
              </w:rPr>
            </w:pPr>
            <w:r>
              <w:rPr>
                <w:rFonts w:hint="eastAsia"/>
                <w:color w:val="000000"/>
                <w:sz w:val="24"/>
              </w:rPr>
              <w:t>项目用电由当地市政电网供应，年用电量约</w:t>
            </w:r>
            <w:r>
              <w:rPr>
                <w:color w:val="000000"/>
                <w:sz w:val="24"/>
              </w:rPr>
              <w:t>45万k</w:t>
            </w:r>
            <w:r>
              <w:rPr>
                <w:rFonts w:hint="eastAsia"/>
                <w:color w:val="000000"/>
                <w:sz w:val="24"/>
              </w:rPr>
              <w:t>W</w:t>
            </w:r>
            <w:r>
              <w:rPr>
                <w:color w:val="000000"/>
                <w:sz w:val="24"/>
              </w:rPr>
              <w:t>•h</w:t>
            </w:r>
            <w:r>
              <w:rPr>
                <w:rFonts w:hint="eastAsia"/>
                <w:color w:val="000000"/>
                <w:sz w:val="24"/>
              </w:rPr>
              <w:t>/a</w:t>
            </w:r>
            <w:r>
              <w:rPr>
                <w:color w:val="000000"/>
                <w:sz w:val="24"/>
              </w:rPr>
              <w:t>。</w:t>
            </w:r>
          </w:p>
          <w:p w14:paraId="682AB0D3">
            <w:pPr>
              <w:spacing w:line="500" w:lineRule="exact"/>
              <w:ind w:firstLine="482" w:firstLineChars="200"/>
              <w:rPr>
                <w:b/>
                <w:sz w:val="24"/>
              </w:rPr>
            </w:pPr>
            <w:r>
              <w:rPr>
                <w:rFonts w:hint="eastAsia"/>
                <w:b/>
                <w:sz w:val="24"/>
              </w:rPr>
              <w:t>5、给排水系统</w:t>
            </w:r>
          </w:p>
          <w:p w14:paraId="48CE9047">
            <w:pPr>
              <w:spacing w:line="500" w:lineRule="exact"/>
              <w:ind w:firstLine="448" w:firstLineChars="187"/>
              <w:rPr>
                <w:color w:val="000000"/>
                <w:sz w:val="24"/>
              </w:rPr>
            </w:pPr>
            <w:r>
              <w:rPr>
                <w:rFonts w:hint="eastAsia"/>
                <w:color w:val="000000"/>
                <w:sz w:val="24"/>
              </w:rPr>
              <w:t>（1）给水系统</w:t>
            </w:r>
          </w:p>
          <w:p w14:paraId="3781D6C6">
            <w:pPr>
              <w:spacing w:line="500" w:lineRule="exact"/>
              <w:ind w:firstLine="720" w:firstLineChars="300"/>
              <w:rPr>
                <w:color w:val="000000"/>
                <w:sz w:val="24"/>
              </w:rPr>
            </w:pPr>
            <w:r>
              <w:rPr>
                <w:rFonts w:hint="eastAsia"/>
                <w:color w:val="000000"/>
                <w:sz w:val="24"/>
              </w:rPr>
              <w:t xml:space="preserve">本项目用水主要为员工生活用水，由市政供水管网提供。 </w:t>
            </w:r>
          </w:p>
          <w:p w14:paraId="62FC11BA">
            <w:pPr>
              <w:numPr>
                <w:ilvl w:val="0"/>
                <w:numId w:val="2"/>
              </w:numPr>
              <w:spacing w:line="500" w:lineRule="exact"/>
              <w:ind w:firstLine="480" w:firstLineChars="200"/>
              <w:rPr>
                <w:color w:val="000000"/>
                <w:sz w:val="24"/>
              </w:rPr>
            </w:pPr>
            <w:r>
              <w:rPr>
                <w:rFonts w:hint="eastAsia"/>
                <w:color w:val="000000"/>
                <w:sz w:val="24"/>
              </w:rPr>
              <w:t>排水系统</w:t>
            </w:r>
          </w:p>
          <w:p w14:paraId="7B410880">
            <w:pPr>
              <w:spacing w:line="500" w:lineRule="exact"/>
              <w:ind w:firstLine="720" w:firstLineChars="300"/>
              <w:rPr>
                <w:color w:val="000000"/>
                <w:sz w:val="24"/>
              </w:rPr>
            </w:pPr>
            <w:r>
              <w:rPr>
                <w:color w:val="000000"/>
                <w:sz w:val="24"/>
              </w:rPr>
              <w:t>项目冷却用水循环使用，不外排；项目主要外排废水主要为生活污水，生活污水产污系数按</w:t>
            </w:r>
            <w:r>
              <w:rPr>
                <w:rFonts w:hint="eastAsia"/>
                <w:color w:val="000000"/>
                <w:sz w:val="24"/>
              </w:rPr>
              <w:t>60L/人·d</w:t>
            </w:r>
            <w:r>
              <w:rPr>
                <w:color w:val="000000"/>
                <w:sz w:val="24"/>
              </w:rPr>
              <w:t xml:space="preserve"> 计，</w:t>
            </w:r>
            <w:r>
              <w:rPr>
                <w:rFonts w:hint="eastAsia"/>
                <w:color w:val="000000"/>
                <w:sz w:val="24"/>
              </w:rPr>
              <w:t>本项目劳动定员100人，</w:t>
            </w:r>
            <w:r>
              <w:rPr>
                <w:color w:val="000000"/>
                <w:sz w:val="24"/>
              </w:rPr>
              <w:t>则项目生活污水产生量为</w:t>
            </w:r>
            <w:r>
              <w:rPr>
                <w:rFonts w:hint="eastAsia"/>
                <w:color w:val="000000"/>
                <w:sz w:val="24"/>
              </w:rPr>
              <w:t xml:space="preserve">6 </w:t>
            </w:r>
            <w:r>
              <w:rPr>
                <w:color w:val="000000"/>
                <w:sz w:val="24"/>
              </w:rPr>
              <w:t>m</w:t>
            </w:r>
            <w:r>
              <w:rPr>
                <w:rFonts w:hint="eastAsia"/>
                <w:color w:val="000000"/>
                <w:sz w:val="24"/>
                <w:vertAlign w:val="superscript"/>
              </w:rPr>
              <w:t>3</w:t>
            </w:r>
            <w:r>
              <w:rPr>
                <w:color w:val="000000"/>
                <w:sz w:val="24"/>
              </w:rPr>
              <w:t xml:space="preserve"> /</w:t>
            </w:r>
            <w:r>
              <w:rPr>
                <w:rFonts w:hint="eastAsia"/>
                <w:color w:val="000000"/>
                <w:sz w:val="24"/>
              </w:rPr>
              <w:t xml:space="preserve">d（1800 </w:t>
            </w:r>
            <w:r>
              <w:rPr>
                <w:color w:val="000000"/>
                <w:sz w:val="24"/>
              </w:rPr>
              <w:t>m</w:t>
            </w:r>
            <w:r>
              <w:rPr>
                <w:rFonts w:hint="eastAsia"/>
                <w:color w:val="000000"/>
                <w:sz w:val="24"/>
                <w:vertAlign w:val="superscript"/>
              </w:rPr>
              <w:t>3</w:t>
            </w:r>
            <w:r>
              <w:rPr>
                <w:color w:val="000000"/>
                <w:sz w:val="24"/>
              </w:rPr>
              <w:t>/a</w:t>
            </w:r>
            <w:r>
              <w:rPr>
                <w:rFonts w:hint="eastAsia"/>
                <w:color w:val="000000"/>
                <w:sz w:val="24"/>
              </w:rPr>
              <w:t>）</w:t>
            </w:r>
            <w:r>
              <w:rPr>
                <w:color w:val="000000"/>
                <w:sz w:val="24"/>
              </w:rPr>
              <w:t>，生活污水</w:t>
            </w:r>
            <w:r>
              <w:rPr>
                <w:rFonts w:hint="eastAsia"/>
                <w:color w:val="000000"/>
                <w:sz w:val="24"/>
              </w:rPr>
              <w:t>经化粪池预处理后经化粪池处理后进入污水管网纳入开发区污水处理厂处理。</w:t>
            </w:r>
          </w:p>
          <w:p w14:paraId="53A4E577">
            <w:pPr>
              <w:rPr>
                <w:b/>
                <w:sz w:val="24"/>
              </w:rPr>
            </w:pPr>
            <w:r>
              <w:object>
                <v:shape id="_x0000_i1025" o:spt="75" type="#_x0000_t75" style="height:109.75pt;width:404.5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53A5D86C">
            <w:pPr>
              <w:jc w:val="center"/>
              <w:rPr>
                <w:bCs/>
                <w:sz w:val="24"/>
              </w:rPr>
            </w:pPr>
            <w:r>
              <w:rPr>
                <w:rFonts w:hint="eastAsia"/>
                <w:bCs/>
                <w:sz w:val="24"/>
              </w:rPr>
              <w:t>图2.1 项目水平衡图</w:t>
            </w:r>
          </w:p>
          <w:p w14:paraId="08F000FA">
            <w:pPr>
              <w:spacing w:line="500" w:lineRule="exact"/>
              <w:ind w:firstLine="723" w:firstLineChars="300"/>
              <w:rPr>
                <w:b/>
                <w:sz w:val="24"/>
              </w:rPr>
            </w:pPr>
            <w:r>
              <w:rPr>
                <w:rFonts w:hint="eastAsia"/>
                <w:b/>
                <w:sz w:val="24"/>
              </w:rPr>
              <w:t>6、劳动定员及工作制度</w:t>
            </w:r>
          </w:p>
          <w:p w14:paraId="7A622EA3">
            <w:pPr>
              <w:spacing w:line="500" w:lineRule="exact"/>
              <w:ind w:firstLine="720" w:firstLineChars="300"/>
              <w:rPr>
                <w:color w:val="000000"/>
                <w:sz w:val="24"/>
              </w:rPr>
            </w:pPr>
            <w:r>
              <w:rPr>
                <w:rFonts w:hint="eastAsia"/>
                <w:color w:val="000000"/>
                <w:sz w:val="24"/>
              </w:rPr>
              <w:t xml:space="preserve">本项目劳动定员100人，均不在项目内住宿，日工作 </w:t>
            </w:r>
            <w:r>
              <w:rPr>
                <w:color w:val="000000"/>
                <w:sz w:val="24"/>
              </w:rPr>
              <w:t>8 小时，单班制，年运行300天</w:t>
            </w:r>
            <w:r>
              <w:rPr>
                <w:rFonts w:hint="eastAsia"/>
                <w:color w:val="000000"/>
                <w:sz w:val="24"/>
              </w:rPr>
              <w:t>，年工作时间2400 h/a，厂区内设置食堂</w:t>
            </w:r>
            <w:r>
              <w:rPr>
                <w:color w:val="000000"/>
                <w:sz w:val="24"/>
              </w:rPr>
              <w:t>。</w:t>
            </w:r>
          </w:p>
          <w:p w14:paraId="23A42FC8">
            <w:pPr>
              <w:spacing w:line="500" w:lineRule="exact"/>
              <w:ind w:firstLine="720" w:firstLineChars="300"/>
              <w:rPr>
                <w:color w:val="000000"/>
                <w:sz w:val="24"/>
              </w:rPr>
            </w:pPr>
          </w:p>
          <w:p w14:paraId="6CC9DC34">
            <w:pPr>
              <w:spacing w:line="500" w:lineRule="exact"/>
              <w:rPr>
                <w:b/>
                <w:sz w:val="24"/>
              </w:rPr>
            </w:pPr>
          </w:p>
          <w:p w14:paraId="17119AD9">
            <w:pPr>
              <w:spacing w:line="500" w:lineRule="exact"/>
              <w:rPr>
                <w:color w:val="000000"/>
                <w:sz w:val="24"/>
              </w:rPr>
            </w:pPr>
          </w:p>
        </w:tc>
      </w:tr>
    </w:tbl>
    <w:p w14:paraId="6BA51942"/>
    <w:p w14:paraId="6618D9A1"/>
    <w:p w14:paraId="5DB4B72D"/>
    <w:p w14:paraId="64899E86"/>
    <w:p w14:paraId="49A78FBE"/>
    <w:p w14:paraId="53235C1D"/>
    <w:p w14:paraId="57357603">
      <w:pPr>
        <w:sectPr>
          <w:footerReference r:id="rId4" w:type="default"/>
          <w:type w:val="continuous"/>
          <w:pgSz w:w="11906" w:h="16838"/>
          <w:pgMar w:top="1701" w:right="1531" w:bottom="1701" w:left="1531" w:header="851" w:footer="851" w:gutter="0"/>
          <w:pgNumType w:fmt="numberInDash" w:start="1"/>
          <w:cols w:space="720" w:num="1"/>
          <w:docGrid w:linePitch="312" w:charSpace="0"/>
        </w:sectPr>
      </w:pP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3039"/>
      </w:tblGrid>
      <w:tr w14:paraId="21215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0" w:hRule="atLeast"/>
          <w:jc w:val="center"/>
        </w:trPr>
        <w:tc>
          <w:tcPr>
            <w:tcW w:w="226" w:type="pct"/>
            <w:vAlign w:val="center"/>
          </w:tcPr>
          <w:p w14:paraId="3425D5AE">
            <w:pPr>
              <w:pStyle w:val="19"/>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4774" w:type="pct"/>
          </w:tcPr>
          <w:p w14:paraId="2A834669">
            <w:pPr>
              <w:adjustRightInd w:val="0"/>
              <w:snapToGrid w:val="0"/>
              <w:jc w:val="center"/>
              <w:rPr>
                <w:rFonts w:ascii="宋体" w:cs="宋体"/>
                <w:kern w:val="0"/>
                <w:sz w:val="24"/>
              </w:rPr>
            </w:pPr>
            <w:r>
              <w:object>
                <v:shape id="_x0000_i1026" o:spt="75" type="#_x0000_t75" style="height:527.65pt;width:535.85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14:paraId="4A0F0E48">
            <w:pPr>
              <w:spacing w:line="500" w:lineRule="exact"/>
              <w:jc w:val="center"/>
              <w:rPr>
                <w:bCs/>
                <w:sz w:val="24"/>
              </w:rPr>
            </w:pPr>
            <w:r>
              <w:rPr>
                <w:rFonts w:hint="eastAsia"/>
                <w:bCs/>
                <w:sz w:val="24"/>
              </w:rPr>
              <w:t>图2.1 生产工艺流程图</w:t>
            </w:r>
          </w:p>
          <w:p w14:paraId="664EB088">
            <w:pPr>
              <w:spacing w:line="500" w:lineRule="exact"/>
              <w:ind w:firstLine="723" w:firstLineChars="300"/>
              <w:rPr>
                <w:b/>
                <w:sz w:val="24"/>
              </w:rPr>
            </w:pPr>
            <w:r>
              <w:rPr>
                <w:rFonts w:hint="eastAsia"/>
                <w:b/>
                <w:sz w:val="24"/>
              </w:rPr>
              <w:t>生产工艺说明：</w:t>
            </w:r>
          </w:p>
          <w:p w14:paraId="436A1778">
            <w:pPr>
              <w:spacing w:line="500" w:lineRule="exact"/>
              <w:ind w:firstLine="720" w:firstLineChars="300"/>
              <w:rPr>
                <w:bCs/>
                <w:sz w:val="24"/>
              </w:rPr>
            </w:pPr>
            <w:r>
              <w:rPr>
                <w:rFonts w:hint="eastAsia"/>
                <w:bCs/>
                <w:sz w:val="24"/>
              </w:rPr>
              <w:t>1、镀锌钢卷经剪切后，经压条成型、内框成型、外框成型机折弯、焊接后，形成金属压条、内框、外框；</w:t>
            </w:r>
          </w:p>
          <w:p w14:paraId="56C0F88E">
            <w:pPr>
              <w:spacing w:line="500" w:lineRule="exact"/>
              <w:ind w:firstLine="720" w:firstLineChars="300"/>
              <w:rPr>
                <w:bCs/>
                <w:sz w:val="24"/>
              </w:rPr>
            </w:pPr>
            <w:r>
              <w:rPr>
                <w:rFonts w:hint="eastAsia"/>
                <w:bCs/>
                <w:sz w:val="24"/>
              </w:rPr>
              <w:t>2、金属压条、内框、外框经组装焊接后形成过滤器箱体；</w:t>
            </w:r>
          </w:p>
          <w:p w14:paraId="4A90E5AE">
            <w:pPr>
              <w:spacing w:line="500" w:lineRule="exact"/>
              <w:ind w:firstLine="720" w:firstLineChars="300"/>
              <w:rPr>
                <w:bCs/>
                <w:sz w:val="24"/>
              </w:rPr>
            </w:pPr>
            <w:r>
              <w:rPr>
                <w:rFonts w:hint="eastAsia"/>
                <w:bCs/>
                <w:sz w:val="24"/>
              </w:rPr>
              <w:t>3、无纺布、熔喷布经超声波复合机超声复合形成基布；</w:t>
            </w:r>
          </w:p>
          <w:p w14:paraId="3331A5D2">
            <w:pPr>
              <w:spacing w:line="500" w:lineRule="exact"/>
              <w:ind w:firstLine="720" w:firstLineChars="300"/>
              <w:rPr>
                <w:bCs/>
                <w:sz w:val="24"/>
              </w:rPr>
            </w:pPr>
            <w:r>
              <w:rPr>
                <w:rFonts w:hint="eastAsia"/>
                <w:bCs/>
                <w:sz w:val="24"/>
              </w:rPr>
              <w:t>4、基布经表面酒精清洁后，进入撒粉、涂布、烘干一体机，将PA树脂层固化于基布表层，形成滤尘薄层，强化颗粒物过滤能力；</w:t>
            </w:r>
          </w:p>
          <w:p w14:paraId="1809C86F">
            <w:pPr>
              <w:spacing w:line="500" w:lineRule="exact"/>
              <w:ind w:firstLine="720" w:firstLineChars="300"/>
              <w:rPr>
                <w:bCs/>
                <w:sz w:val="24"/>
              </w:rPr>
            </w:pPr>
            <w:r>
              <w:rPr>
                <w:rFonts w:hint="eastAsia"/>
                <w:bCs/>
                <w:sz w:val="24"/>
              </w:rPr>
              <w:t>5、表面处理后的基布经裁剪、缝合后，形成圆形单元袋；</w:t>
            </w:r>
          </w:p>
          <w:p w14:paraId="69436076">
            <w:pPr>
              <w:spacing w:line="500" w:lineRule="exact"/>
              <w:ind w:firstLine="720" w:firstLineChars="300"/>
              <w:rPr>
                <w:bCs/>
                <w:sz w:val="24"/>
              </w:rPr>
            </w:pPr>
            <w:r>
              <w:rPr>
                <w:rFonts w:hint="eastAsia"/>
                <w:bCs/>
                <w:sz w:val="24"/>
              </w:rPr>
              <w:t>6、将单元袋置入过滤器箱体后，用密封胶对缝口涂覆密封，增强缝口防渗漏能力；</w:t>
            </w:r>
          </w:p>
          <w:p w14:paraId="6DF11F94">
            <w:pPr>
              <w:spacing w:line="500" w:lineRule="exact"/>
              <w:ind w:firstLine="720" w:firstLineChars="300"/>
              <w:rPr>
                <w:bCs/>
                <w:sz w:val="24"/>
              </w:rPr>
            </w:pPr>
            <w:r>
              <w:rPr>
                <w:rFonts w:hint="eastAsia"/>
                <w:bCs/>
                <w:sz w:val="24"/>
              </w:rPr>
              <w:t>7、密封后即形成过滤器成品，经检测后包装外销。</w:t>
            </w:r>
          </w:p>
          <w:p w14:paraId="73D72E8A">
            <w:pPr>
              <w:adjustRightInd w:val="0"/>
              <w:snapToGrid w:val="0"/>
              <w:rPr>
                <w:rFonts w:ascii="宋体" w:cs="宋体"/>
                <w:kern w:val="0"/>
                <w:sz w:val="24"/>
              </w:rPr>
            </w:pPr>
          </w:p>
        </w:tc>
      </w:tr>
    </w:tbl>
    <w:p w14:paraId="3758F73B"/>
    <w:p w14:paraId="66391D8A"/>
    <w:p w14:paraId="0D80C06A"/>
    <w:p w14:paraId="1BAEA908"/>
    <w:p w14:paraId="4561BE34"/>
    <w:p w14:paraId="689147C2"/>
    <w:p w14:paraId="410F074A">
      <w:pPr>
        <w:sectPr>
          <w:pgSz w:w="16838" w:h="11906" w:orient="landscape"/>
          <w:pgMar w:top="288" w:right="1699" w:bottom="144" w:left="1699" w:header="850" w:footer="0" w:gutter="0"/>
          <w:pgNumType w:fmt="numberInDash"/>
          <w:cols w:space="720" w:num="1"/>
          <w:docGrid w:linePitch="312" w:charSpace="0"/>
        </w:sectPr>
      </w:pPr>
    </w:p>
    <w:p w14:paraId="07C8E53D"/>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98"/>
      </w:tblGrid>
      <w:tr w14:paraId="34F6C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8" w:hRule="atLeast"/>
          <w:jc w:val="center"/>
        </w:trPr>
        <w:tc>
          <w:tcPr>
            <w:tcW w:w="426" w:type="dxa"/>
            <w:vAlign w:val="center"/>
          </w:tcPr>
          <w:p w14:paraId="17CE37AE">
            <w:pPr>
              <w:pStyle w:val="19"/>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398" w:type="dxa"/>
            <w:vAlign w:val="center"/>
          </w:tcPr>
          <w:p w14:paraId="5D3AD47E">
            <w:pPr>
              <w:adjustRightInd w:val="0"/>
              <w:snapToGrid w:val="0"/>
              <w:jc w:val="center"/>
              <w:rPr>
                <w:rFonts w:ascii="宋体" w:hAnsi="宋体"/>
                <w:bCs/>
                <w:szCs w:val="21"/>
              </w:rPr>
            </w:pPr>
            <w:r>
              <w:rPr>
                <w:rFonts w:hint="eastAsia"/>
                <w:bCs/>
                <w:szCs w:val="21"/>
              </w:rPr>
              <w:t>本项目为新建项目，不存在原有污染问题。</w:t>
            </w:r>
          </w:p>
        </w:tc>
      </w:tr>
    </w:tbl>
    <w:p w14:paraId="7B4F629D">
      <w:pPr>
        <w:pStyle w:val="19"/>
        <w:jc w:val="center"/>
        <w:rPr>
          <w:rFonts w:ascii="黑体" w:hAnsi="黑体" w:eastAsia="黑体"/>
          <w:snapToGrid w:val="0"/>
          <w:sz w:val="36"/>
          <w:szCs w:val="36"/>
        </w:rPr>
        <w:sectPr>
          <w:pgSz w:w="11906" w:h="16838"/>
          <w:pgMar w:top="1701" w:right="1531" w:bottom="1701" w:left="1531" w:header="851" w:footer="851" w:gutter="0"/>
          <w:pgNumType w:fmt="numberInDash"/>
          <w:cols w:space="720" w:num="1"/>
          <w:docGrid w:linePitch="312" w:charSpace="0"/>
        </w:sectPr>
      </w:pPr>
    </w:p>
    <w:p w14:paraId="6EED6913">
      <w:pPr>
        <w:pStyle w:val="19"/>
        <w:jc w:val="center"/>
        <w:outlineLvl w:val="0"/>
        <w:rPr>
          <w:rFonts w:ascii="黑体" w:hAnsi="黑体" w:eastAsia="黑体"/>
          <w:snapToGrid w:val="0"/>
          <w:sz w:val="30"/>
          <w:szCs w:val="30"/>
        </w:rPr>
      </w:pPr>
      <w:bookmarkStart w:id="3" w:name="_Toc189401882"/>
      <w:r>
        <w:rPr>
          <w:rFonts w:hint="eastAsia" w:ascii="黑体" w:hAnsi="黑体" w:eastAsia="黑体"/>
          <w:snapToGrid w:val="0"/>
          <w:sz w:val="30"/>
          <w:szCs w:val="30"/>
        </w:rPr>
        <w:t>三、区域环境质量现状、环境保护目标及评价标准</w:t>
      </w:r>
      <w:bookmarkEnd w:id="3"/>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8376"/>
      </w:tblGrid>
      <w:tr w14:paraId="70130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680" w:type="dxa"/>
            <w:vAlign w:val="center"/>
          </w:tcPr>
          <w:p w14:paraId="24E4FE55">
            <w:pPr>
              <w:adjustRightInd w:val="0"/>
              <w:snapToGrid w:val="0"/>
              <w:jc w:val="center"/>
              <w:rPr>
                <w:rFonts w:ascii="宋体" w:hAnsi="宋体" w:cs="宋体"/>
                <w:kern w:val="0"/>
                <w:szCs w:val="21"/>
              </w:rPr>
            </w:pPr>
            <w:r>
              <w:rPr>
                <w:rFonts w:hint="eastAsia" w:ascii="宋体" w:hAnsi="宋体" w:cs="宋体"/>
                <w:kern w:val="0"/>
                <w:szCs w:val="21"/>
              </w:rPr>
              <w:t>区域</w:t>
            </w:r>
          </w:p>
          <w:p w14:paraId="7FFDC33D">
            <w:pPr>
              <w:adjustRightInd w:val="0"/>
              <w:snapToGrid w:val="0"/>
              <w:jc w:val="center"/>
              <w:rPr>
                <w:rFonts w:ascii="宋体" w:hAnsi="宋体" w:cs="宋体"/>
                <w:kern w:val="0"/>
                <w:szCs w:val="21"/>
              </w:rPr>
            </w:pPr>
            <w:r>
              <w:rPr>
                <w:rFonts w:hint="eastAsia" w:ascii="宋体" w:hAnsi="宋体" w:cs="宋体"/>
                <w:kern w:val="0"/>
                <w:szCs w:val="21"/>
              </w:rPr>
              <w:t>环境</w:t>
            </w:r>
          </w:p>
          <w:p w14:paraId="4537FC7D">
            <w:pPr>
              <w:adjustRightInd w:val="0"/>
              <w:snapToGrid w:val="0"/>
              <w:jc w:val="center"/>
              <w:rPr>
                <w:rFonts w:ascii="宋体" w:hAnsi="宋体" w:cs="宋体"/>
                <w:kern w:val="0"/>
                <w:szCs w:val="21"/>
              </w:rPr>
            </w:pPr>
            <w:r>
              <w:rPr>
                <w:rFonts w:hint="eastAsia" w:ascii="宋体" w:hAnsi="宋体" w:cs="宋体"/>
                <w:kern w:val="0"/>
                <w:szCs w:val="21"/>
              </w:rPr>
              <w:t>质量</w:t>
            </w:r>
          </w:p>
          <w:p w14:paraId="0FDE0EAC">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310" w:type="dxa"/>
            <w:vAlign w:val="center"/>
          </w:tcPr>
          <w:p w14:paraId="54E585FE">
            <w:pPr>
              <w:spacing w:line="500" w:lineRule="exact"/>
              <w:ind w:firstLine="482" w:firstLineChars="200"/>
              <w:rPr>
                <w:rFonts w:ascii="宋体" w:hAnsi="宋体" w:cs="宋体"/>
                <w:b/>
                <w:sz w:val="24"/>
              </w:rPr>
            </w:pPr>
            <w:r>
              <w:rPr>
                <w:rFonts w:hint="eastAsia" w:ascii="宋体" w:hAnsi="宋体" w:cs="宋体"/>
                <w:b/>
                <w:sz w:val="24"/>
              </w:rPr>
              <w:t>一、区域环境质量现状</w:t>
            </w:r>
          </w:p>
          <w:p w14:paraId="0452533E">
            <w:pPr>
              <w:spacing w:line="500" w:lineRule="exact"/>
              <w:ind w:firstLine="482" w:firstLineChars="200"/>
              <w:rPr>
                <w:rFonts w:ascii="宋体" w:hAnsi="宋体" w:cs="宋体"/>
                <w:b/>
                <w:sz w:val="24"/>
              </w:rPr>
            </w:pPr>
            <w:r>
              <w:rPr>
                <w:b/>
                <w:sz w:val="24"/>
              </w:rPr>
              <w:t>1、</w:t>
            </w:r>
            <w:r>
              <w:rPr>
                <w:rFonts w:hint="eastAsia" w:ascii="宋体" w:hAnsi="宋体" w:cs="宋体"/>
                <w:b/>
                <w:sz w:val="24"/>
              </w:rPr>
              <w:t>环境空气质量现状调查与监测</w:t>
            </w:r>
          </w:p>
          <w:p w14:paraId="65502F90">
            <w:pPr>
              <w:spacing w:line="500" w:lineRule="exact"/>
              <w:ind w:firstLine="480" w:firstLineChars="200"/>
              <w:rPr>
                <w:bCs/>
                <w:sz w:val="24"/>
              </w:rPr>
            </w:pPr>
            <w:r>
              <w:rPr>
                <w:rFonts w:hint="eastAsia"/>
                <w:bCs/>
                <w:sz w:val="24"/>
              </w:rPr>
              <w:t>（1）达标区判断</w:t>
            </w:r>
          </w:p>
          <w:p w14:paraId="503D9070">
            <w:pPr>
              <w:spacing w:line="500" w:lineRule="exact"/>
              <w:ind w:firstLine="480" w:firstLineChars="200"/>
              <w:rPr>
                <w:sz w:val="24"/>
              </w:rPr>
            </w:pPr>
            <w:r>
              <w:rPr>
                <w:rFonts w:hint="eastAsia"/>
                <w:sz w:val="24"/>
              </w:rPr>
              <w:t>根据《环境影响评价技术导则大气环境》（HJ2.2-2018），项目所在区域达标情况判定优先采用国家或地方生态环境主管部门公开发布的环境质量公告或环境质量报告中的数据或结论。</w:t>
            </w:r>
          </w:p>
          <w:p w14:paraId="191B35C8">
            <w:pPr>
              <w:spacing w:line="360" w:lineRule="auto"/>
              <w:ind w:firstLine="480" w:firstLineChars="200"/>
              <w:rPr>
                <w:kern w:val="0"/>
                <w:sz w:val="24"/>
              </w:rPr>
            </w:pPr>
            <w:r>
              <w:rPr>
                <w:kern w:val="0"/>
                <w:sz w:val="24"/>
              </w:rPr>
              <w:t>本项目位于</w:t>
            </w:r>
            <w:r>
              <w:rPr>
                <w:rFonts w:hint="eastAsia"/>
                <w:sz w:val="24"/>
              </w:rPr>
              <w:t>安徽省六安市金寨县经济开发区（现代产业园区）笔架山路以南,南溪路以西,金水路以北</w:t>
            </w:r>
            <w:r>
              <w:rPr>
                <w:kern w:val="0"/>
                <w:sz w:val="24"/>
              </w:rPr>
              <w:t>，根据</w:t>
            </w:r>
            <w:r>
              <w:rPr>
                <w:rFonts w:hint="eastAsia"/>
                <w:kern w:val="0"/>
                <w:sz w:val="24"/>
              </w:rPr>
              <w:t>《</w:t>
            </w:r>
            <w:r>
              <w:rPr>
                <w:kern w:val="0"/>
                <w:sz w:val="24"/>
              </w:rPr>
              <w:t>202</w:t>
            </w:r>
            <w:r>
              <w:rPr>
                <w:rFonts w:hint="eastAsia"/>
                <w:kern w:val="0"/>
                <w:sz w:val="24"/>
              </w:rPr>
              <w:t>4</w:t>
            </w:r>
            <w:r>
              <w:rPr>
                <w:kern w:val="0"/>
                <w:sz w:val="24"/>
              </w:rPr>
              <w:t>年</w:t>
            </w:r>
            <w:r>
              <w:rPr>
                <w:rFonts w:hint="eastAsia"/>
                <w:kern w:val="0"/>
                <w:sz w:val="24"/>
              </w:rPr>
              <w:t>金寨县</w:t>
            </w:r>
            <w:r>
              <w:rPr>
                <w:kern w:val="0"/>
                <w:sz w:val="24"/>
              </w:rPr>
              <w:t>环境质量</w:t>
            </w:r>
            <w:r>
              <w:rPr>
                <w:rFonts w:hint="eastAsia"/>
                <w:kern w:val="0"/>
                <w:sz w:val="24"/>
              </w:rPr>
              <w:t>年报》</w:t>
            </w:r>
            <w:r>
              <w:rPr>
                <w:kern w:val="0"/>
                <w:sz w:val="24"/>
              </w:rPr>
              <w:t>，202</w:t>
            </w:r>
            <w:r>
              <w:rPr>
                <w:rFonts w:hint="eastAsia"/>
                <w:kern w:val="0"/>
                <w:sz w:val="24"/>
              </w:rPr>
              <w:t>4</w:t>
            </w:r>
            <w:r>
              <w:rPr>
                <w:kern w:val="0"/>
                <w:sz w:val="24"/>
              </w:rPr>
              <w:t>年</w:t>
            </w:r>
            <w:r>
              <w:rPr>
                <w:rFonts w:hint="eastAsia"/>
                <w:kern w:val="0"/>
                <w:sz w:val="24"/>
              </w:rPr>
              <w:t>金寨县</w:t>
            </w:r>
            <w:r>
              <w:rPr>
                <w:kern w:val="0"/>
                <w:sz w:val="24"/>
              </w:rPr>
              <w:t>环境空气污染物SO</w:t>
            </w:r>
            <w:r>
              <w:rPr>
                <w:kern w:val="0"/>
                <w:sz w:val="24"/>
                <w:vertAlign w:val="subscript"/>
              </w:rPr>
              <w:t>2</w:t>
            </w:r>
            <w:r>
              <w:rPr>
                <w:kern w:val="0"/>
                <w:sz w:val="24"/>
              </w:rPr>
              <w:t>年均浓度、NO</w:t>
            </w:r>
            <w:r>
              <w:rPr>
                <w:kern w:val="0"/>
                <w:sz w:val="24"/>
                <w:vertAlign w:val="subscript"/>
              </w:rPr>
              <w:t>2</w:t>
            </w:r>
            <w:r>
              <w:rPr>
                <w:kern w:val="0"/>
                <w:sz w:val="24"/>
              </w:rPr>
              <w:t>年均浓度、PM</w:t>
            </w:r>
            <w:r>
              <w:rPr>
                <w:kern w:val="0"/>
                <w:sz w:val="24"/>
                <w:vertAlign w:val="subscript"/>
              </w:rPr>
              <w:t>10</w:t>
            </w:r>
            <w:r>
              <w:rPr>
                <w:kern w:val="0"/>
                <w:sz w:val="24"/>
              </w:rPr>
              <w:t>年均浓度、PM</w:t>
            </w:r>
            <w:r>
              <w:rPr>
                <w:kern w:val="0"/>
                <w:sz w:val="24"/>
                <w:vertAlign w:val="subscript"/>
              </w:rPr>
              <w:t>2.5</w:t>
            </w:r>
            <w:r>
              <w:rPr>
                <w:kern w:val="0"/>
                <w:sz w:val="24"/>
              </w:rPr>
              <w:t>年均浓度、一氧化碳日均值第95百分位浓度、臭氧日最大8小时平均第90百分位浓度分别为</w:t>
            </w:r>
            <w:r>
              <w:rPr>
                <w:rFonts w:hint="eastAsia"/>
                <w:kern w:val="0"/>
                <w:sz w:val="24"/>
              </w:rPr>
              <w:t>5</w:t>
            </w:r>
            <w:r>
              <w:rPr>
                <w:kern w:val="0"/>
                <w:sz w:val="24"/>
              </w:rPr>
              <w:t>μg/m</w:t>
            </w:r>
            <w:r>
              <w:rPr>
                <w:kern w:val="0"/>
                <w:sz w:val="24"/>
                <w:vertAlign w:val="superscript"/>
              </w:rPr>
              <w:t>3</w:t>
            </w:r>
            <w:r>
              <w:rPr>
                <w:kern w:val="0"/>
                <w:sz w:val="24"/>
              </w:rPr>
              <w:t>、</w:t>
            </w:r>
            <w:r>
              <w:rPr>
                <w:rFonts w:hint="eastAsia"/>
                <w:kern w:val="0"/>
                <w:sz w:val="24"/>
              </w:rPr>
              <w:t>15</w:t>
            </w:r>
            <w:r>
              <w:rPr>
                <w:kern w:val="0"/>
                <w:sz w:val="24"/>
              </w:rPr>
              <w:t>μg/m</w:t>
            </w:r>
            <w:r>
              <w:rPr>
                <w:kern w:val="0"/>
                <w:sz w:val="24"/>
                <w:vertAlign w:val="superscript"/>
              </w:rPr>
              <w:t>3</w:t>
            </w:r>
            <w:r>
              <w:rPr>
                <w:kern w:val="0"/>
                <w:sz w:val="24"/>
              </w:rPr>
              <w:t>、</w:t>
            </w:r>
            <w:r>
              <w:rPr>
                <w:rFonts w:hint="eastAsia"/>
                <w:kern w:val="0"/>
                <w:sz w:val="24"/>
              </w:rPr>
              <w:t>49</w:t>
            </w:r>
            <w:r>
              <w:rPr>
                <w:kern w:val="0"/>
                <w:sz w:val="24"/>
              </w:rPr>
              <w:t>μg/m</w:t>
            </w:r>
            <w:r>
              <w:rPr>
                <w:kern w:val="0"/>
                <w:sz w:val="24"/>
                <w:vertAlign w:val="superscript"/>
              </w:rPr>
              <w:t>3</w:t>
            </w:r>
            <w:r>
              <w:rPr>
                <w:kern w:val="0"/>
                <w:sz w:val="24"/>
              </w:rPr>
              <w:t>、</w:t>
            </w:r>
            <w:r>
              <w:rPr>
                <w:rFonts w:hint="eastAsia"/>
                <w:kern w:val="0"/>
                <w:sz w:val="24"/>
              </w:rPr>
              <w:t>31</w:t>
            </w:r>
            <w:r>
              <w:rPr>
                <w:kern w:val="0"/>
                <w:sz w:val="24"/>
              </w:rPr>
              <w:t>μg/m</w:t>
            </w:r>
            <w:r>
              <w:rPr>
                <w:kern w:val="0"/>
                <w:sz w:val="24"/>
                <w:vertAlign w:val="superscript"/>
              </w:rPr>
              <w:t>3</w:t>
            </w:r>
            <w:r>
              <w:rPr>
                <w:kern w:val="0"/>
                <w:sz w:val="24"/>
              </w:rPr>
              <w:t>、0.</w:t>
            </w:r>
            <w:r>
              <w:rPr>
                <w:rFonts w:hint="eastAsia"/>
                <w:kern w:val="0"/>
                <w:sz w:val="24"/>
              </w:rPr>
              <w:t>8</w:t>
            </w:r>
            <w:r>
              <w:rPr>
                <w:kern w:val="0"/>
                <w:sz w:val="24"/>
              </w:rPr>
              <w:t>mg/m</w:t>
            </w:r>
            <w:r>
              <w:rPr>
                <w:kern w:val="0"/>
                <w:sz w:val="24"/>
                <w:vertAlign w:val="superscript"/>
              </w:rPr>
              <w:t>3</w:t>
            </w:r>
            <w:r>
              <w:rPr>
                <w:kern w:val="0"/>
                <w:sz w:val="24"/>
              </w:rPr>
              <w:t>、</w:t>
            </w:r>
            <w:r>
              <w:rPr>
                <w:rFonts w:hint="eastAsia"/>
                <w:kern w:val="0"/>
                <w:sz w:val="24"/>
              </w:rPr>
              <w:t>138</w:t>
            </w:r>
            <w:r>
              <w:rPr>
                <w:kern w:val="0"/>
                <w:sz w:val="24"/>
              </w:rPr>
              <w:t>μg/m</w:t>
            </w:r>
            <w:r>
              <w:rPr>
                <w:kern w:val="0"/>
                <w:sz w:val="24"/>
                <w:vertAlign w:val="superscript"/>
              </w:rPr>
              <w:t>3</w:t>
            </w:r>
            <w:r>
              <w:rPr>
                <w:kern w:val="0"/>
                <w:sz w:val="24"/>
              </w:rPr>
              <w:t>。</w:t>
            </w:r>
          </w:p>
          <w:p w14:paraId="43EB0110">
            <w:pPr>
              <w:spacing w:line="360" w:lineRule="auto"/>
              <w:ind w:firstLine="480" w:firstLineChars="200"/>
              <w:rPr>
                <w:kern w:val="0"/>
                <w:sz w:val="24"/>
              </w:rPr>
            </w:pPr>
            <w:r>
              <w:rPr>
                <w:kern w:val="0"/>
                <w:sz w:val="24"/>
              </w:rPr>
              <w:t>202</w:t>
            </w:r>
            <w:r>
              <w:rPr>
                <w:rFonts w:hint="eastAsia"/>
                <w:kern w:val="0"/>
                <w:sz w:val="24"/>
              </w:rPr>
              <w:t>4年金寨县空气优良率91.8%。</w:t>
            </w:r>
            <w:r>
              <w:rPr>
                <w:kern w:val="0"/>
                <w:sz w:val="24"/>
              </w:rPr>
              <w:t>项目所在区域空气质量现状评价</w:t>
            </w:r>
            <w:r>
              <w:rPr>
                <w:rFonts w:hint="eastAsia"/>
                <w:kern w:val="0"/>
                <w:sz w:val="24"/>
              </w:rPr>
              <w:t>详</w:t>
            </w:r>
            <w:r>
              <w:rPr>
                <w:kern w:val="0"/>
                <w:sz w:val="24"/>
              </w:rPr>
              <w:t>见下表</w:t>
            </w:r>
            <w:r>
              <w:rPr>
                <w:rFonts w:hint="eastAsia"/>
                <w:kern w:val="0"/>
                <w:sz w:val="24"/>
              </w:rPr>
              <w:t>。</w:t>
            </w:r>
          </w:p>
          <w:p w14:paraId="2994A0A0">
            <w:pPr>
              <w:jc w:val="center"/>
              <w:rPr>
                <w:rFonts w:ascii="宋体" w:hAnsi="宋体"/>
                <w:b/>
                <w:kern w:val="0"/>
                <w:sz w:val="20"/>
                <w:szCs w:val="20"/>
              </w:rPr>
            </w:pPr>
            <w:r>
              <w:rPr>
                <w:rFonts w:ascii="宋体" w:hAnsi="宋体"/>
                <w:b/>
                <w:kern w:val="0"/>
                <w:sz w:val="20"/>
                <w:szCs w:val="20"/>
              </w:rPr>
              <w:t>表3-1</w:t>
            </w:r>
            <w:r>
              <w:rPr>
                <w:rFonts w:hint="eastAsia" w:ascii="宋体" w:hAnsi="宋体"/>
                <w:b/>
                <w:kern w:val="0"/>
                <w:sz w:val="20"/>
                <w:szCs w:val="20"/>
              </w:rPr>
              <w:t xml:space="preserve"> </w:t>
            </w:r>
            <w:r>
              <w:rPr>
                <w:rFonts w:ascii="宋体" w:hAnsi="宋体"/>
                <w:b/>
                <w:kern w:val="0"/>
                <w:sz w:val="20"/>
                <w:szCs w:val="20"/>
              </w:rPr>
              <w:t xml:space="preserve"> 区域空气质量现状评价表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6"/>
              <w:gridCol w:w="2676"/>
              <w:gridCol w:w="1169"/>
              <w:gridCol w:w="1126"/>
              <w:gridCol w:w="1196"/>
              <w:gridCol w:w="1007"/>
            </w:tblGrid>
            <w:tr w14:paraId="0CA3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9" w:type="pct"/>
                  <w:vAlign w:val="center"/>
                </w:tcPr>
                <w:p w14:paraId="45E2DD7C">
                  <w:pPr>
                    <w:widowControl/>
                    <w:jc w:val="center"/>
                    <w:rPr>
                      <w:b/>
                      <w:bCs/>
                      <w:kern w:val="0"/>
                      <w:szCs w:val="21"/>
                    </w:rPr>
                  </w:pPr>
                  <w:r>
                    <w:rPr>
                      <w:b/>
                      <w:bCs/>
                      <w:kern w:val="0"/>
                      <w:szCs w:val="21"/>
                    </w:rPr>
                    <w:t>污染物</w:t>
                  </w:r>
                </w:p>
              </w:tc>
              <w:tc>
                <w:tcPr>
                  <w:tcW w:w="1642" w:type="pct"/>
                  <w:vAlign w:val="center"/>
                </w:tcPr>
                <w:p w14:paraId="2B57C334">
                  <w:pPr>
                    <w:widowControl/>
                    <w:jc w:val="center"/>
                    <w:rPr>
                      <w:b/>
                      <w:bCs/>
                      <w:kern w:val="0"/>
                      <w:szCs w:val="21"/>
                    </w:rPr>
                  </w:pPr>
                  <w:r>
                    <w:rPr>
                      <w:b/>
                      <w:bCs/>
                      <w:kern w:val="0"/>
                      <w:szCs w:val="21"/>
                    </w:rPr>
                    <w:t>年评价指标</w:t>
                  </w:r>
                </w:p>
              </w:tc>
              <w:tc>
                <w:tcPr>
                  <w:tcW w:w="717" w:type="pct"/>
                  <w:vAlign w:val="center"/>
                </w:tcPr>
                <w:p w14:paraId="60E85D9B">
                  <w:pPr>
                    <w:widowControl/>
                    <w:jc w:val="center"/>
                    <w:rPr>
                      <w:b/>
                      <w:bCs/>
                      <w:kern w:val="0"/>
                      <w:szCs w:val="21"/>
                    </w:rPr>
                  </w:pPr>
                  <w:r>
                    <w:rPr>
                      <w:b/>
                      <w:bCs/>
                      <w:kern w:val="0"/>
                      <w:szCs w:val="21"/>
                    </w:rPr>
                    <w:t>现状浓度</w:t>
                  </w:r>
                </w:p>
                <w:p w14:paraId="4D5BFA98">
                  <w:pPr>
                    <w:widowControl/>
                    <w:jc w:val="center"/>
                    <w:rPr>
                      <w:b/>
                      <w:bCs/>
                      <w:kern w:val="0"/>
                      <w:szCs w:val="21"/>
                    </w:rPr>
                  </w:pPr>
                  <w:r>
                    <w:rPr>
                      <w:b/>
                      <w:bCs/>
                      <w:kern w:val="0"/>
                      <w:szCs w:val="21"/>
                    </w:rPr>
                    <w:t>（μg/m</w:t>
                  </w:r>
                  <w:r>
                    <w:rPr>
                      <w:b/>
                      <w:bCs/>
                      <w:kern w:val="0"/>
                      <w:szCs w:val="21"/>
                      <w:vertAlign w:val="superscript"/>
                    </w:rPr>
                    <w:t>3</w:t>
                  </w:r>
                  <w:r>
                    <w:rPr>
                      <w:b/>
                      <w:bCs/>
                      <w:kern w:val="0"/>
                      <w:szCs w:val="21"/>
                    </w:rPr>
                    <w:t>）</w:t>
                  </w:r>
                </w:p>
              </w:tc>
              <w:tc>
                <w:tcPr>
                  <w:tcW w:w="691" w:type="pct"/>
                  <w:vAlign w:val="center"/>
                </w:tcPr>
                <w:p w14:paraId="5CA979A6">
                  <w:pPr>
                    <w:widowControl/>
                    <w:jc w:val="center"/>
                    <w:rPr>
                      <w:b/>
                      <w:bCs/>
                      <w:kern w:val="0"/>
                      <w:szCs w:val="21"/>
                    </w:rPr>
                  </w:pPr>
                  <w:r>
                    <w:rPr>
                      <w:b/>
                      <w:bCs/>
                      <w:kern w:val="0"/>
                      <w:szCs w:val="21"/>
                    </w:rPr>
                    <w:t>标准值</w:t>
                  </w:r>
                </w:p>
                <w:p w14:paraId="6CACCCBD">
                  <w:pPr>
                    <w:widowControl/>
                    <w:jc w:val="center"/>
                    <w:rPr>
                      <w:b/>
                      <w:bCs/>
                      <w:kern w:val="0"/>
                      <w:szCs w:val="21"/>
                    </w:rPr>
                  </w:pPr>
                  <w:r>
                    <w:rPr>
                      <w:b/>
                      <w:bCs/>
                      <w:kern w:val="0"/>
                      <w:szCs w:val="21"/>
                    </w:rPr>
                    <w:t>（μg/m</w:t>
                  </w:r>
                  <w:r>
                    <w:rPr>
                      <w:b/>
                      <w:bCs/>
                      <w:kern w:val="0"/>
                      <w:szCs w:val="21"/>
                      <w:vertAlign w:val="superscript"/>
                    </w:rPr>
                    <w:t>3</w:t>
                  </w:r>
                  <w:r>
                    <w:rPr>
                      <w:b/>
                      <w:bCs/>
                      <w:kern w:val="0"/>
                      <w:szCs w:val="21"/>
                    </w:rPr>
                    <w:t>）</w:t>
                  </w:r>
                </w:p>
              </w:tc>
              <w:tc>
                <w:tcPr>
                  <w:tcW w:w="734" w:type="pct"/>
                  <w:vAlign w:val="center"/>
                </w:tcPr>
                <w:p w14:paraId="3C375D08">
                  <w:pPr>
                    <w:widowControl/>
                    <w:jc w:val="center"/>
                    <w:rPr>
                      <w:b/>
                      <w:bCs/>
                      <w:kern w:val="0"/>
                      <w:szCs w:val="21"/>
                    </w:rPr>
                  </w:pPr>
                  <w:r>
                    <w:rPr>
                      <w:b/>
                      <w:bCs/>
                      <w:kern w:val="0"/>
                      <w:szCs w:val="21"/>
                    </w:rPr>
                    <w:t>占标率（%）</w:t>
                  </w:r>
                </w:p>
              </w:tc>
              <w:tc>
                <w:tcPr>
                  <w:tcW w:w="617" w:type="pct"/>
                  <w:vAlign w:val="center"/>
                </w:tcPr>
                <w:p w14:paraId="32F8C4D0">
                  <w:pPr>
                    <w:widowControl/>
                    <w:jc w:val="center"/>
                    <w:rPr>
                      <w:b/>
                      <w:bCs/>
                      <w:kern w:val="0"/>
                      <w:szCs w:val="21"/>
                    </w:rPr>
                  </w:pPr>
                  <w:r>
                    <w:rPr>
                      <w:b/>
                      <w:bCs/>
                      <w:kern w:val="0"/>
                      <w:szCs w:val="21"/>
                    </w:rPr>
                    <w:t>达标情况</w:t>
                  </w:r>
                </w:p>
              </w:tc>
            </w:tr>
            <w:tr w14:paraId="718D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599" w:type="pct"/>
                  <w:vAlign w:val="center"/>
                </w:tcPr>
                <w:p w14:paraId="6B59E78C">
                  <w:pPr>
                    <w:widowControl/>
                    <w:jc w:val="center"/>
                    <w:rPr>
                      <w:bCs/>
                      <w:kern w:val="0"/>
                      <w:szCs w:val="21"/>
                    </w:rPr>
                  </w:pPr>
                  <w:r>
                    <w:rPr>
                      <w:bCs/>
                      <w:kern w:val="0"/>
                      <w:szCs w:val="21"/>
                    </w:rPr>
                    <w:t>SO</w:t>
                  </w:r>
                  <w:r>
                    <w:rPr>
                      <w:bCs/>
                      <w:kern w:val="0"/>
                      <w:szCs w:val="21"/>
                      <w:vertAlign w:val="subscript"/>
                    </w:rPr>
                    <w:t>2</w:t>
                  </w:r>
                </w:p>
              </w:tc>
              <w:tc>
                <w:tcPr>
                  <w:tcW w:w="1642" w:type="pct"/>
                  <w:vAlign w:val="center"/>
                </w:tcPr>
                <w:p w14:paraId="7314D281">
                  <w:pPr>
                    <w:widowControl/>
                    <w:jc w:val="center"/>
                    <w:rPr>
                      <w:bCs/>
                      <w:kern w:val="0"/>
                      <w:szCs w:val="21"/>
                    </w:rPr>
                  </w:pPr>
                  <w:r>
                    <w:rPr>
                      <w:bCs/>
                      <w:kern w:val="0"/>
                      <w:szCs w:val="21"/>
                    </w:rPr>
                    <w:t>年平均质量浓度</w:t>
                  </w:r>
                </w:p>
              </w:tc>
              <w:tc>
                <w:tcPr>
                  <w:tcW w:w="717" w:type="pct"/>
                  <w:vAlign w:val="center"/>
                </w:tcPr>
                <w:p w14:paraId="00DC8764">
                  <w:pPr>
                    <w:widowControl/>
                    <w:jc w:val="center"/>
                    <w:rPr>
                      <w:bCs/>
                      <w:szCs w:val="21"/>
                    </w:rPr>
                  </w:pPr>
                  <w:r>
                    <w:rPr>
                      <w:rFonts w:hint="eastAsia"/>
                      <w:bCs/>
                      <w:szCs w:val="21"/>
                    </w:rPr>
                    <w:t>5</w:t>
                  </w:r>
                </w:p>
              </w:tc>
              <w:tc>
                <w:tcPr>
                  <w:tcW w:w="691" w:type="pct"/>
                  <w:vAlign w:val="center"/>
                </w:tcPr>
                <w:p w14:paraId="2742C9CB">
                  <w:pPr>
                    <w:jc w:val="center"/>
                    <w:rPr>
                      <w:bCs/>
                      <w:szCs w:val="21"/>
                    </w:rPr>
                  </w:pPr>
                  <w:r>
                    <w:rPr>
                      <w:bCs/>
                      <w:szCs w:val="21"/>
                    </w:rPr>
                    <w:t>60</w:t>
                  </w:r>
                </w:p>
              </w:tc>
              <w:tc>
                <w:tcPr>
                  <w:tcW w:w="734" w:type="pct"/>
                  <w:vAlign w:val="center"/>
                </w:tcPr>
                <w:p w14:paraId="484428A5">
                  <w:pPr>
                    <w:widowControl/>
                    <w:jc w:val="center"/>
                    <w:rPr>
                      <w:bCs/>
                      <w:szCs w:val="21"/>
                    </w:rPr>
                  </w:pPr>
                  <w:r>
                    <w:t>8.3</w:t>
                  </w:r>
                </w:p>
              </w:tc>
              <w:tc>
                <w:tcPr>
                  <w:tcW w:w="617" w:type="pct"/>
                  <w:vAlign w:val="center"/>
                </w:tcPr>
                <w:p w14:paraId="79D8143F">
                  <w:pPr>
                    <w:widowControl/>
                    <w:jc w:val="center"/>
                    <w:rPr>
                      <w:bCs/>
                      <w:kern w:val="0"/>
                      <w:szCs w:val="21"/>
                    </w:rPr>
                  </w:pPr>
                  <w:r>
                    <w:rPr>
                      <w:bCs/>
                      <w:kern w:val="0"/>
                      <w:szCs w:val="21"/>
                    </w:rPr>
                    <w:t>达标</w:t>
                  </w:r>
                </w:p>
              </w:tc>
            </w:tr>
            <w:tr w14:paraId="6AFB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599" w:type="pct"/>
                  <w:vAlign w:val="center"/>
                </w:tcPr>
                <w:p w14:paraId="6499E2D4">
                  <w:pPr>
                    <w:widowControl/>
                    <w:jc w:val="center"/>
                    <w:rPr>
                      <w:bCs/>
                      <w:kern w:val="0"/>
                      <w:szCs w:val="21"/>
                    </w:rPr>
                  </w:pPr>
                  <w:r>
                    <w:rPr>
                      <w:bCs/>
                      <w:kern w:val="0"/>
                      <w:szCs w:val="21"/>
                    </w:rPr>
                    <w:t>NO</w:t>
                  </w:r>
                  <w:r>
                    <w:rPr>
                      <w:bCs/>
                      <w:kern w:val="0"/>
                      <w:szCs w:val="21"/>
                      <w:vertAlign w:val="subscript"/>
                    </w:rPr>
                    <w:t>2</w:t>
                  </w:r>
                </w:p>
              </w:tc>
              <w:tc>
                <w:tcPr>
                  <w:tcW w:w="1642" w:type="pct"/>
                  <w:vAlign w:val="center"/>
                </w:tcPr>
                <w:p w14:paraId="7E9FBF25">
                  <w:pPr>
                    <w:widowControl/>
                    <w:jc w:val="center"/>
                    <w:rPr>
                      <w:bCs/>
                      <w:kern w:val="0"/>
                      <w:szCs w:val="21"/>
                    </w:rPr>
                  </w:pPr>
                  <w:r>
                    <w:rPr>
                      <w:bCs/>
                      <w:kern w:val="0"/>
                      <w:szCs w:val="21"/>
                    </w:rPr>
                    <w:t>年平均质量浓度</w:t>
                  </w:r>
                </w:p>
              </w:tc>
              <w:tc>
                <w:tcPr>
                  <w:tcW w:w="717" w:type="pct"/>
                  <w:vAlign w:val="center"/>
                </w:tcPr>
                <w:p w14:paraId="5174F05E">
                  <w:pPr>
                    <w:widowControl/>
                    <w:jc w:val="center"/>
                    <w:rPr>
                      <w:bCs/>
                      <w:kern w:val="0"/>
                      <w:szCs w:val="21"/>
                    </w:rPr>
                  </w:pPr>
                  <w:r>
                    <w:rPr>
                      <w:rFonts w:hint="eastAsia"/>
                      <w:bCs/>
                      <w:kern w:val="0"/>
                      <w:szCs w:val="21"/>
                    </w:rPr>
                    <w:t>15</w:t>
                  </w:r>
                </w:p>
              </w:tc>
              <w:tc>
                <w:tcPr>
                  <w:tcW w:w="691" w:type="pct"/>
                  <w:vAlign w:val="center"/>
                </w:tcPr>
                <w:p w14:paraId="0E361ECB">
                  <w:pPr>
                    <w:widowControl/>
                    <w:jc w:val="center"/>
                    <w:rPr>
                      <w:bCs/>
                      <w:kern w:val="0"/>
                      <w:szCs w:val="21"/>
                    </w:rPr>
                  </w:pPr>
                  <w:r>
                    <w:rPr>
                      <w:bCs/>
                      <w:kern w:val="0"/>
                      <w:szCs w:val="21"/>
                    </w:rPr>
                    <w:t>40</w:t>
                  </w:r>
                </w:p>
              </w:tc>
              <w:tc>
                <w:tcPr>
                  <w:tcW w:w="734" w:type="pct"/>
                  <w:vAlign w:val="center"/>
                </w:tcPr>
                <w:p w14:paraId="4D4800A7">
                  <w:pPr>
                    <w:widowControl/>
                    <w:jc w:val="center"/>
                    <w:rPr>
                      <w:bCs/>
                      <w:kern w:val="0"/>
                      <w:szCs w:val="21"/>
                    </w:rPr>
                  </w:pPr>
                  <w:r>
                    <w:t>37.5</w:t>
                  </w:r>
                </w:p>
              </w:tc>
              <w:tc>
                <w:tcPr>
                  <w:tcW w:w="617" w:type="pct"/>
                  <w:vAlign w:val="center"/>
                </w:tcPr>
                <w:p w14:paraId="5E4DD544">
                  <w:pPr>
                    <w:widowControl/>
                    <w:jc w:val="center"/>
                    <w:rPr>
                      <w:bCs/>
                      <w:kern w:val="0"/>
                      <w:szCs w:val="21"/>
                    </w:rPr>
                  </w:pPr>
                  <w:r>
                    <w:rPr>
                      <w:bCs/>
                      <w:kern w:val="0"/>
                      <w:szCs w:val="21"/>
                    </w:rPr>
                    <w:t>达标</w:t>
                  </w:r>
                </w:p>
              </w:tc>
            </w:tr>
            <w:tr w14:paraId="3F9C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599" w:type="pct"/>
                  <w:vAlign w:val="center"/>
                </w:tcPr>
                <w:p w14:paraId="4D75C158">
                  <w:pPr>
                    <w:widowControl/>
                    <w:jc w:val="center"/>
                    <w:rPr>
                      <w:bCs/>
                      <w:kern w:val="0"/>
                      <w:szCs w:val="21"/>
                    </w:rPr>
                  </w:pPr>
                  <w:r>
                    <w:rPr>
                      <w:bCs/>
                      <w:kern w:val="0"/>
                      <w:szCs w:val="21"/>
                    </w:rPr>
                    <w:t>PM</w:t>
                  </w:r>
                  <w:r>
                    <w:rPr>
                      <w:bCs/>
                      <w:kern w:val="0"/>
                      <w:szCs w:val="21"/>
                      <w:vertAlign w:val="subscript"/>
                    </w:rPr>
                    <w:t>10</w:t>
                  </w:r>
                </w:p>
              </w:tc>
              <w:tc>
                <w:tcPr>
                  <w:tcW w:w="1642" w:type="pct"/>
                  <w:vAlign w:val="center"/>
                </w:tcPr>
                <w:p w14:paraId="39872FCD">
                  <w:pPr>
                    <w:widowControl/>
                    <w:jc w:val="center"/>
                    <w:rPr>
                      <w:bCs/>
                      <w:kern w:val="0"/>
                      <w:szCs w:val="21"/>
                    </w:rPr>
                  </w:pPr>
                  <w:r>
                    <w:rPr>
                      <w:bCs/>
                      <w:kern w:val="0"/>
                      <w:szCs w:val="21"/>
                    </w:rPr>
                    <w:t>年平均质量浓度</w:t>
                  </w:r>
                </w:p>
              </w:tc>
              <w:tc>
                <w:tcPr>
                  <w:tcW w:w="717" w:type="pct"/>
                  <w:vAlign w:val="center"/>
                </w:tcPr>
                <w:p w14:paraId="1241955B">
                  <w:pPr>
                    <w:widowControl/>
                    <w:jc w:val="center"/>
                    <w:rPr>
                      <w:bCs/>
                      <w:kern w:val="0"/>
                      <w:szCs w:val="21"/>
                    </w:rPr>
                  </w:pPr>
                  <w:r>
                    <w:rPr>
                      <w:rFonts w:hint="eastAsia"/>
                      <w:bCs/>
                      <w:kern w:val="0"/>
                      <w:szCs w:val="21"/>
                    </w:rPr>
                    <w:t>49</w:t>
                  </w:r>
                </w:p>
              </w:tc>
              <w:tc>
                <w:tcPr>
                  <w:tcW w:w="691" w:type="pct"/>
                  <w:vAlign w:val="center"/>
                </w:tcPr>
                <w:p w14:paraId="790B7B47">
                  <w:pPr>
                    <w:widowControl/>
                    <w:jc w:val="center"/>
                    <w:rPr>
                      <w:bCs/>
                      <w:kern w:val="0"/>
                      <w:szCs w:val="21"/>
                    </w:rPr>
                  </w:pPr>
                  <w:r>
                    <w:rPr>
                      <w:bCs/>
                      <w:kern w:val="0"/>
                      <w:szCs w:val="21"/>
                    </w:rPr>
                    <w:t>70</w:t>
                  </w:r>
                </w:p>
              </w:tc>
              <w:tc>
                <w:tcPr>
                  <w:tcW w:w="734" w:type="pct"/>
                  <w:vAlign w:val="center"/>
                </w:tcPr>
                <w:p w14:paraId="48854DFA">
                  <w:pPr>
                    <w:widowControl/>
                    <w:jc w:val="center"/>
                    <w:rPr>
                      <w:bCs/>
                      <w:kern w:val="0"/>
                      <w:szCs w:val="21"/>
                    </w:rPr>
                  </w:pPr>
                  <w:r>
                    <w:t>70</w:t>
                  </w:r>
                </w:p>
              </w:tc>
              <w:tc>
                <w:tcPr>
                  <w:tcW w:w="617" w:type="pct"/>
                  <w:vAlign w:val="center"/>
                </w:tcPr>
                <w:p w14:paraId="3D0D3AF9">
                  <w:pPr>
                    <w:widowControl/>
                    <w:jc w:val="center"/>
                    <w:rPr>
                      <w:b/>
                      <w:kern w:val="0"/>
                      <w:szCs w:val="21"/>
                    </w:rPr>
                  </w:pPr>
                  <w:r>
                    <w:rPr>
                      <w:bCs/>
                      <w:kern w:val="0"/>
                      <w:szCs w:val="21"/>
                    </w:rPr>
                    <w:t>达标</w:t>
                  </w:r>
                </w:p>
              </w:tc>
            </w:tr>
            <w:tr w14:paraId="752D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599" w:type="pct"/>
                  <w:vAlign w:val="center"/>
                </w:tcPr>
                <w:p w14:paraId="68D314FE">
                  <w:pPr>
                    <w:widowControl/>
                    <w:jc w:val="center"/>
                    <w:rPr>
                      <w:bCs/>
                      <w:kern w:val="0"/>
                      <w:szCs w:val="21"/>
                    </w:rPr>
                  </w:pPr>
                  <w:r>
                    <w:rPr>
                      <w:bCs/>
                      <w:kern w:val="0"/>
                      <w:szCs w:val="21"/>
                    </w:rPr>
                    <w:t>PM</w:t>
                  </w:r>
                  <w:r>
                    <w:rPr>
                      <w:bCs/>
                      <w:kern w:val="0"/>
                      <w:szCs w:val="21"/>
                      <w:vertAlign w:val="subscript"/>
                    </w:rPr>
                    <w:t>2.5</w:t>
                  </w:r>
                </w:p>
              </w:tc>
              <w:tc>
                <w:tcPr>
                  <w:tcW w:w="1642" w:type="pct"/>
                  <w:vAlign w:val="center"/>
                </w:tcPr>
                <w:p w14:paraId="04D94C2A">
                  <w:pPr>
                    <w:widowControl/>
                    <w:jc w:val="center"/>
                    <w:rPr>
                      <w:bCs/>
                      <w:kern w:val="0"/>
                      <w:szCs w:val="21"/>
                    </w:rPr>
                  </w:pPr>
                  <w:r>
                    <w:rPr>
                      <w:bCs/>
                      <w:kern w:val="0"/>
                      <w:szCs w:val="21"/>
                    </w:rPr>
                    <w:t>年平均质量浓度</w:t>
                  </w:r>
                </w:p>
              </w:tc>
              <w:tc>
                <w:tcPr>
                  <w:tcW w:w="717" w:type="pct"/>
                  <w:vAlign w:val="center"/>
                </w:tcPr>
                <w:p w14:paraId="1F4B8C5A">
                  <w:pPr>
                    <w:widowControl/>
                    <w:jc w:val="center"/>
                    <w:rPr>
                      <w:bCs/>
                      <w:kern w:val="0"/>
                      <w:szCs w:val="21"/>
                    </w:rPr>
                  </w:pPr>
                  <w:r>
                    <w:rPr>
                      <w:rFonts w:hint="eastAsia"/>
                      <w:bCs/>
                      <w:kern w:val="0"/>
                      <w:szCs w:val="21"/>
                    </w:rPr>
                    <w:t>31</w:t>
                  </w:r>
                </w:p>
              </w:tc>
              <w:tc>
                <w:tcPr>
                  <w:tcW w:w="691" w:type="pct"/>
                  <w:vAlign w:val="center"/>
                </w:tcPr>
                <w:p w14:paraId="305408CD">
                  <w:pPr>
                    <w:widowControl/>
                    <w:jc w:val="center"/>
                    <w:rPr>
                      <w:bCs/>
                      <w:kern w:val="0"/>
                      <w:szCs w:val="21"/>
                    </w:rPr>
                  </w:pPr>
                  <w:r>
                    <w:rPr>
                      <w:bCs/>
                      <w:kern w:val="0"/>
                      <w:szCs w:val="21"/>
                    </w:rPr>
                    <w:t>35</w:t>
                  </w:r>
                </w:p>
              </w:tc>
              <w:tc>
                <w:tcPr>
                  <w:tcW w:w="734" w:type="pct"/>
                  <w:vAlign w:val="center"/>
                </w:tcPr>
                <w:p w14:paraId="22E26B7A">
                  <w:pPr>
                    <w:widowControl/>
                    <w:jc w:val="center"/>
                    <w:rPr>
                      <w:bCs/>
                      <w:kern w:val="0"/>
                      <w:szCs w:val="21"/>
                    </w:rPr>
                  </w:pPr>
                  <w:r>
                    <w:t>88.5</w:t>
                  </w:r>
                </w:p>
              </w:tc>
              <w:tc>
                <w:tcPr>
                  <w:tcW w:w="617" w:type="pct"/>
                  <w:vAlign w:val="center"/>
                </w:tcPr>
                <w:p w14:paraId="6341FA57">
                  <w:pPr>
                    <w:widowControl/>
                    <w:jc w:val="center"/>
                    <w:rPr>
                      <w:b/>
                      <w:kern w:val="0"/>
                      <w:szCs w:val="21"/>
                    </w:rPr>
                  </w:pPr>
                  <w:r>
                    <w:rPr>
                      <w:bCs/>
                      <w:kern w:val="0"/>
                      <w:szCs w:val="21"/>
                    </w:rPr>
                    <w:t>达标</w:t>
                  </w:r>
                </w:p>
              </w:tc>
            </w:tr>
            <w:tr w14:paraId="34BD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9" w:type="pct"/>
                  <w:vAlign w:val="center"/>
                </w:tcPr>
                <w:p w14:paraId="77121703">
                  <w:pPr>
                    <w:widowControl/>
                    <w:jc w:val="center"/>
                    <w:rPr>
                      <w:bCs/>
                      <w:kern w:val="0"/>
                      <w:szCs w:val="21"/>
                    </w:rPr>
                  </w:pPr>
                  <w:r>
                    <w:rPr>
                      <w:bCs/>
                      <w:kern w:val="0"/>
                      <w:szCs w:val="21"/>
                    </w:rPr>
                    <w:t>CO</w:t>
                  </w:r>
                </w:p>
              </w:tc>
              <w:tc>
                <w:tcPr>
                  <w:tcW w:w="1642" w:type="pct"/>
                  <w:vAlign w:val="center"/>
                </w:tcPr>
                <w:p w14:paraId="0C09C71A">
                  <w:pPr>
                    <w:widowControl/>
                    <w:jc w:val="center"/>
                    <w:rPr>
                      <w:bCs/>
                      <w:kern w:val="0"/>
                      <w:szCs w:val="21"/>
                    </w:rPr>
                  </w:pPr>
                  <w:r>
                    <w:rPr>
                      <w:bCs/>
                      <w:kern w:val="0"/>
                      <w:szCs w:val="21"/>
                    </w:rPr>
                    <w:t>日平均第95百分位数年平均质量浓度</w:t>
                  </w:r>
                </w:p>
              </w:tc>
              <w:tc>
                <w:tcPr>
                  <w:tcW w:w="717" w:type="pct"/>
                  <w:vAlign w:val="center"/>
                </w:tcPr>
                <w:p w14:paraId="6E27F168">
                  <w:pPr>
                    <w:widowControl/>
                    <w:jc w:val="center"/>
                    <w:rPr>
                      <w:bCs/>
                      <w:kern w:val="0"/>
                      <w:szCs w:val="21"/>
                    </w:rPr>
                  </w:pPr>
                  <w:r>
                    <w:rPr>
                      <w:rFonts w:hint="eastAsia"/>
                      <w:bCs/>
                      <w:kern w:val="0"/>
                      <w:szCs w:val="21"/>
                    </w:rPr>
                    <w:t>800</w:t>
                  </w:r>
                </w:p>
              </w:tc>
              <w:tc>
                <w:tcPr>
                  <w:tcW w:w="691" w:type="pct"/>
                  <w:vAlign w:val="center"/>
                </w:tcPr>
                <w:p w14:paraId="0D650F22">
                  <w:pPr>
                    <w:widowControl/>
                    <w:jc w:val="center"/>
                    <w:rPr>
                      <w:bCs/>
                      <w:kern w:val="0"/>
                      <w:szCs w:val="21"/>
                    </w:rPr>
                  </w:pPr>
                  <w:r>
                    <w:rPr>
                      <w:bCs/>
                      <w:kern w:val="0"/>
                      <w:szCs w:val="21"/>
                    </w:rPr>
                    <w:t>4000</w:t>
                  </w:r>
                </w:p>
              </w:tc>
              <w:tc>
                <w:tcPr>
                  <w:tcW w:w="734" w:type="pct"/>
                  <w:vAlign w:val="center"/>
                </w:tcPr>
                <w:p w14:paraId="790231A3">
                  <w:pPr>
                    <w:widowControl/>
                    <w:jc w:val="center"/>
                    <w:rPr>
                      <w:bCs/>
                      <w:kern w:val="0"/>
                      <w:szCs w:val="21"/>
                    </w:rPr>
                  </w:pPr>
                  <w:r>
                    <w:t>20</w:t>
                  </w:r>
                </w:p>
              </w:tc>
              <w:tc>
                <w:tcPr>
                  <w:tcW w:w="617" w:type="pct"/>
                  <w:vAlign w:val="center"/>
                </w:tcPr>
                <w:p w14:paraId="64373372">
                  <w:pPr>
                    <w:widowControl/>
                    <w:jc w:val="center"/>
                    <w:rPr>
                      <w:bCs/>
                      <w:kern w:val="0"/>
                      <w:szCs w:val="21"/>
                    </w:rPr>
                  </w:pPr>
                  <w:r>
                    <w:rPr>
                      <w:bCs/>
                      <w:kern w:val="0"/>
                      <w:szCs w:val="21"/>
                    </w:rPr>
                    <w:t>达标</w:t>
                  </w:r>
                </w:p>
              </w:tc>
            </w:tr>
            <w:tr w14:paraId="0EA3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599" w:type="pct"/>
                  <w:vAlign w:val="center"/>
                </w:tcPr>
                <w:p w14:paraId="6898B1CB">
                  <w:pPr>
                    <w:widowControl/>
                    <w:jc w:val="center"/>
                    <w:rPr>
                      <w:bCs/>
                      <w:kern w:val="0"/>
                      <w:szCs w:val="21"/>
                    </w:rPr>
                  </w:pPr>
                  <w:r>
                    <w:rPr>
                      <w:bCs/>
                      <w:kern w:val="0"/>
                      <w:szCs w:val="21"/>
                    </w:rPr>
                    <w:t>O</w:t>
                  </w:r>
                  <w:r>
                    <w:rPr>
                      <w:bCs/>
                      <w:kern w:val="0"/>
                      <w:szCs w:val="21"/>
                      <w:vertAlign w:val="subscript"/>
                    </w:rPr>
                    <w:t>3</w:t>
                  </w:r>
                </w:p>
              </w:tc>
              <w:tc>
                <w:tcPr>
                  <w:tcW w:w="1642" w:type="pct"/>
                  <w:vAlign w:val="center"/>
                </w:tcPr>
                <w:p w14:paraId="44E9A89D">
                  <w:pPr>
                    <w:widowControl/>
                    <w:jc w:val="center"/>
                    <w:rPr>
                      <w:bCs/>
                      <w:kern w:val="0"/>
                      <w:szCs w:val="21"/>
                    </w:rPr>
                  </w:pPr>
                  <w:r>
                    <w:rPr>
                      <w:bCs/>
                      <w:kern w:val="0"/>
                      <w:szCs w:val="21"/>
                    </w:rPr>
                    <w:t>八小时平均浓度第90百分位浓度年平均质量浓度</w:t>
                  </w:r>
                </w:p>
              </w:tc>
              <w:tc>
                <w:tcPr>
                  <w:tcW w:w="717" w:type="pct"/>
                  <w:vAlign w:val="center"/>
                </w:tcPr>
                <w:p w14:paraId="52F67024">
                  <w:pPr>
                    <w:widowControl/>
                    <w:jc w:val="center"/>
                    <w:rPr>
                      <w:bCs/>
                      <w:kern w:val="0"/>
                      <w:szCs w:val="21"/>
                    </w:rPr>
                  </w:pPr>
                  <w:r>
                    <w:rPr>
                      <w:rFonts w:hint="eastAsia"/>
                      <w:bCs/>
                      <w:kern w:val="0"/>
                      <w:szCs w:val="21"/>
                    </w:rPr>
                    <w:t>138</w:t>
                  </w:r>
                </w:p>
              </w:tc>
              <w:tc>
                <w:tcPr>
                  <w:tcW w:w="691" w:type="pct"/>
                  <w:vAlign w:val="center"/>
                </w:tcPr>
                <w:p w14:paraId="5338FE80">
                  <w:pPr>
                    <w:widowControl/>
                    <w:jc w:val="center"/>
                    <w:rPr>
                      <w:bCs/>
                      <w:kern w:val="0"/>
                      <w:szCs w:val="21"/>
                    </w:rPr>
                  </w:pPr>
                  <w:r>
                    <w:rPr>
                      <w:bCs/>
                      <w:kern w:val="0"/>
                      <w:szCs w:val="21"/>
                    </w:rPr>
                    <w:t>160</w:t>
                  </w:r>
                </w:p>
              </w:tc>
              <w:tc>
                <w:tcPr>
                  <w:tcW w:w="734" w:type="pct"/>
                  <w:vAlign w:val="center"/>
                </w:tcPr>
                <w:p w14:paraId="4C886425">
                  <w:pPr>
                    <w:widowControl/>
                    <w:jc w:val="center"/>
                    <w:rPr>
                      <w:bCs/>
                      <w:kern w:val="0"/>
                      <w:szCs w:val="21"/>
                    </w:rPr>
                  </w:pPr>
                  <w:r>
                    <w:t>86.2</w:t>
                  </w:r>
                </w:p>
              </w:tc>
              <w:tc>
                <w:tcPr>
                  <w:tcW w:w="617" w:type="pct"/>
                  <w:vAlign w:val="center"/>
                </w:tcPr>
                <w:p w14:paraId="2776ABA5">
                  <w:pPr>
                    <w:widowControl/>
                    <w:jc w:val="center"/>
                    <w:rPr>
                      <w:bCs/>
                      <w:kern w:val="0"/>
                      <w:szCs w:val="21"/>
                    </w:rPr>
                  </w:pPr>
                  <w:r>
                    <w:rPr>
                      <w:bCs/>
                      <w:kern w:val="0"/>
                      <w:szCs w:val="21"/>
                    </w:rPr>
                    <w:t>达标</w:t>
                  </w:r>
                </w:p>
              </w:tc>
            </w:tr>
          </w:tbl>
          <w:p w14:paraId="377EE64E">
            <w:pPr>
              <w:spacing w:line="360" w:lineRule="auto"/>
              <w:ind w:firstLine="480" w:firstLineChars="200"/>
              <w:rPr>
                <w:sz w:val="24"/>
              </w:rPr>
            </w:pPr>
            <w:r>
              <w:rPr>
                <w:sz w:val="24"/>
              </w:rPr>
              <w:t>根据质量</w:t>
            </w:r>
            <w:r>
              <w:rPr>
                <w:rFonts w:hint="eastAsia"/>
                <w:sz w:val="24"/>
              </w:rPr>
              <w:t>年</w:t>
            </w:r>
            <w:r>
              <w:rPr>
                <w:sz w:val="24"/>
              </w:rPr>
              <w:t>报监测结果统计，并结合《环境空气质量标准》（GB3095-2012）及2018年修改单中二级标准可知，项目所在区域202</w:t>
            </w:r>
            <w:r>
              <w:rPr>
                <w:rFonts w:hint="eastAsia"/>
                <w:sz w:val="24"/>
              </w:rPr>
              <w:t>4</w:t>
            </w:r>
            <w:r>
              <w:rPr>
                <w:sz w:val="24"/>
              </w:rPr>
              <w:t>年SO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、CO、O</w:t>
            </w:r>
            <w:r>
              <w:rPr>
                <w:sz w:val="24"/>
                <w:vertAlign w:val="subscript"/>
              </w:rPr>
              <w:t>3</w:t>
            </w:r>
            <w:r>
              <w:rPr>
                <w:rFonts w:hint="eastAsia"/>
                <w:sz w:val="24"/>
              </w:rPr>
              <w:t>年均浓度</w:t>
            </w:r>
            <w:r>
              <w:rPr>
                <w:sz w:val="24"/>
              </w:rPr>
              <w:t>均达标。根据《环境影响评价技术导则大气环境》（HJ2.2-2018），项目所在区域判定为达标区。</w:t>
            </w:r>
          </w:p>
          <w:p w14:paraId="634FB9EE">
            <w:pPr>
              <w:pStyle w:val="21"/>
              <w:numPr>
                <w:ilvl w:val="0"/>
                <w:numId w:val="3"/>
              </w:numPr>
              <w:spacing w:after="0" w:line="500" w:lineRule="exact"/>
              <w:ind w:firstLine="480" w:firstLineChars="200"/>
              <w:rPr>
                <w:sz w:val="24"/>
              </w:rPr>
            </w:pPr>
            <w:r>
              <w:rPr>
                <w:rFonts w:hint="eastAsia"/>
                <w:sz w:val="24"/>
              </w:rPr>
              <w:t>特征因子环境质量评价</w:t>
            </w:r>
          </w:p>
          <w:p w14:paraId="6C0277FA">
            <w:pPr>
              <w:pStyle w:val="21"/>
              <w:spacing w:after="0" w:line="500" w:lineRule="exact"/>
              <w:ind w:firstLine="480" w:firstLineChars="200"/>
              <w:rPr>
                <w:sz w:val="24"/>
              </w:rPr>
            </w:pPr>
            <w:r>
              <w:rPr>
                <w:rFonts w:hint="eastAsia"/>
                <w:sz w:val="24"/>
              </w:rPr>
              <w:t>本项目特征污染物为TSP、非甲烷总烃。</w:t>
            </w:r>
          </w:p>
          <w:p w14:paraId="049CB9C1">
            <w:pPr>
              <w:pStyle w:val="21"/>
              <w:spacing w:after="0" w:line="500" w:lineRule="exact"/>
              <w:ind w:firstLine="480" w:firstLineChars="200"/>
              <w:rPr>
                <w:sz w:val="24"/>
              </w:rPr>
            </w:pPr>
            <w:r>
              <w:rPr>
                <w:rFonts w:hint="eastAsia"/>
                <w:sz w:val="24"/>
              </w:rPr>
              <w:t xml:space="preserve">本项目污染物涉及TSP、非甲烷总烃，本次环评引用《安徽金寨经济开发区总体发展规划（2023-2035）环境影响报告书》中监测数据。 </w:t>
            </w:r>
          </w:p>
          <w:p w14:paraId="0B8ECFDF">
            <w:pPr>
              <w:pStyle w:val="21"/>
              <w:numPr>
                <w:ilvl w:val="0"/>
                <w:numId w:val="4"/>
              </w:numPr>
              <w:spacing w:after="0" w:line="500" w:lineRule="exact"/>
              <w:ind w:firstLineChars="0"/>
              <w:rPr>
                <w:sz w:val="24"/>
              </w:rPr>
            </w:pPr>
            <w:r>
              <w:rPr>
                <w:rFonts w:hint="eastAsia"/>
                <w:sz w:val="24"/>
              </w:rPr>
              <w:t xml:space="preserve">监测点位 </w:t>
            </w:r>
          </w:p>
          <w:p w14:paraId="00C95EAE">
            <w:pPr>
              <w:pStyle w:val="21"/>
              <w:spacing w:after="0" w:line="500" w:lineRule="exact"/>
              <w:ind w:firstLine="480" w:firstLineChars="200"/>
              <w:rPr>
                <w:sz w:val="24"/>
              </w:rPr>
            </w:pPr>
            <w:r>
              <w:rPr>
                <w:rFonts w:hint="eastAsia"/>
                <w:sz w:val="24"/>
              </w:rPr>
              <w:t xml:space="preserve">根据规划环评监测点位与本项目地理位置及周围环境特征等因素，本项目距离G1监测点约为2.7 km，监测时间为2023年8月12日~19日，符合《建设项目环境影响报告表编制技术指南（污染影响类）（试行）》中“引用建设项目周边5千米范围内近3年的现有监测数据”，因此数据引用可行。 </w:t>
            </w:r>
          </w:p>
          <w:p w14:paraId="4841E352">
            <w:pPr>
              <w:jc w:val="center"/>
              <w:rPr>
                <w:bCs/>
              </w:rPr>
            </w:pPr>
            <w:r>
              <w:rPr>
                <w:b/>
              </w:rPr>
              <w:t>表3-2  环境空气质量现状监测点布设一览表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2"/>
              <w:gridCol w:w="4395"/>
              <w:gridCol w:w="826"/>
              <w:gridCol w:w="1717"/>
            </w:tblGrid>
            <w:tr w14:paraId="5A8297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 w:hRule="atLeast"/>
                <w:jc w:val="center"/>
              </w:trPr>
              <w:tc>
                <w:tcPr>
                  <w:tcW w:w="1213" w:type="dxa"/>
                  <w:vAlign w:val="center"/>
                </w:tcPr>
                <w:p w14:paraId="22BA9DC7">
                  <w:pPr>
                    <w:jc w:val="center"/>
                    <w:rPr>
                      <w:b/>
                      <w:bCs/>
                      <w:szCs w:val="21"/>
                    </w:rPr>
                  </w:pPr>
                  <w:r>
                    <w:rPr>
                      <w:b/>
                      <w:bCs/>
                      <w:szCs w:val="21"/>
                    </w:rPr>
                    <w:t>点位编号</w:t>
                  </w:r>
                </w:p>
              </w:tc>
              <w:tc>
                <w:tcPr>
                  <w:tcW w:w="4359" w:type="dxa"/>
                  <w:vAlign w:val="center"/>
                </w:tcPr>
                <w:p w14:paraId="6C43AA31">
                  <w:pPr>
                    <w:jc w:val="center"/>
                    <w:rPr>
                      <w:b/>
                      <w:bCs/>
                      <w:szCs w:val="21"/>
                    </w:rPr>
                  </w:pPr>
                  <w:r>
                    <w:rPr>
                      <w:b/>
                      <w:bCs/>
                      <w:szCs w:val="21"/>
                    </w:rPr>
                    <w:t>引用监测测点名称</w:t>
                  </w:r>
                </w:p>
              </w:tc>
              <w:tc>
                <w:tcPr>
                  <w:tcW w:w="819" w:type="dxa"/>
                  <w:vAlign w:val="center"/>
                </w:tcPr>
                <w:p w14:paraId="7AE4FDE7">
                  <w:pPr>
                    <w:jc w:val="center"/>
                    <w:rPr>
                      <w:b/>
                      <w:bCs/>
                      <w:szCs w:val="21"/>
                    </w:rPr>
                  </w:pPr>
                  <w:r>
                    <w:rPr>
                      <w:b/>
                      <w:bCs/>
                      <w:szCs w:val="21"/>
                    </w:rPr>
                    <w:t>方位</w:t>
                  </w:r>
                </w:p>
              </w:tc>
              <w:tc>
                <w:tcPr>
                  <w:tcW w:w="1703" w:type="dxa"/>
                  <w:vAlign w:val="center"/>
                </w:tcPr>
                <w:p w14:paraId="3DED7A88">
                  <w:pPr>
                    <w:jc w:val="center"/>
                    <w:rPr>
                      <w:b/>
                      <w:bCs/>
                      <w:szCs w:val="21"/>
                    </w:rPr>
                  </w:pPr>
                  <w:r>
                    <w:rPr>
                      <w:b/>
                      <w:bCs/>
                      <w:szCs w:val="21"/>
                    </w:rPr>
                    <w:t>相对距离(km)</w:t>
                  </w:r>
                </w:p>
              </w:tc>
            </w:tr>
            <w:tr w14:paraId="1FB19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 w:hRule="atLeast"/>
                <w:jc w:val="center"/>
              </w:trPr>
              <w:tc>
                <w:tcPr>
                  <w:tcW w:w="1213" w:type="dxa"/>
                  <w:vAlign w:val="center"/>
                </w:tcPr>
                <w:p w14:paraId="5F03E974">
                  <w:pPr>
                    <w:jc w:val="center"/>
                    <w:rPr>
                      <w:szCs w:val="21"/>
                    </w:rPr>
                  </w:pPr>
                  <w:r>
                    <w:rPr>
                      <w:szCs w:val="21"/>
                    </w:rPr>
                    <w:t>G3</w:t>
                  </w:r>
                </w:p>
              </w:tc>
              <w:tc>
                <w:tcPr>
                  <w:tcW w:w="4359" w:type="dxa"/>
                  <w:vAlign w:val="center"/>
                </w:tcPr>
                <w:p w14:paraId="341FDF08">
                  <w:pPr>
                    <w:jc w:val="center"/>
                    <w:rPr>
                      <w:szCs w:val="21"/>
                    </w:rPr>
                  </w:pPr>
                  <w:r>
                    <w:rPr>
                      <w:rFonts w:hint="eastAsia"/>
                      <w:szCs w:val="21"/>
                    </w:rPr>
                    <w:t>开发区二类工业片区</w:t>
                  </w:r>
                </w:p>
              </w:tc>
              <w:tc>
                <w:tcPr>
                  <w:tcW w:w="819" w:type="dxa"/>
                  <w:vAlign w:val="center"/>
                </w:tcPr>
                <w:p w14:paraId="45BC1238">
                  <w:pPr>
                    <w:jc w:val="center"/>
                    <w:rPr>
                      <w:szCs w:val="21"/>
                    </w:rPr>
                  </w:pPr>
                  <w:r>
                    <w:rPr>
                      <w:rFonts w:hint="eastAsia"/>
                      <w:szCs w:val="21"/>
                    </w:rPr>
                    <w:t>西北</w:t>
                  </w:r>
                </w:p>
              </w:tc>
              <w:tc>
                <w:tcPr>
                  <w:tcW w:w="1703" w:type="dxa"/>
                  <w:vAlign w:val="center"/>
                </w:tcPr>
                <w:p w14:paraId="5B13BFCA">
                  <w:pPr>
                    <w:jc w:val="center"/>
                    <w:rPr>
                      <w:szCs w:val="21"/>
                    </w:rPr>
                  </w:pPr>
                  <w:r>
                    <w:rPr>
                      <w:rFonts w:hint="eastAsia"/>
                      <w:szCs w:val="21"/>
                    </w:rPr>
                    <w:t>3.1</w:t>
                  </w:r>
                </w:p>
              </w:tc>
            </w:tr>
          </w:tbl>
          <w:p w14:paraId="7A6A1905">
            <w:pPr>
              <w:pStyle w:val="21"/>
              <w:numPr>
                <w:ilvl w:val="0"/>
                <w:numId w:val="4"/>
              </w:numPr>
              <w:spacing w:after="0" w:line="500" w:lineRule="exact"/>
              <w:ind w:firstLineChars="0"/>
              <w:rPr>
                <w:sz w:val="24"/>
              </w:rPr>
            </w:pPr>
            <w:r>
              <w:rPr>
                <w:rFonts w:hint="eastAsia"/>
                <w:sz w:val="24"/>
              </w:rPr>
              <w:t>监测因子</w:t>
            </w:r>
          </w:p>
          <w:p w14:paraId="534EC5CF">
            <w:pPr>
              <w:pStyle w:val="21"/>
              <w:spacing w:after="0" w:line="500" w:lineRule="exact"/>
              <w:ind w:firstLine="480" w:firstLineChars="200"/>
              <w:rPr>
                <w:sz w:val="24"/>
              </w:rPr>
            </w:pPr>
            <w:r>
              <w:rPr>
                <w:rFonts w:hint="eastAsia"/>
                <w:sz w:val="24"/>
              </w:rPr>
              <w:t>监测因子主要为TSP、非甲烷总烃，监测期间同步观测气温、气压、风向、风速等气象要素。本次环评特征因子为TSP、非甲烷总烃，仅引用TSP、非甲烷总烃的监测数据。</w:t>
            </w:r>
          </w:p>
          <w:p w14:paraId="10076CBF">
            <w:pPr>
              <w:pStyle w:val="21"/>
              <w:spacing w:after="0" w:line="500" w:lineRule="exact"/>
              <w:ind w:firstLine="480" w:firstLineChars="200"/>
              <w:rPr>
                <w:sz w:val="24"/>
              </w:rPr>
            </w:pPr>
            <w:r>
              <w:rPr>
                <w:sz w:val="24"/>
              </w:rPr>
              <w:t>③</w:t>
            </w:r>
            <w:r>
              <w:rPr>
                <w:rFonts w:hint="eastAsia"/>
                <w:sz w:val="24"/>
              </w:rPr>
              <w:t>监测时间和频率</w:t>
            </w:r>
          </w:p>
          <w:p w14:paraId="07E38700">
            <w:pPr>
              <w:pStyle w:val="21"/>
              <w:spacing w:after="0" w:line="500" w:lineRule="exact"/>
              <w:ind w:firstLine="480" w:firstLineChars="200"/>
              <w:rPr>
                <w:sz w:val="24"/>
              </w:rPr>
            </w:pPr>
            <w:r>
              <w:rPr>
                <w:rFonts w:hint="eastAsia"/>
                <w:sz w:val="24"/>
              </w:rPr>
              <w:t>非甲烷总烃小时浓度每天采样4次，每次采样时间不少于45min，连续监测7天。监测期间同步观测气温、气压、风向、风速等气象要素</w:t>
            </w:r>
            <w:r>
              <w:rPr>
                <w:sz w:val="24"/>
              </w:rPr>
              <w:t>。</w:t>
            </w:r>
          </w:p>
          <w:p w14:paraId="3EBEB389">
            <w:pPr>
              <w:adjustRightInd w:val="0"/>
              <w:snapToGrid w:val="0"/>
              <w:spacing w:line="500" w:lineRule="exact"/>
              <w:ind w:firstLine="480" w:firstLineChars="200"/>
              <w:rPr>
                <w:sz w:val="24"/>
              </w:rPr>
            </w:pPr>
            <w:r>
              <w:rPr>
                <w:sz w:val="24"/>
              </w:rPr>
              <w:t>④</w:t>
            </w:r>
            <w:r>
              <w:rPr>
                <w:rFonts w:hint="eastAsia"/>
                <w:sz w:val="24"/>
              </w:rPr>
              <w:t>监测及分析方法</w:t>
            </w:r>
          </w:p>
          <w:p w14:paraId="34FA72E0">
            <w:pPr>
              <w:adjustRightInd w:val="0"/>
              <w:snapToGrid w:val="0"/>
              <w:spacing w:line="500" w:lineRule="exact"/>
              <w:ind w:firstLine="480" w:firstLineChars="200"/>
              <w:rPr>
                <w:sz w:val="24"/>
              </w:rPr>
            </w:pPr>
            <w:r>
              <w:rPr>
                <w:rFonts w:hint="eastAsia"/>
                <w:sz w:val="24"/>
              </w:rPr>
              <w:t>监测及分析方法均按照国家环保局《环境监测技术规范》、《环境监测分析方法》和《环境空气质量标准》（GB3095-2012）要求的方法进行</w:t>
            </w:r>
            <w:r>
              <w:rPr>
                <w:sz w:val="24"/>
              </w:rPr>
              <w:t>。</w:t>
            </w:r>
          </w:p>
          <w:p w14:paraId="0715C8A1">
            <w:pPr>
              <w:jc w:val="center"/>
              <w:rPr>
                <w:b/>
                <w:bCs/>
              </w:rPr>
            </w:pPr>
            <w:r>
              <w:rPr>
                <w:b/>
                <w:bCs/>
              </w:rPr>
              <w:t>表3-</w:t>
            </w:r>
            <w:r>
              <w:rPr>
                <w:rFonts w:hint="eastAsia"/>
                <w:b/>
                <w:bCs/>
              </w:rPr>
              <w:t>3</w:t>
            </w:r>
            <w:r>
              <w:rPr>
                <w:b/>
                <w:bCs/>
              </w:rPr>
              <w:t xml:space="preserve">  环境空气质量监测结果</w:t>
            </w:r>
          </w:p>
          <w:tbl>
            <w:tblPr>
              <w:tblStyle w:val="2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890"/>
              <w:gridCol w:w="1207"/>
              <w:gridCol w:w="1044"/>
              <w:gridCol w:w="1561"/>
              <w:gridCol w:w="1084"/>
              <w:gridCol w:w="790"/>
              <w:gridCol w:w="779"/>
            </w:tblGrid>
            <w:tr w14:paraId="7373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vMerge w:val="restart"/>
                  <w:vAlign w:val="center"/>
                </w:tcPr>
                <w:p w14:paraId="4E0B24D1">
                  <w:pPr>
                    <w:adjustRightInd w:val="0"/>
                    <w:snapToGrid w:val="0"/>
                    <w:jc w:val="center"/>
                    <w:rPr>
                      <w:rFonts w:ascii="宋体" w:hAnsi="宋体"/>
                      <w:b/>
                      <w:bCs/>
                    </w:rPr>
                  </w:pPr>
                  <w:r>
                    <w:rPr>
                      <w:rFonts w:ascii="宋体" w:hAnsi="宋体"/>
                      <w:b/>
                      <w:bCs/>
                      <w:szCs w:val="21"/>
                    </w:rPr>
                    <w:t>监测点位</w:t>
                  </w:r>
                </w:p>
              </w:tc>
              <w:tc>
                <w:tcPr>
                  <w:tcW w:w="941" w:type="dxa"/>
                  <w:vMerge w:val="restart"/>
                  <w:vAlign w:val="center"/>
                </w:tcPr>
                <w:p w14:paraId="1C904E74">
                  <w:pPr>
                    <w:adjustRightInd w:val="0"/>
                    <w:snapToGrid w:val="0"/>
                    <w:jc w:val="center"/>
                    <w:rPr>
                      <w:rFonts w:ascii="宋体" w:hAnsi="宋体"/>
                      <w:b/>
                      <w:bCs/>
                    </w:rPr>
                  </w:pPr>
                  <w:r>
                    <w:rPr>
                      <w:rFonts w:ascii="宋体" w:hAnsi="宋体"/>
                      <w:b/>
                      <w:bCs/>
                      <w:szCs w:val="21"/>
                    </w:rPr>
                    <w:t>污染物</w:t>
                  </w:r>
                </w:p>
              </w:tc>
              <w:tc>
                <w:tcPr>
                  <w:tcW w:w="1334" w:type="dxa"/>
                  <w:vMerge w:val="restart"/>
                  <w:vAlign w:val="center"/>
                </w:tcPr>
                <w:p w14:paraId="671E7A86">
                  <w:pPr>
                    <w:adjustRightInd w:val="0"/>
                    <w:snapToGrid w:val="0"/>
                    <w:jc w:val="center"/>
                    <w:rPr>
                      <w:rFonts w:ascii="宋体" w:hAnsi="宋体"/>
                      <w:b/>
                      <w:bCs/>
                    </w:rPr>
                  </w:pPr>
                  <w:r>
                    <w:rPr>
                      <w:rFonts w:ascii="宋体" w:hAnsi="宋体"/>
                      <w:b/>
                      <w:bCs/>
                      <w:szCs w:val="21"/>
                    </w:rPr>
                    <w:t>平均时间</w:t>
                  </w:r>
                </w:p>
              </w:tc>
              <w:tc>
                <w:tcPr>
                  <w:tcW w:w="1049" w:type="dxa"/>
                  <w:vMerge w:val="restart"/>
                  <w:vAlign w:val="center"/>
                </w:tcPr>
                <w:p w14:paraId="174F6456">
                  <w:pPr>
                    <w:adjustRightInd w:val="0"/>
                    <w:snapToGrid w:val="0"/>
                    <w:jc w:val="center"/>
                    <w:rPr>
                      <w:rFonts w:ascii="宋体" w:hAnsi="宋体"/>
                      <w:b/>
                      <w:bCs/>
                    </w:rPr>
                  </w:pPr>
                  <w:r>
                    <w:rPr>
                      <w:rFonts w:ascii="宋体" w:hAnsi="宋体"/>
                      <w:b/>
                      <w:bCs/>
                      <w:szCs w:val="21"/>
                    </w:rPr>
                    <w:t>评价标准/(mg/</w:t>
                  </w:r>
                  <w:r>
                    <w:rPr>
                      <w:rFonts w:hint="eastAsia" w:ascii="宋体" w:hAnsi="宋体"/>
                      <w:b/>
                      <w:bCs/>
                      <w:szCs w:val="21"/>
                    </w:rPr>
                    <w:t>m</w:t>
                  </w:r>
                  <w:r>
                    <w:rPr>
                      <w:rFonts w:hint="eastAsia" w:ascii="宋体" w:hAnsi="宋体"/>
                      <w:b/>
                      <w:bCs/>
                      <w:szCs w:val="21"/>
                      <w:vertAlign w:val="superscript"/>
                    </w:rPr>
                    <w:t>3</w:t>
                  </w:r>
                  <w:r>
                    <w:rPr>
                      <w:rFonts w:ascii="宋体" w:hAnsi="宋体"/>
                      <w:b/>
                      <w:bCs/>
                      <w:szCs w:val="21"/>
                    </w:rPr>
                    <w:t>)</w:t>
                  </w:r>
                </w:p>
              </w:tc>
              <w:tc>
                <w:tcPr>
                  <w:tcW w:w="1649" w:type="dxa"/>
                  <w:vMerge w:val="restart"/>
                  <w:vAlign w:val="center"/>
                </w:tcPr>
                <w:p w14:paraId="5BC9022B">
                  <w:pPr>
                    <w:adjustRightInd w:val="0"/>
                    <w:snapToGrid w:val="0"/>
                    <w:jc w:val="center"/>
                    <w:rPr>
                      <w:rFonts w:ascii="宋体" w:hAnsi="宋体"/>
                      <w:b/>
                      <w:bCs/>
                    </w:rPr>
                  </w:pPr>
                  <w:r>
                    <w:rPr>
                      <w:rFonts w:ascii="宋体" w:hAnsi="宋体"/>
                      <w:b/>
                      <w:bCs/>
                      <w:szCs w:val="21"/>
                    </w:rPr>
                    <w:t>监测浓度范围/(mg/</w:t>
                  </w:r>
                  <w:r>
                    <w:rPr>
                      <w:rFonts w:hint="eastAsia" w:ascii="宋体" w:hAnsi="宋体"/>
                      <w:b/>
                      <w:bCs/>
                      <w:szCs w:val="21"/>
                    </w:rPr>
                    <w:t>m</w:t>
                  </w:r>
                  <w:r>
                    <w:rPr>
                      <w:rFonts w:hint="eastAsia" w:ascii="宋体" w:hAnsi="宋体"/>
                      <w:b/>
                      <w:bCs/>
                      <w:szCs w:val="21"/>
                      <w:vertAlign w:val="superscript"/>
                    </w:rPr>
                    <w:t>3</w:t>
                  </w:r>
                  <w:r>
                    <w:rPr>
                      <w:rFonts w:ascii="宋体" w:hAnsi="宋体"/>
                      <w:b/>
                      <w:bCs/>
                      <w:szCs w:val="21"/>
                    </w:rPr>
                    <w:t>)</w:t>
                  </w:r>
                </w:p>
              </w:tc>
              <w:tc>
                <w:tcPr>
                  <w:tcW w:w="1191" w:type="dxa"/>
                  <w:vMerge w:val="restart"/>
                  <w:vAlign w:val="center"/>
                </w:tcPr>
                <w:p w14:paraId="49651E09">
                  <w:pPr>
                    <w:adjustRightInd w:val="0"/>
                    <w:snapToGrid w:val="0"/>
                    <w:jc w:val="center"/>
                    <w:rPr>
                      <w:rFonts w:ascii="宋体" w:hAnsi="宋体"/>
                      <w:b/>
                      <w:bCs/>
                    </w:rPr>
                  </w:pPr>
                  <w:r>
                    <w:rPr>
                      <w:rFonts w:ascii="宋体" w:hAnsi="宋体"/>
                      <w:b/>
                      <w:bCs/>
                      <w:szCs w:val="21"/>
                    </w:rPr>
                    <w:t>最大浓度占标率/%</w:t>
                  </w:r>
                </w:p>
              </w:tc>
              <w:tc>
                <w:tcPr>
                  <w:tcW w:w="849" w:type="dxa"/>
                  <w:vMerge w:val="restart"/>
                  <w:vAlign w:val="center"/>
                </w:tcPr>
                <w:p w14:paraId="473E271F">
                  <w:pPr>
                    <w:adjustRightInd w:val="0"/>
                    <w:snapToGrid w:val="0"/>
                    <w:jc w:val="center"/>
                    <w:rPr>
                      <w:rFonts w:ascii="宋体" w:hAnsi="宋体"/>
                      <w:b/>
                      <w:bCs/>
                    </w:rPr>
                  </w:pPr>
                  <w:r>
                    <w:rPr>
                      <w:rFonts w:ascii="宋体" w:hAnsi="宋体"/>
                      <w:b/>
                      <w:bCs/>
                      <w:szCs w:val="21"/>
                    </w:rPr>
                    <w:t>超标率/%</w:t>
                  </w:r>
                </w:p>
              </w:tc>
              <w:tc>
                <w:tcPr>
                  <w:tcW w:w="868" w:type="dxa"/>
                  <w:vMerge w:val="restart"/>
                  <w:vAlign w:val="center"/>
                </w:tcPr>
                <w:p w14:paraId="366FA0A9">
                  <w:pPr>
                    <w:adjustRightInd w:val="0"/>
                    <w:snapToGrid w:val="0"/>
                    <w:ind w:left="-105" w:leftChars="-50" w:right="-105" w:rightChars="-50"/>
                    <w:jc w:val="center"/>
                    <w:rPr>
                      <w:rFonts w:ascii="宋体" w:hAnsi="宋体"/>
                      <w:b/>
                      <w:bCs/>
                    </w:rPr>
                  </w:pPr>
                  <w:r>
                    <w:rPr>
                      <w:rFonts w:ascii="宋体" w:hAnsi="宋体"/>
                      <w:b/>
                      <w:bCs/>
                      <w:szCs w:val="21"/>
                    </w:rPr>
                    <w:t>达标情况</w:t>
                  </w:r>
                </w:p>
              </w:tc>
            </w:tr>
            <w:tr w14:paraId="5B90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3" w:type="dxa"/>
                  <w:vMerge w:val="continue"/>
                  <w:vAlign w:val="center"/>
                </w:tcPr>
                <w:p w14:paraId="28D42F11">
                  <w:pPr>
                    <w:adjustRightInd w:val="0"/>
                    <w:snapToGrid w:val="0"/>
                    <w:jc w:val="center"/>
                    <w:rPr>
                      <w:rFonts w:eastAsiaTheme="minorEastAsia"/>
                    </w:rPr>
                  </w:pPr>
                </w:p>
              </w:tc>
              <w:tc>
                <w:tcPr>
                  <w:tcW w:w="941" w:type="dxa"/>
                  <w:vMerge w:val="continue"/>
                  <w:vAlign w:val="center"/>
                </w:tcPr>
                <w:p w14:paraId="6F1E64A2">
                  <w:pPr>
                    <w:adjustRightInd w:val="0"/>
                    <w:snapToGrid w:val="0"/>
                    <w:jc w:val="center"/>
                    <w:rPr>
                      <w:rFonts w:eastAsiaTheme="minorEastAsia"/>
                    </w:rPr>
                  </w:pPr>
                </w:p>
              </w:tc>
              <w:tc>
                <w:tcPr>
                  <w:tcW w:w="1334" w:type="dxa"/>
                  <w:vMerge w:val="continue"/>
                  <w:vAlign w:val="center"/>
                </w:tcPr>
                <w:p w14:paraId="7C07834C">
                  <w:pPr>
                    <w:adjustRightInd w:val="0"/>
                    <w:snapToGrid w:val="0"/>
                    <w:jc w:val="center"/>
                    <w:rPr>
                      <w:rFonts w:eastAsiaTheme="minorEastAsia"/>
                    </w:rPr>
                  </w:pPr>
                </w:p>
              </w:tc>
              <w:tc>
                <w:tcPr>
                  <w:tcW w:w="1049" w:type="dxa"/>
                  <w:vMerge w:val="continue"/>
                  <w:vAlign w:val="center"/>
                </w:tcPr>
                <w:p w14:paraId="474502E7">
                  <w:pPr>
                    <w:adjustRightInd w:val="0"/>
                    <w:snapToGrid w:val="0"/>
                    <w:jc w:val="center"/>
                    <w:rPr>
                      <w:rFonts w:eastAsiaTheme="minorEastAsia"/>
                    </w:rPr>
                  </w:pPr>
                </w:p>
              </w:tc>
              <w:tc>
                <w:tcPr>
                  <w:tcW w:w="1649" w:type="dxa"/>
                  <w:vMerge w:val="continue"/>
                  <w:vAlign w:val="center"/>
                </w:tcPr>
                <w:p w14:paraId="3D8D4158">
                  <w:pPr>
                    <w:adjustRightInd w:val="0"/>
                    <w:snapToGrid w:val="0"/>
                    <w:jc w:val="center"/>
                    <w:rPr>
                      <w:rFonts w:eastAsiaTheme="minorEastAsia"/>
                    </w:rPr>
                  </w:pPr>
                </w:p>
              </w:tc>
              <w:tc>
                <w:tcPr>
                  <w:tcW w:w="1191" w:type="dxa"/>
                  <w:vMerge w:val="continue"/>
                  <w:vAlign w:val="center"/>
                </w:tcPr>
                <w:p w14:paraId="6F10963F">
                  <w:pPr>
                    <w:adjustRightInd w:val="0"/>
                    <w:snapToGrid w:val="0"/>
                    <w:jc w:val="center"/>
                    <w:rPr>
                      <w:rFonts w:eastAsiaTheme="minorEastAsia"/>
                    </w:rPr>
                  </w:pPr>
                </w:p>
              </w:tc>
              <w:tc>
                <w:tcPr>
                  <w:tcW w:w="849" w:type="dxa"/>
                  <w:vMerge w:val="continue"/>
                  <w:vAlign w:val="center"/>
                </w:tcPr>
                <w:p w14:paraId="6A60E173">
                  <w:pPr>
                    <w:adjustRightInd w:val="0"/>
                    <w:snapToGrid w:val="0"/>
                    <w:jc w:val="center"/>
                    <w:rPr>
                      <w:rFonts w:eastAsiaTheme="minorEastAsia"/>
                    </w:rPr>
                  </w:pPr>
                </w:p>
              </w:tc>
              <w:tc>
                <w:tcPr>
                  <w:tcW w:w="868" w:type="dxa"/>
                  <w:vMerge w:val="continue"/>
                  <w:vAlign w:val="center"/>
                </w:tcPr>
                <w:p w14:paraId="21B5EEA4">
                  <w:pPr>
                    <w:adjustRightInd w:val="0"/>
                    <w:snapToGrid w:val="0"/>
                    <w:ind w:left="-105" w:leftChars="-50" w:right="-105" w:rightChars="-50"/>
                    <w:jc w:val="center"/>
                    <w:rPr>
                      <w:rFonts w:eastAsiaTheme="minorEastAsia"/>
                    </w:rPr>
                  </w:pPr>
                </w:p>
              </w:tc>
            </w:tr>
            <w:tr w14:paraId="0BF9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vMerge w:val="restart"/>
                  <w:vAlign w:val="center"/>
                </w:tcPr>
                <w:p w14:paraId="5ED64409">
                  <w:pPr>
                    <w:adjustRightInd w:val="0"/>
                    <w:snapToGrid w:val="0"/>
                    <w:jc w:val="center"/>
                    <w:rPr>
                      <w:rFonts w:eastAsiaTheme="minorEastAsia"/>
                    </w:rPr>
                  </w:pPr>
                  <w:r>
                    <w:rPr>
                      <w:rFonts w:eastAsiaTheme="minorEastAsia"/>
                      <w:szCs w:val="21"/>
                    </w:rPr>
                    <w:t>G1</w:t>
                  </w:r>
                </w:p>
              </w:tc>
              <w:tc>
                <w:tcPr>
                  <w:tcW w:w="941" w:type="dxa"/>
                  <w:vAlign w:val="center"/>
                </w:tcPr>
                <w:p w14:paraId="5CFCF485">
                  <w:pPr>
                    <w:jc w:val="center"/>
                    <w:rPr>
                      <w:szCs w:val="21"/>
                    </w:rPr>
                  </w:pPr>
                  <w:r>
                    <w:rPr>
                      <w:szCs w:val="21"/>
                    </w:rPr>
                    <w:t>非甲烷总烃</w:t>
                  </w:r>
                </w:p>
              </w:tc>
              <w:tc>
                <w:tcPr>
                  <w:tcW w:w="1334" w:type="dxa"/>
                  <w:vAlign w:val="center"/>
                </w:tcPr>
                <w:p w14:paraId="6F3D77B1">
                  <w:pPr>
                    <w:ind w:left="-105" w:leftChars="-50" w:right="-105" w:rightChars="-50"/>
                    <w:jc w:val="center"/>
                    <w:rPr>
                      <w:szCs w:val="21"/>
                    </w:rPr>
                  </w:pPr>
                  <w:r>
                    <w:rPr>
                      <w:szCs w:val="21"/>
                    </w:rPr>
                    <w:t>1h平均浓度值</w:t>
                  </w:r>
                </w:p>
              </w:tc>
              <w:tc>
                <w:tcPr>
                  <w:tcW w:w="1049" w:type="dxa"/>
                  <w:vAlign w:val="center"/>
                </w:tcPr>
                <w:p w14:paraId="2425B84A">
                  <w:pPr>
                    <w:widowControl/>
                    <w:adjustRightInd w:val="0"/>
                    <w:snapToGrid w:val="0"/>
                    <w:jc w:val="center"/>
                    <w:rPr>
                      <w:rFonts w:eastAsiaTheme="minorEastAsia"/>
                      <w:bCs/>
                      <w:kern w:val="0"/>
                    </w:rPr>
                  </w:pPr>
                  <w:r>
                    <w:rPr>
                      <w:rFonts w:eastAsiaTheme="minorEastAsia"/>
                      <w:bCs/>
                      <w:kern w:val="0"/>
                      <w:szCs w:val="21"/>
                    </w:rPr>
                    <w:t>2</w:t>
                  </w:r>
                </w:p>
              </w:tc>
              <w:tc>
                <w:tcPr>
                  <w:tcW w:w="1649" w:type="dxa"/>
                  <w:vAlign w:val="center"/>
                </w:tcPr>
                <w:p w14:paraId="561BB371">
                  <w:pPr>
                    <w:widowControl/>
                    <w:adjustRightInd w:val="0"/>
                    <w:snapToGrid w:val="0"/>
                    <w:ind w:left="-105" w:leftChars="-50" w:right="-105" w:rightChars="-50"/>
                    <w:jc w:val="center"/>
                    <w:rPr>
                      <w:rFonts w:eastAsiaTheme="minorEastAsia"/>
                      <w:bCs/>
                      <w:kern w:val="0"/>
                    </w:rPr>
                  </w:pPr>
                  <w:r>
                    <w:rPr>
                      <w:rFonts w:eastAsiaTheme="minorEastAsia"/>
                      <w:bCs/>
                      <w:kern w:val="0"/>
                      <w:szCs w:val="21"/>
                    </w:rPr>
                    <w:t>0.75-1.1</w:t>
                  </w:r>
                </w:p>
              </w:tc>
              <w:tc>
                <w:tcPr>
                  <w:tcW w:w="1191" w:type="dxa"/>
                  <w:vAlign w:val="center"/>
                </w:tcPr>
                <w:p w14:paraId="7FBFD79B">
                  <w:pPr>
                    <w:adjustRightInd w:val="0"/>
                    <w:snapToGrid w:val="0"/>
                    <w:jc w:val="center"/>
                    <w:rPr>
                      <w:rFonts w:eastAsiaTheme="minorEastAsia"/>
                    </w:rPr>
                  </w:pPr>
                  <w:r>
                    <w:rPr>
                      <w:rFonts w:eastAsiaTheme="minorEastAsia"/>
                      <w:szCs w:val="21"/>
                    </w:rPr>
                    <w:t>55</w:t>
                  </w:r>
                </w:p>
              </w:tc>
              <w:tc>
                <w:tcPr>
                  <w:tcW w:w="849" w:type="dxa"/>
                  <w:vAlign w:val="center"/>
                </w:tcPr>
                <w:p w14:paraId="7DBF422D">
                  <w:pPr>
                    <w:adjustRightInd w:val="0"/>
                    <w:snapToGrid w:val="0"/>
                    <w:jc w:val="center"/>
                    <w:rPr>
                      <w:rFonts w:eastAsiaTheme="minorEastAsia"/>
                    </w:rPr>
                  </w:pPr>
                  <w:r>
                    <w:rPr>
                      <w:rFonts w:eastAsiaTheme="minorEastAsia"/>
                      <w:szCs w:val="21"/>
                    </w:rPr>
                    <w:t>0</w:t>
                  </w:r>
                </w:p>
              </w:tc>
              <w:tc>
                <w:tcPr>
                  <w:tcW w:w="868" w:type="dxa"/>
                  <w:vAlign w:val="center"/>
                </w:tcPr>
                <w:p w14:paraId="2D5AB5B4">
                  <w:pPr>
                    <w:ind w:left="-105" w:leftChars="-50" w:right="-105" w:rightChars="-50"/>
                    <w:jc w:val="center"/>
                    <w:rPr>
                      <w:szCs w:val="21"/>
                    </w:rPr>
                  </w:pPr>
                  <w:r>
                    <w:rPr>
                      <w:szCs w:val="21"/>
                    </w:rPr>
                    <w:t>达标</w:t>
                  </w:r>
                </w:p>
              </w:tc>
            </w:tr>
            <w:tr w14:paraId="4447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vMerge w:val="continue"/>
                  <w:vAlign w:val="center"/>
                </w:tcPr>
                <w:p w14:paraId="0011B49C">
                  <w:pPr>
                    <w:adjustRightInd w:val="0"/>
                    <w:snapToGrid w:val="0"/>
                    <w:jc w:val="center"/>
                    <w:rPr>
                      <w:rFonts w:eastAsiaTheme="minorEastAsia"/>
                    </w:rPr>
                  </w:pPr>
                </w:p>
              </w:tc>
              <w:tc>
                <w:tcPr>
                  <w:tcW w:w="941" w:type="dxa"/>
                  <w:vAlign w:val="center"/>
                </w:tcPr>
                <w:p w14:paraId="424A808A">
                  <w:pPr>
                    <w:jc w:val="center"/>
                    <w:rPr>
                      <w:szCs w:val="21"/>
                    </w:rPr>
                  </w:pPr>
                  <w:r>
                    <w:rPr>
                      <w:rFonts w:hint="eastAsia"/>
                      <w:szCs w:val="21"/>
                    </w:rPr>
                    <w:t>TSP</w:t>
                  </w:r>
                </w:p>
              </w:tc>
              <w:tc>
                <w:tcPr>
                  <w:tcW w:w="1334" w:type="dxa"/>
                  <w:vAlign w:val="center"/>
                </w:tcPr>
                <w:p w14:paraId="3F320CFE">
                  <w:pPr>
                    <w:ind w:left="-105" w:leftChars="-50" w:right="-105" w:rightChars="-50"/>
                    <w:jc w:val="center"/>
                    <w:rPr>
                      <w:szCs w:val="21"/>
                    </w:rPr>
                  </w:pPr>
                  <w:r>
                    <w:rPr>
                      <w:rFonts w:hint="eastAsia"/>
                      <w:szCs w:val="21"/>
                    </w:rPr>
                    <w:t>日平均浓度</w:t>
                  </w:r>
                </w:p>
              </w:tc>
              <w:tc>
                <w:tcPr>
                  <w:tcW w:w="1049" w:type="dxa"/>
                  <w:vAlign w:val="center"/>
                </w:tcPr>
                <w:p w14:paraId="7E295219">
                  <w:pPr>
                    <w:widowControl/>
                    <w:adjustRightInd w:val="0"/>
                    <w:snapToGrid w:val="0"/>
                    <w:jc w:val="center"/>
                    <w:rPr>
                      <w:rFonts w:eastAsiaTheme="minorEastAsia"/>
                      <w:bCs/>
                      <w:kern w:val="0"/>
                    </w:rPr>
                  </w:pPr>
                  <w:r>
                    <w:rPr>
                      <w:rFonts w:hint="eastAsia" w:eastAsiaTheme="minorEastAsia"/>
                      <w:bCs/>
                      <w:kern w:val="0"/>
                      <w:szCs w:val="21"/>
                    </w:rPr>
                    <w:t>0.3</w:t>
                  </w:r>
                </w:p>
              </w:tc>
              <w:tc>
                <w:tcPr>
                  <w:tcW w:w="1649" w:type="dxa"/>
                  <w:vAlign w:val="center"/>
                </w:tcPr>
                <w:p w14:paraId="123F8385">
                  <w:pPr>
                    <w:widowControl/>
                    <w:adjustRightInd w:val="0"/>
                    <w:snapToGrid w:val="0"/>
                    <w:ind w:left="-105" w:leftChars="-50" w:right="-105" w:rightChars="-50"/>
                    <w:jc w:val="center"/>
                    <w:rPr>
                      <w:rFonts w:eastAsiaTheme="minorEastAsia"/>
                      <w:bCs/>
                      <w:kern w:val="0"/>
                    </w:rPr>
                  </w:pPr>
                  <w:r>
                    <w:rPr>
                      <w:rFonts w:hint="eastAsia" w:eastAsiaTheme="minorEastAsia"/>
                      <w:bCs/>
                      <w:kern w:val="0"/>
                      <w:szCs w:val="21"/>
                    </w:rPr>
                    <w:t>0.061-0.081</w:t>
                  </w:r>
                </w:p>
              </w:tc>
              <w:tc>
                <w:tcPr>
                  <w:tcW w:w="1191" w:type="dxa"/>
                  <w:vAlign w:val="center"/>
                </w:tcPr>
                <w:p w14:paraId="29A5314D">
                  <w:pPr>
                    <w:adjustRightInd w:val="0"/>
                    <w:snapToGrid w:val="0"/>
                    <w:jc w:val="center"/>
                    <w:rPr>
                      <w:rFonts w:eastAsiaTheme="minorEastAsia"/>
                    </w:rPr>
                  </w:pPr>
                  <w:r>
                    <w:rPr>
                      <w:rFonts w:hint="eastAsia" w:eastAsiaTheme="minorEastAsia"/>
                      <w:szCs w:val="21"/>
                    </w:rPr>
                    <w:t>27</w:t>
                  </w:r>
                </w:p>
              </w:tc>
              <w:tc>
                <w:tcPr>
                  <w:tcW w:w="849" w:type="dxa"/>
                  <w:vAlign w:val="center"/>
                </w:tcPr>
                <w:p w14:paraId="4161225A">
                  <w:pPr>
                    <w:adjustRightInd w:val="0"/>
                    <w:snapToGrid w:val="0"/>
                    <w:jc w:val="center"/>
                    <w:rPr>
                      <w:rFonts w:eastAsiaTheme="minorEastAsia"/>
                    </w:rPr>
                  </w:pPr>
                  <w:r>
                    <w:rPr>
                      <w:rFonts w:hint="eastAsia" w:eastAsiaTheme="minorEastAsia"/>
                      <w:szCs w:val="21"/>
                    </w:rPr>
                    <w:t>0</w:t>
                  </w:r>
                </w:p>
              </w:tc>
              <w:tc>
                <w:tcPr>
                  <w:tcW w:w="868" w:type="dxa"/>
                  <w:vAlign w:val="center"/>
                </w:tcPr>
                <w:p w14:paraId="466FA632">
                  <w:pPr>
                    <w:ind w:left="-105" w:leftChars="-50" w:right="-105" w:rightChars="-50"/>
                    <w:jc w:val="center"/>
                    <w:rPr>
                      <w:szCs w:val="21"/>
                    </w:rPr>
                  </w:pPr>
                  <w:r>
                    <w:rPr>
                      <w:szCs w:val="21"/>
                    </w:rPr>
                    <w:t>达标</w:t>
                  </w:r>
                </w:p>
              </w:tc>
            </w:tr>
          </w:tbl>
          <w:p w14:paraId="69F5D74F">
            <w:pPr>
              <w:pStyle w:val="21"/>
              <w:spacing w:after="0" w:line="500" w:lineRule="exact"/>
              <w:ind w:firstLine="480" w:firstLineChars="200"/>
              <w:rPr>
                <w:sz w:val="24"/>
              </w:rPr>
            </w:pPr>
            <w:r>
              <w:rPr>
                <w:rFonts w:hint="eastAsia"/>
                <w:sz w:val="24"/>
              </w:rPr>
              <w:t>由引用监测结果可以看出，监测期间TSP、非甲烷总烃空气质量浓度满足《大气污染物综合排放标准详解》中2.0mg/m</w:t>
            </w:r>
            <w:r>
              <w:rPr>
                <w:rFonts w:hint="eastAsia"/>
                <w:sz w:val="24"/>
                <w:vertAlign w:val="superscript"/>
              </w:rPr>
              <w:t>3</w:t>
            </w:r>
            <w:r>
              <w:rPr>
                <w:rFonts w:hint="eastAsia"/>
                <w:sz w:val="24"/>
              </w:rPr>
              <w:t>要求。</w:t>
            </w:r>
          </w:p>
          <w:p w14:paraId="1751CF23">
            <w:pPr>
              <w:spacing w:line="500" w:lineRule="exact"/>
              <w:ind w:firstLine="482" w:firstLineChars="200"/>
              <w:rPr>
                <w:b/>
                <w:sz w:val="24"/>
              </w:rPr>
            </w:pPr>
            <w:r>
              <w:rPr>
                <w:b/>
                <w:sz w:val="24"/>
              </w:rPr>
              <w:t>2、水环境质量现状调查</w:t>
            </w:r>
          </w:p>
          <w:p w14:paraId="5533B0B7">
            <w:pPr>
              <w:adjustRightInd w:val="0"/>
              <w:spacing w:line="360" w:lineRule="auto"/>
              <w:ind w:firstLine="480" w:firstLineChars="200"/>
              <w:rPr>
                <w:sz w:val="24"/>
              </w:rPr>
            </w:pPr>
            <w:r>
              <w:rPr>
                <w:rFonts w:hint="eastAsia"/>
                <w:sz w:val="24"/>
                <w:szCs w:val="32"/>
              </w:rPr>
              <w:t>本项目生活污水排入金寨经济开发区污水处理厂，尾水排入史河，</w:t>
            </w:r>
            <w:r>
              <w:rPr>
                <w:sz w:val="24"/>
              </w:rPr>
              <w:t>根据《2023年金寨县环境质量状况公报》，金寨县地表水总体水质状况良好，集中式饮用水源地水质达标率为100％，农村饮用水源地水质达标率为100％，本项目纳污水体史河总干渠满足《地表水环境质量标准》(GB3838-2002)Ⅲ类水质标准要求，说明地表水环境质量现状良好，具有一定的环境容量。</w:t>
            </w:r>
          </w:p>
          <w:p w14:paraId="3B0131CB">
            <w:pPr>
              <w:autoSpaceDE w:val="0"/>
              <w:autoSpaceDN w:val="0"/>
              <w:adjustRightInd w:val="0"/>
              <w:snapToGrid w:val="0"/>
              <w:spacing w:line="360" w:lineRule="auto"/>
              <w:ind w:firstLine="482" w:firstLineChars="200"/>
              <w:rPr>
                <w:sz w:val="24"/>
              </w:rPr>
            </w:pPr>
            <w:r>
              <w:rPr>
                <w:rFonts w:hint="eastAsia"/>
                <w:b/>
                <w:sz w:val="24"/>
              </w:rPr>
              <w:t>4、</w:t>
            </w:r>
            <w:r>
              <w:rPr>
                <w:b/>
                <w:sz w:val="24"/>
              </w:rPr>
              <w:t>生态环境</w:t>
            </w:r>
          </w:p>
          <w:p w14:paraId="37E00E9D">
            <w:pPr>
              <w:spacing w:line="360" w:lineRule="auto"/>
              <w:ind w:firstLine="480" w:firstLineChars="200"/>
              <w:rPr>
                <w:sz w:val="24"/>
              </w:rPr>
            </w:pPr>
            <w:r>
              <w:rPr>
                <w:rFonts w:hint="eastAsia"/>
                <w:sz w:val="24"/>
              </w:rPr>
              <w:t>根据《建设项目环境影响报告表编制技术指南（污染影响类）（试行）》，建设项目新增用地且用地范围内含有生态环境保护目标时，应进行生态现状调查。本项目新增用地为开发区工业用地，且周边无风景名胜区和文物古迹等生态环境保护目标，因此不需要开展生态环境质量现状监测。</w:t>
            </w:r>
          </w:p>
          <w:p w14:paraId="299D7D05">
            <w:pPr>
              <w:pStyle w:val="21"/>
              <w:widowControl/>
              <w:snapToGrid w:val="0"/>
              <w:spacing w:after="0" w:line="360" w:lineRule="auto"/>
              <w:ind w:firstLine="482" w:firstLineChars="200"/>
              <w:rPr>
                <w:rFonts w:cs="宋体"/>
                <w:b/>
                <w:bCs/>
                <w:sz w:val="24"/>
                <w:szCs w:val="24"/>
              </w:rPr>
            </w:pPr>
            <w:r>
              <w:rPr>
                <w:rFonts w:hint="eastAsia" w:cs="宋体"/>
                <w:b/>
                <w:bCs/>
                <w:sz w:val="24"/>
                <w:szCs w:val="24"/>
              </w:rPr>
              <w:t>5、电磁辐射</w:t>
            </w:r>
          </w:p>
          <w:p w14:paraId="19D1F672">
            <w:pPr>
              <w:spacing w:line="360" w:lineRule="auto"/>
              <w:ind w:firstLine="480" w:firstLineChars="200"/>
              <w:rPr>
                <w:sz w:val="24"/>
              </w:rPr>
            </w:pPr>
            <w:r>
              <w:rPr>
                <w:rFonts w:hint="eastAsia"/>
                <w:sz w:val="24"/>
              </w:rPr>
              <w:t>本项目不属于广播电台、差转台、电视塔台、卫星地球上行站、雷达等电磁辐射类项目，不存在电磁辐射等污染，因此不需要开展电磁辐射现状监测与评价。</w:t>
            </w:r>
          </w:p>
          <w:p w14:paraId="26E82DC9">
            <w:pPr>
              <w:pStyle w:val="21"/>
              <w:widowControl/>
              <w:snapToGrid w:val="0"/>
              <w:spacing w:after="0" w:line="360" w:lineRule="auto"/>
              <w:ind w:firstLine="482" w:firstLineChars="200"/>
              <w:rPr>
                <w:rFonts w:cs="宋体"/>
                <w:b/>
                <w:bCs/>
                <w:sz w:val="24"/>
                <w:szCs w:val="24"/>
              </w:rPr>
            </w:pPr>
            <w:r>
              <w:rPr>
                <w:rFonts w:hint="eastAsia" w:cs="宋体"/>
                <w:b/>
                <w:bCs/>
                <w:sz w:val="24"/>
                <w:szCs w:val="24"/>
              </w:rPr>
              <w:t>6、地下水、土壤环境</w:t>
            </w:r>
          </w:p>
          <w:p w14:paraId="60B3E2DC">
            <w:pPr>
              <w:pStyle w:val="19"/>
              <w:spacing w:before="0" w:beforeAutospacing="0" w:after="0" w:afterAutospacing="0" w:line="500" w:lineRule="exact"/>
              <w:ind w:firstLine="420"/>
              <w:jc w:val="both"/>
              <w:rPr>
                <w:rFonts w:cs="宋体"/>
                <w:szCs w:val="21"/>
              </w:rPr>
            </w:pPr>
            <w:r>
              <w:rPr>
                <w:rFonts w:hint="eastAsia"/>
                <w:szCs w:val="24"/>
              </w:rPr>
              <w:t>根据《</w:t>
            </w:r>
            <w:bookmarkStart w:id="4" w:name="建设项目环境影响报告表编制技术指南"/>
            <w:bookmarkEnd w:id="4"/>
            <w:r>
              <w:rPr>
                <w:rFonts w:hint="eastAsia"/>
                <w:szCs w:val="24"/>
              </w:rPr>
              <w:t>建设项目环境影响报告表编制技术指南</w:t>
            </w:r>
            <w:bookmarkStart w:id="5" w:name="（污染影响类）（试行）"/>
            <w:bookmarkEnd w:id="5"/>
            <w:r>
              <w:rPr>
                <w:rFonts w:hint="eastAsia"/>
                <w:szCs w:val="24"/>
              </w:rPr>
              <w:t>（污染影响类）（试行）》，地下水、土壤环境原则上不开展环境质量现状调查。建设项目存在地下水、土壤环境污染途径的，应结合污染源、保护目标分布情况开展现状调查以留作背景值。本项目厂界外500m范围内不涉及地下水集中式饮用水水源和热水、矿泉水、温泉等特殊地下水资源等地下水环境敏感目标，本项目的实施，对地下水及土壤影响很小，因此不需要开展地下水、土壤环境现状监测与评价。</w:t>
            </w:r>
          </w:p>
        </w:tc>
      </w:tr>
      <w:tr w14:paraId="2BD60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680" w:type="dxa"/>
            <w:vAlign w:val="center"/>
          </w:tcPr>
          <w:p w14:paraId="26074EAC">
            <w:pPr>
              <w:adjustRightInd w:val="0"/>
              <w:snapToGrid w:val="0"/>
              <w:jc w:val="center"/>
              <w:rPr>
                <w:rFonts w:ascii="宋体" w:hAnsi="宋体" w:cs="宋体"/>
                <w:kern w:val="0"/>
                <w:szCs w:val="21"/>
              </w:rPr>
            </w:pPr>
            <w:r>
              <w:rPr>
                <w:rFonts w:hint="eastAsia" w:ascii="宋体" w:hAnsi="宋体" w:cs="宋体"/>
                <w:kern w:val="0"/>
                <w:szCs w:val="21"/>
              </w:rPr>
              <w:t>环境</w:t>
            </w:r>
          </w:p>
          <w:p w14:paraId="0161D44F">
            <w:pPr>
              <w:adjustRightInd w:val="0"/>
              <w:snapToGrid w:val="0"/>
              <w:jc w:val="center"/>
              <w:rPr>
                <w:rFonts w:ascii="宋体" w:hAnsi="宋体" w:cs="宋体"/>
                <w:kern w:val="0"/>
                <w:szCs w:val="21"/>
              </w:rPr>
            </w:pPr>
            <w:r>
              <w:rPr>
                <w:rFonts w:hint="eastAsia" w:ascii="宋体" w:hAnsi="宋体" w:cs="宋体"/>
                <w:kern w:val="0"/>
                <w:szCs w:val="21"/>
              </w:rPr>
              <w:t>保护</w:t>
            </w:r>
          </w:p>
          <w:p w14:paraId="211A9A8A">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310" w:type="dxa"/>
            <w:vAlign w:val="center"/>
          </w:tcPr>
          <w:p w14:paraId="14A770AF">
            <w:pPr>
              <w:spacing w:line="500" w:lineRule="exact"/>
              <w:ind w:firstLine="482" w:firstLineChars="200"/>
              <w:rPr>
                <w:rFonts w:ascii="宋体" w:hAnsi="宋体" w:cs="宋体"/>
                <w:b/>
                <w:sz w:val="24"/>
              </w:rPr>
            </w:pPr>
            <w:r>
              <w:rPr>
                <w:rFonts w:hint="eastAsia" w:ascii="宋体" w:hAnsi="宋体" w:cs="宋体"/>
                <w:b/>
                <w:sz w:val="24"/>
              </w:rPr>
              <w:t>主要环境保护目标</w:t>
            </w:r>
          </w:p>
          <w:p w14:paraId="78E55C1F">
            <w:pPr>
              <w:widowControl/>
              <w:spacing w:line="360" w:lineRule="auto"/>
              <w:ind w:firstLine="480" w:firstLineChars="200"/>
              <w:rPr>
                <w:sz w:val="24"/>
              </w:rPr>
            </w:pPr>
            <w:r>
              <w:rPr>
                <w:sz w:val="24"/>
              </w:rPr>
              <w:t>1、大气环境</w:t>
            </w:r>
          </w:p>
          <w:p w14:paraId="120C0CD2">
            <w:pPr>
              <w:widowControl/>
              <w:spacing w:line="360" w:lineRule="auto"/>
              <w:ind w:firstLine="480" w:firstLineChars="200"/>
              <w:rPr>
                <w:sz w:val="24"/>
              </w:rPr>
            </w:pPr>
            <w:r>
              <w:rPr>
                <w:sz w:val="24"/>
              </w:rPr>
              <w:t>本项目位于</w:t>
            </w:r>
            <w:r>
              <w:rPr>
                <w:rFonts w:hint="eastAsia"/>
                <w:sz w:val="24"/>
              </w:rPr>
              <w:t>安徽省六安市金寨县经济开发区（现代产业园区）笔架山路以南,南溪路以西,金水路以北</w:t>
            </w:r>
            <w:r>
              <w:rPr>
                <w:sz w:val="24"/>
              </w:rPr>
              <w:t>，根据对建设项目所在厂址周边环境现状的踏勘，本项目厂界外500米范围大气环境保护目标</w:t>
            </w:r>
            <w:r>
              <w:rPr>
                <w:rFonts w:hint="eastAsia"/>
                <w:sz w:val="24"/>
              </w:rPr>
              <w:t>如下图</w:t>
            </w:r>
            <w:r>
              <w:rPr>
                <w:sz w:val="24"/>
              </w:rPr>
              <w:t>。</w:t>
            </w:r>
          </w:p>
          <w:p w14:paraId="32FA3E58">
            <w:pPr>
              <w:widowControl/>
              <w:spacing w:line="360" w:lineRule="auto"/>
              <w:ind w:firstLine="4" w:firstLineChars="2"/>
              <w:jc w:val="center"/>
              <w:rPr>
                <w:sz w:val="24"/>
              </w:rPr>
            </w:pPr>
            <w:r>
              <w:drawing>
                <wp:inline distT="0" distB="0" distL="0" distR="0">
                  <wp:extent cx="5097780" cy="4457700"/>
                  <wp:effectExtent l="0" t="0" r="7620" b="0"/>
                  <wp:docPr id="723132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3298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01061" cy="4460329"/>
                          </a:xfrm>
                          <a:prstGeom prst="rect">
                            <a:avLst/>
                          </a:prstGeom>
                          <a:noFill/>
                          <a:ln>
                            <a:noFill/>
                          </a:ln>
                        </pic:spPr>
                      </pic:pic>
                    </a:graphicData>
                  </a:graphic>
                </wp:inline>
              </w:drawing>
            </w:r>
          </w:p>
          <w:p w14:paraId="091C0333">
            <w:pPr>
              <w:widowControl/>
              <w:spacing w:line="360" w:lineRule="auto"/>
              <w:ind w:firstLine="4" w:firstLineChars="2"/>
              <w:jc w:val="center"/>
              <w:rPr>
                <w:sz w:val="24"/>
              </w:rPr>
            </w:pPr>
            <w:r>
              <w:rPr>
                <w:rFonts w:hint="eastAsia"/>
                <w:sz w:val="24"/>
              </w:rPr>
              <w:t>图3.1 500米范围大气环境保护目标图</w:t>
            </w:r>
          </w:p>
          <w:p w14:paraId="560F77B8">
            <w:pPr>
              <w:widowControl/>
              <w:spacing w:line="360" w:lineRule="auto"/>
              <w:ind w:firstLine="480" w:firstLineChars="200"/>
              <w:rPr>
                <w:sz w:val="24"/>
              </w:rPr>
            </w:pPr>
            <w:r>
              <w:rPr>
                <w:rFonts w:hint="eastAsia"/>
                <w:sz w:val="24"/>
              </w:rPr>
              <w:t>本项目500米范围内无大气环境保护目标。</w:t>
            </w:r>
          </w:p>
          <w:p w14:paraId="73549BFE">
            <w:pPr>
              <w:widowControl/>
              <w:spacing w:line="360" w:lineRule="auto"/>
              <w:ind w:firstLine="480" w:firstLineChars="200"/>
              <w:rPr>
                <w:sz w:val="24"/>
              </w:rPr>
            </w:pPr>
            <w:r>
              <w:rPr>
                <w:sz w:val="24"/>
              </w:rPr>
              <w:t>2、声环境</w:t>
            </w:r>
          </w:p>
          <w:p w14:paraId="0FF158F6">
            <w:pPr>
              <w:widowControl/>
              <w:spacing w:line="360" w:lineRule="auto"/>
              <w:ind w:firstLine="480" w:firstLineChars="200"/>
              <w:rPr>
                <w:sz w:val="24"/>
              </w:rPr>
            </w:pPr>
            <w:r>
              <w:rPr>
                <w:sz w:val="24"/>
              </w:rPr>
              <w:t>本项目厂界外50米范围内均为工业企业，无声环境保护目标。</w:t>
            </w:r>
          </w:p>
          <w:p w14:paraId="38EE883F">
            <w:pPr>
              <w:widowControl/>
              <w:spacing w:line="360" w:lineRule="auto"/>
              <w:ind w:firstLine="480" w:firstLineChars="200"/>
              <w:rPr>
                <w:sz w:val="24"/>
              </w:rPr>
            </w:pPr>
            <w:r>
              <w:rPr>
                <w:sz w:val="24"/>
              </w:rPr>
              <w:t>3、地下水环境</w:t>
            </w:r>
          </w:p>
          <w:p w14:paraId="31ED992D">
            <w:pPr>
              <w:widowControl/>
              <w:spacing w:line="360" w:lineRule="auto"/>
              <w:ind w:firstLine="480" w:firstLineChars="200"/>
              <w:rPr>
                <w:sz w:val="24"/>
              </w:rPr>
            </w:pPr>
            <w:r>
              <w:rPr>
                <w:sz w:val="24"/>
              </w:rPr>
              <w:t>本项目厂界外500米范围内无地下水集中式饮用水水源和热水、矿泉水、温泉等特殊地下水资源，无地下水环境保护目标。</w:t>
            </w:r>
          </w:p>
          <w:p w14:paraId="031A2759">
            <w:pPr>
              <w:widowControl/>
              <w:spacing w:line="360" w:lineRule="auto"/>
              <w:ind w:firstLine="480" w:firstLineChars="200"/>
              <w:rPr>
                <w:sz w:val="24"/>
              </w:rPr>
            </w:pPr>
            <w:r>
              <w:rPr>
                <w:sz w:val="24"/>
              </w:rPr>
              <w:t>4、生态环境</w:t>
            </w:r>
          </w:p>
          <w:p w14:paraId="1D642633">
            <w:pPr>
              <w:widowControl/>
              <w:spacing w:line="360" w:lineRule="auto"/>
              <w:ind w:firstLine="480" w:firstLineChars="200"/>
              <w:rPr>
                <w:sz w:val="24"/>
              </w:rPr>
            </w:pPr>
            <w:r>
              <w:rPr>
                <w:rFonts w:hint="eastAsia"/>
                <w:sz w:val="24"/>
              </w:rPr>
              <w:t>本项目新增用地为开发区工业用地，周边无风景名胜区和文物古迹等生态环境保护目标</w:t>
            </w:r>
            <w:r>
              <w:rPr>
                <w:sz w:val="24"/>
              </w:rPr>
              <w:t>，项目用地范围内无生态环境保护目标。</w:t>
            </w:r>
          </w:p>
          <w:p w14:paraId="769AB2AA">
            <w:pPr>
              <w:adjustRightInd w:val="0"/>
              <w:snapToGrid w:val="0"/>
              <w:spacing w:line="500" w:lineRule="exact"/>
              <w:ind w:firstLine="480" w:firstLineChars="200"/>
              <w:rPr>
                <w:sz w:val="24"/>
              </w:rPr>
            </w:pPr>
            <w:r>
              <w:rPr>
                <w:sz w:val="24"/>
              </w:rPr>
              <w:t>项目周围环境保护目标见表3-</w:t>
            </w:r>
            <w:r>
              <w:rPr>
                <w:rFonts w:hint="eastAsia"/>
                <w:sz w:val="24"/>
              </w:rPr>
              <w:t>4</w:t>
            </w:r>
            <w:r>
              <w:rPr>
                <w:sz w:val="24"/>
              </w:rPr>
              <w:t>。</w:t>
            </w:r>
          </w:p>
          <w:p w14:paraId="27C51816">
            <w:pPr>
              <w:adjustRightInd w:val="0"/>
              <w:snapToGrid w:val="0"/>
              <w:jc w:val="center"/>
              <w:rPr>
                <w:b/>
                <w:bCs/>
              </w:rPr>
            </w:pPr>
            <w:r>
              <w:rPr>
                <w:b/>
                <w:bCs/>
              </w:rPr>
              <w:t>表3-</w:t>
            </w:r>
            <w:r>
              <w:rPr>
                <w:rFonts w:hint="eastAsia"/>
                <w:b/>
                <w:bCs/>
              </w:rPr>
              <w:t xml:space="preserve">4 </w:t>
            </w:r>
            <w:r>
              <w:rPr>
                <w:b/>
                <w:bCs/>
              </w:rPr>
              <w:t>项目主要环境保护目标</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597"/>
              <w:gridCol w:w="637"/>
              <w:gridCol w:w="593"/>
              <w:gridCol w:w="702"/>
              <w:gridCol w:w="780"/>
              <w:gridCol w:w="150"/>
              <w:gridCol w:w="520"/>
              <w:gridCol w:w="810"/>
              <w:gridCol w:w="1838"/>
              <w:gridCol w:w="583"/>
              <w:gridCol w:w="948"/>
            </w:tblGrid>
            <w:tr w14:paraId="6A28760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606" w:type="dxa"/>
                  <w:vMerge w:val="restart"/>
                </w:tcPr>
                <w:p w14:paraId="5949EAE3">
                  <w:pPr>
                    <w:snapToGrid w:val="0"/>
                    <w:spacing w:line="280" w:lineRule="exact"/>
                    <w:jc w:val="center"/>
                    <w:rPr>
                      <w:b/>
                      <w:bCs/>
                      <w:szCs w:val="21"/>
                    </w:rPr>
                  </w:pPr>
                  <w:r>
                    <w:rPr>
                      <w:rFonts w:hint="eastAsia"/>
                      <w:b/>
                      <w:bCs/>
                      <w:szCs w:val="21"/>
                    </w:rPr>
                    <w:t>类别</w:t>
                  </w:r>
                </w:p>
              </w:tc>
              <w:tc>
                <w:tcPr>
                  <w:tcW w:w="648" w:type="dxa"/>
                  <w:vMerge w:val="restart"/>
                  <w:vAlign w:val="center"/>
                </w:tcPr>
                <w:p w14:paraId="4F39CAA6">
                  <w:pPr>
                    <w:snapToGrid w:val="0"/>
                    <w:spacing w:line="280" w:lineRule="exact"/>
                    <w:jc w:val="center"/>
                    <w:rPr>
                      <w:b/>
                      <w:bCs/>
                      <w:szCs w:val="21"/>
                    </w:rPr>
                  </w:pPr>
                  <w:r>
                    <w:rPr>
                      <w:b/>
                      <w:bCs/>
                      <w:szCs w:val="21"/>
                    </w:rPr>
                    <w:t>名称</w:t>
                  </w:r>
                </w:p>
              </w:tc>
              <w:tc>
                <w:tcPr>
                  <w:tcW w:w="1323" w:type="dxa"/>
                  <w:gridSpan w:val="2"/>
                  <w:vAlign w:val="center"/>
                </w:tcPr>
                <w:p w14:paraId="77202728">
                  <w:pPr>
                    <w:snapToGrid w:val="0"/>
                    <w:spacing w:line="280" w:lineRule="exact"/>
                    <w:jc w:val="center"/>
                    <w:rPr>
                      <w:b/>
                      <w:bCs/>
                      <w:szCs w:val="21"/>
                    </w:rPr>
                  </w:pPr>
                  <w:r>
                    <w:rPr>
                      <w:b/>
                      <w:bCs/>
                      <w:szCs w:val="21"/>
                    </w:rPr>
                    <w:t>坐标</w:t>
                  </w:r>
                </w:p>
              </w:tc>
              <w:tc>
                <w:tcPr>
                  <w:tcW w:w="956" w:type="dxa"/>
                  <w:gridSpan w:val="2"/>
                  <w:vMerge w:val="restart"/>
                  <w:vAlign w:val="center"/>
                </w:tcPr>
                <w:p w14:paraId="278B161B">
                  <w:pPr>
                    <w:snapToGrid w:val="0"/>
                    <w:spacing w:line="280" w:lineRule="exact"/>
                    <w:jc w:val="center"/>
                    <w:rPr>
                      <w:b/>
                      <w:bCs/>
                      <w:szCs w:val="21"/>
                    </w:rPr>
                  </w:pPr>
                  <w:r>
                    <w:rPr>
                      <w:b/>
                      <w:bCs/>
                      <w:szCs w:val="21"/>
                    </w:rPr>
                    <w:t>环境保护对象</w:t>
                  </w:r>
                </w:p>
              </w:tc>
              <w:tc>
                <w:tcPr>
                  <w:tcW w:w="525" w:type="dxa"/>
                  <w:vMerge w:val="restart"/>
                  <w:vAlign w:val="center"/>
                </w:tcPr>
                <w:p w14:paraId="1DDBC4EE">
                  <w:pPr>
                    <w:snapToGrid w:val="0"/>
                    <w:spacing w:line="280" w:lineRule="exact"/>
                    <w:jc w:val="center"/>
                    <w:rPr>
                      <w:b/>
                      <w:bCs/>
                      <w:szCs w:val="21"/>
                    </w:rPr>
                  </w:pPr>
                  <w:r>
                    <w:rPr>
                      <w:b/>
                      <w:bCs/>
                      <w:szCs w:val="21"/>
                    </w:rPr>
                    <w:t>保护对象</w:t>
                  </w:r>
                </w:p>
              </w:tc>
              <w:tc>
                <w:tcPr>
                  <w:tcW w:w="830" w:type="dxa"/>
                  <w:vMerge w:val="restart"/>
                  <w:vAlign w:val="center"/>
                </w:tcPr>
                <w:p w14:paraId="131E9E01">
                  <w:pPr>
                    <w:snapToGrid w:val="0"/>
                    <w:spacing w:line="280" w:lineRule="exact"/>
                    <w:jc w:val="center"/>
                    <w:rPr>
                      <w:b/>
                      <w:bCs/>
                      <w:szCs w:val="21"/>
                    </w:rPr>
                  </w:pPr>
                  <w:r>
                    <w:rPr>
                      <w:b/>
                      <w:bCs/>
                      <w:szCs w:val="21"/>
                    </w:rPr>
                    <w:t>保护内容</w:t>
                  </w:r>
                </w:p>
              </w:tc>
              <w:tc>
                <w:tcPr>
                  <w:tcW w:w="1731" w:type="dxa"/>
                  <w:vMerge w:val="restart"/>
                  <w:vAlign w:val="center"/>
                </w:tcPr>
                <w:p w14:paraId="18A0410A">
                  <w:pPr>
                    <w:snapToGrid w:val="0"/>
                    <w:spacing w:line="280" w:lineRule="exact"/>
                    <w:jc w:val="center"/>
                    <w:rPr>
                      <w:b/>
                      <w:bCs/>
                      <w:szCs w:val="21"/>
                    </w:rPr>
                  </w:pPr>
                  <w:r>
                    <w:rPr>
                      <w:b/>
                      <w:bCs/>
                      <w:szCs w:val="21"/>
                    </w:rPr>
                    <w:t>环境功能区</w:t>
                  </w:r>
                </w:p>
              </w:tc>
              <w:tc>
                <w:tcPr>
                  <w:tcW w:w="591" w:type="dxa"/>
                  <w:vMerge w:val="restart"/>
                  <w:vAlign w:val="center"/>
                </w:tcPr>
                <w:p w14:paraId="56EBEAB5">
                  <w:pPr>
                    <w:snapToGrid w:val="0"/>
                    <w:spacing w:line="280" w:lineRule="exact"/>
                    <w:jc w:val="center"/>
                    <w:rPr>
                      <w:b/>
                      <w:bCs/>
                      <w:szCs w:val="21"/>
                    </w:rPr>
                  </w:pPr>
                  <w:r>
                    <w:rPr>
                      <w:b/>
                      <w:bCs/>
                      <w:szCs w:val="21"/>
                    </w:rPr>
                    <w:t>相对厂址方位</w:t>
                  </w:r>
                </w:p>
              </w:tc>
              <w:tc>
                <w:tcPr>
                  <w:tcW w:w="948" w:type="dxa"/>
                  <w:vMerge w:val="restart"/>
                  <w:vAlign w:val="center"/>
                </w:tcPr>
                <w:p w14:paraId="339805EF">
                  <w:pPr>
                    <w:snapToGrid w:val="0"/>
                    <w:spacing w:line="280" w:lineRule="exact"/>
                    <w:jc w:val="center"/>
                    <w:rPr>
                      <w:b/>
                      <w:bCs/>
                      <w:szCs w:val="21"/>
                    </w:rPr>
                  </w:pPr>
                  <w:r>
                    <w:rPr>
                      <w:b/>
                      <w:bCs/>
                      <w:szCs w:val="21"/>
                    </w:rPr>
                    <w:t>相对厂界距离距离（</w:t>
                  </w:r>
                  <w:r>
                    <w:rPr>
                      <w:rFonts w:hint="eastAsia"/>
                      <w:b/>
                      <w:bCs/>
                      <w:szCs w:val="21"/>
                    </w:rPr>
                    <w:t>k</w:t>
                  </w:r>
                  <w:r>
                    <w:rPr>
                      <w:b/>
                      <w:bCs/>
                      <w:szCs w:val="21"/>
                    </w:rPr>
                    <w:t>m）</w:t>
                  </w:r>
                </w:p>
              </w:tc>
            </w:tr>
            <w:tr w14:paraId="4B854E1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606" w:type="dxa"/>
                  <w:vMerge w:val="continue"/>
                </w:tcPr>
                <w:p w14:paraId="32A46498">
                  <w:pPr>
                    <w:snapToGrid w:val="0"/>
                    <w:spacing w:line="280" w:lineRule="exact"/>
                    <w:jc w:val="center"/>
                    <w:rPr>
                      <w:color w:val="FF0000"/>
                      <w:szCs w:val="21"/>
                    </w:rPr>
                  </w:pPr>
                </w:p>
              </w:tc>
              <w:tc>
                <w:tcPr>
                  <w:tcW w:w="648" w:type="dxa"/>
                  <w:vMerge w:val="continue"/>
                  <w:vAlign w:val="center"/>
                </w:tcPr>
                <w:p w14:paraId="2D456421">
                  <w:pPr>
                    <w:snapToGrid w:val="0"/>
                    <w:spacing w:line="280" w:lineRule="exact"/>
                    <w:jc w:val="center"/>
                    <w:rPr>
                      <w:color w:val="FF0000"/>
                      <w:szCs w:val="21"/>
                    </w:rPr>
                  </w:pPr>
                </w:p>
              </w:tc>
              <w:tc>
                <w:tcPr>
                  <w:tcW w:w="604" w:type="dxa"/>
                  <w:vAlign w:val="center"/>
                </w:tcPr>
                <w:p w14:paraId="5A1F218D">
                  <w:pPr>
                    <w:snapToGrid w:val="0"/>
                    <w:spacing w:line="280" w:lineRule="exact"/>
                    <w:jc w:val="center"/>
                    <w:rPr>
                      <w:b/>
                      <w:bCs/>
                      <w:szCs w:val="21"/>
                    </w:rPr>
                  </w:pPr>
                  <w:r>
                    <w:rPr>
                      <w:b/>
                      <w:bCs/>
                      <w:szCs w:val="21"/>
                    </w:rPr>
                    <w:t>X</w:t>
                  </w:r>
                </w:p>
              </w:tc>
              <w:tc>
                <w:tcPr>
                  <w:tcW w:w="719" w:type="dxa"/>
                  <w:vAlign w:val="center"/>
                </w:tcPr>
                <w:p w14:paraId="7756F6B6">
                  <w:pPr>
                    <w:snapToGrid w:val="0"/>
                    <w:spacing w:line="280" w:lineRule="exact"/>
                    <w:jc w:val="center"/>
                    <w:rPr>
                      <w:b/>
                      <w:bCs/>
                      <w:szCs w:val="21"/>
                    </w:rPr>
                  </w:pPr>
                  <w:r>
                    <w:rPr>
                      <w:b/>
                      <w:bCs/>
                      <w:szCs w:val="21"/>
                    </w:rPr>
                    <w:t>Y</w:t>
                  </w:r>
                </w:p>
              </w:tc>
              <w:tc>
                <w:tcPr>
                  <w:tcW w:w="956" w:type="dxa"/>
                  <w:gridSpan w:val="2"/>
                  <w:vMerge w:val="continue"/>
                  <w:vAlign w:val="center"/>
                </w:tcPr>
                <w:p w14:paraId="5E4391D0">
                  <w:pPr>
                    <w:snapToGrid w:val="0"/>
                    <w:spacing w:line="280" w:lineRule="exact"/>
                    <w:jc w:val="center"/>
                    <w:rPr>
                      <w:color w:val="FF0000"/>
                      <w:szCs w:val="21"/>
                    </w:rPr>
                  </w:pPr>
                </w:p>
              </w:tc>
              <w:tc>
                <w:tcPr>
                  <w:tcW w:w="525" w:type="dxa"/>
                  <w:vMerge w:val="continue"/>
                  <w:vAlign w:val="center"/>
                </w:tcPr>
                <w:p w14:paraId="613DAF67">
                  <w:pPr>
                    <w:snapToGrid w:val="0"/>
                    <w:spacing w:line="280" w:lineRule="exact"/>
                    <w:jc w:val="center"/>
                    <w:rPr>
                      <w:color w:val="FF0000"/>
                      <w:szCs w:val="21"/>
                    </w:rPr>
                  </w:pPr>
                </w:p>
              </w:tc>
              <w:tc>
                <w:tcPr>
                  <w:tcW w:w="830" w:type="dxa"/>
                  <w:vMerge w:val="continue"/>
                  <w:vAlign w:val="center"/>
                </w:tcPr>
                <w:p w14:paraId="167EF044">
                  <w:pPr>
                    <w:snapToGrid w:val="0"/>
                    <w:spacing w:line="280" w:lineRule="exact"/>
                    <w:jc w:val="center"/>
                    <w:rPr>
                      <w:color w:val="FF0000"/>
                      <w:szCs w:val="21"/>
                    </w:rPr>
                  </w:pPr>
                </w:p>
              </w:tc>
              <w:tc>
                <w:tcPr>
                  <w:tcW w:w="1731" w:type="dxa"/>
                  <w:vMerge w:val="continue"/>
                  <w:vAlign w:val="center"/>
                </w:tcPr>
                <w:p w14:paraId="1ED41F1F">
                  <w:pPr>
                    <w:snapToGrid w:val="0"/>
                    <w:spacing w:line="280" w:lineRule="exact"/>
                    <w:jc w:val="center"/>
                    <w:rPr>
                      <w:color w:val="FF0000"/>
                      <w:szCs w:val="21"/>
                    </w:rPr>
                  </w:pPr>
                </w:p>
              </w:tc>
              <w:tc>
                <w:tcPr>
                  <w:tcW w:w="591" w:type="dxa"/>
                  <w:vMerge w:val="continue"/>
                  <w:vAlign w:val="center"/>
                </w:tcPr>
                <w:p w14:paraId="4ABAA780">
                  <w:pPr>
                    <w:snapToGrid w:val="0"/>
                    <w:spacing w:line="280" w:lineRule="exact"/>
                    <w:jc w:val="center"/>
                    <w:rPr>
                      <w:color w:val="FF0000"/>
                      <w:szCs w:val="21"/>
                    </w:rPr>
                  </w:pPr>
                </w:p>
              </w:tc>
              <w:tc>
                <w:tcPr>
                  <w:tcW w:w="948" w:type="dxa"/>
                  <w:vMerge w:val="continue"/>
                  <w:vAlign w:val="center"/>
                </w:tcPr>
                <w:p w14:paraId="75B8BF06">
                  <w:pPr>
                    <w:snapToGrid w:val="0"/>
                    <w:spacing w:line="280" w:lineRule="exact"/>
                    <w:jc w:val="center"/>
                    <w:rPr>
                      <w:color w:val="FF0000"/>
                      <w:szCs w:val="21"/>
                    </w:rPr>
                  </w:pPr>
                </w:p>
              </w:tc>
            </w:tr>
            <w:tr w14:paraId="6A48A25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415" w:hRule="atLeast"/>
                <w:jc w:val="center"/>
              </w:trPr>
              <w:tc>
                <w:tcPr>
                  <w:tcW w:w="606" w:type="dxa"/>
                </w:tcPr>
                <w:p w14:paraId="7E964911">
                  <w:pPr>
                    <w:jc w:val="center"/>
                  </w:pPr>
                  <w:r>
                    <w:t>大气环境</w:t>
                  </w:r>
                </w:p>
              </w:tc>
              <w:tc>
                <w:tcPr>
                  <w:tcW w:w="3452" w:type="dxa"/>
                  <w:gridSpan w:val="6"/>
                  <w:vAlign w:val="center"/>
                </w:tcPr>
                <w:p w14:paraId="7C299E6E">
                  <w:pPr>
                    <w:snapToGrid w:val="0"/>
                    <w:spacing w:line="280" w:lineRule="exact"/>
                    <w:jc w:val="center"/>
                    <w:rPr>
                      <w:szCs w:val="21"/>
                    </w:rPr>
                  </w:pPr>
                  <w:r>
                    <w:rPr>
                      <w:szCs w:val="21"/>
                    </w:rPr>
                    <w:t>项目周围50</w:t>
                  </w:r>
                  <w:r>
                    <w:rPr>
                      <w:rFonts w:hint="eastAsia"/>
                      <w:szCs w:val="21"/>
                    </w:rPr>
                    <w:t>0</w:t>
                  </w:r>
                  <w:r>
                    <w:rPr>
                      <w:szCs w:val="21"/>
                    </w:rPr>
                    <w:t>米内无</w:t>
                  </w:r>
                  <w:r>
                    <w:rPr>
                      <w:rFonts w:hint="eastAsia"/>
                      <w:szCs w:val="21"/>
                    </w:rPr>
                    <w:t>大气</w:t>
                  </w:r>
                  <w:r>
                    <w:rPr>
                      <w:szCs w:val="21"/>
                    </w:rPr>
                    <w:t>环境敏感目标</w:t>
                  </w:r>
                </w:p>
              </w:tc>
              <w:tc>
                <w:tcPr>
                  <w:tcW w:w="830" w:type="dxa"/>
                  <w:vAlign w:val="center"/>
                </w:tcPr>
                <w:p w14:paraId="562053AC">
                  <w:pPr>
                    <w:snapToGrid w:val="0"/>
                    <w:spacing w:line="280" w:lineRule="exact"/>
                    <w:jc w:val="center"/>
                    <w:rPr>
                      <w:szCs w:val="21"/>
                    </w:rPr>
                  </w:pPr>
                  <w:r>
                    <w:rPr>
                      <w:rFonts w:hint="eastAsia"/>
                      <w:szCs w:val="21"/>
                    </w:rPr>
                    <w:t>大气环境</w:t>
                  </w:r>
                </w:p>
              </w:tc>
              <w:tc>
                <w:tcPr>
                  <w:tcW w:w="1731" w:type="dxa"/>
                  <w:vAlign w:val="center"/>
                </w:tcPr>
                <w:p w14:paraId="3136CB12">
                  <w:pPr>
                    <w:snapToGrid w:val="0"/>
                    <w:spacing w:line="280" w:lineRule="exact"/>
                    <w:jc w:val="center"/>
                    <w:rPr>
                      <w:szCs w:val="21"/>
                    </w:rPr>
                  </w:pPr>
                  <w:r>
                    <w:rPr>
                      <w:szCs w:val="21"/>
                    </w:rPr>
                    <w:t>《环境空气质量标准》GB3095-2012）中二类标准</w:t>
                  </w:r>
                </w:p>
              </w:tc>
              <w:tc>
                <w:tcPr>
                  <w:tcW w:w="591" w:type="dxa"/>
                  <w:vAlign w:val="center"/>
                </w:tcPr>
                <w:p w14:paraId="1E19465C">
                  <w:pPr>
                    <w:snapToGrid w:val="0"/>
                    <w:spacing w:line="280" w:lineRule="exact"/>
                    <w:jc w:val="center"/>
                    <w:rPr>
                      <w:szCs w:val="21"/>
                    </w:rPr>
                  </w:pPr>
                  <w:r>
                    <w:rPr>
                      <w:rFonts w:hint="eastAsia"/>
                      <w:szCs w:val="21"/>
                    </w:rPr>
                    <w:t>/</w:t>
                  </w:r>
                </w:p>
              </w:tc>
              <w:tc>
                <w:tcPr>
                  <w:tcW w:w="948" w:type="dxa"/>
                  <w:vAlign w:val="center"/>
                </w:tcPr>
                <w:p w14:paraId="4AAD0293">
                  <w:pPr>
                    <w:snapToGrid w:val="0"/>
                    <w:spacing w:line="280" w:lineRule="exact"/>
                    <w:jc w:val="center"/>
                    <w:rPr>
                      <w:szCs w:val="21"/>
                    </w:rPr>
                  </w:pPr>
                  <w:r>
                    <w:rPr>
                      <w:rFonts w:hint="eastAsia"/>
                      <w:szCs w:val="21"/>
                    </w:rPr>
                    <w:t>/</w:t>
                  </w:r>
                </w:p>
              </w:tc>
            </w:tr>
            <w:tr w14:paraId="619E372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606" w:type="dxa"/>
                </w:tcPr>
                <w:p w14:paraId="205B8D3C">
                  <w:pPr>
                    <w:jc w:val="center"/>
                  </w:pPr>
                  <w:r>
                    <w:t>声环境</w:t>
                  </w:r>
                </w:p>
              </w:tc>
              <w:tc>
                <w:tcPr>
                  <w:tcW w:w="3452" w:type="dxa"/>
                  <w:gridSpan w:val="6"/>
                  <w:vAlign w:val="center"/>
                </w:tcPr>
                <w:p w14:paraId="58D6822A">
                  <w:pPr>
                    <w:snapToGrid w:val="0"/>
                    <w:jc w:val="center"/>
                    <w:rPr>
                      <w:color w:val="000000"/>
                      <w:szCs w:val="21"/>
                    </w:rPr>
                  </w:pPr>
                  <w:r>
                    <w:rPr>
                      <w:szCs w:val="21"/>
                    </w:rPr>
                    <w:t>项目周围50米内无声环境敏感目标</w:t>
                  </w:r>
                </w:p>
              </w:tc>
              <w:tc>
                <w:tcPr>
                  <w:tcW w:w="830" w:type="dxa"/>
                  <w:vAlign w:val="center"/>
                </w:tcPr>
                <w:p w14:paraId="384C7713">
                  <w:pPr>
                    <w:snapToGrid w:val="0"/>
                    <w:jc w:val="center"/>
                    <w:rPr>
                      <w:szCs w:val="21"/>
                    </w:rPr>
                  </w:pPr>
                  <w:r>
                    <w:rPr>
                      <w:szCs w:val="21"/>
                    </w:rPr>
                    <w:t>声环境</w:t>
                  </w:r>
                </w:p>
              </w:tc>
              <w:tc>
                <w:tcPr>
                  <w:tcW w:w="1731" w:type="dxa"/>
                  <w:vAlign w:val="center"/>
                </w:tcPr>
                <w:p w14:paraId="6880EA5E">
                  <w:pPr>
                    <w:snapToGrid w:val="0"/>
                    <w:jc w:val="center"/>
                    <w:rPr>
                      <w:color w:val="000000"/>
                      <w:szCs w:val="21"/>
                    </w:rPr>
                  </w:pPr>
                  <w:r>
                    <w:rPr>
                      <w:szCs w:val="21"/>
                    </w:rPr>
                    <w:t>《声环境质量标准》（GB3096-2008）3类标准</w:t>
                  </w:r>
                </w:p>
              </w:tc>
              <w:tc>
                <w:tcPr>
                  <w:tcW w:w="591" w:type="dxa"/>
                  <w:vAlign w:val="center"/>
                </w:tcPr>
                <w:p w14:paraId="34AC0984">
                  <w:pPr>
                    <w:snapToGrid w:val="0"/>
                    <w:jc w:val="center"/>
                    <w:rPr>
                      <w:color w:val="000000"/>
                      <w:szCs w:val="21"/>
                    </w:rPr>
                  </w:pPr>
                  <w:r>
                    <w:rPr>
                      <w:color w:val="000000"/>
                      <w:szCs w:val="21"/>
                    </w:rPr>
                    <w:t>/</w:t>
                  </w:r>
                </w:p>
              </w:tc>
              <w:tc>
                <w:tcPr>
                  <w:tcW w:w="948" w:type="dxa"/>
                  <w:vAlign w:val="center"/>
                </w:tcPr>
                <w:p w14:paraId="46F5DFF9">
                  <w:pPr>
                    <w:snapToGrid w:val="0"/>
                    <w:jc w:val="center"/>
                    <w:rPr>
                      <w:color w:val="000000"/>
                      <w:szCs w:val="21"/>
                    </w:rPr>
                  </w:pPr>
                  <w:r>
                    <w:rPr>
                      <w:color w:val="000000"/>
                      <w:szCs w:val="21"/>
                    </w:rPr>
                    <w:t>/</w:t>
                  </w:r>
                </w:p>
              </w:tc>
            </w:tr>
            <w:tr w14:paraId="7B1CE7D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37" w:hRule="atLeast"/>
                <w:jc w:val="center"/>
              </w:trPr>
              <w:tc>
                <w:tcPr>
                  <w:tcW w:w="606" w:type="dxa"/>
                  <w:vMerge w:val="restart"/>
                </w:tcPr>
                <w:p w14:paraId="5FBD089F">
                  <w:pPr>
                    <w:jc w:val="center"/>
                  </w:pPr>
                  <w:r>
                    <w:t>水环境</w:t>
                  </w:r>
                </w:p>
              </w:tc>
              <w:tc>
                <w:tcPr>
                  <w:tcW w:w="648" w:type="dxa"/>
                  <w:vMerge w:val="restart"/>
                  <w:vAlign w:val="center"/>
                </w:tcPr>
                <w:p w14:paraId="0DB7FD37">
                  <w:pPr>
                    <w:jc w:val="center"/>
                  </w:pPr>
                  <w:r>
                    <w:rPr>
                      <w:rFonts w:hint="eastAsia"/>
                    </w:rPr>
                    <w:t>/</w:t>
                  </w:r>
                </w:p>
              </w:tc>
              <w:tc>
                <w:tcPr>
                  <w:tcW w:w="604" w:type="dxa"/>
                  <w:vAlign w:val="center"/>
                </w:tcPr>
                <w:p w14:paraId="6679D31C">
                  <w:pPr>
                    <w:pStyle w:val="32"/>
                    <w:rPr>
                      <w:rFonts w:ascii="Times New Roman" w:hAnsi="Times New Roman"/>
                      <w:szCs w:val="21"/>
                    </w:rPr>
                  </w:pPr>
                  <w:r>
                    <w:rPr>
                      <w:rFonts w:hint="eastAsia" w:ascii="Times New Roman" w:hAnsi="Times New Roman"/>
                      <w:szCs w:val="21"/>
                    </w:rPr>
                    <w:t>/</w:t>
                  </w:r>
                </w:p>
              </w:tc>
              <w:tc>
                <w:tcPr>
                  <w:tcW w:w="719" w:type="dxa"/>
                  <w:vAlign w:val="center"/>
                </w:tcPr>
                <w:p w14:paraId="6AA4D8D9">
                  <w:pPr>
                    <w:pStyle w:val="32"/>
                    <w:rPr>
                      <w:rFonts w:ascii="Times New Roman" w:hAnsi="Times New Roman"/>
                      <w:szCs w:val="21"/>
                    </w:rPr>
                  </w:pPr>
                  <w:r>
                    <w:rPr>
                      <w:rFonts w:hint="eastAsia" w:ascii="Times New Roman" w:hAnsi="Times New Roman"/>
                      <w:szCs w:val="21"/>
                    </w:rPr>
                    <w:t>/</w:t>
                  </w:r>
                </w:p>
              </w:tc>
              <w:tc>
                <w:tcPr>
                  <w:tcW w:w="798" w:type="dxa"/>
                  <w:vAlign w:val="center"/>
                </w:tcPr>
                <w:p w14:paraId="511FEA74">
                  <w:pPr>
                    <w:pStyle w:val="32"/>
                    <w:rPr>
                      <w:rFonts w:ascii="Times New Roman" w:hAnsi="Times New Roman"/>
                      <w:szCs w:val="21"/>
                    </w:rPr>
                  </w:pPr>
                  <w:r>
                    <w:rPr>
                      <w:rFonts w:hint="eastAsia" w:ascii="Times New Roman" w:hAnsi="Times New Roman"/>
                      <w:szCs w:val="21"/>
                    </w:rPr>
                    <w:t>史河总干渠</w:t>
                  </w:r>
                </w:p>
              </w:tc>
              <w:tc>
                <w:tcPr>
                  <w:tcW w:w="683" w:type="dxa"/>
                  <w:gridSpan w:val="2"/>
                  <w:vAlign w:val="center"/>
                </w:tcPr>
                <w:p w14:paraId="50723403">
                  <w:pPr>
                    <w:pStyle w:val="32"/>
                    <w:rPr>
                      <w:rFonts w:ascii="Times New Roman" w:hAnsi="Times New Roman"/>
                      <w:szCs w:val="21"/>
                    </w:rPr>
                  </w:pPr>
                  <w:r>
                    <w:rPr>
                      <w:rFonts w:hint="eastAsia" w:ascii="Times New Roman" w:hAnsi="Times New Roman"/>
                      <w:szCs w:val="21"/>
                    </w:rPr>
                    <w:t>河流</w:t>
                  </w:r>
                </w:p>
              </w:tc>
              <w:tc>
                <w:tcPr>
                  <w:tcW w:w="830" w:type="dxa"/>
                  <w:vAlign w:val="center"/>
                </w:tcPr>
                <w:p w14:paraId="4842490E">
                  <w:pPr>
                    <w:pStyle w:val="32"/>
                    <w:rPr>
                      <w:rFonts w:ascii="Times New Roman" w:hAnsi="Times New Roman"/>
                      <w:szCs w:val="21"/>
                    </w:rPr>
                  </w:pPr>
                  <w:r>
                    <w:rPr>
                      <w:rFonts w:hint="eastAsia" w:ascii="Times New Roman" w:hAnsi="Times New Roman"/>
                      <w:szCs w:val="21"/>
                    </w:rPr>
                    <w:t>小型河流</w:t>
                  </w:r>
                </w:p>
              </w:tc>
              <w:tc>
                <w:tcPr>
                  <w:tcW w:w="1731" w:type="dxa"/>
                  <w:vMerge w:val="restart"/>
                  <w:vAlign w:val="center"/>
                </w:tcPr>
                <w:p w14:paraId="31F9827E">
                  <w:pPr>
                    <w:pStyle w:val="32"/>
                    <w:rPr>
                      <w:rFonts w:ascii="Times New Roman" w:hAnsi="Times New Roman"/>
                      <w:szCs w:val="21"/>
                    </w:rPr>
                  </w:pPr>
                  <w:r>
                    <w:rPr>
                      <w:rFonts w:ascii="Times New Roman" w:hAnsi="Times New Roman"/>
                      <w:szCs w:val="21"/>
                    </w:rPr>
                    <w:t>《地表水环境质量标准》（GB 3838-2002）Ⅲ标准</w:t>
                  </w:r>
                </w:p>
              </w:tc>
              <w:tc>
                <w:tcPr>
                  <w:tcW w:w="591" w:type="dxa"/>
                  <w:vAlign w:val="center"/>
                </w:tcPr>
                <w:p w14:paraId="4C0FDE89">
                  <w:pPr>
                    <w:pStyle w:val="32"/>
                    <w:rPr>
                      <w:rFonts w:ascii="Times New Roman" w:hAnsi="Times New Roman"/>
                      <w:szCs w:val="21"/>
                    </w:rPr>
                  </w:pPr>
                  <w:r>
                    <w:rPr>
                      <w:rFonts w:hint="eastAsia" w:ascii="Times New Roman" w:hAnsi="Times New Roman"/>
                      <w:szCs w:val="21"/>
                    </w:rPr>
                    <w:t>西侧</w:t>
                  </w:r>
                </w:p>
              </w:tc>
              <w:tc>
                <w:tcPr>
                  <w:tcW w:w="948" w:type="dxa"/>
                  <w:vAlign w:val="center"/>
                </w:tcPr>
                <w:p w14:paraId="17D9018B">
                  <w:pPr>
                    <w:pStyle w:val="32"/>
                    <w:rPr>
                      <w:rFonts w:ascii="Times New Roman" w:hAnsi="Times New Roman"/>
                      <w:szCs w:val="21"/>
                    </w:rPr>
                  </w:pPr>
                  <w:r>
                    <w:rPr>
                      <w:rFonts w:hint="eastAsia" w:ascii="Times New Roman" w:hAnsi="Times New Roman"/>
                      <w:szCs w:val="21"/>
                    </w:rPr>
                    <w:t>1.7</w:t>
                  </w:r>
                </w:p>
              </w:tc>
            </w:tr>
            <w:tr w14:paraId="0D4CC63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37" w:hRule="atLeast"/>
                <w:jc w:val="center"/>
              </w:trPr>
              <w:tc>
                <w:tcPr>
                  <w:tcW w:w="606" w:type="dxa"/>
                  <w:vMerge w:val="continue"/>
                </w:tcPr>
                <w:p w14:paraId="1D946E4E">
                  <w:pPr>
                    <w:pStyle w:val="32"/>
                  </w:pPr>
                </w:p>
              </w:tc>
              <w:tc>
                <w:tcPr>
                  <w:tcW w:w="648" w:type="dxa"/>
                  <w:vMerge w:val="continue"/>
                  <w:vAlign w:val="center"/>
                </w:tcPr>
                <w:p w14:paraId="1EF63138">
                  <w:pPr>
                    <w:pStyle w:val="32"/>
                  </w:pPr>
                </w:p>
              </w:tc>
              <w:tc>
                <w:tcPr>
                  <w:tcW w:w="604" w:type="dxa"/>
                  <w:vAlign w:val="center"/>
                </w:tcPr>
                <w:p w14:paraId="65CAE139">
                  <w:pPr>
                    <w:pStyle w:val="32"/>
                    <w:rPr>
                      <w:rFonts w:ascii="Times New Roman" w:hAnsi="Times New Roman"/>
                      <w:szCs w:val="21"/>
                    </w:rPr>
                  </w:pPr>
                  <w:r>
                    <w:rPr>
                      <w:rFonts w:hint="eastAsia" w:ascii="Times New Roman" w:hAnsi="Times New Roman"/>
                      <w:szCs w:val="21"/>
                    </w:rPr>
                    <w:t>/</w:t>
                  </w:r>
                </w:p>
              </w:tc>
              <w:tc>
                <w:tcPr>
                  <w:tcW w:w="719" w:type="dxa"/>
                  <w:vAlign w:val="center"/>
                </w:tcPr>
                <w:p w14:paraId="332F242B">
                  <w:pPr>
                    <w:pStyle w:val="32"/>
                    <w:rPr>
                      <w:rFonts w:ascii="Times New Roman" w:hAnsi="Times New Roman"/>
                      <w:szCs w:val="21"/>
                    </w:rPr>
                  </w:pPr>
                  <w:r>
                    <w:rPr>
                      <w:rFonts w:hint="eastAsia" w:ascii="Times New Roman" w:hAnsi="Times New Roman"/>
                      <w:szCs w:val="21"/>
                    </w:rPr>
                    <w:t>/</w:t>
                  </w:r>
                </w:p>
              </w:tc>
              <w:tc>
                <w:tcPr>
                  <w:tcW w:w="798" w:type="dxa"/>
                  <w:vAlign w:val="center"/>
                </w:tcPr>
                <w:p w14:paraId="328B6502">
                  <w:pPr>
                    <w:pStyle w:val="32"/>
                    <w:rPr>
                      <w:rFonts w:ascii="Times New Roman" w:hAnsi="Times New Roman"/>
                      <w:szCs w:val="21"/>
                    </w:rPr>
                  </w:pPr>
                  <w:r>
                    <w:rPr>
                      <w:rFonts w:hint="eastAsia" w:ascii="Times New Roman" w:hAnsi="Times New Roman"/>
                      <w:szCs w:val="21"/>
                    </w:rPr>
                    <w:t>史河</w:t>
                  </w:r>
                </w:p>
              </w:tc>
              <w:tc>
                <w:tcPr>
                  <w:tcW w:w="683" w:type="dxa"/>
                  <w:gridSpan w:val="2"/>
                  <w:vAlign w:val="center"/>
                </w:tcPr>
                <w:p w14:paraId="28AEB9F8">
                  <w:pPr>
                    <w:pStyle w:val="32"/>
                    <w:rPr>
                      <w:rFonts w:ascii="Times New Roman" w:hAnsi="Times New Roman"/>
                      <w:szCs w:val="21"/>
                    </w:rPr>
                  </w:pPr>
                  <w:r>
                    <w:rPr>
                      <w:rFonts w:hint="eastAsia" w:ascii="Times New Roman" w:hAnsi="Times New Roman"/>
                      <w:szCs w:val="21"/>
                    </w:rPr>
                    <w:t>河流</w:t>
                  </w:r>
                </w:p>
              </w:tc>
              <w:tc>
                <w:tcPr>
                  <w:tcW w:w="830" w:type="dxa"/>
                  <w:vAlign w:val="center"/>
                </w:tcPr>
                <w:p w14:paraId="52213A6E">
                  <w:pPr>
                    <w:pStyle w:val="32"/>
                    <w:rPr>
                      <w:rFonts w:ascii="Times New Roman" w:hAnsi="Times New Roman"/>
                      <w:szCs w:val="21"/>
                    </w:rPr>
                  </w:pPr>
                  <w:r>
                    <w:rPr>
                      <w:rFonts w:hint="eastAsia" w:ascii="Times New Roman" w:hAnsi="Times New Roman"/>
                      <w:szCs w:val="21"/>
                    </w:rPr>
                    <w:t>中型河流</w:t>
                  </w:r>
                </w:p>
              </w:tc>
              <w:tc>
                <w:tcPr>
                  <w:tcW w:w="1731" w:type="dxa"/>
                  <w:vMerge w:val="continue"/>
                  <w:vAlign w:val="center"/>
                </w:tcPr>
                <w:p w14:paraId="5FCB77E8">
                  <w:pPr>
                    <w:pStyle w:val="32"/>
                    <w:rPr>
                      <w:rFonts w:ascii="Times New Roman" w:hAnsi="Times New Roman"/>
                      <w:szCs w:val="21"/>
                    </w:rPr>
                  </w:pPr>
                </w:p>
              </w:tc>
              <w:tc>
                <w:tcPr>
                  <w:tcW w:w="591" w:type="dxa"/>
                  <w:vAlign w:val="center"/>
                </w:tcPr>
                <w:p w14:paraId="1BC3F958">
                  <w:pPr>
                    <w:pStyle w:val="32"/>
                    <w:rPr>
                      <w:rFonts w:ascii="Times New Roman" w:hAnsi="Times New Roman"/>
                      <w:szCs w:val="21"/>
                    </w:rPr>
                  </w:pPr>
                  <w:r>
                    <w:rPr>
                      <w:rFonts w:hint="eastAsia" w:ascii="Times New Roman" w:hAnsi="Times New Roman"/>
                      <w:szCs w:val="21"/>
                    </w:rPr>
                    <w:t>西侧</w:t>
                  </w:r>
                </w:p>
              </w:tc>
              <w:tc>
                <w:tcPr>
                  <w:tcW w:w="948" w:type="dxa"/>
                  <w:vAlign w:val="center"/>
                </w:tcPr>
                <w:p w14:paraId="48415453">
                  <w:pPr>
                    <w:pStyle w:val="32"/>
                    <w:rPr>
                      <w:rFonts w:ascii="Times New Roman" w:hAnsi="Times New Roman"/>
                      <w:szCs w:val="21"/>
                    </w:rPr>
                  </w:pPr>
                  <w:r>
                    <w:rPr>
                      <w:rFonts w:hint="eastAsia" w:ascii="Times New Roman" w:hAnsi="Times New Roman"/>
                      <w:szCs w:val="21"/>
                    </w:rPr>
                    <w:t>2.6</w:t>
                  </w:r>
                </w:p>
              </w:tc>
            </w:tr>
            <w:tr w14:paraId="442398D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37" w:hRule="atLeast"/>
                <w:jc w:val="center"/>
              </w:trPr>
              <w:tc>
                <w:tcPr>
                  <w:tcW w:w="606" w:type="dxa"/>
                  <w:vMerge w:val="continue"/>
                </w:tcPr>
                <w:p w14:paraId="770F1D77">
                  <w:pPr>
                    <w:pStyle w:val="32"/>
                  </w:pPr>
                </w:p>
              </w:tc>
              <w:tc>
                <w:tcPr>
                  <w:tcW w:w="648" w:type="dxa"/>
                  <w:vMerge w:val="continue"/>
                  <w:vAlign w:val="center"/>
                </w:tcPr>
                <w:p w14:paraId="424D7725">
                  <w:pPr>
                    <w:pStyle w:val="32"/>
                  </w:pPr>
                </w:p>
              </w:tc>
              <w:tc>
                <w:tcPr>
                  <w:tcW w:w="604" w:type="dxa"/>
                  <w:vAlign w:val="center"/>
                </w:tcPr>
                <w:p w14:paraId="30E0B0EA">
                  <w:pPr>
                    <w:pStyle w:val="32"/>
                    <w:rPr>
                      <w:rFonts w:ascii="Times New Roman" w:hAnsi="Times New Roman"/>
                      <w:szCs w:val="21"/>
                    </w:rPr>
                  </w:pPr>
                  <w:r>
                    <w:rPr>
                      <w:rFonts w:hint="eastAsia" w:ascii="Times New Roman" w:hAnsi="Times New Roman"/>
                      <w:szCs w:val="21"/>
                    </w:rPr>
                    <w:t>/</w:t>
                  </w:r>
                </w:p>
              </w:tc>
              <w:tc>
                <w:tcPr>
                  <w:tcW w:w="719" w:type="dxa"/>
                  <w:vAlign w:val="center"/>
                </w:tcPr>
                <w:p w14:paraId="36EFDF1E">
                  <w:pPr>
                    <w:pStyle w:val="32"/>
                    <w:rPr>
                      <w:rFonts w:ascii="Times New Roman" w:hAnsi="Times New Roman"/>
                      <w:szCs w:val="21"/>
                    </w:rPr>
                  </w:pPr>
                  <w:r>
                    <w:rPr>
                      <w:rFonts w:hint="eastAsia" w:ascii="Times New Roman" w:hAnsi="Times New Roman"/>
                      <w:szCs w:val="21"/>
                    </w:rPr>
                    <w:t>/</w:t>
                  </w:r>
                </w:p>
              </w:tc>
              <w:tc>
                <w:tcPr>
                  <w:tcW w:w="798" w:type="dxa"/>
                  <w:vAlign w:val="center"/>
                </w:tcPr>
                <w:p w14:paraId="2B4F6122">
                  <w:pPr>
                    <w:pStyle w:val="32"/>
                    <w:rPr>
                      <w:rFonts w:ascii="Times New Roman" w:hAnsi="Times New Roman"/>
                      <w:szCs w:val="21"/>
                    </w:rPr>
                  </w:pPr>
                  <w:r>
                    <w:rPr>
                      <w:rFonts w:hint="eastAsia" w:ascii="Times New Roman" w:hAnsi="Times New Roman"/>
                      <w:szCs w:val="21"/>
                    </w:rPr>
                    <w:t>仙花河</w:t>
                  </w:r>
                </w:p>
              </w:tc>
              <w:tc>
                <w:tcPr>
                  <w:tcW w:w="683" w:type="dxa"/>
                  <w:gridSpan w:val="2"/>
                  <w:vAlign w:val="center"/>
                </w:tcPr>
                <w:p w14:paraId="1F4E2A06">
                  <w:pPr>
                    <w:pStyle w:val="32"/>
                    <w:rPr>
                      <w:rFonts w:ascii="Times New Roman" w:hAnsi="Times New Roman"/>
                      <w:szCs w:val="21"/>
                    </w:rPr>
                  </w:pPr>
                  <w:r>
                    <w:rPr>
                      <w:rFonts w:hint="eastAsia" w:ascii="Times New Roman" w:hAnsi="Times New Roman"/>
                      <w:szCs w:val="21"/>
                    </w:rPr>
                    <w:t>河流</w:t>
                  </w:r>
                </w:p>
              </w:tc>
              <w:tc>
                <w:tcPr>
                  <w:tcW w:w="830" w:type="dxa"/>
                  <w:vAlign w:val="center"/>
                </w:tcPr>
                <w:p w14:paraId="14AEE566">
                  <w:pPr>
                    <w:pStyle w:val="32"/>
                    <w:rPr>
                      <w:rFonts w:ascii="Times New Roman" w:hAnsi="Times New Roman"/>
                      <w:szCs w:val="21"/>
                    </w:rPr>
                  </w:pPr>
                  <w:r>
                    <w:rPr>
                      <w:rFonts w:hint="eastAsia" w:ascii="Times New Roman" w:hAnsi="Times New Roman"/>
                      <w:szCs w:val="21"/>
                    </w:rPr>
                    <w:t>小型河流</w:t>
                  </w:r>
                </w:p>
              </w:tc>
              <w:tc>
                <w:tcPr>
                  <w:tcW w:w="1731" w:type="dxa"/>
                  <w:vMerge w:val="continue"/>
                  <w:vAlign w:val="center"/>
                </w:tcPr>
                <w:p w14:paraId="14A33CE5">
                  <w:pPr>
                    <w:pStyle w:val="32"/>
                    <w:rPr>
                      <w:rFonts w:ascii="Times New Roman" w:hAnsi="Times New Roman"/>
                      <w:szCs w:val="21"/>
                    </w:rPr>
                  </w:pPr>
                </w:p>
              </w:tc>
              <w:tc>
                <w:tcPr>
                  <w:tcW w:w="591" w:type="dxa"/>
                  <w:vAlign w:val="center"/>
                </w:tcPr>
                <w:p w14:paraId="5563D191">
                  <w:pPr>
                    <w:pStyle w:val="32"/>
                    <w:rPr>
                      <w:rFonts w:ascii="Times New Roman" w:hAnsi="Times New Roman"/>
                      <w:szCs w:val="21"/>
                    </w:rPr>
                  </w:pPr>
                </w:p>
              </w:tc>
              <w:tc>
                <w:tcPr>
                  <w:tcW w:w="948" w:type="dxa"/>
                  <w:vAlign w:val="center"/>
                </w:tcPr>
                <w:p w14:paraId="716B803D">
                  <w:pPr>
                    <w:pStyle w:val="32"/>
                    <w:rPr>
                      <w:rFonts w:ascii="Times New Roman" w:hAnsi="Times New Roman"/>
                      <w:szCs w:val="21"/>
                    </w:rPr>
                  </w:pPr>
                  <w:r>
                    <w:rPr>
                      <w:rFonts w:hint="eastAsia" w:ascii="Times New Roman" w:hAnsi="Times New Roman"/>
                      <w:szCs w:val="21"/>
                    </w:rPr>
                    <w:t>6.9</w:t>
                  </w:r>
                </w:p>
              </w:tc>
            </w:tr>
            <w:tr w14:paraId="72F51C7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606" w:type="dxa"/>
                </w:tcPr>
                <w:p w14:paraId="50214F77">
                  <w:pPr>
                    <w:jc w:val="center"/>
                  </w:pPr>
                  <w:r>
                    <w:t>地下水环境</w:t>
                  </w:r>
                </w:p>
              </w:tc>
              <w:tc>
                <w:tcPr>
                  <w:tcW w:w="7552" w:type="dxa"/>
                  <w:gridSpan w:val="10"/>
                  <w:vAlign w:val="center"/>
                </w:tcPr>
                <w:p w14:paraId="551DCAAC">
                  <w:pPr>
                    <w:snapToGrid w:val="0"/>
                    <w:jc w:val="center"/>
                    <w:rPr>
                      <w:color w:val="000000"/>
                      <w:szCs w:val="21"/>
                    </w:rPr>
                  </w:pPr>
                  <w:r>
                    <w:rPr>
                      <w:color w:val="000000"/>
                      <w:szCs w:val="21"/>
                    </w:rPr>
                    <w:t>无地下水集中式饮用水水源和热水、矿泉水、温泉等特殊地下水资源</w:t>
                  </w:r>
                </w:p>
              </w:tc>
            </w:tr>
          </w:tbl>
          <w:p w14:paraId="46488DBC">
            <w:pPr>
              <w:adjustRightInd w:val="0"/>
              <w:snapToGrid w:val="0"/>
              <w:jc w:val="center"/>
              <w:rPr>
                <w:rFonts w:ascii="宋体" w:hAnsi="宋体" w:cs="宋体"/>
                <w:kern w:val="0"/>
                <w:szCs w:val="21"/>
              </w:rPr>
            </w:pPr>
          </w:p>
          <w:p w14:paraId="4FAFF1EE">
            <w:pPr>
              <w:adjustRightInd w:val="0"/>
              <w:snapToGrid w:val="0"/>
              <w:jc w:val="center"/>
              <w:rPr>
                <w:rFonts w:ascii="宋体" w:hAnsi="宋体" w:cs="宋体"/>
                <w:kern w:val="0"/>
                <w:szCs w:val="21"/>
              </w:rPr>
            </w:pPr>
            <w:r>
              <w:rPr>
                <w:rFonts w:hint="eastAsia" w:ascii="宋体" w:hAnsi="宋体" w:cs="宋体"/>
                <w:b/>
                <w:sz w:val="24"/>
              </w:rPr>
              <mc:AlternateContent>
                <mc:Choice Requires="wps">
                  <w:drawing>
                    <wp:anchor distT="0" distB="0" distL="114300" distR="114300" simplePos="0" relativeHeight="251660288" behindDoc="0" locked="0" layoutInCell="1" allowOverlap="1">
                      <wp:simplePos x="0" y="0"/>
                      <wp:positionH relativeFrom="column">
                        <wp:posOffset>3209290</wp:posOffset>
                      </wp:positionH>
                      <wp:positionV relativeFrom="paragraph">
                        <wp:posOffset>320675</wp:posOffset>
                      </wp:positionV>
                      <wp:extent cx="685800" cy="320040"/>
                      <wp:effectExtent l="0" t="0" r="19050" b="270510"/>
                      <wp:wrapNone/>
                      <wp:docPr id="1065851466" name="Speech Bubble: Rectangle 10"/>
                      <wp:cNvGraphicFramePr/>
                      <a:graphic xmlns:a="http://schemas.openxmlformats.org/drawingml/2006/main">
                        <a:graphicData uri="http://schemas.microsoft.com/office/word/2010/wordprocessingShape">
                          <wps:wsp>
                            <wps:cNvSpPr/>
                            <wps:spPr>
                              <a:xfrm>
                                <a:off x="0" y="0"/>
                                <a:ext cx="685800" cy="320040"/>
                              </a:xfrm>
                              <a:prstGeom prst="wedgeRectCallout">
                                <a:avLst>
                                  <a:gd name="adj1" fmla="val 4723"/>
                                  <a:gd name="adj2" fmla="val 119643"/>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5A3E0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peech Bubble: Rectangle 10" o:spid="_x0000_s1026" o:spt="61" type="#_x0000_t61" style="position:absolute;left:0pt;margin-left:252.7pt;margin-top:25.25pt;height:25.2pt;width:54pt;z-index:251660288;v-text-anchor:middle;mso-width-relative:page;mso-height-relative:page;" fillcolor="#FFFFFF [3212]" filled="t" stroked="t" coordsize="21600,21600" o:gfxdata="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gneEX1wAAAAoBAAAPAAAAAAAAAAEAIAAA&#10;ACIAAABkcnMvZG93bnJldi54bWxQSwECFAAUAAAACACHTuJAgSUm2bgCAACYBQAADgAAAAAAAAAB&#10;ACAAAAAmAQAAZHJzL2Uyb0RvYy54bWxQSwUGAAAAAAYABgBZAQAAUAYAAAAA&#10;" adj="11820,36643">
                      <v:fill on="t" focussize="0,0"/>
                      <v:stroke weight="1pt" color="#172C51 [3204]" miterlimit="8" joinstyle="miter"/>
                      <v:imagedata o:title=""/>
                      <o:lock v:ext="edit" aspectratio="f"/>
                      <v:textbox>
                        <w:txbxContent>
                          <w:p w14:paraId="605A3E0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项目地</w:t>
                            </w:r>
                          </w:p>
                        </w:txbxContent>
                      </v:textbox>
                    </v:shape>
                  </w:pict>
                </mc:Fallback>
              </mc:AlternateContent>
            </w:r>
            <w:r>
              <w:rPr>
                <w:rFonts w:hint="eastAsia" w:ascii="宋体" w:hAnsi="宋体" w:cs="宋体"/>
                <w:b/>
                <w:sz w:val="24"/>
              </w:rPr>
              <w:drawing>
                <wp:inline distT="0" distB="0" distL="0" distR="0">
                  <wp:extent cx="5139690" cy="5622925"/>
                  <wp:effectExtent l="19050" t="19050" r="22860" b="15875"/>
                  <wp:docPr id="4450834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83459"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39690" cy="5622925"/>
                          </a:xfrm>
                          <a:prstGeom prst="rect">
                            <a:avLst/>
                          </a:prstGeom>
                          <a:noFill/>
                          <a:ln w="9525" cmpd="sng">
                            <a:solidFill>
                              <a:srgbClr val="000000"/>
                            </a:solidFill>
                            <a:miter lim="800000"/>
                            <a:headEnd/>
                            <a:tailEnd/>
                          </a:ln>
                          <a:effectLst/>
                        </pic:spPr>
                      </pic:pic>
                    </a:graphicData>
                  </a:graphic>
                </wp:inline>
              </w:drawing>
            </w:r>
          </w:p>
          <w:p w14:paraId="40522EB1">
            <w:pPr>
              <w:adjustRightInd w:val="0"/>
              <w:snapToGrid w:val="0"/>
              <w:jc w:val="center"/>
              <w:rPr>
                <w:rFonts w:ascii="宋体" w:hAnsi="宋体" w:cs="宋体"/>
                <w:kern w:val="0"/>
                <w:szCs w:val="21"/>
              </w:rPr>
            </w:pPr>
            <w:r>
              <w:rPr>
                <w:rFonts w:hint="eastAsia" w:ascii="宋体" w:hAnsi="宋体" w:cs="宋体"/>
                <w:kern w:val="0"/>
                <w:szCs w:val="21"/>
              </w:rPr>
              <w:t>图3.2 地表水环境保护目标分布图</w:t>
            </w:r>
          </w:p>
        </w:tc>
      </w:tr>
      <w:tr w14:paraId="0B302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680" w:type="dxa"/>
            <w:tcMar>
              <w:left w:w="28" w:type="dxa"/>
              <w:right w:w="28" w:type="dxa"/>
            </w:tcMar>
            <w:vAlign w:val="center"/>
          </w:tcPr>
          <w:p w14:paraId="4C3C55DB">
            <w:pPr>
              <w:adjustRightInd w:val="0"/>
              <w:snapToGrid w:val="0"/>
              <w:jc w:val="center"/>
              <w:rPr>
                <w:rFonts w:ascii="宋体" w:hAnsi="宋体" w:cs="宋体"/>
                <w:kern w:val="0"/>
                <w:szCs w:val="21"/>
              </w:rPr>
            </w:pPr>
            <w:r>
              <w:rPr>
                <w:rFonts w:hint="eastAsia" w:ascii="宋体" w:hAnsi="宋体" w:cs="宋体"/>
                <w:kern w:val="0"/>
                <w:szCs w:val="21"/>
              </w:rPr>
              <w:t>污染</w:t>
            </w:r>
          </w:p>
          <w:p w14:paraId="41B69F21">
            <w:pPr>
              <w:adjustRightInd w:val="0"/>
              <w:snapToGrid w:val="0"/>
              <w:jc w:val="center"/>
              <w:rPr>
                <w:rFonts w:ascii="宋体" w:hAnsi="宋体" w:cs="宋体"/>
                <w:kern w:val="0"/>
                <w:szCs w:val="21"/>
              </w:rPr>
            </w:pPr>
            <w:r>
              <w:rPr>
                <w:rFonts w:hint="eastAsia" w:ascii="宋体" w:hAnsi="宋体" w:cs="宋体"/>
                <w:kern w:val="0"/>
                <w:szCs w:val="21"/>
              </w:rPr>
              <w:t>物排</w:t>
            </w:r>
          </w:p>
          <w:p w14:paraId="16039666">
            <w:pPr>
              <w:adjustRightInd w:val="0"/>
              <w:snapToGrid w:val="0"/>
              <w:jc w:val="center"/>
              <w:rPr>
                <w:rFonts w:ascii="宋体" w:hAnsi="宋体" w:cs="宋体"/>
                <w:kern w:val="0"/>
                <w:szCs w:val="21"/>
              </w:rPr>
            </w:pPr>
            <w:r>
              <w:rPr>
                <w:rFonts w:hint="eastAsia" w:ascii="宋体" w:hAnsi="宋体" w:cs="宋体"/>
                <w:kern w:val="0"/>
                <w:szCs w:val="21"/>
              </w:rPr>
              <w:t>放控</w:t>
            </w:r>
          </w:p>
          <w:p w14:paraId="22AD7FA1">
            <w:pPr>
              <w:adjustRightInd w:val="0"/>
              <w:snapToGrid w:val="0"/>
              <w:jc w:val="center"/>
              <w:rPr>
                <w:rFonts w:ascii="宋体" w:hAnsi="宋体" w:cs="宋体"/>
                <w:kern w:val="0"/>
                <w:szCs w:val="21"/>
              </w:rPr>
            </w:pPr>
            <w:r>
              <w:rPr>
                <w:rFonts w:hint="eastAsia" w:ascii="宋体" w:hAnsi="宋体" w:cs="宋体"/>
                <w:kern w:val="0"/>
                <w:szCs w:val="21"/>
              </w:rPr>
              <w:t>制标</w:t>
            </w:r>
          </w:p>
          <w:p w14:paraId="7505FC48">
            <w:pPr>
              <w:adjustRightInd w:val="0"/>
              <w:snapToGrid w:val="0"/>
              <w:jc w:val="center"/>
              <w:rPr>
                <w:rFonts w:ascii="宋体" w:hAnsi="宋体" w:cs="宋体"/>
                <w:kern w:val="0"/>
                <w:szCs w:val="21"/>
              </w:rPr>
            </w:pPr>
            <w:r>
              <w:rPr>
                <w:rFonts w:hint="eastAsia" w:ascii="宋体" w:hAnsi="宋体" w:cs="宋体"/>
                <w:kern w:val="0"/>
                <w:szCs w:val="21"/>
              </w:rPr>
              <w:t>准</w:t>
            </w:r>
          </w:p>
        </w:tc>
        <w:tc>
          <w:tcPr>
            <w:tcW w:w="8310" w:type="dxa"/>
            <w:vAlign w:val="center"/>
          </w:tcPr>
          <w:p w14:paraId="01AC4A39">
            <w:pPr>
              <w:spacing w:line="500" w:lineRule="exact"/>
              <w:ind w:firstLine="482" w:firstLineChars="200"/>
              <w:rPr>
                <w:b/>
                <w:sz w:val="24"/>
              </w:rPr>
            </w:pPr>
            <w:bookmarkStart w:id="6" w:name="_Hlk14177709"/>
            <w:r>
              <w:rPr>
                <w:b/>
                <w:sz w:val="24"/>
              </w:rPr>
              <w:t>1、废气污染物排放标准</w:t>
            </w:r>
          </w:p>
          <w:bookmarkEnd w:id="6"/>
          <w:p w14:paraId="5D80F5DE">
            <w:pPr>
              <w:pStyle w:val="19"/>
              <w:spacing w:before="0" w:beforeAutospacing="0" w:after="0" w:afterAutospacing="0" w:line="500" w:lineRule="exact"/>
              <w:ind w:firstLine="420"/>
              <w:jc w:val="both"/>
              <w:rPr>
                <w:rFonts w:ascii="Times New Roman" w:hAnsi="Times New Roman"/>
              </w:rPr>
            </w:pPr>
            <w:r>
              <w:rPr>
                <w:rFonts w:ascii="Times New Roman" w:hAnsi="Times New Roman"/>
              </w:rPr>
              <w:t>本项目运营期</w:t>
            </w:r>
            <w:r>
              <w:rPr>
                <w:rFonts w:hint="eastAsia" w:ascii="Times New Roman" w:hAnsi="Times New Roman"/>
              </w:rPr>
              <w:t>超声复合、撒粉涂布烘干</w:t>
            </w:r>
            <w:r>
              <w:rPr>
                <w:rFonts w:ascii="Times New Roman" w:hAnsi="Times New Roman"/>
              </w:rPr>
              <w:t>废气</w:t>
            </w:r>
            <w:r>
              <w:rPr>
                <w:rFonts w:hint="eastAsia" w:ascii="Times New Roman" w:hAnsi="Times New Roman"/>
              </w:rPr>
              <w:t>、超声复合废气有组织</w:t>
            </w:r>
            <w:r>
              <w:rPr>
                <w:rFonts w:ascii="Times New Roman" w:hAnsi="Times New Roman"/>
              </w:rPr>
              <w:t>排放执行</w:t>
            </w:r>
            <w:r>
              <w:rPr>
                <w:rFonts w:hint="eastAsia" w:ascii="Times New Roman" w:hAnsi="Times New Roman"/>
              </w:rPr>
              <w:t>《固定源挥发性有机物综合排放标准 第6部分 其他行业》（DB34/4812.6-2024）、GB 16297-1996 《大气污染物综合排放标准》及《恶臭污染物排放标准》（GB14554-93）</w:t>
            </w:r>
            <w:r>
              <w:rPr>
                <w:rFonts w:ascii="Times New Roman" w:hAnsi="Times New Roman"/>
              </w:rPr>
              <w:t>的要求</w:t>
            </w:r>
            <w:r>
              <w:rPr>
                <w:rFonts w:hint="eastAsia" w:ascii="Times New Roman" w:hAnsi="Times New Roman"/>
              </w:rPr>
              <w:t>。</w:t>
            </w:r>
          </w:p>
          <w:p w14:paraId="53FE24B1">
            <w:pPr>
              <w:pStyle w:val="19"/>
              <w:spacing w:before="0" w:beforeAutospacing="0" w:after="0" w:afterAutospacing="0" w:line="500" w:lineRule="exact"/>
              <w:ind w:firstLine="420"/>
              <w:jc w:val="both"/>
              <w:rPr>
                <w:rFonts w:ascii="Times New Roman" w:hAnsi="Times New Roman"/>
              </w:rPr>
            </w:pPr>
            <w:r>
              <w:rPr>
                <w:rFonts w:hint="eastAsia" w:ascii="Times New Roman" w:hAnsi="Times New Roman"/>
              </w:rPr>
              <w:t>本项目厂界非甲烷总烃、颗粒物废气无组织排放执行GB 16297-1996 《大气污染物综合排放标准》表2单位边界大气污染物排放监控浓度限值；臭气浓度、氨无组织排放执行《恶臭污染物排放标准》(GB 14554-93)表1中的二级标准限值。</w:t>
            </w:r>
          </w:p>
          <w:p w14:paraId="210E8E18">
            <w:pPr>
              <w:pStyle w:val="19"/>
              <w:spacing w:before="0" w:beforeAutospacing="0" w:after="0" w:afterAutospacing="0" w:line="500" w:lineRule="exact"/>
              <w:ind w:firstLine="420"/>
              <w:jc w:val="both"/>
              <w:rPr>
                <w:rFonts w:ascii="Times New Roman" w:hAnsi="Times New Roman"/>
              </w:rPr>
            </w:pPr>
            <w:r>
              <w:rPr>
                <w:rFonts w:hint="eastAsia" w:ascii="Times New Roman" w:hAnsi="Times New Roman"/>
              </w:rPr>
              <w:t>厂区内非甲烷总烃无组织浓度排放限值执行《固定源挥发性有机物综合排放标准 第6部分 其他行业》（DB34/4812.6-2024）中表4要求；</w:t>
            </w:r>
          </w:p>
          <w:p w14:paraId="031AAEF5">
            <w:pPr>
              <w:autoSpaceDE w:val="0"/>
              <w:autoSpaceDN w:val="0"/>
              <w:adjustRightInd w:val="0"/>
              <w:jc w:val="center"/>
              <w:rPr>
                <w:b/>
                <w:kern w:val="0"/>
                <w:szCs w:val="21"/>
              </w:rPr>
            </w:pPr>
            <w:r>
              <w:rPr>
                <w:b/>
                <w:kern w:val="0"/>
                <w:szCs w:val="21"/>
              </w:rPr>
              <w:t xml:space="preserve">表3-5  </w:t>
            </w:r>
            <w:r>
              <w:rPr>
                <w:rFonts w:hint="eastAsia"/>
                <w:b/>
                <w:kern w:val="0"/>
                <w:szCs w:val="21"/>
              </w:rPr>
              <w:t>废气有组织</w:t>
            </w:r>
            <w:r>
              <w:rPr>
                <w:b/>
                <w:kern w:val="0"/>
                <w:szCs w:val="21"/>
              </w:rPr>
              <w:t>排放标准限值要求 单位：mg/m</w:t>
            </w:r>
            <w:r>
              <w:rPr>
                <w:b/>
                <w:kern w:val="0"/>
                <w:szCs w:val="21"/>
                <w:vertAlign w:val="superscript"/>
              </w:rPr>
              <w:t>3</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565"/>
              <w:gridCol w:w="1403"/>
              <w:gridCol w:w="1219"/>
              <w:gridCol w:w="3534"/>
              <w:gridCol w:w="795"/>
            </w:tblGrid>
            <w:tr w14:paraId="2C28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Align w:val="center"/>
                </w:tcPr>
                <w:p w14:paraId="31B6A0C8">
                  <w:pPr>
                    <w:pStyle w:val="62"/>
                    <w:spacing w:line="240" w:lineRule="auto"/>
                    <w:rPr>
                      <w:b/>
                      <w:bCs/>
                      <w:szCs w:val="21"/>
                    </w:rPr>
                  </w:pPr>
                  <w:r>
                    <w:rPr>
                      <w:b/>
                      <w:bCs/>
                      <w:szCs w:val="21"/>
                    </w:rPr>
                    <w:t>污染物</w:t>
                  </w:r>
                </w:p>
              </w:tc>
              <w:tc>
                <w:tcPr>
                  <w:tcW w:w="0" w:type="auto"/>
                  <w:vAlign w:val="center"/>
                </w:tcPr>
                <w:p w14:paraId="4642DFD7">
                  <w:pPr>
                    <w:pStyle w:val="62"/>
                    <w:spacing w:line="240" w:lineRule="auto"/>
                    <w:rPr>
                      <w:b/>
                      <w:bCs/>
                      <w:szCs w:val="21"/>
                    </w:rPr>
                  </w:pPr>
                  <w:r>
                    <w:rPr>
                      <w:b/>
                      <w:bCs/>
                      <w:szCs w:val="21"/>
                    </w:rPr>
                    <w:t>适应范围</w:t>
                  </w:r>
                </w:p>
              </w:tc>
              <w:tc>
                <w:tcPr>
                  <w:tcW w:w="0" w:type="auto"/>
                  <w:vAlign w:val="center"/>
                </w:tcPr>
                <w:p w14:paraId="0E921B04">
                  <w:pPr>
                    <w:pStyle w:val="62"/>
                    <w:spacing w:line="240" w:lineRule="auto"/>
                    <w:rPr>
                      <w:b/>
                      <w:bCs/>
                      <w:szCs w:val="21"/>
                    </w:rPr>
                  </w:pPr>
                  <w:r>
                    <w:rPr>
                      <w:b/>
                      <w:bCs/>
                      <w:szCs w:val="21"/>
                    </w:rPr>
                    <w:t>排放限值</w:t>
                  </w:r>
                  <w:r>
                    <w:rPr>
                      <w:rFonts w:hint="eastAsia"/>
                      <w:b/>
                      <w:bCs/>
                      <w:szCs w:val="21"/>
                    </w:rPr>
                    <w:t>（mg/m</w:t>
                  </w:r>
                  <w:r>
                    <w:rPr>
                      <w:rFonts w:hint="eastAsia"/>
                      <w:b/>
                      <w:bCs/>
                      <w:szCs w:val="21"/>
                      <w:vertAlign w:val="superscript"/>
                    </w:rPr>
                    <w:t>3</w:t>
                  </w:r>
                  <w:r>
                    <w:rPr>
                      <w:rFonts w:hint="eastAsia"/>
                      <w:b/>
                      <w:bCs/>
                      <w:szCs w:val="21"/>
                    </w:rPr>
                    <w:t>）</w:t>
                  </w:r>
                </w:p>
              </w:tc>
              <w:tc>
                <w:tcPr>
                  <w:tcW w:w="0" w:type="auto"/>
                  <w:vAlign w:val="center"/>
                </w:tcPr>
                <w:p w14:paraId="16232F1D">
                  <w:pPr>
                    <w:pStyle w:val="62"/>
                    <w:spacing w:line="240" w:lineRule="auto"/>
                    <w:rPr>
                      <w:b/>
                      <w:bCs/>
                      <w:szCs w:val="21"/>
                    </w:rPr>
                  </w:pPr>
                  <w:r>
                    <w:rPr>
                      <w:b/>
                      <w:bCs/>
                      <w:szCs w:val="21"/>
                    </w:rPr>
                    <w:t>排放限值</w:t>
                  </w:r>
                  <w:r>
                    <w:rPr>
                      <w:rFonts w:hint="eastAsia"/>
                      <w:b/>
                      <w:bCs/>
                      <w:szCs w:val="21"/>
                    </w:rPr>
                    <w:t>（kg/h）</w:t>
                  </w:r>
                </w:p>
              </w:tc>
              <w:tc>
                <w:tcPr>
                  <w:tcW w:w="0" w:type="auto"/>
                  <w:vAlign w:val="center"/>
                </w:tcPr>
                <w:p w14:paraId="5ED32A06">
                  <w:pPr>
                    <w:pStyle w:val="62"/>
                    <w:spacing w:line="240" w:lineRule="auto"/>
                    <w:rPr>
                      <w:b/>
                      <w:bCs/>
                      <w:szCs w:val="21"/>
                    </w:rPr>
                  </w:pPr>
                  <w:r>
                    <w:rPr>
                      <w:rFonts w:hint="eastAsia"/>
                      <w:b/>
                      <w:bCs/>
                      <w:szCs w:val="21"/>
                    </w:rPr>
                    <w:t>执行标准</w:t>
                  </w:r>
                </w:p>
              </w:tc>
              <w:tc>
                <w:tcPr>
                  <w:tcW w:w="0" w:type="auto"/>
                  <w:vAlign w:val="center"/>
                </w:tcPr>
                <w:p w14:paraId="660014C0">
                  <w:pPr>
                    <w:pStyle w:val="62"/>
                    <w:spacing w:line="240" w:lineRule="auto"/>
                    <w:rPr>
                      <w:b/>
                      <w:bCs/>
                      <w:szCs w:val="21"/>
                    </w:rPr>
                  </w:pPr>
                  <w:r>
                    <w:rPr>
                      <w:b/>
                      <w:bCs/>
                      <w:szCs w:val="21"/>
                    </w:rPr>
                    <w:t>污染物排放监控位置</w:t>
                  </w:r>
                </w:p>
              </w:tc>
            </w:tr>
            <w:tr w14:paraId="3281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Align w:val="center"/>
                </w:tcPr>
                <w:p w14:paraId="38D23C77">
                  <w:pPr>
                    <w:pStyle w:val="62"/>
                    <w:spacing w:line="240" w:lineRule="auto"/>
                    <w:rPr>
                      <w:szCs w:val="21"/>
                    </w:rPr>
                  </w:pPr>
                  <w:r>
                    <w:rPr>
                      <w:szCs w:val="21"/>
                    </w:rPr>
                    <w:t>颗粒物</w:t>
                  </w:r>
                </w:p>
              </w:tc>
              <w:tc>
                <w:tcPr>
                  <w:tcW w:w="0" w:type="auto"/>
                  <w:vMerge w:val="restart"/>
                  <w:vAlign w:val="center"/>
                </w:tcPr>
                <w:p w14:paraId="74668063">
                  <w:pPr>
                    <w:pStyle w:val="62"/>
                    <w:spacing w:line="240" w:lineRule="auto"/>
                    <w:rPr>
                      <w:szCs w:val="21"/>
                    </w:rPr>
                  </w:pPr>
                  <w:r>
                    <w:rPr>
                      <w:szCs w:val="21"/>
                    </w:rPr>
                    <w:t>所有企业</w:t>
                  </w:r>
                </w:p>
              </w:tc>
              <w:tc>
                <w:tcPr>
                  <w:tcW w:w="0" w:type="auto"/>
                  <w:vAlign w:val="center"/>
                </w:tcPr>
                <w:p w14:paraId="1B584A08">
                  <w:pPr>
                    <w:pStyle w:val="62"/>
                    <w:spacing w:line="240" w:lineRule="auto"/>
                    <w:rPr>
                      <w:szCs w:val="21"/>
                    </w:rPr>
                  </w:pPr>
                  <w:r>
                    <w:rPr>
                      <w:rFonts w:hint="eastAsia"/>
                      <w:szCs w:val="21"/>
                    </w:rPr>
                    <w:t>120</w:t>
                  </w:r>
                </w:p>
              </w:tc>
              <w:tc>
                <w:tcPr>
                  <w:tcW w:w="0" w:type="auto"/>
                  <w:vAlign w:val="center"/>
                </w:tcPr>
                <w:p w14:paraId="251CD652">
                  <w:pPr>
                    <w:pStyle w:val="62"/>
                    <w:spacing w:line="240" w:lineRule="auto"/>
                    <w:rPr>
                      <w:szCs w:val="21"/>
                    </w:rPr>
                  </w:pPr>
                  <w:r>
                    <w:rPr>
                      <w:rFonts w:hint="eastAsia"/>
                      <w:szCs w:val="21"/>
                    </w:rPr>
                    <w:t>3.5</w:t>
                  </w:r>
                </w:p>
              </w:tc>
              <w:tc>
                <w:tcPr>
                  <w:tcW w:w="0" w:type="auto"/>
                  <w:vAlign w:val="center"/>
                </w:tcPr>
                <w:p w14:paraId="5E56D138">
                  <w:pPr>
                    <w:pStyle w:val="62"/>
                    <w:spacing w:line="240" w:lineRule="auto"/>
                    <w:rPr>
                      <w:szCs w:val="21"/>
                    </w:rPr>
                  </w:pPr>
                  <w:r>
                    <w:rPr>
                      <w:rFonts w:hint="eastAsia"/>
                      <w:szCs w:val="21"/>
                    </w:rPr>
                    <w:t>GB 16297-1996 《大气污染物综合排放标准》表2</w:t>
                  </w:r>
                </w:p>
              </w:tc>
              <w:tc>
                <w:tcPr>
                  <w:tcW w:w="0" w:type="auto"/>
                  <w:vMerge w:val="restart"/>
                  <w:vAlign w:val="center"/>
                </w:tcPr>
                <w:p w14:paraId="43A52B7C">
                  <w:pPr>
                    <w:pStyle w:val="62"/>
                    <w:spacing w:line="240" w:lineRule="auto"/>
                    <w:rPr>
                      <w:szCs w:val="21"/>
                    </w:rPr>
                  </w:pPr>
                  <w:r>
                    <w:rPr>
                      <w:szCs w:val="21"/>
                    </w:rPr>
                    <w:t>排气筒出口</w:t>
                  </w:r>
                </w:p>
              </w:tc>
            </w:tr>
            <w:tr w14:paraId="6B25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Align w:val="center"/>
                </w:tcPr>
                <w:p w14:paraId="3F8FCF57">
                  <w:pPr>
                    <w:pStyle w:val="62"/>
                    <w:spacing w:line="240" w:lineRule="auto"/>
                    <w:rPr>
                      <w:szCs w:val="21"/>
                      <w:vertAlign w:val="subscript"/>
                    </w:rPr>
                  </w:pPr>
                  <w:r>
                    <w:rPr>
                      <w:rFonts w:hint="eastAsia"/>
                      <w:szCs w:val="21"/>
                    </w:rPr>
                    <w:t>非甲烷总烃</w:t>
                  </w:r>
                  <w:r>
                    <w:rPr>
                      <w:rFonts w:hint="eastAsia"/>
                      <w:sz w:val="18"/>
                      <w:szCs w:val="18"/>
                      <w:vertAlign w:val="superscript"/>
                    </w:rPr>
                    <w:t>1</w:t>
                  </w:r>
                </w:p>
              </w:tc>
              <w:tc>
                <w:tcPr>
                  <w:tcW w:w="0" w:type="auto"/>
                  <w:vMerge w:val="continue"/>
                  <w:vAlign w:val="center"/>
                </w:tcPr>
                <w:p w14:paraId="0B120C55">
                  <w:pPr>
                    <w:pStyle w:val="62"/>
                    <w:spacing w:line="240" w:lineRule="auto"/>
                    <w:rPr>
                      <w:szCs w:val="21"/>
                    </w:rPr>
                  </w:pPr>
                </w:p>
              </w:tc>
              <w:tc>
                <w:tcPr>
                  <w:tcW w:w="0" w:type="auto"/>
                  <w:vAlign w:val="center"/>
                </w:tcPr>
                <w:p w14:paraId="4E6FD68B">
                  <w:pPr>
                    <w:pStyle w:val="62"/>
                    <w:spacing w:line="240" w:lineRule="auto"/>
                    <w:rPr>
                      <w:szCs w:val="21"/>
                      <w:vertAlign w:val="superscript"/>
                    </w:rPr>
                  </w:pPr>
                  <w:r>
                    <w:rPr>
                      <w:rFonts w:hint="eastAsia"/>
                      <w:szCs w:val="21"/>
                    </w:rPr>
                    <w:t>70</w:t>
                  </w:r>
                </w:p>
              </w:tc>
              <w:tc>
                <w:tcPr>
                  <w:tcW w:w="0" w:type="auto"/>
                  <w:vAlign w:val="center"/>
                </w:tcPr>
                <w:p w14:paraId="33867F25">
                  <w:pPr>
                    <w:pStyle w:val="62"/>
                    <w:spacing w:line="240" w:lineRule="auto"/>
                    <w:rPr>
                      <w:szCs w:val="21"/>
                    </w:rPr>
                  </w:pPr>
                  <w:r>
                    <w:rPr>
                      <w:rFonts w:hint="eastAsia"/>
                      <w:szCs w:val="21"/>
                    </w:rPr>
                    <w:t>3.0</w:t>
                  </w:r>
                </w:p>
              </w:tc>
              <w:tc>
                <w:tcPr>
                  <w:tcW w:w="0" w:type="auto"/>
                  <w:vAlign w:val="center"/>
                </w:tcPr>
                <w:p w14:paraId="49C87074">
                  <w:pPr>
                    <w:pStyle w:val="62"/>
                    <w:spacing w:line="240" w:lineRule="auto"/>
                    <w:rPr>
                      <w:szCs w:val="21"/>
                    </w:rPr>
                  </w:pPr>
                  <w:r>
                    <w:rPr>
                      <w:rFonts w:hint="eastAsia"/>
                      <w:szCs w:val="21"/>
                    </w:rPr>
                    <w:t>《固定源挥发性有机物综合排放标准 第6部分 其他行业》（DB34/4812.6-2024）表1</w:t>
                  </w:r>
                </w:p>
              </w:tc>
              <w:tc>
                <w:tcPr>
                  <w:tcW w:w="0" w:type="auto"/>
                  <w:vMerge w:val="continue"/>
                  <w:vAlign w:val="center"/>
                </w:tcPr>
                <w:p w14:paraId="298EECF5">
                  <w:pPr>
                    <w:pStyle w:val="62"/>
                    <w:spacing w:line="240" w:lineRule="auto"/>
                    <w:rPr>
                      <w:szCs w:val="21"/>
                    </w:rPr>
                  </w:pPr>
                </w:p>
              </w:tc>
            </w:tr>
            <w:tr w14:paraId="64D0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Align w:val="center"/>
                </w:tcPr>
                <w:p w14:paraId="0C1C8488">
                  <w:pPr>
                    <w:pStyle w:val="62"/>
                    <w:spacing w:line="240" w:lineRule="auto"/>
                    <w:rPr>
                      <w:szCs w:val="21"/>
                    </w:rPr>
                  </w:pPr>
                  <w:r>
                    <w:rPr>
                      <w:rFonts w:hint="eastAsia"/>
                      <w:szCs w:val="21"/>
                    </w:rPr>
                    <w:t>氨</w:t>
                  </w:r>
                </w:p>
              </w:tc>
              <w:tc>
                <w:tcPr>
                  <w:tcW w:w="0" w:type="auto"/>
                  <w:vMerge w:val="continue"/>
                  <w:vAlign w:val="center"/>
                </w:tcPr>
                <w:p w14:paraId="3D15024A">
                  <w:pPr>
                    <w:pStyle w:val="62"/>
                    <w:spacing w:line="240" w:lineRule="auto"/>
                    <w:rPr>
                      <w:szCs w:val="21"/>
                    </w:rPr>
                  </w:pPr>
                </w:p>
              </w:tc>
              <w:tc>
                <w:tcPr>
                  <w:tcW w:w="0" w:type="auto"/>
                  <w:vAlign w:val="center"/>
                </w:tcPr>
                <w:p w14:paraId="6A05A327">
                  <w:pPr>
                    <w:pStyle w:val="62"/>
                    <w:spacing w:line="240" w:lineRule="auto"/>
                    <w:rPr>
                      <w:szCs w:val="21"/>
                    </w:rPr>
                  </w:pPr>
                  <w:r>
                    <w:rPr>
                      <w:rFonts w:hint="eastAsia"/>
                      <w:szCs w:val="21"/>
                    </w:rPr>
                    <w:t>/</w:t>
                  </w:r>
                </w:p>
              </w:tc>
              <w:tc>
                <w:tcPr>
                  <w:tcW w:w="0" w:type="auto"/>
                  <w:vAlign w:val="center"/>
                </w:tcPr>
                <w:p w14:paraId="7550F9F0">
                  <w:pPr>
                    <w:pStyle w:val="62"/>
                    <w:spacing w:line="240" w:lineRule="auto"/>
                    <w:rPr>
                      <w:szCs w:val="21"/>
                    </w:rPr>
                  </w:pPr>
                  <w:r>
                    <w:rPr>
                      <w:rFonts w:hint="eastAsia"/>
                      <w:szCs w:val="21"/>
                    </w:rPr>
                    <w:t>8.7（kg/h）</w:t>
                  </w:r>
                </w:p>
              </w:tc>
              <w:tc>
                <w:tcPr>
                  <w:tcW w:w="0" w:type="auto"/>
                  <w:vMerge w:val="restart"/>
                  <w:vAlign w:val="center"/>
                </w:tcPr>
                <w:p w14:paraId="3E91662C">
                  <w:pPr>
                    <w:pStyle w:val="62"/>
                    <w:spacing w:line="240" w:lineRule="auto"/>
                    <w:rPr>
                      <w:szCs w:val="21"/>
                    </w:rPr>
                  </w:pPr>
                  <w:r>
                    <w:rPr>
                      <w:rFonts w:hint="eastAsia"/>
                      <w:szCs w:val="21"/>
                    </w:rPr>
                    <w:t>《恶臭污染物排放标准》(GB14554-93) 表2</w:t>
                  </w:r>
                </w:p>
              </w:tc>
              <w:tc>
                <w:tcPr>
                  <w:tcW w:w="0" w:type="auto"/>
                  <w:vMerge w:val="continue"/>
                  <w:vAlign w:val="center"/>
                </w:tcPr>
                <w:p w14:paraId="6B0974BB">
                  <w:pPr>
                    <w:pStyle w:val="62"/>
                    <w:spacing w:line="240" w:lineRule="auto"/>
                    <w:rPr>
                      <w:szCs w:val="21"/>
                    </w:rPr>
                  </w:pPr>
                </w:p>
              </w:tc>
            </w:tr>
            <w:tr w14:paraId="20AD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Align w:val="center"/>
                </w:tcPr>
                <w:p w14:paraId="206078E0">
                  <w:pPr>
                    <w:pStyle w:val="62"/>
                    <w:spacing w:line="240" w:lineRule="auto"/>
                    <w:rPr>
                      <w:szCs w:val="21"/>
                    </w:rPr>
                  </w:pPr>
                  <w:r>
                    <w:rPr>
                      <w:rFonts w:hint="eastAsia"/>
                      <w:szCs w:val="21"/>
                    </w:rPr>
                    <w:t>臭气浓度</w:t>
                  </w:r>
                </w:p>
              </w:tc>
              <w:tc>
                <w:tcPr>
                  <w:tcW w:w="0" w:type="auto"/>
                  <w:vMerge w:val="continue"/>
                  <w:vAlign w:val="center"/>
                </w:tcPr>
                <w:p w14:paraId="3009F474">
                  <w:pPr>
                    <w:pStyle w:val="62"/>
                    <w:spacing w:line="240" w:lineRule="auto"/>
                    <w:rPr>
                      <w:szCs w:val="21"/>
                    </w:rPr>
                  </w:pPr>
                </w:p>
              </w:tc>
              <w:tc>
                <w:tcPr>
                  <w:tcW w:w="0" w:type="auto"/>
                  <w:vAlign w:val="center"/>
                </w:tcPr>
                <w:p w14:paraId="08F3E022">
                  <w:pPr>
                    <w:pStyle w:val="62"/>
                    <w:spacing w:line="240" w:lineRule="auto"/>
                    <w:rPr>
                      <w:szCs w:val="21"/>
                    </w:rPr>
                  </w:pPr>
                  <w:r>
                    <w:rPr>
                      <w:rFonts w:hint="eastAsia"/>
                      <w:szCs w:val="21"/>
                    </w:rPr>
                    <w:t>/</w:t>
                  </w:r>
                </w:p>
              </w:tc>
              <w:tc>
                <w:tcPr>
                  <w:tcW w:w="0" w:type="auto"/>
                  <w:vAlign w:val="center"/>
                </w:tcPr>
                <w:p w14:paraId="0EEA319A">
                  <w:pPr>
                    <w:pStyle w:val="62"/>
                    <w:spacing w:line="240" w:lineRule="auto"/>
                    <w:rPr>
                      <w:szCs w:val="21"/>
                    </w:rPr>
                  </w:pPr>
                  <w:r>
                    <w:rPr>
                      <w:rFonts w:hint="eastAsia"/>
                      <w:szCs w:val="21"/>
                    </w:rPr>
                    <w:t>2000（无量纲）</w:t>
                  </w:r>
                </w:p>
              </w:tc>
              <w:tc>
                <w:tcPr>
                  <w:tcW w:w="0" w:type="auto"/>
                  <w:vMerge w:val="continue"/>
                  <w:vAlign w:val="center"/>
                </w:tcPr>
                <w:p w14:paraId="497D8BBB">
                  <w:pPr>
                    <w:pStyle w:val="62"/>
                    <w:spacing w:line="240" w:lineRule="auto"/>
                    <w:rPr>
                      <w:szCs w:val="21"/>
                    </w:rPr>
                  </w:pPr>
                </w:p>
              </w:tc>
              <w:tc>
                <w:tcPr>
                  <w:tcW w:w="0" w:type="auto"/>
                  <w:vMerge w:val="continue"/>
                  <w:vAlign w:val="center"/>
                </w:tcPr>
                <w:p w14:paraId="706653E8">
                  <w:pPr>
                    <w:pStyle w:val="62"/>
                    <w:spacing w:line="240" w:lineRule="auto"/>
                    <w:rPr>
                      <w:szCs w:val="21"/>
                    </w:rPr>
                  </w:pPr>
                </w:p>
              </w:tc>
            </w:tr>
            <w:tr w14:paraId="0933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gridSpan w:val="6"/>
                  <w:vAlign w:val="center"/>
                </w:tcPr>
                <w:p w14:paraId="48052A43">
                  <w:pPr>
                    <w:pStyle w:val="62"/>
                    <w:spacing w:line="240" w:lineRule="auto"/>
                    <w:jc w:val="left"/>
                    <w:rPr>
                      <w:szCs w:val="21"/>
                    </w:rPr>
                  </w:pPr>
                  <w:r>
                    <w:rPr>
                      <w:szCs w:val="21"/>
                    </w:rPr>
                    <w:t>注1：NMHC污染物控制设施总去除效率≥90%时，等同于满足最高允许排放速率限值要求。</w:t>
                  </w:r>
                </w:p>
              </w:tc>
            </w:tr>
          </w:tbl>
          <w:p w14:paraId="340863A7">
            <w:pPr>
              <w:autoSpaceDE w:val="0"/>
              <w:autoSpaceDN w:val="0"/>
              <w:adjustRightInd w:val="0"/>
              <w:jc w:val="center"/>
              <w:rPr>
                <w:b/>
                <w:kern w:val="0"/>
                <w:szCs w:val="21"/>
              </w:rPr>
            </w:pPr>
          </w:p>
          <w:p w14:paraId="35B8DFAD">
            <w:pPr>
              <w:autoSpaceDE w:val="0"/>
              <w:autoSpaceDN w:val="0"/>
              <w:adjustRightInd w:val="0"/>
              <w:jc w:val="center"/>
              <w:rPr>
                <w:szCs w:val="21"/>
              </w:rPr>
            </w:pPr>
            <w:r>
              <w:rPr>
                <w:b/>
                <w:kern w:val="0"/>
                <w:szCs w:val="21"/>
              </w:rPr>
              <w:t>表3-6  废气污染物无组织排放标准限值</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605"/>
              <w:gridCol w:w="1369"/>
              <w:gridCol w:w="4076"/>
            </w:tblGrid>
            <w:tr w14:paraId="409A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0" w:type="auto"/>
                  <w:vMerge w:val="restart"/>
                  <w:vAlign w:val="center"/>
                </w:tcPr>
                <w:p w14:paraId="1069CC63">
                  <w:pPr>
                    <w:pStyle w:val="62"/>
                    <w:spacing w:line="240" w:lineRule="auto"/>
                    <w:rPr>
                      <w:b/>
                      <w:bCs/>
                      <w:szCs w:val="21"/>
                    </w:rPr>
                  </w:pPr>
                  <w:r>
                    <w:rPr>
                      <w:b/>
                      <w:bCs/>
                      <w:szCs w:val="21"/>
                    </w:rPr>
                    <w:t>污染物</w:t>
                  </w:r>
                </w:p>
              </w:tc>
              <w:tc>
                <w:tcPr>
                  <w:tcW w:w="0" w:type="auto"/>
                  <w:gridSpan w:val="2"/>
                  <w:vAlign w:val="center"/>
                </w:tcPr>
                <w:p w14:paraId="45D2B1F4">
                  <w:pPr>
                    <w:pStyle w:val="62"/>
                    <w:spacing w:line="240" w:lineRule="auto"/>
                    <w:rPr>
                      <w:b/>
                      <w:bCs/>
                      <w:szCs w:val="21"/>
                    </w:rPr>
                  </w:pPr>
                  <w:r>
                    <w:rPr>
                      <w:b/>
                      <w:bCs/>
                      <w:szCs w:val="21"/>
                    </w:rPr>
                    <w:t>无组织排放监控浓度限值</w:t>
                  </w:r>
                </w:p>
              </w:tc>
              <w:tc>
                <w:tcPr>
                  <w:tcW w:w="0" w:type="auto"/>
                  <w:vMerge w:val="restart"/>
                  <w:vAlign w:val="center"/>
                </w:tcPr>
                <w:p w14:paraId="3F01BC20">
                  <w:pPr>
                    <w:pStyle w:val="62"/>
                    <w:spacing w:line="240" w:lineRule="auto"/>
                    <w:rPr>
                      <w:b/>
                      <w:bCs/>
                      <w:szCs w:val="21"/>
                    </w:rPr>
                  </w:pPr>
                  <w:r>
                    <w:rPr>
                      <w:rFonts w:hint="eastAsia"/>
                      <w:b/>
                      <w:bCs/>
                      <w:szCs w:val="21"/>
                    </w:rPr>
                    <w:t>执行标准</w:t>
                  </w:r>
                </w:p>
              </w:tc>
            </w:tr>
            <w:tr w14:paraId="5DFF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0" w:type="auto"/>
                  <w:vMerge w:val="continue"/>
                  <w:vAlign w:val="center"/>
                </w:tcPr>
                <w:p w14:paraId="137610AC">
                  <w:pPr>
                    <w:pStyle w:val="62"/>
                    <w:spacing w:line="240" w:lineRule="auto"/>
                  </w:pPr>
                </w:p>
              </w:tc>
              <w:tc>
                <w:tcPr>
                  <w:tcW w:w="0" w:type="auto"/>
                  <w:vAlign w:val="center"/>
                </w:tcPr>
                <w:p w14:paraId="336A5593">
                  <w:pPr>
                    <w:pStyle w:val="62"/>
                    <w:spacing w:line="240" w:lineRule="auto"/>
                    <w:rPr>
                      <w:b/>
                      <w:bCs/>
                      <w:szCs w:val="21"/>
                    </w:rPr>
                  </w:pPr>
                  <w:r>
                    <w:rPr>
                      <w:b/>
                      <w:bCs/>
                      <w:szCs w:val="21"/>
                    </w:rPr>
                    <w:t>监控点</w:t>
                  </w:r>
                </w:p>
              </w:tc>
              <w:tc>
                <w:tcPr>
                  <w:tcW w:w="0" w:type="auto"/>
                  <w:vAlign w:val="center"/>
                </w:tcPr>
                <w:p w14:paraId="1161BFFF">
                  <w:pPr>
                    <w:pStyle w:val="62"/>
                    <w:spacing w:line="240" w:lineRule="auto"/>
                    <w:rPr>
                      <w:b/>
                      <w:bCs/>
                      <w:szCs w:val="21"/>
                    </w:rPr>
                  </w:pPr>
                  <w:r>
                    <w:rPr>
                      <w:b/>
                      <w:bCs/>
                      <w:szCs w:val="21"/>
                    </w:rPr>
                    <w:t>浓度(mg/m</w:t>
                  </w:r>
                  <w:r>
                    <w:rPr>
                      <w:b/>
                      <w:bCs/>
                      <w:szCs w:val="21"/>
                      <w:vertAlign w:val="superscript"/>
                    </w:rPr>
                    <w:t>3</w:t>
                  </w:r>
                  <w:r>
                    <w:rPr>
                      <w:b/>
                      <w:bCs/>
                      <w:szCs w:val="21"/>
                    </w:rPr>
                    <w:t>)</w:t>
                  </w:r>
                </w:p>
              </w:tc>
              <w:tc>
                <w:tcPr>
                  <w:tcW w:w="0" w:type="auto"/>
                  <w:vMerge w:val="continue"/>
                  <w:vAlign w:val="center"/>
                </w:tcPr>
                <w:p w14:paraId="6E0F5A13">
                  <w:pPr>
                    <w:pStyle w:val="62"/>
                    <w:spacing w:line="240" w:lineRule="auto"/>
                    <w:rPr>
                      <w:b/>
                      <w:bCs/>
                      <w:szCs w:val="21"/>
                    </w:rPr>
                  </w:pPr>
                </w:p>
              </w:tc>
            </w:tr>
            <w:tr w14:paraId="39B0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0" w:type="auto"/>
                  <w:vAlign w:val="center"/>
                </w:tcPr>
                <w:p w14:paraId="2AFF10CE">
                  <w:pPr>
                    <w:pStyle w:val="62"/>
                    <w:spacing w:line="240" w:lineRule="auto"/>
                    <w:rPr>
                      <w:szCs w:val="21"/>
                    </w:rPr>
                  </w:pPr>
                  <w:r>
                    <w:rPr>
                      <w:szCs w:val="21"/>
                    </w:rPr>
                    <w:t>非甲烷总烃</w:t>
                  </w:r>
                </w:p>
              </w:tc>
              <w:tc>
                <w:tcPr>
                  <w:tcW w:w="0" w:type="auto"/>
                  <w:vMerge w:val="restart"/>
                  <w:vAlign w:val="center"/>
                </w:tcPr>
                <w:p w14:paraId="1634781E">
                  <w:pPr>
                    <w:pStyle w:val="62"/>
                    <w:spacing w:line="240" w:lineRule="auto"/>
                    <w:rPr>
                      <w:szCs w:val="21"/>
                    </w:rPr>
                  </w:pPr>
                  <w:r>
                    <w:rPr>
                      <w:szCs w:val="21"/>
                    </w:rPr>
                    <w:t>周界外浓度最高点</w:t>
                  </w:r>
                </w:p>
              </w:tc>
              <w:tc>
                <w:tcPr>
                  <w:tcW w:w="0" w:type="auto"/>
                  <w:vAlign w:val="center"/>
                </w:tcPr>
                <w:p w14:paraId="75F0E319">
                  <w:pPr>
                    <w:pStyle w:val="62"/>
                    <w:spacing w:line="240" w:lineRule="auto"/>
                    <w:rPr>
                      <w:szCs w:val="21"/>
                    </w:rPr>
                  </w:pPr>
                  <w:r>
                    <w:rPr>
                      <w:szCs w:val="21"/>
                    </w:rPr>
                    <w:t>4.0</w:t>
                  </w:r>
                </w:p>
              </w:tc>
              <w:tc>
                <w:tcPr>
                  <w:tcW w:w="0" w:type="auto"/>
                  <w:vMerge w:val="restart"/>
                  <w:vAlign w:val="center"/>
                </w:tcPr>
                <w:p w14:paraId="35452BDF">
                  <w:pPr>
                    <w:pStyle w:val="62"/>
                    <w:spacing w:line="240" w:lineRule="auto"/>
                    <w:rPr>
                      <w:szCs w:val="21"/>
                    </w:rPr>
                  </w:pPr>
                  <w:r>
                    <w:rPr>
                      <w:rFonts w:hint="eastAsia"/>
                      <w:szCs w:val="21"/>
                    </w:rPr>
                    <w:t>GB 16297-1996 《大气污染物综合排放标准》表2</w:t>
                  </w:r>
                </w:p>
              </w:tc>
            </w:tr>
            <w:tr w14:paraId="2759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0" w:type="auto"/>
                  <w:vAlign w:val="center"/>
                </w:tcPr>
                <w:p w14:paraId="4F7B9263">
                  <w:pPr>
                    <w:pStyle w:val="62"/>
                    <w:spacing w:line="240" w:lineRule="auto"/>
                    <w:rPr>
                      <w:szCs w:val="21"/>
                    </w:rPr>
                  </w:pPr>
                  <w:r>
                    <w:rPr>
                      <w:szCs w:val="21"/>
                    </w:rPr>
                    <w:t>颗粒物</w:t>
                  </w:r>
                </w:p>
              </w:tc>
              <w:tc>
                <w:tcPr>
                  <w:tcW w:w="0" w:type="auto"/>
                  <w:vMerge w:val="continue"/>
                  <w:vAlign w:val="center"/>
                </w:tcPr>
                <w:p w14:paraId="52ABC6D7">
                  <w:pPr>
                    <w:pStyle w:val="62"/>
                    <w:spacing w:line="240" w:lineRule="auto"/>
                    <w:rPr>
                      <w:szCs w:val="21"/>
                    </w:rPr>
                  </w:pPr>
                </w:p>
              </w:tc>
              <w:tc>
                <w:tcPr>
                  <w:tcW w:w="0" w:type="auto"/>
                  <w:vAlign w:val="center"/>
                </w:tcPr>
                <w:p w14:paraId="22F80F02">
                  <w:pPr>
                    <w:pStyle w:val="62"/>
                    <w:spacing w:line="240" w:lineRule="auto"/>
                    <w:rPr>
                      <w:szCs w:val="21"/>
                    </w:rPr>
                  </w:pPr>
                  <w:r>
                    <w:rPr>
                      <w:rFonts w:hint="eastAsia"/>
                      <w:szCs w:val="21"/>
                    </w:rPr>
                    <w:t>1.0</w:t>
                  </w:r>
                </w:p>
              </w:tc>
              <w:tc>
                <w:tcPr>
                  <w:tcW w:w="0" w:type="auto"/>
                  <w:vMerge w:val="continue"/>
                  <w:vAlign w:val="center"/>
                </w:tcPr>
                <w:p w14:paraId="21647E98">
                  <w:pPr>
                    <w:pStyle w:val="62"/>
                    <w:spacing w:line="240" w:lineRule="auto"/>
                    <w:rPr>
                      <w:szCs w:val="21"/>
                    </w:rPr>
                  </w:pPr>
                </w:p>
              </w:tc>
            </w:tr>
            <w:tr w14:paraId="6A92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0" w:type="auto"/>
                  <w:vAlign w:val="center"/>
                </w:tcPr>
                <w:p w14:paraId="285B4416">
                  <w:pPr>
                    <w:pStyle w:val="62"/>
                    <w:spacing w:line="240" w:lineRule="auto"/>
                    <w:rPr>
                      <w:szCs w:val="21"/>
                    </w:rPr>
                  </w:pPr>
                  <w:r>
                    <w:rPr>
                      <w:rFonts w:hint="eastAsia"/>
                      <w:szCs w:val="21"/>
                    </w:rPr>
                    <w:t>臭气浓度</w:t>
                  </w:r>
                </w:p>
              </w:tc>
              <w:tc>
                <w:tcPr>
                  <w:tcW w:w="0" w:type="auto"/>
                  <w:vMerge w:val="continue"/>
                  <w:vAlign w:val="center"/>
                </w:tcPr>
                <w:p w14:paraId="504FBA70">
                  <w:pPr>
                    <w:pStyle w:val="62"/>
                    <w:spacing w:line="240" w:lineRule="auto"/>
                    <w:rPr>
                      <w:szCs w:val="21"/>
                    </w:rPr>
                  </w:pPr>
                </w:p>
              </w:tc>
              <w:tc>
                <w:tcPr>
                  <w:tcW w:w="0" w:type="auto"/>
                  <w:vAlign w:val="center"/>
                </w:tcPr>
                <w:p w14:paraId="1DB0283E">
                  <w:pPr>
                    <w:pStyle w:val="62"/>
                    <w:spacing w:line="240" w:lineRule="auto"/>
                    <w:rPr>
                      <w:szCs w:val="21"/>
                    </w:rPr>
                  </w:pPr>
                  <w:r>
                    <w:rPr>
                      <w:szCs w:val="21"/>
                    </w:rPr>
                    <w:t>20（无量纲）</w:t>
                  </w:r>
                </w:p>
              </w:tc>
              <w:tc>
                <w:tcPr>
                  <w:tcW w:w="0" w:type="auto"/>
                  <w:vMerge w:val="restart"/>
                  <w:vAlign w:val="center"/>
                </w:tcPr>
                <w:p w14:paraId="0A0485EE">
                  <w:pPr>
                    <w:pStyle w:val="62"/>
                    <w:spacing w:line="240" w:lineRule="auto"/>
                    <w:rPr>
                      <w:szCs w:val="21"/>
                    </w:rPr>
                  </w:pPr>
                  <w:r>
                    <w:rPr>
                      <w:rFonts w:hint="eastAsia"/>
                      <w:szCs w:val="21"/>
                    </w:rPr>
                    <w:t>《恶臭污染物排放标准》(GB 14554-93)表1</w:t>
                  </w:r>
                </w:p>
              </w:tc>
            </w:tr>
            <w:tr w14:paraId="7615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0" w:type="auto"/>
                  <w:vAlign w:val="center"/>
                </w:tcPr>
                <w:p w14:paraId="160958FC">
                  <w:pPr>
                    <w:pStyle w:val="62"/>
                    <w:spacing w:line="240" w:lineRule="auto"/>
                    <w:rPr>
                      <w:szCs w:val="21"/>
                    </w:rPr>
                  </w:pPr>
                  <w:r>
                    <w:rPr>
                      <w:szCs w:val="21"/>
                    </w:rPr>
                    <w:t>氨</w:t>
                  </w:r>
                </w:p>
              </w:tc>
              <w:tc>
                <w:tcPr>
                  <w:tcW w:w="0" w:type="auto"/>
                  <w:vMerge w:val="continue"/>
                  <w:vAlign w:val="center"/>
                </w:tcPr>
                <w:p w14:paraId="7FA78965">
                  <w:pPr>
                    <w:pStyle w:val="62"/>
                    <w:spacing w:line="240" w:lineRule="auto"/>
                    <w:rPr>
                      <w:szCs w:val="21"/>
                    </w:rPr>
                  </w:pPr>
                </w:p>
              </w:tc>
              <w:tc>
                <w:tcPr>
                  <w:tcW w:w="0" w:type="auto"/>
                  <w:vAlign w:val="center"/>
                </w:tcPr>
                <w:p w14:paraId="594EDD54">
                  <w:pPr>
                    <w:pStyle w:val="62"/>
                    <w:spacing w:line="240" w:lineRule="auto"/>
                    <w:rPr>
                      <w:szCs w:val="21"/>
                    </w:rPr>
                  </w:pPr>
                  <w:r>
                    <w:rPr>
                      <w:szCs w:val="21"/>
                    </w:rPr>
                    <w:t>1.5</w:t>
                  </w:r>
                </w:p>
              </w:tc>
              <w:tc>
                <w:tcPr>
                  <w:tcW w:w="0" w:type="auto"/>
                  <w:vMerge w:val="continue"/>
                  <w:vAlign w:val="center"/>
                </w:tcPr>
                <w:p w14:paraId="418DC040">
                  <w:pPr>
                    <w:pStyle w:val="62"/>
                    <w:spacing w:line="240" w:lineRule="auto"/>
                    <w:rPr>
                      <w:szCs w:val="21"/>
                    </w:rPr>
                  </w:pPr>
                </w:p>
              </w:tc>
            </w:tr>
          </w:tbl>
          <w:p w14:paraId="23265244">
            <w:pPr>
              <w:autoSpaceDE w:val="0"/>
              <w:autoSpaceDN w:val="0"/>
              <w:adjustRightInd w:val="0"/>
              <w:spacing w:line="360" w:lineRule="auto"/>
              <w:jc w:val="left"/>
              <w:rPr>
                <w:bCs/>
                <w:sz w:val="24"/>
              </w:rPr>
            </w:pPr>
          </w:p>
          <w:p w14:paraId="0C6B0480">
            <w:pPr>
              <w:autoSpaceDE w:val="0"/>
              <w:autoSpaceDN w:val="0"/>
              <w:adjustRightInd w:val="0"/>
              <w:jc w:val="center"/>
              <w:rPr>
                <w:rFonts w:ascii="宋体" w:hAnsi="宋体" w:cs="宋体"/>
                <w:szCs w:val="21"/>
              </w:rPr>
            </w:pPr>
            <w:r>
              <w:rPr>
                <w:rFonts w:hint="eastAsia" w:ascii="宋体" w:hAnsi="宋体" w:cs="宋体"/>
                <w:b/>
                <w:kern w:val="0"/>
                <w:szCs w:val="21"/>
              </w:rPr>
              <w:t>表3-7 厂区内非甲烷总烃无组织浓度排放限值 单位：mg/m</w:t>
            </w:r>
            <w:r>
              <w:rPr>
                <w:rFonts w:hint="eastAsia" w:ascii="宋体" w:hAnsi="宋体" w:cs="宋体"/>
                <w:b/>
                <w:kern w:val="0"/>
                <w:szCs w:val="21"/>
                <w:vertAlign w:val="superscript"/>
              </w:rPr>
              <w:t>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297"/>
              <w:gridCol w:w="3170"/>
              <w:gridCol w:w="2645"/>
            </w:tblGrid>
            <w:tr w14:paraId="64CF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37" w:type="pct"/>
                  <w:vAlign w:val="center"/>
                </w:tcPr>
                <w:p w14:paraId="00985994">
                  <w:pPr>
                    <w:pStyle w:val="62"/>
                    <w:spacing w:line="240" w:lineRule="auto"/>
                    <w:rPr>
                      <w:rFonts w:ascii="宋体" w:hAnsi="宋体" w:cs="宋体"/>
                      <w:b/>
                      <w:bCs/>
                      <w:szCs w:val="21"/>
                    </w:rPr>
                  </w:pPr>
                  <w:r>
                    <w:rPr>
                      <w:rFonts w:hint="eastAsia" w:ascii="宋体" w:hAnsi="宋体" w:cs="宋体"/>
                      <w:b/>
                      <w:bCs/>
                      <w:szCs w:val="21"/>
                    </w:rPr>
                    <w:t>污染</w:t>
                  </w:r>
                </w:p>
                <w:p w14:paraId="6FB12348">
                  <w:pPr>
                    <w:pStyle w:val="62"/>
                    <w:spacing w:line="240" w:lineRule="auto"/>
                    <w:rPr>
                      <w:rFonts w:ascii="宋体" w:hAnsi="宋体" w:cs="宋体"/>
                      <w:b/>
                      <w:bCs/>
                      <w:szCs w:val="21"/>
                    </w:rPr>
                  </w:pPr>
                  <w:r>
                    <w:rPr>
                      <w:rFonts w:hint="eastAsia" w:ascii="宋体" w:hAnsi="宋体" w:cs="宋体"/>
                      <w:b/>
                      <w:bCs/>
                      <w:szCs w:val="21"/>
                    </w:rPr>
                    <w:t>项目</w:t>
                  </w:r>
                </w:p>
              </w:tc>
              <w:tc>
                <w:tcPr>
                  <w:tcW w:w="796" w:type="pct"/>
                  <w:vAlign w:val="center"/>
                </w:tcPr>
                <w:p w14:paraId="79A37AEA">
                  <w:pPr>
                    <w:pStyle w:val="62"/>
                    <w:spacing w:line="240" w:lineRule="auto"/>
                    <w:rPr>
                      <w:rFonts w:ascii="宋体" w:hAnsi="宋体" w:cs="宋体"/>
                      <w:b/>
                      <w:bCs/>
                      <w:szCs w:val="21"/>
                    </w:rPr>
                  </w:pPr>
                  <w:r>
                    <w:rPr>
                      <w:rFonts w:hint="eastAsia" w:ascii="宋体" w:hAnsi="宋体" w:cs="宋体"/>
                      <w:b/>
                      <w:bCs/>
                      <w:szCs w:val="21"/>
                    </w:rPr>
                    <w:t>排放限值</w:t>
                  </w:r>
                </w:p>
              </w:tc>
              <w:tc>
                <w:tcPr>
                  <w:tcW w:w="1945" w:type="pct"/>
                  <w:vAlign w:val="center"/>
                </w:tcPr>
                <w:p w14:paraId="5370038A">
                  <w:pPr>
                    <w:pStyle w:val="62"/>
                    <w:spacing w:line="240" w:lineRule="auto"/>
                    <w:rPr>
                      <w:rFonts w:ascii="宋体" w:hAnsi="宋体" w:cs="宋体"/>
                      <w:b/>
                      <w:bCs/>
                      <w:szCs w:val="21"/>
                    </w:rPr>
                  </w:pPr>
                  <w:r>
                    <w:rPr>
                      <w:rFonts w:hint="eastAsia" w:ascii="宋体" w:hAnsi="宋体" w:cs="宋体"/>
                      <w:b/>
                      <w:bCs/>
                      <w:szCs w:val="21"/>
                    </w:rPr>
                    <w:t>限制定义</w:t>
                  </w:r>
                </w:p>
              </w:tc>
              <w:tc>
                <w:tcPr>
                  <w:tcW w:w="1622" w:type="pct"/>
                  <w:vAlign w:val="center"/>
                </w:tcPr>
                <w:p w14:paraId="0B44ADE3">
                  <w:pPr>
                    <w:pStyle w:val="62"/>
                    <w:spacing w:line="240" w:lineRule="auto"/>
                    <w:rPr>
                      <w:rFonts w:ascii="宋体" w:hAnsi="宋体" w:cs="宋体"/>
                      <w:b/>
                      <w:bCs/>
                      <w:szCs w:val="21"/>
                    </w:rPr>
                  </w:pPr>
                  <w:r>
                    <w:rPr>
                      <w:rFonts w:hint="eastAsia" w:ascii="宋体" w:hAnsi="宋体" w:cs="宋体"/>
                      <w:b/>
                      <w:bCs/>
                      <w:szCs w:val="21"/>
                    </w:rPr>
                    <w:t>无组织排放监控位置</w:t>
                  </w:r>
                </w:p>
              </w:tc>
            </w:tr>
            <w:tr w14:paraId="06DC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7" w:type="pct"/>
                  <w:vMerge w:val="restart"/>
                  <w:vAlign w:val="center"/>
                </w:tcPr>
                <w:p w14:paraId="099683A0">
                  <w:pPr>
                    <w:pStyle w:val="62"/>
                    <w:spacing w:line="240" w:lineRule="auto"/>
                    <w:rPr>
                      <w:szCs w:val="21"/>
                    </w:rPr>
                  </w:pPr>
                  <w:r>
                    <w:rPr>
                      <w:szCs w:val="21"/>
                    </w:rPr>
                    <w:t>NMHC</w:t>
                  </w:r>
                </w:p>
              </w:tc>
              <w:tc>
                <w:tcPr>
                  <w:tcW w:w="796" w:type="pct"/>
                  <w:vAlign w:val="center"/>
                </w:tcPr>
                <w:p w14:paraId="6E4436D0">
                  <w:pPr>
                    <w:pStyle w:val="62"/>
                    <w:spacing w:line="240" w:lineRule="auto"/>
                    <w:rPr>
                      <w:szCs w:val="21"/>
                    </w:rPr>
                  </w:pPr>
                  <w:r>
                    <w:rPr>
                      <w:rFonts w:hint="eastAsia"/>
                      <w:szCs w:val="21"/>
                    </w:rPr>
                    <w:t>6</w:t>
                  </w:r>
                </w:p>
              </w:tc>
              <w:tc>
                <w:tcPr>
                  <w:tcW w:w="1945" w:type="pct"/>
                  <w:vAlign w:val="center"/>
                </w:tcPr>
                <w:p w14:paraId="3E5E000E">
                  <w:pPr>
                    <w:pStyle w:val="62"/>
                    <w:spacing w:line="240" w:lineRule="auto"/>
                    <w:rPr>
                      <w:szCs w:val="21"/>
                    </w:rPr>
                  </w:pPr>
                  <w:r>
                    <w:rPr>
                      <w:szCs w:val="21"/>
                    </w:rPr>
                    <w:t>监控点处1h平均浓度值</w:t>
                  </w:r>
                </w:p>
              </w:tc>
              <w:tc>
                <w:tcPr>
                  <w:tcW w:w="1622" w:type="pct"/>
                  <w:vMerge w:val="restart"/>
                  <w:vAlign w:val="center"/>
                </w:tcPr>
                <w:p w14:paraId="3734FD0B">
                  <w:pPr>
                    <w:pStyle w:val="62"/>
                    <w:spacing w:line="240" w:lineRule="auto"/>
                    <w:rPr>
                      <w:rFonts w:ascii="宋体" w:hAnsi="宋体" w:cs="宋体"/>
                      <w:szCs w:val="21"/>
                    </w:rPr>
                  </w:pPr>
                  <w:r>
                    <w:rPr>
                      <w:rFonts w:hint="eastAsia" w:ascii="宋体" w:hAnsi="宋体" w:cs="宋体"/>
                      <w:szCs w:val="21"/>
                    </w:rPr>
                    <w:t>在厂房外设置监控点</w:t>
                  </w:r>
                </w:p>
              </w:tc>
            </w:tr>
            <w:tr w14:paraId="3903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37" w:type="pct"/>
                  <w:vMerge w:val="continue"/>
                  <w:vAlign w:val="center"/>
                </w:tcPr>
                <w:p w14:paraId="4CB51932">
                  <w:pPr>
                    <w:pStyle w:val="62"/>
                    <w:spacing w:line="240" w:lineRule="auto"/>
                    <w:rPr>
                      <w:szCs w:val="21"/>
                    </w:rPr>
                  </w:pPr>
                </w:p>
              </w:tc>
              <w:tc>
                <w:tcPr>
                  <w:tcW w:w="796" w:type="pct"/>
                  <w:vAlign w:val="center"/>
                </w:tcPr>
                <w:p w14:paraId="5A946D9A">
                  <w:pPr>
                    <w:pStyle w:val="62"/>
                    <w:spacing w:line="240" w:lineRule="auto"/>
                    <w:rPr>
                      <w:szCs w:val="21"/>
                    </w:rPr>
                  </w:pPr>
                  <w:r>
                    <w:rPr>
                      <w:rFonts w:hint="eastAsia"/>
                      <w:szCs w:val="21"/>
                    </w:rPr>
                    <w:t>20</w:t>
                  </w:r>
                </w:p>
              </w:tc>
              <w:tc>
                <w:tcPr>
                  <w:tcW w:w="1945" w:type="pct"/>
                  <w:vAlign w:val="center"/>
                </w:tcPr>
                <w:p w14:paraId="53CA2EC9">
                  <w:pPr>
                    <w:pStyle w:val="62"/>
                    <w:spacing w:line="240" w:lineRule="auto"/>
                    <w:rPr>
                      <w:rFonts w:ascii="宋体" w:hAnsi="宋体" w:cs="宋体"/>
                      <w:szCs w:val="21"/>
                    </w:rPr>
                  </w:pPr>
                  <w:r>
                    <w:rPr>
                      <w:rFonts w:hint="eastAsia" w:ascii="宋体" w:hAnsi="宋体" w:cs="宋体"/>
                      <w:szCs w:val="21"/>
                    </w:rPr>
                    <w:t>监控点处任意一处浓度值</w:t>
                  </w:r>
                </w:p>
              </w:tc>
              <w:tc>
                <w:tcPr>
                  <w:tcW w:w="1622" w:type="pct"/>
                  <w:vMerge w:val="continue"/>
                  <w:vAlign w:val="center"/>
                </w:tcPr>
                <w:p w14:paraId="0E71A63F">
                  <w:pPr>
                    <w:pStyle w:val="62"/>
                    <w:spacing w:line="240" w:lineRule="auto"/>
                    <w:rPr>
                      <w:rFonts w:ascii="宋体" w:hAnsi="宋体" w:cs="宋体"/>
                      <w:szCs w:val="21"/>
                    </w:rPr>
                  </w:pPr>
                </w:p>
              </w:tc>
            </w:tr>
          </w:tbl>
          <w:p w14:paraId="72449BFD">
            <w:pPr>
              <w:spacing w:line="360" w:lineRule="auto"/>
              <w:ind w:firstLine="482" w:firstLineChars="200"/>
              <w:jc w:val="left"/>
              <w:rPr>
                <w:b/>
                <w:sz w:val="24"/>
              </w:rPr>
            </w:pPr>
          </w:p>
          <w:p w14:paraId="433C5288">
            <w:pPr>
              <w:spacing w:line="360" w:lineRule="auto"/>
              <w:ind w:firstLine="482" w:firstLineChars="200"/>
              <w:jc w:val="left"/>
              <w:rPr>
                <w:b/>
                <w:sz w:val="24"/>
              </w:rPr>
            </w:pPr>
            <w:r>
              <w:rPr>
                <w:b/>
                <w:sz w:val="24"/>
              </w:rPr>
              <w:t>2、废水污染物排放标准</w:t>
            </w:r>
          </w:p>
          <w:p w14:paraId="7C36F522">
            <w:pPr>
              <w:spacing w:line="360" w:lineRule="auto"/>
              <w:ind w:firstLine="480" w:firstLineChars="200"/>
              <w:rPr>
                <w:rFonts w:ascii="宋体" w:hAnsi="宋体" w:cs="宋体"/>
                <w:bCs/>
                <w:sz w:val="24"/>
              </w:rPr>
            </w:pPr>
            <w:r>
              <w:rPr>
                <w:rFonts w:hint="eastAsia" w:ascii="宋体" w:hAnsi="宋体" w:cs="宋体"/>
                <w:bCs/>
                <w:sz w:val="24"/>
              </w:rPr>
              <w:t>本项目生产冷却水循环使用不外排，生活污水经化粪池预处理后排入金寨经济开发区污水处理厂处理。项目生活污水排放执行《污水综合排放标准》</w:t>
            </w:r>
            <w:r>
              <w:rPr>
                <w:bCs/>
                <w:sz w:val="24"/>
              </w:rPr>
              <w:t>（GB8978-1996）</w:t>
            </w:r>
            <w:r>
              <w:rPr>
                <w:rFonts w:hint="eastAsia" w:ascii="宋体" w:hAnsi="宋体" w:cs="宋体"/>
                <w:bCs/>
                <w:sz w:val="24"/>
              </w:rPr>
              <w:t>三级标准及</w:t>
            </w:r>
            <w:r>
              <w:rPr>
                <w:rFonts w:hint="eastAsia"/>
                <w:sz w:val="24"/>
              </w:rPr>
              <w:t>金寨经济开发区</w:t>
            </w:r>
            <w:r>
              <w:rPr>
                <w:rFonts w:hint="eastAsia" w:ascii="宋体" w:hAnsi="宋体" w:cs="宋体"/>
                <w:bCs/>
                <w:sz w:val="24"/>
              </w:rPr>
              <w:t>污水处理厂接管标准限值，经市政污水管网进入金寨经济开发区污水处理厂，经金寨经济开发区污水处理厂处理达到《城镇污水处理厂污染物排放标准》</w:t>
            </w:r>
            <w:r>
              <w:rPr>
                <w:bCs/>
                <w:sz w:val="24"/>
              </w:rPr>
              <w:t>（GB18918-2002）一级A标准后排入史河。具</w:t>
            </w:r>
            <w:r>
              <w:rPr>
                <w:rFonts w:hint="eastAsia" w:ascii="宋体" w:hAnsi="宋体" w:cs="宋体"/>
                <w:bCs/>
                <w:sz w:val="24"/>
              </w:rPr>
              <w:t>体标准见下表。</w:t>
            </w:r>
          </w:p>
          <w:p w14:paraId="4908A2EA">
            <w:pPr>
              <w:jc w:val="center"/>
              <w:rPr>
                <w:rFonts w:ascii="宋体" w:hAnsi="宋体" w:cs="宋体"/>
                <w:b/>
                <w:sz w:val="20"/>
                <w:szCs w:val="20"/>
              </w:rPr>
            </w:pPr>
            <w:r>
              <w:rPr>
                <w:rFonts w:hint="eastAsia" w:ascii="宋体" w:hAnsi="宋体" w:cs="宋体"/>
                <w:b/>
                <w:sz w:val="20"/>
                <w:szCs w:val="20"/>
              </w:rPr>
              <w:t>表3-8废水排放标准单位：mg/L</w:t>
            </w:r>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6"/>
              <w:gridCol w:w="1516"/>
              <w:gridCol w:w="2417"/>
              <w:gridCol w:w="3601"/>
            </w:tblGrid>
            <w:tr w14:paraId="56FF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8" w:type="pct"/>
                  <w:vAlign w:val="center"/>
                </w:tcPr>
                <w:p w14:paraId="47295486">
                  <w:pPr>
                    <w:topLinePunct/>
                    <w:jc w:val="center"/>
                    <w:rPr>
                      <w:b/>
                      <w:bCs/>
                      <w:sz w:val="20"/>
                      <w:szCs w:val="20"/>
                    </w:rPr>
                  </w:pPr>
                  <w:r>
                    <w:rPr>
                      <w:b/>
                      <w:bCs/>
                      <w:sz w:val="20"/>
                      <w:szCs w:val="20"/>
                    </w:rPr>
                    <w:t>编号</w:t>
                  </w:r>
                </w:p>
              </w:tc>
              <w:tc>
                <w:tcPr>
                  <w:tcW w:w="930" w:type="pct"/>
                  <w:vAlign w:val="center"/>
                </w:tcPr>
                <w:p w14:paraId="179C725F">
                  <w:pPr>
                    <w:topLinePunct/>
                    <w:jc w:val="center"/>
                    <w:rPr>
                      <w:b/>
                      <w:bCs/>
                      <w:sz w:val="20"/>
                      <w:szCs w:val="20"/>
                    </w:rPr>
                  </w:pPr>
                  <w:r>
                    <w:rPr>
                      <w:b/>
                      <w:bCs/>
                      <w:sz w:val="20"/>
                      <w:szCs w:val="20"/>
                    </w:rPr>
                    <w:t>污染物名称</w:t>
                  </w:r>
                </w:p>
              </w:tc>
              <w:tc>
                <w:tcPr>
                  <w:tcW w:w="1483" w:type="pct"/>
                  <w:vAlign w:val="center"/>
                </w:tcPr>
                <w:p w14:paraId="0DE4D486">
                  <w:pPr>
                    <w:topLinePunct/>
                    <w:jc w:val="center"/>
                    <w:rPr>
                      <w:b/>
                      <w:bCs/>
                      <w:sz w:val="20"/>
                      <w:szCs w:val="20"/>
                    </w:rPr>
                  </w:pPr>
                  <w:r>
                    <w:rPr>
                      <w:b/>
                      <w:bCs/>
                      <w:sz w:val="20"/>
                      <w:szCs w:val="20"/>
                    </w:rPr>
                    <w:t>最高允许排放浓度(mg/L)</w:t>
                  </w:r>
                </w:p>
              </w:tc>
              <w:tc>
                <w:tcPr>
                  <w:tcW w:w="2210" w:type="pct"/>
                  <w:vAlign w:val="center"/>
                </w:tcPr>
                <w:p w14:paraId="1EB9BFCB">
                  <w:pPr>
                    <w:topLinePunct/>
                    <w:jc w:val="center"/>
                    <w:rPr>
                      <w:b/>
                      <w:bCs/>
                      <w:sz w:val="20"/>
                      <w:szCs w:val="20"/>
                    </w:rPr>
                  </w:pPr>
                  <w:r>
                    <w:rPr>
                      <w:b/>
                      <w:bCs/>
                      <w:sz w:val="20"/>
                      <w:szCs w:val="20"/>
                    </w:rPr>
                    <w:t>备注</w:t>
                  </w:r>
                </w:p>
              </w:tc>
            </w:tr>
            <w:tr w14:paraId="3E40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8" w:type="pct"/>
                  <w:vAlign w:val="center"/>
                </w:tcPr>
                <w:p w14:paraId="27E52053">
                  <w:pPr>
                    <w:topLinePunct/>
                    <w:jc w:val="center"/>
                    <w:rPr>
                      <w:sz w:val="20"/>
                      <w:szCs w:val="20"/>
                    </w:rPr>
                  </w:pPr>
                  <w:r>
                    <w:rPr>
                      <w:sz w:val="20"/>
                      <w:szCs w:val="20"/>
                    </w:rPr>
                    <w:t>1</w:t>
                  </w:r>
                </w:p>
              </w:tc>
              <w:tc>
                <w:tcPr>
                  <w:tcW w:w="930" w:type="pct"/>
                  <w:vAlign w:val="center"/>
                </w:tcPr>
                <w:p w14:paraId="1C15C6ED">
                  <w:pPr>
                    <w:topLinePunct/>
                    <w:jc w:val="center"/>
                    <w:rPr>
                      <w:sz w:val="20"/>
                      <w:szCs w:val="20"/>
                    </w:rPr>
                  </w:pPr>
                  <w:r>
                    <w:rPr>
                      <w:sz w:val="20"/>
                      <w:szCs w:val="20"/>
                    </w:rPr>
                    <w:t>pH</w:t>
                  </w:r>
                </w:p>
              </w:tc>
              <w:tc>
                <w:tcPr>
                  <w:tcW w:w="1483" w:type="pct"/>
                  <w:vAlign w:val="center"/>
                </w:tcPr>
                <w:p w14:paraId="0A7D4379">
                  <w:pPr>
                    <w:topLinePunct/>
                    <w:jc w:val="center"/>
                    <w:rPr>
                      <w:sz w:val="20"/>
                      <w:szCs w:val="20"/>
                    </w:rPr>
                  </w:pPr>
                  <w:r>
                    <w:rPr>
                      <w:sz w:val="20"/>
                      <w:szCs w:val="20"/>
                    </w:rPr>
                    <w:t>6~9</w:t>
                  </w:r>
                </w:p>
              </w:tc>
              <w:tc>
                <w:tcPr>
                  <w:tcW w:w="2210" w:type="pct"/>
                  <w:vMerge w:val="restart"/>
                  <w:vAlign w:val="center"/>
                </w:tcPr>
                <w:p w14:paraId="0292367A">
                  <w:pPr>
                    <w:topLinePunct/>
                    <w:jc w:val="center"/>
                    <w:rPr>
                      <w:sz w:val="20"/>
                      <w:szCs w:val="20"/>
                    </w:rPr>
                  </w:pPr>
                  <w:r>
                    <w:rPr>
                      <w:sz w:val="20"/>
                      <w:szCs w:val="20"/>
                    </w:rPr>
                    <w:t>金寨县开发区污水处理厂接管要求</w:t>
                  </w:r>
                </w:p>
              </w:tc>
            </w:tr>
            <w:tr w14:paraId="1B3F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8" w:type="pct"/>
                  <w:vAlign w:val="center"/>
                </w:tcPr>
                <w:p w14:paraId="5013D060">
                  <w:pPr>
                    <w:topLinePunct/>
                    <w:jc w:val="center"/>
                    <w:rPr>
                      <w:sz w:val="20"/>
                      <w:szCs w:val="20"/>
                    </w:rPr>
                  </w:pPr>
                  <w:r>
                    <w:rPr>
                      <w:sz w:val="20"/>
                      <w:szCs w:val="20"/>
                    </w:rPr>
                    <w:t>2</w:t>
                  </w:r>
                </w:p>
              </w:tc>
              <w:tc>
                <w:tcPr>
                  <w:tcW w:w="930" w:type="pct"/>
                  <w:vAlign w:val="center"/>
                </w:tcPr>
                <w:p w14:paraId="232DE3F2">
                  <w:pPr>
                    <w:topLinePunct/>
                    <w:jc w:val="center"/>
                    <w:rPr>
                      <w:sz w:val="20"/>
                      <w:szCs w:val="20"/>
                    </w:rPr>
                  </w:pPr>
                  <w:r>
                    <w:rPr>
                      <w:sz w:val="20"/>
                      <w:szCs w:val="20"/>
                    </w:rPr>
                    <w:t>COD</w:t>
                  </w:r>
                </w:p>
              </w:tc>
              <w:tc>
                <w:tcPr>
                  <w:tcW w:w="1483" w:type="pct"/>
                  <w:vAlign w:val="center"/>
                </w:tcPr>
                <w:p w14:paraId="328E7210">
                  <w:pPr>
                    <w:topLinePunct/>
                    <w:jc w:val="center"/>
                    <w:rPr>
                      <w:sz w:val="20"/>
                      <w:szCs w:val="20"/>
                    </w:rPr>
                  </w:pPr>
                  <w:r>
                    <w:rPr>
                      <w:sz w:val="20"/>
                      <w:szCs w:val="20"/>
                    </w:rPr>
                    <w:t>320</w:t>
                  </w:r>
                </w:p>
              </w:tc>
              <w:tc>
                <w:tcPr>
                  <w:tcW w:w="2210" w:type="pct"/>
                  <w:vMerge w:val="continue"/>
                  <w:vAlign w:val="center"/>
                </w:tcPr>
                <w:p w14:paraId="1DBA9DAA">
                  <w:pPr>
                    <w:topLinePunct/>
                    <w:jc w:val="center"/>
                    <w:rPr>
                      <w:sz w:val="20"/>
                      <w:szCs w:val="20"/>
                    </w:rPr>
                  </w:pPr>
                </w:p>
              </w:tc>
            </w:tr>
            <w:tr w14:paraId="07B0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8" w:type="pct"/>
                  <w:vAlign w:val="center"/>
                </w:tcPr>
                <w:p w14:paraId="673ADD7D">
                  <w:pPr>
                    <w:topLinePunct/>
                    <w:jc w:val="center"/>
                    <w:rPr>
                      <w:sz w:val="20"/>
                      <w:szCs w:val="20"/>
                    </w:rPr>
                  </w:pPr>
                  <w:r>
                    <w:rPr>
                      <w:sz w:val="20"/>
                      <w:szCs w:val="20"/>
                    </w:rPr>
                    <w:t>3</w:t>
                  </w:r>
                </w:p>
              </w:tc>
              <w:tc>
                <w:tcPr>
                  <w:tcW w:w="930" w:type="pct"/>
                  <w:vAlign w:val="center"/>
                </w:tcPr>
                <w:p w14:paraId="584FE36B">
                  <w:pPr>
                    <w:topLinePunct/>
                    <w:jc w:val="center"/>
                    <w:rPr>
                      <w:sz w:val="20"/>
                      <w:szCs w:val="20"/>
                    </w:rPr>
                  </w:pPr>
                  <w:r>
                    <w:rPr>
                      <w:sz w:val="20"/>
                      <w:szCs w:val="20"/>
                    </w:rPr>
                    <w:t>BOD</w:t>
                  </w:r>
                  <w:r>
                    <w:rPr>
                      <w:sz w:val="20"/>
                      <w:szCs w:val="20"/>
                      <w:vertAlign w:val="subscript"/>
                    </w:rPr>
                    <w:t>5</w:t>
                  </w:r>
                </w:p>
              </w:tc>
              <w:tc>
                <w:tcPr>
                  <w:tcW w:w="1483" w:type="pct"/>
                  <w:vAlign w:val="center"/>
                </w:tcPr>
                <w:p w14:paraId="0BD46600">
                  <w:pPr>
                    <w:topLinePunct/>
                    <w:jc w:val="center"/>
                    <w:rPr>
                      <w:sz w:val="20"/>
                      <w:szCs w:val="20"/>
                    </w:rPr>
                  </w:pPr>
                  <w:r>
                    <w:rPr>
                      <w:sz w:val="20"/>
                      <w:szCs w:val="20"/>
                    </w:rPr>
                    <w:t>160</w:t>
                  </w:r>
                </w:p>
              </w:tc>
              <w:tc>
                <w:tcPr>
                  <w:tcW w:w="2210" w:type="pct"/>
                  <w:vMerge w:val="continue"/>
                  <w:vAlign w:val="center"/>
                </w:tcPr>
                <w:p w14:paraId="6E59D794">
                  <w:pPr>
                    <w:topLinePunct/>
                    <w:jc w:val="center"/>
                    <w:rPr>
                      <w:sz w:val="20"/>
                      <w:szCs w:val="20"/>
                    </w:rPr>
                  </w:pPr>
                </w:p>
              </w:tc>
            </w:tr>
            <w:tr w14:paraId="77B6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8" w:type="pct"/>
                  <w:vAlign w:val="center"/>
                </w:tcPr>
                <w:p w14:paraId="0D4E8D7D">
                  <w:pPr>
                    <w:topLinePunct/>
                    <w:jc w:val="center"/>
                    <w:rPr>
                      <w:sz w:val="20"/>
                      <w:szCs w:val="20"/>
                    </w:rPr>
                  </w:pPr>
                  <w:r>
                    <w:rPr>
                      <w:sz w:val="20"/>
                      <w:szCs w:val="20"/>
                    </w:rPr>
                    <w:t>4</w:t>
                  </w:r>
                </w:p>
              </w:tc>
              <w:tc>
                <w:tcPr>
                  <w:tcW w:w="930" w:type="pct"/>
                  <w:vAlign w:val="center"/>
                </w:tcPr>
                <w:p w14:paraId="19969EAC">
                  <w:pPr>
                    <w:topLinePunct/>
                    <w:jc w:val="center"/>
                    <w:rPr>
                      <w:sz w:val="20"/>
                      <w:szCs w:val="20"/>
                    </w:rPr>
                  </w:pPr>
                  <w:r>
                    <w:rPr>
                      <w:sz w:val="20"/>
                      <w:szCs w:val="20"/>
                    </w:rPr>
                    <w:t>SS</w:t>
                  </w:r>
                </w:p>
              </w:tc>
              <w:tc>
                <w:tcPr>
                  <w:tcW w:w="1483" w:type="pct"/>
                  <w:vAlign w:val="center"/>
                </w:tcPr>
                <w:p w14:paraId="4251F10B">
                  <w:pPr>
                    <w:topLinePunct/>
                    <w:jc w:val="center"/>
                    <w:rPr>
                      <w:sz w:val="20"/>
                      <w:szCs w:val="20"/>
                    </w:rPr>
                  </w:pPr>
                  <w:r>
                    <w:rPr>
                      <w:sz w:val="20"/>
                      <w:szCs w:val="20"/>
                    </w:rPr>
                    <w:t>180</w:t>
                  </w:r>
                </w:p>
              </w:tc>
              <w:tc>
                <w:tcPr>
                  <w:tcW w:w="2210" w:type="pct"/>
                  <w:vMerge w:val="continue"/>
                  <w:vAlign w:val="center"/>
                </w:tcPr>
                <w:p w14:paraId="5C99148D">
                  <w:pPr>
                    <w:topLinePunct/>
                    <w:jc w:val="center"/>
                    <w:rPr>
                      <w:sz w:val="20"/>
                      <w:szCs w:val="20"/>
                    </w:rPr>
                  </w:pPr>
                </w:p>
              </w:tc>
            </w:tr>
            <w:tr w14:paraId="49BA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8" w:type="pct"/>
                  <w:vAlign w:val="center"/>
                </w:tcPr>
                <w:p w14:paraId="287839A3">
                  <w:pPr>
                    <w:topLinePunct/>
                    <w:jc w:val="center"/>
                    <w:rPr>
                      <w:sz w:val="20"/>
                      <w:szCs w:val="20"/>
                    </w:rPr>
                  </w:pPr>
                  <w:r>
                    <w:rPr>
                      <w:sz w:val="20"/>
                      <w:szCs w:val="20"/>
                    </w:rPr>
                    <w:t>5</w:t>
                  </w:r>
                </w:p>
              </w:tc>
              <w:tc>
                <w:tcPr>
                  <w:tcW w:w="930" w:type="pct"/>
                  <w:vAlign w:val="center"/>
                </w:tcPr>
                <w:p w14:paraId="2747F0AB">
                  <w:pPr>
                    <w:topLinePunct/>
                    <w:jc w:val="center"/>
                    <w:rPr>
                      <w:sz w:val="20"/>
                      <w:szCs w:val="20"/>
                    </w:rPr>
                  </w:pPr>
                  <w:r>
                    <w:rPr>
                      <w:sz w:val="20"/>
                      <w:szCs w:val="20"/>
                    </w:rPr>
                    <w:t>NH</w:t>
                  </w:r>
                  <w:r>
                    <w:rPr>
                      <w:sz w:val="20"/>
                      <w:szCs w:val="20"/>
                      <w:vertAlign w:val="subscript"/>
                    </w:rPr>
                    <w:t>3</w:t>
                  </w:r>
                  <w:r>
                    <w:rPr>
                      <w:sz w:val="20"/>
                      <w:szCs w:val="20"/>
                    </w:rPr>
                    <w:t>-N</w:t>
                  </w:r>
                </w:p>
              </w:tc>
              <w:tc>
                <w:tcPr>
                  <w:tcW w:w="1483" w:type="pct"/>
                  <w:vAlign w:val="center"/>
                </w:tcPr>
                <w:p w14:paraId="0DE88A6B">
                  <w:pPr>
                    <w:topLinePunct/>
                    <w:jc w:val="center"/>
                    <w:rPr>
                      <w:sz w:val="20"/>
                      <w:szCs w:val="20"/>
                    </w:rPr>
                  </w:pPr>
                  <w:r>
                    <w:rPr>
                      <w:sz w:val="20"/>
                      <w:szCs w:val="20"/>
                    </w:rPr>
                    <w:t>35</w:t>
                  </w:r>
                </w:p>
              </w:tc>
              <w:tc>
                <w:tcPr>
                  <w:tcW w:w="2210" w:type="pct"/>
                  <w:vMerge w:val="continue"/>
                  <w:vAlign w:val="center"/>
                </w:tcPr>
                <w:p w14:paraId="2D12EA7D">
                  <w:pPr>
                    <w:topLinePunct/>
                    <w:jc w:val="center"/>
                    <w:rPr>
                      <w:sz w:val="20"/>
                      <w:szCs w:val="20"/>
                    </w:rPr>
                  </w:pPr>
                </w:p>
              </w:tc>
            </w:tr>
            <w:tr w14:paraId="3AB4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8" w:type="pct"/>
                  <w:vAlign w:val="center"/>
                </w:tcPr>
                <w:p w14:paraId="11C2D80B">
                  <w:pPr>
                    <w:topLinePunct/>
                    <w:jc w:val="center"/>
                    <w:rPr>
                      <w:sz w:val="20"/>
                      <w:szCs w:val="20"/>
                    </w:rPr>
                  </w:pPr>
                  <w:r>
                    <w:rPr>
                      <w:sz w:val="20"/>
                      <w:szCs w:val="20"/>
                    </w:rPr>
                    <w:t>6</w:t>
                  </w:r>
                </w:p>
              </w:tc>
              <w:tc>
                <w:tcPr>
                  <w:tcW w:w="930" w:type="pct"/>
                  <w:vAlign w:val="center"/>
                </w:tcPr>
                <w:p w14:paraId="7AE6DC2F">
                  <w:pPr>
                    <w:topLinePunct/>
                    <w:jc w:val="center"/>
                    <w:rPr>
                      <w:sz w:val="20"/>
                      <w:szCs w:val="20"/>
                    </w:rPr>
                  </w:pPr>
                  <w:r>
                    <w:rPr>
                      <w:sz w:val="20"/>
                      <w:szCs w:val="20"/>
                    </w:rPr>
                    <w:t>TP</w:t>
                  </w:r>
                </w:p>
              </w:tc>
              <w:tc>
                <w:tcPr>
                  <w:tcW w:w="1483" w:type="pct"/>
                  <w:vAlign w:val="center"/>
                </w:tcPr>
                <w:p w14:paraId="0599EE24">
                  <w:pPr>
                    <w:topLinePunct/>
                    <w:jc w:val="center"/>
                    <w:rPr>
                      <w:sz w:val="20"/>
                      <w:szCs w:val="20"/>
                    </w:rPr>
                  </w:pPr>
                  <w:r>
                    <w:rPr>
                      <w:sz w:val="20"/>
                      <w:szCs w:val="20"/>
                    </w:rPr>
                    <w:t>3</w:t>
                  </w:r>
                </w:p>
              </w:tc>
              <w:tc>
                <w:tcPr>
                  <w:tcW w:w="2210" w:type="pct"/>
                  <w:vMerge w:val="continue"/>
                  <w:vAlign w:val="center"/>
                </w:tcPr>
                <w:p w14:paraId="7D518050">
                  <w:pPr>
                    <w:topLinePunct/>
                    <w:jc w:val="center"/>
                    <w:rPr>
                      <w:sz w:val="20"/>
                      <w:szCs w:val="20"/>
                    </w:rPr>
                  </w:pPr>
                </w:p>
              </w:tc>
            </w:tr>
            <w:tr w14:paraId="0AFC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8" w:type="pct"/>
                  <w:vAlign w:val="center"/>
                </w:tcPr>
                <w:p w14:paraId="3ACBB924">
                  <w:pPr>
                    <w:topLinePunct/>
                    <w:jc w:val="center"/>
                    <w:rPr>
                      <w:sz w:val="20"/>
                      <w:szCs w:val="20"/>
                    </w:rPr>
                  </w:pPr>
                  <w:r>
                    <w:rPr>
                      <w:sz w:val="20"/>
                      <w:szCs w:val="20"/>
                    </w:rPr>
                    <w:t>7</w:t>
                  </w:r>
                </w:p>
              </w:tc>
              <w:tc>
                <w:tcPr>
                  <w:tcW w:w="930" w:type="pct"/>
                  <w:vAlign w:val="center"/>
                </w:tcPr>
                <w:p w14:paraId="348A6DD9">
                  <w:pPr>
                    <w:topLinePunct/>
                    <w:jc w:val="center"/>
                    <w:rPr>
                      <w:sz w:val="20"/>
                      <w:szCs w:val="20"/>
                    </w:rPr>
                  </w:pPr>
                  <w:r>
                    <w:rPr>
                      <w:sz w:val="20"/>
                      <w:szCs w:val="20"/>
                    </w:rPr>
                    <w:t>TN</w:t>
                  </w:r>
                </w:p>
              </w:tc>
              <w:tc>
                <w:tcPr>
                  <w:tcW w:w="1483" w:type="pct"/>
                  <w:vAlign w:val="center"/>
                </w:tcPr>
                <w:p w14:paraId="3DA4FA85">
                  <w:pPr>
                    <w:topLinePunct/>
                    <w:jc w:val="center"/>
                    <w:rPr>
                      <w:sz w:val="20"/>
                      <w:szCs w:val="20"/>
                    </w:rPr>
                  </w:pPr>
                  <w:r>
                    <w:rPr>
                      <w:sz w:val="20"/>
                      <w:szCs w:val="20"/>
                    </w:rPr>
                    <w:t>45</w:t>
                  </w:r>
                </w:p>
              </w:tc>
              <w:tc>
                <w:tcPr>
                  <w:tcW w:w="2210" w:type="pct"/>
                  <w:vMerge w:val="continue"/>
                  <w:vAlign w:val="center"/>
                </w:tcPr>
                <w:p w14:paraId="7D2B8E3D">
                  <w:pPr>
                    <w:topLinePunct/>
                    <w:jc w:val="center"/>
                    <w:rPr>
                      <w:sz w:val="20"/>
                      <w:szCs w:val="20"/>
                    </w:rPr>
                  </w:pPr>
                </w:p>
              </w:tc>
            </w:tr>
          </w:tbl>
          <w:p w14:paraId="300BD85C">
            <w:pPr>
              <w:spacing w:line="360" w:lineRule="auto"/>
              <w:ind w:firstLine="480" w:firstLineChars="200"/>
              <w:rPr>
                <w:rFonts w:ascii="宋体" w:hAnsi="宋体" w:cs="宋体"/>
                <w:bCs/>
                <w:sz w:val="24"/>
              </w:rPr>
            </w:pPr>
          </w:p>
          <w:p w14:paraId="5178072E">
            <w:pPr>
              <w:spacing w:line="360" w:lineRule="auto"/>
              <w:ind w:firstLine="482" w:firstLineChars="200"/>
              <w:rPr>
                <w:b/>
                <w:sz w:val="24"/>
              </w:rPr>
            </w:pPr>
            <w:r>
              <w:rPr>
                <w:b/>
                <w:sz w:val="24"/>
              </w:rPr>
              <w:t>3、噪声污染排放标准</w:t>
            </w:r>
          </w:p>
          <w:p w14:paraId="04B84DAD">
            <w:pPr>
              <w:spacing w:line="360" w:lineRule="auto"/>
              <w:ind w:firstLine="480" w:firstLineChars="200"/>
              <w:rPr>
                <w:bCs/>
                <w:sz w:val="24"/>
                <w:lang w:bidi="ar"/>
              </w:rPr>
            </w:pPr>
            <w:r>
              <w:rPr>
                <w:bCs/>
                <w:sz w:val="24"/>
                <w:lang w:bidi="ar"/>
              </w:rPr>
              <w:t>项目运营期噪声执行《工业企业厂界环境噪声排放标准》（GB 12348—2008）3类标准。</w:t>
            </w:r>
            <w:r>
              <w:rPr>
                <w:rFonts w:hint="eastAsia"/>
                <w:bCs/>
                <w:sz w:val="24"/>
                <w:lang w:bidi="ar"/>
              </w:rPr>
              <w:t>施工期噪声执行《建筑施工厂界环境噪声排放标准》（GB12523-2011）中的规定。</w:t>
            </w:r>
          </w:p>
          <w:p w14:paraId="2D8890C8">
            <w:pPr>
              <w:spacing w:line="500" w:lineRule="exact"/>
              <w:ind w:firstLine="316" w:firstLineChars="150"/>
              <w:jc w:val="center"/>
              <w:rPr>
                <w:b/>
                <w:bCs/>
                <w:color w:val="000000"/>
              </w:rPr>
            </w:pPr>
            <w:r>
              <w:rPr>
                <w:b/>
                <w:bCs/>
                <w:color w:val="000000"/>
              </w:rPr>
              <w:t>表3-</w:t>
            </w:r>
            <w:r>
              <w:rPr>
                <w:rFonts w:hint="eastAsia"/>
                <w:b/>
                <w:bCs/>
                <w:color w:val="000000"/>
              </w:rPr>
              <w:t>9</w:t>
            </w:r>
            <w:r>
              <w:rPr>
                <w:b/>
                <w:bCs/>
                <w:color w:val="000000"/>
              </w:rPr>
              <w:t xml:space="preserve"> </w:t>
            </w:r>
            <w:r>
              <w:rPr>
                <w:rFonts w:hint="eastAsia"/>
                <w:b/>
                <w:bCs/>
                <w:color w:val="000000"/>
              </w:rPr>
              <w:t>项目噪声执行标准一览表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952"/>
              <w:gridCol w:w="2861"/>
              <w:gridCol w:w="1671"/>
              <w:gridCol w:w="1339"/>
              <w:gridCol w:w="1337"/>
            </w:tblGrid>
            <w:tr w14:paraId="1AEB300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4" w:hRule="atLeast"/>
                <w:jc w:val="center"/>
              </w:trPr>
              <w:tc>
                <w:tcPr>
                  <w:tcW w:w="945" w:type="dxa"/>
                  <w:vAlign w:val="center"/>
                </w:tcPr>
                <w:p w14:paraId="6B272591">
                  <w:pPr>
                    <w:spacing w:line="280" w:lineRule="exact"/>
                    <w:jc w:val="center"/>
                    <w:rPr>
                      <w:b/>
                      <w:color w:val="000000"/>
                      <w:szCs w:val="21"/>
                    </w:rPr>
                  </w:pPr>
                  <w:r>
                    <w:rPr>
                      <w:rFonts w:hint="eastAsia"/>
                      <w:b/>
                      <w:color w:val="000000"/>
                      <w:szCs w:val="21"/>
                    </w:rPr>
                    <w:t>时段</w:t>
                  </w:r>
                </w:p>
              </w:tc>
              <w:tc>
                <w:tcPr>
                  <w:tcW w:w="2838" w:type="dxa"/>
                  <w:vAlign w:val="center"/>
                </w:tcPr>
                <w:p w14:paraId="57D90E81">
                  <w:pPr>
                    <w:spacing w:line="280" w:lineRule="exact"/>
                    <w:jc w:val="center"/>
                    <w:rPr>
                      <w:b/>
                      <w:color w:val="000000"/>
                      <w:szCs w:val="21"/>
                    </w:rPr>
                  </w:pPr>
                  <w:r>
                    <w:rPr>
                      <w:rFonts w:hint="eastAsia"/>
                      <w:b/>
                      <w:color w:val="000000"/>
                      <w:szCs w:val="21"/>
                    </w:rPr>
                    <w:t>标准名称</w:t>
                  </w:r>
                </w:p>
              </w:tc>
              <w:tc>
                <w:tcPr>
                  <w:tcW w:w="1657" w:type="dxa"/>
                  <w:vAlign w:val="center"/>
                </w:tcPr>
                <w:p w14:paraId="3D0E5B2E">
                  <w:pPr>
                    <w:spacing w:line="280" w:lineRule="exact"/>
                    <w:jc w:val="center"/>
                    <w:rPr>
                      <w:b/>
                      <w:color w:val="000000"/>
                      <w:szCs w:val="21"/>
                    </w:rPr>
                  </w:pPr>
                  <w:r>
                    <w:rPr>
                      <w:rFonts w:hint="eastAsia"/>
                      <w:b/>
                      <w:color w:val="000000"/>
                      <w:szCs w:val="21"/>
                    </w:rPr>
                    <w:t>厂界外声环境功能区类别</w:t>
                  </w:r>
                </w:p>
              </w:tc>
              <w:tc>
                <w:tcPr>
                  <w:tcW w:w="1328" w:type="dxa"/>
                  <w:vAlign w:val="center"/>
                </w:tcPr>
                <w:p w14:paraId="6ACCD843">
                  <w:pPr>
                    <w:spacing w:line="280" w:lineRule="exact"/>
                    <w:jc w:val="center"/>
                    <w:rPr>
                      <w:b/>
                      <w:color w:val="000000"/>
                      <w:szCs w:val="21"/>
                    </w:rPr>
                  </w:pPr>
                  <w:r>
                    <w:rPr>
                      <w:b/>
                      <w:color w:val="000000"/>
                      <w:szCs w:val="21"/>
                    </w:rPr>
                    <w:t>昼间dB(A)</w:t>
                  </w:r>
                </w:p>
              </w:tc>
              <w:tc>
                <w:tcPr>
                  <w:tcW w:w="1326" w:type="dxa"/>
                  <w:vAlign w:val="center"/>
                </w:tcPr>
                <w:p w14:paraId="4F917966">
                  <w:pPr>
                    <w:spacing w:line="280" w:lineRule="exact"/>
                    <w:jc w:val="center"/>
                    <w:rPr>
                      <w:b/>
                      <w:color w:val="000000"/>
                      <w:szCs w:val="21"/>
                    </w:rPr>
                  </w:pPr>
                  <w:r>
                    <w:rPr>
                      <w:b/>
                      <w:color w:val="000000"/>
                      <w:szCs w:val="21"/>
                    </w:rPr>
                    <w:t>夜间dB(A)</w:t>
                  </w:r>
                </w:p>
              </w:tc>
            </w:tr>
            <w:tr w14:paraId="24D04F6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945" w:type="dxa"/>
                  <w:vAlign w:val="center"/>
                </w:tcPr>
                <w:p w14:paraId="4B9E1438">
                  <w:pPr>
                    <w:spacing w:line="280" w:lineRule="exact"/>
                    <w:jc w:val="center"/>
                    <w:rPr>
                      <w:color w:val="000000"/>
                      <w:szCs w:val="21"/>
                    </w:rPr>
                  </w:pPr>
                  <w:r>
                    <w:rPr>
                      <w:rFonts w:hint="eastAsia"/>
                      <w:color w:val="000000"/>
                      <w:kern w:val="0"/>
                    </w:rPr>
                    <w:t>运营期</w:t>
                  </w:r>
                </w:p>
              </w:tc>
              <w:tc>
                <w:tcPr>
                  <w:tcW w:w="2838" w:type="dxa"/>
                  <w:vAlign w:val="center"/>
                </w:tcPr>
                <w:p w14:paraId="0A7A9179">
                  <w:pPr>
                    <w:spacing w:line="280" w:lineRule="exact"/>
                    <w:jc w:val="center"/>
                    <w:rPr>
                      <w:color w:val="000000"/>
                      <w:szCs w:val="21"/>
                    </w:rPr>
                  </w:pPr>
                  <w:r>
                    <w:rPr>
                      <w:rFonts w:hint="eastAsia"/>
                      <w:color w:val="000000"/>
                      <w:szCs w:val="21"/>
                    </w:rPr>
                    <w:t>《工业企业厂界环境噪声</w:t>
                  </w:r>
                </w:p>
                <w:p w14:paraId="1B2B7C5E">
                  <w:pPr>
                    <w:spacing w:line="280" w:lineRule="exact"/>
                    <w:jc w:val="center"/>
                    <w:rPr>
                      <w:color w:val="000000"/>
                      <w:szCs w:val="21"/>
                    </w:rPr>
                  </w:pPr>
                  <w:r>
                    <w:rPr>
                      <w:rFonts w:hint="eastAsia"/>
                      <w:color w:val="000000"/>
                      <w:szCs w:val="21"/>
                    </w:rPr>
                    <w:t>排放标准》（GB12348-2008）</w:t>
                  </w:r>
                </w:p>
              </w:tc>
              <w:tc>
                <w:tcPr>
                  <w:tcW w:w="1657" w:type="dxa"/>
                  <w:vAlign w:val="center"/>
                </w:tcPr>
                <w:p w14:paraId="6E4ED878">
                  <w:pPr>
                    <w:spacing w:line="280" w:lineRule="exact"/>
                    <w:jc w:val="center"/>
                    <w:rPr>
                      <w:color w:val="000000"/>
                      <w:szCs w:val="21"/>
                    </w:rPr>
                  </w:pPr>
                  <w:r>
                    <w:rPr>
                      <w:rFonts w:hint="eastAsia"/>
                      <w:color w:val="000000"/>
                      <w:szCs w:val="21"/>
                    </w:rPr>
                    <w:t>3类</w:t>
                  </w:r>
                </w:p>
              </w:tc>
              <w:tc>
                <w:tcPr>
                  <w:tcW w:w="1328" w:type="dxa"/>
                  <w:vAlign w:val="center"/>
                </w:tcPr>
                <w:p w14:paraId="61D367E1">
                  <w:pPr>
                    <w:spacing w:line="280" w:lineRule="exact"/>
                    <w:jc w:val="center"/>
                    <w:rPr>
                      <w:color w:val="000000"/>
                      <w:szCs w:val="21"/>
                    </w:rPr>
                  </w:pPr>
                  <w:r>
                    <w:rPr>
                      <w:color w:val="000000"/>
                      <w:szCs w:val="21"/>
                    </w:rPr>
                    <w:t>65</w:t>
                  </w:r>
                </w:p>
              </w:tc>
              <w:tc>
                <w:tcPr>
                  <w:tcW w:w="1326" w:type="dxa"/>
                  <w:vAlign w:val="center"/>
                </w:tcPr>
                <w:p w14:paraId="06451F59">
                  <w:pPr>
                    <w:spacing w:line="280" w:lineRule="exact"/>
                    <w:jc w:val="center"/>
                    <w:rPr>
                      <w:color w:val="000000"/>
                      <w:szCs w:val="21"/>
                    </w:rPr>
                  </w:pPr>
                  <w:r>
                    <w:rPr>
                      <w:color w:val="000000"/>
                      <w:szCs w:val="21"/>
                    </w:rPr>
                    <w:t>55</w:t>
                  </w:r>
                </w:p>
              </w:tc>
            </w:tr>
            <w:tr w14:paraId="203A67C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945" w:type="dxa"/>
                  <w:vAlign w:val="center"/>
                </w:tcPr>
                <w:p w14:paraId="66840E58">
                  <w:pPr>
                    <w:spacing w:line="280" w:lineRule="exact"/>
                    <w:jc w:val="center"/>
                    <w:rPr>
                      <w:color w:val="000000"/>
                      <w:kern w:val="0"/>
                    </w:rPr>
                  </w:pPr>
                  <w:r>
                    <w:rPr>
                      <w:rFonts w:hint="eastAsia"/>
                      <w:color w:val="000000"/>
                      <w:kern w:val="0"/>
                    </w:rPr>
                    <w:t>施工期</w:t>
                  </w:r>
                </w:p>
              </w:tc>
              <w:tc>
                <w:tcPr>
                  <w:tcW w:w="2838" w:type="dxa"/>
                  <w:vAlign w:val="center"/>
                </w:tcPr>
                <w:p w14:paraId="73272892">
                  <w:pPr>
                    <w:spacing w:line="280" w:lineRule="exact"/>
                    <w:jc w:val="center"/>
                    <w:rPr>
                      <w:color w:val="000000"/>
                      <w:szCs w:val="21"/>
                    </w:rPr>
                  </w:pPr>
                  <w:r>
                    <w:rPr>
                      <w:rFonts w:hint="eastAsia"/>
                      <w:color w:val="000000"/>
                      <w:szCs w:val="21"/>
                    </w:rPr>
                    <w:t>《建筑施工厂界环境噪声排放标准》（GB12523-2011）</w:t>
                  </w:r>
                </w:p>
              </w:tc>
              <w:tc>
                <w:tcPr>
                  <w:tcW w:w="1657" w:type="dxa"/>
                  <w:vAlign w:val="center"/>
                </w:tcPr>
                <w:p w14:paraId="404C6ABE">
                  <w:pPr>
                    <w:spacing w:line="280" w:lineRule="exact"/>
                    <w:jc w:val="center"/>
                    <w:rPr>
                      <w:color w:val="000000"/>
                      <w:szCs w:val="21"/>
                    </w:rPr>
                  </w:pPr>
                  <w:r>
                    <w:rPr>
                      <w:rFonts w:hint="eastAsia"/>
                      <w:color w:val="000000"/>
                      <w:szCs w:val="21"/>
                    </w:rPr>
                    <w:t>/</w:t>
                  </w:r>
                </w:p>
              </w:tc>
              <w:tc>
                <w:tcPr>
                  <w:tcW w:w="1328" w:type="dxa"/>
                  <w:vAlign w:val="center"/>
                </w:tcPr>
                <w:p w14:paraId="4EA7BEAF">
                  <w:pPr>
                    <w:spacing w:line="280" w:lineRule="exact"/>
                    <w:jc w:val="center"/>
                    <w:rPr>
                      <w:color w:val="000000"/>
                      <w:szCs w:val="21"/>
                    </w:rPr>
                  </w:pPr>
                  <w:r>
                    <w:rPr>
                      <w:rFonts w:hint="eastAsia"/>
                      <w:color w:val="000000"/>
                      <w:szCs w:val="21"/>
                    </w:rPr>
                    <w:t>70</w:t>
                  </w:r>
                </w:p>
              </w:tc>
              <w:tc>
                <w:tcPr>
                  <w:tcW w:w="1326" w:type="dxa"/>
                  <w:vAlign w:val="center"/>
                </w:tcPr>
                <w:p w14:paraId="144B1A3E">
                  <w:pPr>
                    <w:spacing w:line="280" w:lineRule="exact"/>
                    <w:jc w:val="center"/>
                    <w:rPr>
                      <w:color w:val="000000"/>
                      <w:szCs w:val="21"/>
                    </w:rPr>
                  </w:pPr>
                  <w:r>
                    <w:rPr>
                      <w:rFonts w:hint="eastAsia"/>
                      <w:color w:val="000000"/>
                      <w:szCs w:val="21"/>
                    </w:rPr>
                    <w:t>55</w:t>
                  </w:r>
                </w:p>
              </w:tc>
            </w:tr>
          </w:tbl>
          <w:p w14:paraId="7BAB4FE5">
            <w:pPr>
              <w:spacing w:line="500" w:lineRule="exact"/>
              <w:ind w:firstLine="482" w:firstLineChars="200"/>
              <w:rPr>
                <w:b/>
                <w:sz w:val="24"/>
              </w:rPr>
            </w:pPr>
            <w:r>
              <w:rPr>
                <w:rFonts w:hint="eastAsia"/>
                <w:b/>
                <w:sz w:val="24"/>
              </w:rPr>
              <w:t>4</w:t>
            </w:r>
            <w:r>
              <w:rPr>
                <w:b/>
                <w:sz w:val="24"/>
              </w:rPr>
              <w:t>、固废环境污染</w:t>
            </w:r>
          </w:p>
          <w:p w14:paraId="7624FCE6">
            <w:pPr>
              <w:spacing w:line="500" w:lineRule="exact"/>
              <w:ind w:firstLine="480" w:firstLineChars="200"/>
              <w:rPr>
                <w:bCs/>
                <w:sz w:val="24"/>
                <w:lang w:bidi="ar"/>
              </w:rPr>
            </w:pPr>
            <w:r>
              <w:rPr>
                <w:bCs/>
                <w:sz w:val="24"/>
                <w:lang w:bidi="ar"/>
              </w:rPr>
              <w:t>固体废物鉴别执行《固体废物鉴别标准通则》（GB</w:t>
            </w:r>
            <w:r>
              <w:rPr>
                <w:rFonts w:hint="eastAsia"/>
                <w:bCs/>
                <w:sz w:val="24"/>
                <w:lang w:bidi="ar"/>
              </w:rPr>
              <w:t xml:space="preserve"> </w:t>
            </w:r>
            <w:r>
              <w:rPr>
                <w:bCs/>
                <w:sz w:val="24"/>
                <w:lang w:bidi="ar"/>
              </w:rPr>
              <w:t>34330—2017），危险废物鉴别执行《国家危险废物名录》（202</w:t>
            </w:r>
            <w:r>
              <w:rPr>
                <w:rFonts w:hint="eastAsia"/>
                <w:bCs/>
                <w:sz w:val="24"/>
                <w:lang w:bidi="ar"/>
              </w:rPr>
              <w:t>5</w:t>
            </w:r>
            <w:r>
              <w:rPr>
                <w:bCs/>
                <w:sz w:val="24"/>
                <w:lang w:bidi="ar"/>
              </w:rPr>
              <w:t>版）和《危险废物鉴别标准通则》（GB</w:t>
            </w:r>
            <w:r>
              <w:rPr>
                <w:rFonts w:hint="eastAsia"/>
                <w:bCs/>
                <w:sz w:val="24"/>
                <w:lang w:bidi="ar"/>
              </w:rPr>
              <w:t xml:space="preserve"> </w:t>
            </w:r>
            <w:r>
              <w:rPr>
                <w:bCs/>
                <w:sz w:val="24"/>
                <w:lang w:bidi="ar"/>
              </w:rPr>
              <w:t>5085.7-2019）。</w:t>
            </w:r>
          </w:p>
          <w:p w14:paraId="0406F560">
            <w:pPr>
              <w:spacing w:line="500" w:lineRule="exact"/>
              <w:ind w:firstLine="480" w:firstLineChars="200"/>
              <w:rPr>
                <w:bCs/>
                <w:sz w:val="24"/>
                <w:lang w:bidi="ar"/>
              </w:rPr>
            </w:pPr>
            <w:r>
              <w:rPr>
                <w:bCs/>
                <w:sz w:val="24"/>
                <w:lang w:bidi="ar"/>
              </w:rPr>
              <w:t>一般固废贮存管理参照《一般工业固体废物贮存</w:t>
            </w:r>
            <w:r>
              <w:rPr>
                <w:rFonts w:hint="eastAsia"/>
                <w:bCs/>
                <w:sz w:val="24"/>
                <w:lang w:bidi="ar"/>
              </w:rPr>
              <w:t>和填埋</w:t>
            </w:r>
            <w:r>
              <w:rPr>
                <w:bCs/>
                <w:sz w:val="24"/>
                <w:lang w:bidi="ar"/>
              </w:rPr>
              <w:t>污染控制标准》（GB 18599-2020）。</w:t>
            </w:r>
          </w:p>
          <w:p w14:paraId="1A00140E">
            <w:pPr>
              <w:spacing w:line="500" w:lineRule="exact"/>
              <w:ind w:firstLine="480" w:firstLineChars="200"/>
              <w:rPr>
                <w:bCs/>
                <w:sz w:val="24"/>
                <w:lang w:bidi="ar"/>
              </w:rPr>
            </w:pPr>
            <w:r>
              <w:rPr>
                <w:rFonts w:hint="eastAsia"/>
                <w:bCs/>
                <w:sz w:val="24"/>
                <w:lang w:bidi="ar"/>
              </w:rPr>
              <w:t>危险废物管理执行《危险废物收集、贮存、运输技术规范》（HJ 2025-2012）、《危险废物贮存污染控制标准》（GB 18597-2023）。</w:t>
            </w:r>
          </w:p>
          <w:p w14:paraId="100E2F10">
            <w:pPr>
              <w:adjustRightInd w:val="0"/>
              <w:snapToGrid w:val="0"/>
              <w:jc w:val="center"/>
              <w:rPr>
                <w:rFonts w:ascii="宋体" w:hAnsi="宋体" w:cs="宋体"/>
                <w:kern w:val="0"/>
                <w:szCs w:val="21"/>
              </w:rPr>
            </w:pPr>
          </w:p>
        </w:tc>
      </w:tr>
      <w:tr w14:paraId="6AFDC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680" w:type="dxa"/>
            <w:vAlign w:val="center"/>
          </w:tcPr>
          <w:p w14:paraId="507C3770">
            <w:pPr>
              <w:adjustRightInd w:val="0"/>
              <w:snapToGrid w:val="0"/>
              <w:jc w:val="center"/>
              <w:rPr>
                <w:rFonts w:ascii="宋体" w:hAnsi="宋体" w:cs="宋体"/>
                <w:kern w:val="0"/>
                <w:szCs w:val="21"/>
              </w:rPr>
            </w:pPr>
            <w:r>
              <w:rPr>
                <w:rFonts w:hint="eastAsia" w:ascii="宋体" w:hAnsi="宋体" w:cs="宋体"/>
                <w:kern w:val="0"/>
                <w:szCs w:val="21"/>
              </w:rPr>
              <w:t>总量</w:t>
            </w:r>
          </w:p>
          <w:p w14:paraId="486790F0">
            <w:pPr>
              <w:adjustRightInd w:val="0"/>
              <w:snapToGrid w:val="0"/>
              <w:jc w:val="center"/>
              <w:rPr>
                <w:rFonts w:ascii="宋体" w:hAnsi="宋体" w:cs="宋体"/>
                <w:kern w:val="0"/>
                <w:szCs w:val="21"/>
              </w:rPr>
            </w:pPr>
            <w:r>
              <w:rPr>
                <w:rFonts w:hint="eastAsia" w:ascii="宋体" w:hAnsi="宋体" w:cs="宋体"/>
                <w:kern w:val="0"/>
                <w:szCs w:val="21"/>
              </w:rPr>
              <w:t>控制</w:t>
            </w:r>
          </w:p>
          <w:p w14:paraId="48302B71">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310" w:type="dxa"/>
            <w:vAlign w:val="center"/>
          </w:tcPr>
          <w:p w14:paraId="7AFF693C">
            <w:pPr>
              <w:widowControl/>
              <w:jc w:val="left"/>
              <w:rPr>
                <w:rFonts w:ascii="瀹嬩綋" w:hAnsi="瀹嬩綋" w:eastAsia="瀹嬩綋" w:cs="瀹嬩綋"/>
                <w:color w:val="000000"/>
                <w:kern w:val="0"/>
                <w:szCs w:val="21"/>
                <w:lang w:bidi="ar"/>
              </w:rPr>
            </w:pPr>
            <w:r>
              <w:rPr>
                <w:rFonts w:ascii="瀹嬩綋" w:hAnsi="瀹嬩綋" w:eastAsia="瀹嬩綋" w:cs="瀹嬩綋"/>
                <w:color w:val="000000"/>
                <w:kern w:val="0"/>
                <w:szCs w:val="21"/>
                <w:lang w:bidi="ar"/>
              </w:rPr>
              <w:t>根据项目的污染物排放总量，建议项目的总量控制指标按下表执行：</w:t>
            </w:r>
          </w:p>
          <w:p w14:paraId="3375252C">
            <w:pPr>
              <w:widowControl/>
              <w:jc w:val="center"/>
            </w:pPr>
            <w:r>
              <w:rPr>
                <w:rFonts w:ascii="瀹嬩綋" w:hAnsi="瀹嬩綋" w:eastAsia="瀹嬩綋" w:cs="瀹嬩綋"/>
                <w:b/>
                <w:bCs/>
                <w:color w:val="000000"/>
                <w:kern w:val="0"/>
                <w:szCs w:val="21"/>
                <w:lang w:bidi="ar"/>
              </w:rPr>
              <w:t>表</w:t>
            </w:r>
            <w:r>
              <w:rPr>
                <w:rFonts w:hint="eastAsia"/>
                <w:b/>
                <w:bCs/>
                <w:color w:val="000000"/>
                <w:kern w:val="0"/>
                <w:szCs w:val="21"/>
                <w:lang w:bidi="ar"/>
              </w:rPr>
              <w:t>3-10</w:t>
            </w:r>
            <w:r>
              <w:rPr>
                <w:b/>
                <w:bCs/>
                <w:color w:val="000000"/>
                <w:kern w:val="0"/>
                <w:szCs w:val="21"/>
                <w:lang w:bidi="ar"/>
              </w:rPr>
              <w:t xml:space="preserve"> </w:t>
            </w:r>
            <w:r>
              <w:rPr>
                <w:rFonts w:ascii="瀹嬩綋" w:hAnsi="瀹嬩綋" w:eastAsia="瀹嬩綋" w:cs="瀹嬩綋"/>
                <w:b/>
                <w:bCs/>
                <w:color w:val="000000"/>
                <w:kern w:val="0"/>
                <w:szCs w:val="21"/>
                <w:lang w:bidi="ar"/>
              </w:rPr>
              <w:t>项目总量控制建议指标</w:t>
            </w:r>
          </w:p>
          <w:tbl>
            <w:tblPr>
              <w:tblStyle w:val="22"/>
              <w:tblW w:w="8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1349"/>
              <w:gridCol w:w="1349"/>
              <w:gridCol w:w="1349"/>
              <w:gridCol w:w="1349"/>
              <w:gridCol w:w="1349"/>
            </w:tblGrid>
            <w:tr w14:paraId="7F0D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restart"/>
                  <w:vAlign w:val="center"/>
                </w:tcPr>
                <w:p w14:paraId="301FE4EC">
                  <w:pPr>
                    <w:widowControl/>
                    <w:jc w:val="center"/>
                    <w:rPr>
                      <w:rFonts w:ascii="瀹嬩綋" w:hAnsi="瀹嬩綋" w:eastAsia="瀹嬩綋" w:cs="瀹嬩綋"/>
                      <w:color w:val="000000"/>
                      <w:kern w:val="0"/>
                      <w:szCs w:val="21"/>
                      <w:lang w:bidi="ar"/>
                    </w:rPr>
                  </w:pPr>
                  <w:r>
                    <w:rPr>
                      <w:rFonts w:hint="eastAsia" w:ascii="瀹嬩綋" w:hAnsi="瀹嬩綋" w:eastAsia="瀹嬩綋" w:cs="瀹嬩綋"/>
                      <w:color w:val="000000"/>
                      <w:kern w:val="0"/>
                      <w:szCs w:val="21"/>
                      <w:lang w:bidi="ar"/>
                    </w:rPr>
                    <w:t>污染物</w:t>
                  </w:r>
                </w:p>
              </w:tc>
              <w:tc>
                <w:tcPr>
                  <w:tcW w:w="1349" w:type="dxa"/>
                  <w:vMerge w:val="restart"/>
                  <w:vAlign w:val="center"/>
                </w:tcPr>
                <w:p w14:paraId="529E06B4">
                  <w:pPr>
                    <w:widowControl/>
                    <w:jc w:val="center"/>
                    <w:rPr>
                      <w:rFonts w:ascii="瀹嬩綋" w:hAnsi="瀹嬩綋" w:eastAsia="瀹嬩綋" w:cs="瀹嬩綋"/>
                      <w:color w:val="000000"/>
                      <w:kern w:val="0"/>
                      <w:szCs w:val="21"/>
                      <w:lang w:bidi="ar"/>
                    </w:rPr>
                  </w:pPr>
                  <w:r>
                    <w:rPr>
                      <w:rFonts w:ascii="瀹嬩綋" w:hAnsi="瀹嬩綋" w:eastAsia="瀹嬩綋" w:cs="瀹嬩綋"/>
                      <w:b/>
                      <w:bCs/>
                      <w:color w:val="000000"/>
                      <w:kern w:val="0"/>
                      <w:szCs w:val="21"/>
                      <w:lang w:bidi="ar"/>
                    </w:rPr>
                    <w:t>要素</w:t>
                  </w:r>
                </w:p>
              </w:tc>
              <w:tc>
                <w:tcPr>
                  <w:tcW w:w="2698" w:type="dxa"/>
                  <w:gridSpan w:val="2"/>
                  <w:vAlign w:val="center"/>
                </w:tcPr>
                <w:p w14:paraId="1374007C">
                  <w:pPr>
                    <w:widowControl/>
                    <w:jc w:val="center"/>
                    <w:rPr>
                      <w:rFonts w:ascii="瀹嬩綋" w:hAnsi="瀹嬩綋" w:eastAsia="瀹嬩綋" w:cs="瀹嬩綋"/>
                      <w:color w:val="000000"/>
                      <w:kern w:val="0"/>
                      <w:szCs w:val="21"/>
                      <w:lang w:bidi="ar"/>
                    </w:rPr>
                  </w:pPr>
                  <w:r>
                    <w:rPr>
                      <w:rFonts w:ascii="瀹嬩綋" w:hAnsi="瀹嬩綋" w:eastAsia="瀹嬩綋" w:cs="瀹嬩綋"/>
                      <w:b/>
                      <w:bCs/>
                      <w:color w:val="000000"/>
                      <w:kern w:val="0"/>
                      <w:szCs w:val="21"/>
                      <w:lang w:bidi="ar"/>
                    </w:rPr>
                    <w:t>排放量</w:t>
                  </w:r>
                </w:p>
              </w:tc>
              <w:tc>
                <w:tcPr>
                  <w:tcW w:w="1349" w:type="dxa"/>
                  <w:vMerge w:val="restart"/>
                  <w:vAlign w:val="center"/>
                </w:tcPr>
                <w:p w14:paraId="64434766">
                  <w:pPr>
                    <w:widowControl/>
                    <w:jc w:val="center"/>
                    <w:rPr>
                      <w:rFonts w:ascii="瀹嬩綋" w:hAnsi="瀹嬩綋" w:eastAsia="瀹嬩綋" w:cs="瀹嬩綋"/>
                      <w:color w:val="000000"/>
                      <w:kern w:val="0"/>
                      <w:szCs w:val="21"/>
                      <w:lang w:bidi="ar"/>
                    </w:rPr>
                  </w:pPr>
                  <w:r>
                    <w:rPr>
                      <w:rFonts w:ascii="瀹嬩綋" w:hAnsi="瀹嬩綋" w:eastAsia="瀹嬩綋" w:cs="瀹嬩綋"/>
                      <w:b/>
                      <w:bCs/>
                      <w:color w:val="000000"/>
                      <w:kern w:val="0"/>
                      <w:szCs w:val="21"/>
                      <w:lang w:bidi="ar"/>
                    </w:rPr>
                    <w:t>总量控制量</w:t>
                  </w:r>
                </w:p>
              </w:tc>
              <w:tc>
                <w:tcPr>
                  <w:tcW w:w="1349" w:type="dxa"/>
                  <w:vMerge w:val="restart"/>
                  <w:vAlign w:val="center"/>
                </w:tcPr>
                <w:p w14:paraId="0416F04C">
                  <w:pPr>
                    <w:widowControl/>
                    <w:jc w:val="center"/>
                    <w:rPr>
                      <w:rFonts w:ascii="瀹嬩綋" w:hAnsi="瀹嬩綋" w:eastAsia="瀹嬩綋" w:cs="瀹嬩綋"/>
                      <w:color w:val="000000"/>
                      <w:kern w:val="0"/>
                      <w:szCs w:val="21"/>
                      <w:lang w:bidi="ar"/>
                    </w:rPr>
                  </w:pPr>
                  <w:r>
                    <w:rPr>
                      <w:rFonts w:ascii="瀹嬩綋" w:hAnsi="瀹嬩綋" w:eastAsia="瀹嬩綋" w:cs="瀹嬩綋"/>
                      <w:b/>
                      <w:bCs/>
                      <w:color w:val="000000"/>
                      <w:kern w:val="0"/>
                      <w:szCs w:val="21"/>
                      <w:lang w:bidi="ar"/>
                    </w:rPr>
                    <w:t>备注</w:t>
                  </w:r>
                </w:p>
              </w:tc>
            </w:tr>
            <w:tr w14:paraId="1CCF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14:paraId="391FA32D">
                  <w:pPr>
                    <w:widowControl/>
                    <w:jc w:val="center"/>
                    <w:rPr>
                      <w:rFonts w:ascii="瀹嬩綋" w:hAnsi="瀹嬩綋" w:eastAsia="瀹嬩綋" w:cs="瀹嬩綋"/>
                      <w:color w:val="000000"/>
                      <w:kern w:val="0"/>
                      <w:szCs w:val="21"/>
                      <w:lang w:bidi="ar"/>
                    </w:rPr>
                  </w:pPr>
                </w:p>
              </w:tc>
              <w:tc>
                <w:tcPr>
                  <w:tcW w:w="1349" w:type="dxa"/>
                  <w:vMerge w:val="continue"/>
                  <w:vAlign w:val="center"/>
                </w:tcPr>
                <w:p w14:paraId="0DC3CFA4">
                  <w:pPr>
                    <w:widowControl/>
                    <w:jc w:val="center"/>
                    <w:rPr>
                      <w:rFonts w:ascii="瀹嬩綋" w:hAnsi="瀹嬩綋" w:eastAsia="瀹嬩綋" w:cs="瀹嬩綋"/>
                      <w:color w:val="000000"/>
                      <w:kern w:val="0"/>
                      <w:szCs w:val="21"/>
                      <w:lang w:bidi="ar"/>
                    </w:rPr>
                  </w:pPr>
                </w:p>
              </w:tc>
              <w:tc>
                <w:tcPr>
                  <w:tcW w:w="1349" w:type="dxa"/>
                  <w:vAlign w:val="center"/>
                </w:tcPr>
                <w:p w14:paraId="2C017556">
                  <w:pPr>
                    <w:widowControl/>
                    <w:jc w:val="center"/>
                    <w:rPr>
                      <w:rFonts w:ascii="瀹嬩綋" w:hAnsi="瀹嬩綋" w:eastAsia="瀹嬩綋" w:cs="瀹嬩綋"/>
                      <w:color w:val="000000"/>
                      <w:kern w:val="0"/>
                      <w:szCs w:val="21"/>
                      <w:lang w:bidi="ar"/>
                    </w:rPr>
                  </w:pPr>
                  <w:r>
                    <w:rPr>
                      <w:rFonts w:ascii="瀹嬩綋" w:hAnsi="瀹嬩綋" w:eastAsia="瀹嬩綋" w:cs="瀹嬩綋"/>
                      <w:b/>
                      <w:bCs/>
                      <w:color w:val="000000"/>
                      <w:kern w:val="0"/>
                      <w:szCs w:val="21"/>
                      <w:lang w:bidi="ar"/>
                    </w:rPr>
                    <w:t>有组织</w:t>
                  </w:r>
                </w:p>
              </w:tc>
              <w:tc>
                <w:tcPr>
                  <w:tcW w:w="1349" w:type="dxa"/>
                  <w:vAlign w:val="center"/>
                </w:tcPr>
                <w:p w14:paraId="4EFF24E8">
                  <w:pPr>
                    <w:widowControl/>
                    <w:jc w:val="center"/>
                    <w:rPr>
                      <w:rFonts w:ascii="瀹嬩綋" w:hAnsi="瀹嬩綋" w:eastAsia="瀹嬩綋" w:cs="瀹嬩綋"/>
                      <w:color w:val="000000"/>
                      <w:kern w:val="0"/>
                      <w:szCs w:val="21"/>
                      <w:lang w:bidi="ar"/>
                    </w:rPr>
                  </w:pPr>
                  <w:r>
                    <w:rPr>
                      <w:rFonts w:ascii="瀹嬩綋" w:hAnsi="瀹嬩綋" w:eastAsia="瀹嬩綋" w:cs="瀹嬩綋"/>
                      <w:b/>
                      <w:bCs/>
                      <w:color w:val="000000"/>
                      <w:kern w:val="0"/>
                      <w:szCs w:val="21"/>
                      <w:lang w:bidi="ar"/>
                    </w:rPr>
                    <w:t>无组织</w:t>
                  </w:r>
                </w:p>
              </w:tc>
              <w:tc>
                <w:tcPr>
                  <w:tcW w:w="1349" w:type="dxa"/>
                  <w:vMerge w:val="continue"/>
                  <w:vAlign w:val="center"/>
                </w:tcPr>
                <w:p w14:paraId="2D37A8C1">
                  <w:pPr>
                    <w:widowControl/>
                    <w:jc w:val="center"/>
                    <w:rPr>
                      <w:rFonts w:ascii="瀹嬩綋" w:hAnsi="瀹嬩綋" w:eastAsia="瀹嬩綋" w:cs="瀹嬩綋"/>
                      <w:color w:val="000000"/>
                      <w:kern w:val="0"/>
                      <w:szCs w:val="21"/>
                      <w:lang w:bidi="ar"/>
                    </w:rPr>
                  </w:pPr>
                </w:p>
              </w:tc>
              <w:tc>
                <w:tcPr>
                  <w:tcW w:w="1349" w:type="dxa"/>
                  <w:vMerge w:val="continue"/>
                  <w:vAlign w:val="center"/>
                </w:tcPr>
                <w:p w14:paraId="4B51D119">
                  <w:pPr>
                    <w:widowControl/>
                    <w:jc w:val="center"/>
                    <w:rPr>
                      <w:rFonts w:ascii="瀹嬩綋" w:hAnsi="瀹嬩綋" w:eastAsia="瀹嬩綋" w:cs="瀹嬩綋"/>
                      <w:color w:val="000000"/>
                      <w:kern w:val="0"/>
                      <w:szCs w:val="21"/>
                      <w:lang w:bidi="ar"/>
                    </w:rPr>
                  </w:pPr>
                </w:p>
              </w:tc>
            </w:tr>
            <w:tr w14:paraId="7AA1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restart"/>
                  <w:vAlign w:val="center"/>
                </w:tcPr>
                <w:p w14:paraId="62B5C4DC">
                  <w:pPr>
                    <w:widowControl/>
                    <w:jc w:val="center"/>
                  </w:pPr>
                  <w:r>
                    <w:rPr>
                      <w:rFonts w:ascii="瀹嬩綋" w:hAnsi="瀹嬩綋" w:eastAsia="瀹嬩綋" w:cs="瀹嬩綋"/>
                      <w:color w:val="000000"/>
                      <w:kern w:val="0"/>
                      <w:szCs w:val="21"/>
                      <w:lang w:bidi="ar"/>
                    </w:rPr>
                    <w:t>生活</w:t>
                  </w:r>
                </w:p>
                <w:p w14:paraId="724E09E1">
                  <w:pPr>
                    <w:widowControl/>
                    <w:jc w:val="center"/>
                    <w:rPr>
                      <w:rFonts w:ascii="瀹嬩綋" w:hAnsi="瀹嬩綋" w:eastAsia="瀹嬩綋" w:cs="瀹嬩綋"/>
                      <w:color w:val="000000"/>
                      <w:kern w:val="0"/>
                      <w:szCs w:val="21"/>
                      <w:lang w:bidi="ar"/>
                    </w:rPr>
                  </w:pPr>
                  <w:r>
                    <w:rPr>
                      <w:rFonts w:ascii="瀹嬩綋" w:hAnsi="瀹嬩綋" w:eastAsia="瀹嬩綋" w:cs="瀹嬩綋"/>
                      <w:color w:val="000000"/>
                      <w:kern w:val="0"/>
                      <w:szCs w:val="21"/>
                      <w:lang w:bidi="ar"/>
                    </w:rPr>
                    <w:t>污水</w:t>
                  </w:r>
                </w:p>
              </w:tc>
              <w:tc>
                <w:tcPr>
                  <w:tcW w:w="1349" w:type="dxa"/>
                  <w:vAlign w:val="center"/>
                </w:tcPr>
                <w:p w14:paraId="36DDF466">
                  <w:pPr>
                    <w:widowControl/>
                    <w:jc w:val="center"/>
                    <w:rPr>
                      <w:rFonts w:ascii="瀹嬩綋" w:hAnsi="瀹嬩綋" w:eastAsia="瀹嬩綋" w:cs="瀹嬩綋"/>
                      <w:color w:val="000000"/>
                      <w:kern w:val="0"/>
                      <w:szCs w:val="21"/>
                      <w:lang w:bidi="ar"/>
                    </w:rPr>
                  </w:pPr>
                  <w:r>
                    <w:rPr>
                      <w:rFonts w:ascii="瀹嬩綋" w:hAnsi="瀹嬩綋" w:eastAsia="瀹嬩綋" w:cs="瀹嬩綋"/>
                      <w:color w:val="000000"/>
                      <w:kern w:val="0"/>
                      <w:szCs w:val="21"/>
                      <w:lang w:bidi="ar"/>
                    </w:rPr>
                    <w:t>废水量</w:t>
                  </w:r>
                </w:p>
              </w:tc>
              <w:tc>
                <w:tcPr>
                  <w:tcW w:w="2698" w:type="dxa"/>
                  <w:gridSpan w:val="2"/>
                  <w:vAlign w:val="center"/>
                </w:tcPr>
                <w:p w14:paraId="7BF5CA0A">
                  <w:pPr>
                    <w:widowControl/>
                    <w:jc w:val="center"/>
                    <w:rPr>
                      <w:rFonts w:ascii="瀹嬩綋" w:hAnsi="瀹嬩綋" w:eastAsia="瀹嬩綋" w:cs="瀹嬩綋"/>
                      <w:color w:val="000000"/>
                      <w:kern w:val="0"/>
                      <w:szCs w:val="21"/>
                      <w:lang w:bidi="ar"/>
                    </w:rPr>
                  </w:pPr>
                  <w:r>
                    <w:rPr>
                      <w:rFonts w:hint="eastAsia"/>
                      <w:color w:val="000000"/>
                      <w:kern w:val="0"/>
                      <w:szCs w:val="21"/>
                      <w:lang w:bidi="ar"/>
                    </w:rPr>
                    <w:t xml:space="preserve">1440 </w:t>
                  </w:r>
                  <w:r>
                    <w:rPr>
                      <w:color w:val="000000"/>
                      <w:kern w:val="0"/>
                      <w:szCs w:val="21"/>
                      <w:lang w:bidi="ar"/>
                    </w:rPr>
                    <w:t>t/a</w:t>
                  </w:r>
                </w:p>
              </w:tc>
              <w:tc>
                <w:tcPr>
                  <w:tcW w:w="1349" w:type="dxa"/>
                  <w:vAlign w:val="center"/>
                </w:tcPr>
                <w:p w14:paraId="1F54CB6F">
                  <w:pPr>
                    <w:widowControl/>
                    <w:jc w:val="center"/>
                    <w:rPr>
                      <w:rFonts w:ascii="瀹嬩綋" w:hAnsi="瀹嬩綋" w:eastAsia="瀹嬩綋" w:cs="瀹嬩綋"/>
                      <w:color w:val="000000"/>
                      <w:kern w:val="0"/>
                      <w:szCs w:val="21"/>
                      <w:lang w:bidi="ar"/>
                    </w:rPr>
                  </w:pPr>
                  <w:r>
                    <w:rPr>
                      <w:rFonts w:hint="eastAsia"/>
                      <w:color w:val="000000"/>
                      <w:kern w:val="0"/>
                      <w:szCs w:val="21"/>
                      <w:lang w:bidi="ar"/>
                    </w:rPr>
                    <w:t xml:space="preserve">1440 </w:t>
                  </w:r>
                  <w:r>
                    <w:rPr>
                      <w:color w:val="000000"/>
                      <w:kern w:val="0"/>
                      <w:szCs w:val="21"/>
                      <w:lang w:bidi="ar"/>
                    </w:rPr>
                    <w:t>t/a</w:t>
                  </w:r>
                </w:p>
              </w:tc>
              <w:tc>
                <w:tcPr>
                  <w:tcW w:w="1349" w:type="dxa"/>
                  <w:vMerge w:val="restart"/>
                  <w:vAlign w:val="center"/>
                </w:tcPr>
                <w:p w14:paraId="130D2716">
                  <w:pPr>
                    <w:widowControl/>
                    <w:jc w:val="center"/>
                    <w:rPr>
                      <w:rFonts w:ascii="瀹嬩綋" w:hAnsi="瀹嬩綋" w:eastAsia="瀹嬩綋" w:cs="瀹嬩綋"/>
                      <w:color w:val="000000"/>
                      <w:kern w:val="0"/>
                      <w:szCs w:val="21"/>
                      <w:lang w:bidi="ar"/>
                    </w:rPr>
                  </w:pPr>
                  <w:r>
                    <w:rPr>
                      <w:rFonts w:ascii="瀹嬩綋" w:hAnsi="瀹嬩綋" w:eastAsia="瀹嬩綋" w:cs="瀹嬩綋"/>
                      <w:color w:val="000000"/>
                      <w:kern w:val="0"/>
                      <w:szCs w:val="21"/>
                      <w:lang w:bidi="ar"/>
                    </w:rPr>
                    <w:t>纳入污水处理厂的总量中进行控制</w:t>
                  </w:r>
                </w:p>
              </w:tc>
            </w:tr>
            <w:tr w14:paraId="4082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14:paraId="14852828">
                  <w:pPr>
                    <w:widowControl/>
                    <w:jc w:val="center"/>
                    <w:rPr>
                      <w:rFonts w:ascii="瀹嬩綋" w:hAnsi="瀹嬩綋" w:eastAsia="瀹嬩綋" w:cs="瀹嬩綋"/>
                      <w:color w:val="000000"/>
                      <w:kern w:val="0"/>
                      <w:szCs w:val="21"/>
                      <w:lang w:bidi="ar"/>
                    </w:rPr>
                  </w:pPr>
                </w:p>
              </w:tc>
              <w:tc>
                <w:tcPr>
                  <w:tcW w:w="1349" w:type="dxa"/>
                  <w:vAlign w:val="center"/>
                </w:tcPr>
                <w:p w14:paraId="53623D27">
                  <w:pPr>
                    <w:widowControl/>
                    <w:jc w:val="center"/>
                    <w:rPr>
                      <w:rFonts w:ascii="瀹嬩綋" w:hAnsi="瀹嬩綋" w:eastAsia="瀹嬩綋" w:cs="瀹嬩綋"/>
                      <w:color w:val="000000"/>
                      <w:kern w:val="0"/>
                      <w:szCs w:val="21"/>
                      <w:lang w:bidi="ar"/>
                    </w:rPr>
                  </w:pPr>
                  <w:r>
                    <w:rPr>
                      <w:color w:val="000000"/>
                      <w:kern w:val="0"/>
                      <w:szCs w:val="21"/>
                      <w:lang w:bidi="ar"/>
                    </w:rPr>
                    <w:t>COD</w:t>
                  </w:r>
                  <w:r>
                    <w:rPr>
                      <w:color w:val="000000"/>
                      <w:kern w:val="0"/>
                      <w:sz w:val="13"/>
                      <w:szCs w:val="13"/>
                      <w:lang w:bidi="ar"/>
                    </w:rPr>
                    <w:t>Cr</w:t>
                  </w:r>
                </w:p>
              </w:tc>
              <w:tc>
                <w:tcPr>
                  <w:tcW w:w="2698" w:type="dxa"/>
                  <w:gridSpan w:val="2"/>
                </w:tcPr>
                <w:p w14:paraId="7AD0EAF7">
                  <w:pPr>
                    <w:widowControl/>
                    <w:jc w:val="center"/>
                    <w:rPr>
                      <w:rFonts w:ascii="瀹嬩綋" w:hAnsi="瀹嬩綋" w:eastAsia="瀹嬩綋" w:cs="瀹嬩綋"/>
                      <w:color w:val="000000"/>
                      <w:kern w:val="0"/>
                      <w:szCs w:val="21"/>
                      <w:highlight w:val="yellow"/>
                      <w:lang w:bidi="ar"/>
                    </w:rPr>
                  </w:pPr>
                  <w:r>
                    <w:rPr>
                      <w:rFonts w:hint="eastAsia"/>
                    </w:rPr>
                    <w:t xml:space="preserve">0.4608 </w:t>
                  </w:r>
                  <w:r>
                    <w:rPr>
                      <w:color w:val="000000"/>
                      <w:kern w:val="0"/>
                      <w:szCs w:val="21"/>
                      <w:lang w:bidi="ar"/>
                    </w:rPr>
                    <w:t>t/a</w:t>
                  </w:r>
                </w:p>
              </w:tc>
              <w:tc>
                <w:tcPr>
                  <w:tcW w:w="1349" w:type="dxa"/>
                </w:tcPr>
                <w:p w14:paraId="3BD2F1DA">
                  <w:pPr>
                    <w:widowControl/>
                    <w:jc w:val="center"/>
                    <w:rPr>
                      <w:rFonts w:ascii="瀹嬩綋" w:hAnsi="瀹嬩綋" w:eastAsia="瀹嬩綋" w:cs="瀹嬩綋"/>
                      <w:color w:val="000000"/>
                      <w:kern w:val="0"/>
                      <w:szCs w:val="21"/>
                      <w:lang w:bidi="ar"/>
                    </w:rPr>
                  </w:pPr>
                  <w:r>
                    <w:rPr>
                      <w:rFonts w:hint="eastAsia"/>
                    </w:rPr>
                    <w:t xml:space="preserve">0.4608 </w:t>
                  </w:r>
                  <w:r>
                    <w:rPr>
                      <w:color w:val="000000"/>
                      <w:kern w:val="0"/>
                      <w:szCs w:val="21"/>
                      <w:lang w:bidi="ar"/>
                    </w:rPr>
                    <w:t>t/a</w:t>
                  </w:r>
                </w:p>
              </w:tc>
              <w:tc>
                <w:tcPr>
                  <w:tcW w:w="1349" w:type="dxa"/>
                  <w:vMerge w:val="continue"/>
                  <w:vAlign w:val="center"/>
                </w:tcPr>
                <w:p w14:paraId="2695163B">
                  <w:pPr>
                    <w:widowControl/>
                    <w:jc w:val="center"/>
                    <w:rPr>
                      <w:rFonts w:ascii="瀹嬩綋" w:hAnsi="瀹嬩綋" w:eastAsia="瀹嬩綋" w:cs="瀹嬩綋"/>
                      <w:color w:val="000000"/>
                      <w:kern w:val="0"/>
                      <w:szCs w:val="21"/>
                      <w:lang w:bidi="ar"/>
                    </w:rPr>
                  </w:pPr>
                </w:p>
              </w:tc>
            </w:tr>
            <w:tr w14:paraId="65A9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14:paraId="704E84D1">
                  <w:pPr>
                    <w:widowControl/>
                    <w:jc w:val="center"/>
                    <w:rPr>
                      <w:rFonts w:ascii="瀹嬩綋" w:hAnsi="瀹嬩綋" w:eastAsia="瀹嬩綋" w:cs="瀹嬩綋"/>
                      <w:color w:val="000000"/>
                      <w:kern w:val="0"/>
                      <w:szCs w:val="21"/>
                      <w:lang w:bidi="ar"/>
                    </w:rPr>
                  </w:pPr>
                </w:p>
              </w:tc>
              <w:tc>
                <w:tcPr>
                  <w:tcW w:w="1349" w:type="dxa"/>
                  <w:vAlign w:val="center"/>
                </w:tcPr>
                <w:p w14:paraId="0F4A2922">
                  <w:pPr>
                    <w:widowControl/>
                    <w:jc w:val="center"/>
                    <w:rPr>
                      <w:rFonts w:ascii="瀹嬩綋" w:hAnsi="瀹嬩綋" w:eastAsia="瀹嬩綋" w:cs="瀹嬩綋"/>
                      <w:color w:val="000000"/>
                      <w:kern w:val="0"/>
                      <w:szCs w:val="21"/>
                      <w:lang w:bidi="ar"/>
                    </w:rPr>
                  </w:pPr>
                  <w:r>
                    <w:rPr>
                      <w:color w:val="000000"/>
                      <w:kern w:val="0"/>
                      <w:szCs w:val="21"/>
                      <w:lang w:bidi="ar"/>
                    </w:rPr>
                    <w:t>NH</w:t>
                  </w:r>
                  <w:r>
                    <w:rPr>
                      <w:color w:val="000000"/>
                      <w:kern w:val="0"/>
                      <w:sz w:val="13"/>
                      <w:szCs w:val="13"/>
                      <w:lang w:bidi="ar"/>
                    </w:rPr>
                    <w:t>3</w:t>
                  </w:r>
                  <w:r>
                    <w:rPr>
                      <w:color w:val="000000"/>
                      <w:kern w:val="0"/>
                      <w:szCs w:val="21"/>
                      <w:lang w:bidi="ar"/>
                    </w:rPr>
                    <w:t>-N</w:t>
                  </w:r>
                </w:p>
              </w:tc>
              <w:tc>
                <w:tcPr>
                  <w:tcW w:w="2698" w:type="dxa"/>
                  <w:gridSpan w:val="2"/>
                </w:tcPr>
                <w:p w14:paraId="2B18C3B6">
                  <w:pPr>
                    <w:widowControl/>
                    <w:jc w:val="center"/>
                    <w:rPr>
                      <w:rFonts w:ascii="瀹嬩綋" w:hAnsi="瀹嬩綋" w:eastAsia="瀹嬩綋" w:cs="瀹嬩綋"/>
                      <w:color w:val="000000"/>
                      <w:kern w:val="0"/>
                      <w:szCs w:val="21"/>
                      <w:highlight w:val="yellow"/>
                      <w:lang w:bidi="ar"/>
                    </w:rPr>
                  </w:pPr>
                  <w:r>
                    <w:t>0.</w:t>
                  </w:r>
                  <w:r>
                    <w:rPr>
                      <w:rFonts w:hint="eastAsia"/>
                    </w:rPr>
                    <w:t xml:space="preserve">04608 </w:t>
                  </w:r>
                  <w:r>
                    <w:rPr>
                      <w:color w:val="000000"/>
                      <w:kern w:val="0"/>
                      <w:szCs w:val="21"/>
                      <w:lang w:bidi="ar"/>
                    </w:rPr>
                    <w:t>t/a</w:t>
                  </w:r>
                </w:p>
              </w:tc>
              <w:tc>
                <w:tcPr>
                  <w:tcW w:w="1349" w:type="dxa"/>
                </w:tcPr>
                <w:p w14:paraId="7018E618">
                  <w:pPr>
                    <w:widowControl/>
                    <w:jc w:val="center"/>
                    <w:rPr>
                      <w:rFonts w:ascii="瀹嬩綋" w:hAnsi="瀹嬩綋" w:eastAsia="瀹嬩綋" w:cs="瀹嬩綋"/>
                      <w:color w:val="000000"/>
                      <w:kern w:val="0"/>
                      <w:szCs w:val="21"/>
                      <w:lang w:bidi="ar"/>
                    </w:rPr>
                  </w:pPr>
                  <w:r>
                    <w:t>0.</w:t>
                  </w:r>
                  <w:r>
                    <w:rPr>
                      <w:rFonts w:hint="eastAsia"/>
                    </w:rPr>
                    <w:t xml:space="preserve">04608 </w:t>
                  </w:r>
                  <w:r>
                    <w:rPr>
                      <w:color w:val="000000"/>
                      <w:kern w:val="0"/>
                      <w:szCs w:val="21"/>
                      <w:lang w:bidi="ar"/>
                    </w:rPr>
                    <w:t>t/a</w:t>
                  </w:r>
                </w:p>
              </w:tc>
              <w:tc>
                <w:tcPr>
                  <w:tcW w:w="1349" w:type="dxa"/>
                  <w:vMerge w:val="continue"/>
                  <w:vAlign w:val="center"/>
                </w:tcPr>
                <w:p w14:paraId="064023C7">
                  <w:pPr>
                    <w:widowControl/>
                    <w:jc w:val="center"/>
                    <w:rPr>
                      <w:rFonts w:ascii="瀹嬩綋" w:hAnsi="瀹嬩綋" w:eastAsia="瀹嬩綋" w:cs="瀹嬩綋"/>
                      <w:color w:val="000000"/>
                      <w:kern w:val="0"/>
                      <w:szCs w:val="21"/>
                      <w:lang w:bidi="ar"/>
                    </w:rPr>
                  </w:pPr>
                </w:p>
              </w:tc>
            </w:tr>
            <w:tr w14:paraId="754B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restart"/>
                  <w:vAlign w:val="center"/>
                </w:tcPr>
                <w:p w14:paraId="2978D8A3">
                  <w:pPr>
                    <w:widowControl/>
                    <w:jc w:val="center"/>
                    <w:rPr>
                      <w:rFonts w:ascii="瀹嬩綋" w:hAnsi="瀹嬩綋" w:eastAsia="瀹嬩綋" w:cs="瀹嬩綋"/>
                      <w:color w:val="000000"/>
                      <w:kern w:val="0"/>
                      <w:szCs w:val="21"/>
                      <w:lang w:bidi="ar"/>
                    </w:rPr>
                  </w:pPr>
                  <w:r>
                    <w:rPr>
                      <w:rFonts w:ascii="瀹嬩綋" w:hAnsi="瀹嬩綋" w:eastAsia="瀹嬩綋" w:cs="瀹嬩綋"/>
                      <w:color w:val="000000"/>
                      <w:kern w:val="0"/>
                      <w:szCs w:val="21"/>
                      <w:lang w:bidi="ar"/>
                    </w:rPr>
                    <w:t>废气</w:t>
                  </w:r>
                </w:p>
              </w:tc>
              <w:tc>
                <w:tcPr>
                  <w:tcW w:w="1349" w:type="dxa"/>
                  <w:vAlign w:val="center"/>
                </w:tcPr>
                <w:p w14:paraId="1C1B9F96">
                  <w:pPr>
                    <w:widowControl/>
                    <w:jc w:val="center"/>
                  </w:pPr>
                  <w:r>
                    <w:rPr>
                      <w:rFonts w:ascii="瀹嬩綋" w:hAnsi="瀹嬩綋" w:eastAsia="瀹嬩綋" w:cs="瀹嬩綋"/>
                      <w:color w:val="000000"/>
                      <w:kern w:val="0"/>
                      <w:szCs w:val="21"/>
                      <w:lang w:bidi="ar"/>
                    </w:rPr>
                    <w:t>挥发性有机</w:t>
                  </w:r>
                </w:p>
                <w:p w14:paraId="6AC60413">
                  <w:pPr>
                    <w:widowControl/>
                    <w:jc w:val="center"/>
                    <w:rPr>
                      <w:rFonts w:ascii="瀹嬩綋" w:hAnsi="瀹嬩綋" w:eastAsia="瀹嬩綋" w:cs="瀹嬩綋"/>
                      <w:color w:val="000000"/>
                      <w:kern w:val="0"/>
                      <w:szCs w:val="21"/>
                      <w:lang w:bidi="ar"/>
                    </w:rPr>
                  </w:pPr>
                  <w:r>
                    <w:rPr>
                      <w:rFonts w:ascii="瀹嬩綋" w:hAnsi="瀹嬩綋" w:eastAsia="瀹嬩綋" w:cs="瀹嬩綋"/>
                      <w:color w:val="000000"/>
                      <w:kern w:val="0"/>
                      <w:szCs w:val="21"/>
                      <w:lang w:bidi="ar"/>
                    </w:rPr>
                    <w:t>物</w:t>
                  </w:r>
                </w:p>
              </w:tc>
              <w:tc>
                <w:tcPr>
                  <w:tcW w:w="1349" w:type="dxa"/>
                  <w:vAlign w:val="center"/>
                </w:tcPr>
                <w:p w14:paraId="49972ACA">
                  <w:pPr>
                    <w:widowControl/>
                    <w:jc w:val="center"/>
                    <w:rPr>
                      <w:rFonts w:ascii="瀹嬩綋" w:hAnsi="瀹嬩綋" w:eastAsia="瀹嬩綋" w:cs="瀹嬩綋"/>
                      <w:kern w:val="0"/>
                      <w:szCs w:val="21"/>
                      <w:lang w:bidi="ar"/>
                    </w:rPr>
                  </w:pPr>
                  <w:r>
                    <w:rPr>
                      <w:kern w:val="0"/>
                      <w:szCs w:val="21"/>
                      <w:lang w:bidi="ar"/>
                    </w:rPr>
                    <w:t>0.</w:t>
                  </w:r>
                  <w:r>
                    <w:rPr>
                      <w:rFonts w:hint="eastAsia"/>
                      <w:kern w:val="0"/>
                      <w:szCs w:val="21"/>
                      <w:lang w:bidi="ar"/>
                    </w:rPr>
                    <w:t>2985</w:t>
                  </w:r>
                  <w:r>
                    <w:rPr>
                      <w:kern w:val="0"/>
                      <w:szCs w:val="21"/>
                      <w:lang w:bidi="ar"/>
                    </w:rPr>
                    <w:t>t/a</w:t>
                  </w:r>
                </w:p>
              </w:tc>
              <w:tc>
                <w:tcPr>
                  <w:tcW w:w="1349" w:type="dxa"/>
                  <w:vAlign w:val="center"/>
                </w:tcPr>
                <w:p w14:paraId="475151C9">
                  <w:pPr>
                    <w:widowControl/>
                    <w:jc w:val="center"/>
                    <w:rPr>
                      <w:rFonts w:ascii="瀹嬩綋" w:hAnsi="瀹嬩綋" w:eastAsia="瀹嬩綋" w:cs="瀹嬩綋"/>
                      <w:kern w:val="0"/>
                      <w:szCs w:val="21"/>
                      <w:highlight w:val="yellow"/>
                      <w:lang w:bidi="ar"/>
                    </w:rPr>
                  </w:pPr>
                  <w:r>
                    <w:rPr>
                      <w:kern w:val="0"/>
                      <w:szCs w:val="21"/>
                      <w:lang w:bidi="ar"/>
                    </w:rPr>
                    <w:t>0.</w:t>
                  </w:r>
                  <w:r>
                    <w:rPr>
                      <w:rFonts w:hint="eastAsia"/>
                      <w:kern w:val="0"/>
                      <w:szCs w:val="21"/>
                      <w:lang w:bidi="ar"/>
                    </w:rPr>
                    <w:t>0567</w:t>
                  </w:r>
                  <w:r>
                    <w:rPr>
                      <w:kern w:val="0"/>
                      <w:szCs w:val="21"/>
                      <w:lang w:bidi="ar"/>
                    </w:rPr>
                    <w:t>t/a</w:t>
                  </w:r>
                </w:p>
              </w:tc>
              <w:tc>
                <w:tcPr>
                  <w:tcW w:w="1349" w:type="dxa"/>
                  <w:vAlign w:val="center"/>
                </w:tcPr>
                <w:p w14:paraId="15BB7406">
                  <w:pPr>
                    <w:widowControl/>
                    <w:jc w:val="center"/>
                    <w:rPr>
                      <w:rFonts w:ascii="瀹嬩綋" w:hAnsi="瀹嬩綋" w:eastAsia="瀹嬩綋" w:cs="瀹嬩綋"/>
                      <w:kern w:val="0"/>
                      <w:szCs w:val="21"/>
                      <w:highlight w:val="yellow"/>
                      <w:lang w:bidi="ar"/>
                    </w:rPr>
                  </w:pPr>
                  <w:r>
                    <w:rPr>
                      <w:kern w:val="0"/>
                      <w:szCs w:val="21"/>
                      <w:lang w:bidi="ar"/>
                    </w:rPr>
                    <w:t>0.3552t/a</w:t>
                  </w:r>
                </w:p>
              </w:tc>
              <w:tc>
                <w:tcPr>
                  <w:tcW w:w="1349" w:type="dxa"/>
                  <w:vAlign w:val="center"/>
                </w:tcPr>
                <w:p w14:paraId="535EC226">
                  <w:pPr>
                    <w:widowControl/>
                    <w:jc w:val="center"/>
                    <w:rPr>
                      <w:rFonts w:ascii="瀹嬩綋" w:hAnsi="瀹嬩綋" w:eastAsia="瀹嬩綋" w:cs="瀹嬩綋"/>
                      <w:color w:val="000000"/>
                      <w:kern w:val="0"/>
                      <w:szCs w:val="21"/>
                      <w:lang w:bidi="ar"/>
                    </w:rPr>
                  </w:pPr>
                  <w:r>
                    <w:rPr>
                      <w:rFonts w:hint="eastAsia" w:ascii="瀹嬩綋" w:hAnsi="瀹嬩綋" w:eastAsia="瀹嬩綋" w:cs="瀹嬩綋"/>
                      <w:color w:val="000000"/>
                      <w:kern w:val="0"/>
                      <w:szCs w:val="21"/>
                      <w:lang w:bidi="ar"/>
                    </w:rPr>
                    <w:t>/</w:t>
                  </w:r>
                </w:p>
              </w:tc>
            </w:tr>
            <w:tr w14:paraId="1239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14:paraId="5E154F38">
                  <w:pPr>
                    <w:widowControl/>
                    <w:jc w:val="center"/>
                    <w:rPr>
                      <w:rFonts w:ascii="瀹嬩綋" w:hAnsi="瀹嬩綋" w:eastAsia="瀹嬩綋" w:cs="瀹嬩綋"/>
                      <w:color w:val="000000"/>
                      <w:kern w:val="0"/>
                      <w:szCs w:val="21"/>
                      <w:lang w:bidi="ar"/>
                    </w:rPr>
                  </w:pPr>
                </w:p>
              </w:tc>
              <w:tc>
                <w:tcPr>
                  <w:tcW w:w="1349" w:type="dxa"/>
                  <w:vAlign w:val="center"/>
                </w:tcPr>
                <w:p w14:paraId="728CFC1F">
                  <w:pPr>
                    <w:widowControl/>
                    <w:jc w:val="center"/>
                    <w:rPr>
                      <w:rFonts w:ascii="瀹嬩綋" w:hAnsi="瀹嬩綋" w:eastAsia="瀹嬩綋" w:cs="瀹嬩綋"/>
                      <w:color w:val="000000"/>
                      <w:kern w:val="0"/>
                      <w:szCs w:val="21"/>
                      <w:lang w:bidi="ar"/>
                    </w:rPr>
                  </w:pPr>
                  <w:r>
                    <w:rPr>
                      <w:rFonts w:ascii="瀹嬩綋" w:hAnsi="瀹嬩綋" w:eastAsia="瀹嬩綋" w:cs="瀹嬩綋"/>
                      <w:color w:val="000000"/>
                      <w:kern w:val="0"/>
                      <w:szCs w:val="21"/>
                      <w:lang w:bidi="ar"/>
                    </w:rPr>
                    <w:t>颗粒物</w:t>
                  </w:r>
                </w:p>
              </w:tc>
              <w:tc>
                <w:tcPr>
                  <w:tcW w:w="1349" w:type="dxa"/>
                  <w:vAlign w:val="center"/>
                </w:tcPr>
                <w:p w14:paraId="25B116DE">
                  <w:pPr>
                    <w:widowControl/>
                    <w:jc w:val="center"/>
                    <w:rPr>
                      <w:rFonts w:ascii="瀹嬩綋" w:hAnsi="瀹嬩綋" w:eastAsia="瀹嬩綋" w:cs="瀹嬩綋"/>
                      <w:kern w:val="0"/>
                      <w:szCs w:val="21"/>
                      <w:lang w:bidi="ar"/>
                    </w:rPr>
                  </w:pPr>
                  <w:r>
                    <w:rPr>
                      <w:rFonts w:hint="eastAsia"/>
                      <w:kern w:val="0"/>
                      <w:szCs w:val="21"/>
                      <w:lang w:bidi="ar"/>
                    </w:rPr>
                    <w:t>/</w:t>
                  </w:r>
                </w:p>
              </w:tc>
              <w:tc>
                <w:tcPr>
                  <w:tcW w:w="1349" w:type="dxa"/>
                  <w:vAlign w:val="center"/>
                </w:tcPr>
                <w:p w14:paraId="15C701D1">
                  <w:pPr>
                    <w:widowControl/>
                    <w:jc w:val="center"/>
                    <w:rPr>
                      <w:rFonts w:ascii="瀹嬩綋" w:hAnsi="瀹嬩綋" w:eastAsia="瀹嬩綋" w:cs="瀹嬩綋"/>
                      <w:kern w:val="0"/>
                      <w:szCs w:val="21"/>
                      <w:lang w:bidi="ar"/>
                    </w:rPr>
                  </w:pPr>
                  <w:r>
                    <w:rPr>
                      <w:kern w:val="0"/>
                      <w:szCs w:val="21"/>
                      <w:lang w:bidi="ar"/>
                    </w:rPr>
                    <w:t>0.0</w:t>
                  </w:r>
                  <w:r>
                    <w:rPr>
                      <w:rFonts w:hint="eastAsia"/>
                      <w:kern w:val="0"/>
                      <w:szCs w:val="21"/>
                      <w:lang w:bidi="ar"/>
                    </w:rPr>
                    <w:t>92</w:t>
                  </w:r>
                  <w:r>
                    <w:rPr>
                      <w:kern w:val="0"/>
                      <w:szCs w:val="21"/>
                      <w:lang w:bidi="ar"/>
                    </w:rPr>
                    <w:t>t/a</w:t>
                  </w:r>
                </w:p>
              </w:tc>
              <w:tc>
                <w:tcPr>
                  <w:tcW w:w="1349" w:type="dxa"/>
                  <w:vAlign w:val="center"/>
                </w:tcPr>
                <w:p w14:paraId="0E9D6720">
                  <w:pPr>
                    <w:widowControl/>
                    <w:jc w:val="center"/>
                    <w:rPr>
                      <w:rFonts w:ascii="瀹嬩綋" w:hAnsi="瀹嬩綋" w:eastAsia="瀹嬩綋" w:cs="瀹嬩綋"/>
                      <w:kern w:val="0"/>
                      <w:szCs w:val="21"/>
                      <w:lang w:bidi="ar"/>
                    </w:rPr>
                  </w:pPr>
                  <w:r>
                    <w:rPr>
                      <w:kern w:val="0"/>
                      <w:szCs w:val="21"/>
                      <w:lang w:bidi="ar"/>
                    </w:rPr>
                    <w:t>0.0</w:t>
                  </w:r>
                  <w:r>
                    <w:rPr>
                      <w:rFonts w:hint="eastAsia"/>
                      <w:kern w:val="0"/>
                      <w:szCs w:val="21"/>
                      <w:lang w:bidi="ar"/>
                    </w:rPr>
                    <w:t>92</w:t>
                  </w:r>
                  <w:r>
                    <w:rPr>
                      <w:kern w:val="0"/>
                      <w:szCs w:val="21"/>
                      <w:lang w:bidi="ar"/>
                    </w:rPr>
                    <w:t>t/a</w:t>
                  </w:r>
                </w:p>
              </w:tc>
              <w:tc>
                <w:tcPr>
                  <w:tcW w:w="1349" w:type="dxa"/>
                  <w:vAlign w:val="center"/>
                </w:tcPr>
                <w:p w14:paraId="4789F2F1">
                  <w:pPr>
                    <w:widowControl/>
                    <w:jc w:val="center"/>
                    <w:rPr>
                      <w:rFonts w:ascii="瀹嬩綋" w:hAnsi="瀹嬩綋" w:eastAsia="瀹嬩綋" w:cs="瀹嬩綋"/>
                      <w:color w:val="000000"/>
                      <w:kern w:val="0"/>
                      <w:szCs w:val="21"/>
                      <w:lang w:bidi="ar"/>
                    </w:rPr>
                  </w:pPr>
                  <w:r>
                    <w:rPr>
                      <w:rFonts w:hint="eastAsia" w:ascii="瀹嬩綋" w:hAnsi="瀹嬩綋" w:eastAsia="瀹嬩綋" w:cs="瀹嬩綋"/>
                      <w:color w:val="000000"/>
                      <w:kern w:val="0"/>
                      <w:szCs w:val="21"/>
                      <w:lang w:bidi="ar"/>
                    </w:rPr>
                    <w:t>/</w:t>
                  </w:r>
                </w:p>
              </w:tc>
            </w:tr>
          </w:tbl>
          <w:p w14:paraId="5CBDF768">
            <w:pPr>
              <w:widowControl/>
              <w:jc w:val="left"/>
              <w:rPr>
                <w:rFonts w:ascii="宋体" w:hAnsi="宋体" w:cs="宋体"/>
                <w:color w:val="000000"/>
                <w:kern w:val="0"/>
                <w:szCs w:val="21"/>
                <w:lang w:bidi="ar"/>
              </w:rPr>
            </w:pPr>
          </w:p>
          <w:p w14:paraId="61A9BD5C">
            <w:pPr>
              <w:widowControl/>
              <w:jc w:val="left"/>
              <w:rPr>
                <w:rFonts w:ascii="瀹嬩綋" w:hAnsi="瀹嬩綋" w:eastAsia="瀹嬩綋" w:cs="瀹嬩綋"/>
                <w:color w:val="000000"/>
                <w:kern w:val="0"/>
                <w:szCs w:val="21"/>
                <w:lang w:bidi="ar"/>
              </w:rPr>
            </w:pPr>
            <w:r>
              <w:rPr>
                <w:rFonts w:hint="eastAsia" w:ascii="宋体" w:hAnsi="宋体" w:cs="宋体"/>
                <w:color w:val="000000"/>
                <w:kern w:val="0"/>
                <w:szCs w:val="21"/>
                <w:lang w:bidi="ar"/>
              </w:rPr>
              <w:t>废水排放至开发区污水处理厂，不单独申请总量控制指标。</w:t>
            </w:r>
          </w:p>
          <w:p w14:paraId="47D2546E">
            <w:pPr>
              <w:adjustRightInd w:val="0"/>
              <w:snapToGrid w:val="0"/>
              <w:jc w:val="center"/>
              <w:rPr>
                <w:rFonts w:ascii="宋体" w:hAnsi="宋体" w:cs="宋体"/>
                <w:kern w:val="0"/>
                <w:szCs w:val="21"/>
              </w:rPr>
            </w:pPr>
          </w:p>
        </w:tc>
      </w:tr>
    </w:tbl>
    <w:p w14:paraId="2537FA90">
      <w:pPr>
        <w:pStyle w:val="19"/>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7" w:name="_Toc189401883"/>
      <w:r>
        <w:rPr>
          <w:rFonts w:hint="eastAsia" w:ascii="黑体" w:hAnsi="黑体" w:eastAsia="黑体"/>
          <w:snapToGrid w:val="0"/>
          <w:sz w:val="30"/>
          <w:szCs w:val="30"/>
        </w:rPr>
        <w:t>四、主要环境影响和保护措施</w:t>
      </w:r>
      <w:bookmarkEnd w:id="7"/>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58"/>
        <w:gridCol w:w="8723"/>
      </w:tblGrid>
      <w:tr w14:paraId="11F6C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0" w:hRule="atLeast"/>
          <w:jc w:val="center"/>
        </w:trPr>
        <w:tc>
          <w:tcPr>
            <w:tcW w:w="651" w:type="dxa"/>
            <w:tcMar>
              <w:left w:w="28" w:type="dxa"/>
              <w:right w:w="28" w:type="dxa"/>
            </w:tcMar>
            <w:vAlign w:val="center"/>
          </w:tcPr>
          <w:p w14:paraId="6F943728">
            <w:pPr>
              <w:pStyle w:val="19"/>
              <w:adjustRightInd w:val="0"/>
              <w:snapToGrid w:val="0"/>
              <w:spacing w:before="0" w:beforeAutospacing="0" w:after="0" w:afterAutospacing="0"/>
              <w:jc w:val="center"/>
              <w:rPr>
                <w:rFonts w:cs="宋体"/>
                <w:kern w:val="2"/>
                <w:sz w:val="21"/>
                <w:szCs w:val="21"/>
              </w:rPr>
            </w:pPr>
            <w:r>
              <w:rPr>
                <w:rFonts w:hint="eastAsia" w:cs="宋体"/>
                <w:kern w:val="2"/>
                <w:sz w:val="21"/>
                <w:szCs w:val="21"/>
              </w:rPr>
              <w:t>施工</w:t>
            </w:r>
          </w:p>
          <w:p w14:paraId="2414F95C">
            <w:pPr>
              <w:pStyle w:val="19"/>
              <w:adjustRightInd w:val="0"/>
              <w:snapToGrid w:val="0"/>
              <w:spacing w:before="0" w:beforeAutospacing="0" w:after="0" w:afterAutospacing="0"/>
              <w:jc w:val="center"/>
              <w:rPr>
                <w:rFonts w:cs="宋体"/>
                <w:kern w:val="2"/>
                <w:sz w:val="21"/>
                <w:szCs w:val="21"/>
              </w:rPr>
            </w:pPr>
            <w:r>
              <w:rPr>
                <w:rFonts w:hint="eastAsia" w:cs="宋体"/>
                <w:kern w:val="2"/>
                <w:sz w:val="21"/>
                <w:szCs w:val="21"/>
              </w:rPr>
              <w:t>期环</w:t>
            </w:r>
          </w:p>
          <w:p w14:paraId="53AF13C4">
            <w:pPr>
              <w:pStyle w:val="19"/>
              <w:adjustRightInd w:val="0"/>
              <w:snapToGrid w:val="0"/>
              <w:spacing w:before="0" w:beforeAutospacing="0" w:after="0" w:afterAutospacing="0"/>
              <w:jc w:val="center"/>
              <w:rPr>
                <w:rFonts w:cs="宋体"/>
                <w:kern w:val="2"/>
                <w:sz w:val="21"/>
                <w:szCs w:val="21"/>
              </w:rPr>
            </w:pPr>
            <w:r>
              <w:rPr>
                <w:rFonts w:hint="eastAsia" w:cs="宋体"/>
                <w:kern w:val="2"/>
                <w:sz w:val="21"/>
                <w:szCs w:val="21"/>
              </w:rPr>
              <w:t>境保</w:t>
            </w:r>
          </w:p>
          <w:p w14:paraId="7E961BC5">
            <w:pPr>
              <w:pStyle w:val="19"/>
              <w:adjustRightInd w:val="0"/>
              <w:snapToGrid w:val="0"/>
              <w:spacing w:before="0" w:beforeAutospacing="0" w:after="0" w:afterAutospacing="0"/>
              <w:jc w:val="center"/>
              <w:rPr>
                <w:rFonts w:cs="宋体"/>
                <w:kern w:val="2"/>
                <w:sz w:val="21"/>
                <w:szCs w:val="21"/>
              </w:rPr>
            </w:pPr>
            <w:r>
              <w:rPr>
                <w:rFonts w:hint="eastAsia" w:cs="宋体"/>
                <w:kern w:val="2"/>
                <w:sz w:val="21"/>
                <w:szCs w:val="21"/>
              </w:rPr>
              <w:t>护措</w:t>
            </w:r>
          </w:p>
          <w:p w14:paraId="5FB43F0A">
            <w:pPr>
              <w:pStyle w:val="19"/>
              <w:adjustRightInd w:val="0"/>
              <w:snapToGrid w:val="0"/>
              <w:spacing w:before="0" w:beforeAutospacing="0" w:after="0" w:afterAutospacing="0"/>
              <w:jc w:val="center"/>
              <w:rPr>
                <w:rFonts w:cs="宋体"/>
                <w:bCs/>
                <w:kern w:val="2"/>
                <w:sz w:val="21"/>
                <w:szCs w:val="21"/>
              </w:rPr>
            </w:pPr>
            <w:r>
              <w:rPr>
                <w:rFonts w:hint="eastAsia" w:cs="宋体"/>
                <w:kern w:val="2"/>
                <w:sz w:val="21"/>
                <w:szCs w:val="21"/>
              </w:rPr>
              <w:t>施</w:t>
            </w:r>
          </w:p>
        </w:tc>
        <w:tc>
          <w:tcPr>
            <w:tcW w:w="8257" w:type="dxa"/>
            <w:vAlign w:val="center"/>
          </w:tcPr>
          <w:p w14:paraId="20E340D2">
            <w:pPr>
              <w:tabs>
                <w:tab w:val="left" w:pos="7256"/>
              </w:tabs>
              <w:spacing w:before="240" w:beforeLines="100" w:after="120" w:afterLines="50"/>
              <w:ind w:firstLine="482" w:firstLineChars="200"/>
              <w:rPr>
                <w:b/>
                <w:bCs/>
                <w:sz w:val="24"/>
              </w:rPr>
            </w:pPr>
            <w:r>
              <w:rPr>
                <w:rFonts w:hint="eastAsia"/>
                <w:b/>
                <w:bCs/>
                <w:sz w:val="24"/>
              </w:rPr>
              <w:t>4.</w:t>
            </w:r>
            <w:r>
              <w:rPr>
                <w:b/>
                <w:bCs/>
                <w:sz w:val="24"/>
              </w:rPr>
              <w:t>1</w:t>
            </w:r>
            <w:r>
              <w:rPr>
                <w:rFonts w:hint="eastAsia"/>
                <w:b/>
                <w:bCs/>
                <w:sz w:val="24"/>
              </w:rPr>
              <w:t xml:space="preserve"> </w:t>
            </w:r>
            <w:r>
              <w:rPr>
                <w:b/>
                <w:bCs/>
                <w:sz w:val="24"/>
              </w:rPr>
              <w:t>施工期污染源分析</w:t>
            </w:r>
          </w:p>
          <w:p w14:paraId="493A7821">
            <w:pPr>
              <w:adjustRightInd w:val="0"/>
              <w:snapToGrid w:val="0"/>
              <w:spacing w:line="500" w:lineRule="exact"/>
              <w:ind w:firstLine="480" w:firstLineChars="200"/>
              <w:rPr>
                <w:kern w:val="0"/>
                <w:sz w:val="24"/>
                <w:szCs w:val="20"/>
              </w:rPr>
            </w:pPr>
            <w:r>
              <w:rPr>
                <w:rFonts w:hint="eastAsia"/>
                <w:kern w:val="0"/>
                <w:sz w:val="24"/>
                <w:szCs w:val="20"/>
              </w:rPr>
              <w:t>本项目利用安徽省六安市金寨县经济开发区（现代产业园区）笔架山路以南,南溪路以西,金水路以北空地进行项目建设，施工期需要进行土地的整理和厂房的建设。</w:t>
            </w:r>
          </w:p>
          <w:p w14:paraId="631F5A89">
            <w:pPr>
              <w:tabs>
                <w:tab w:val="left" w:pos="7256"/>
              </w:tabs>
              <w:spacing w:before="240" w:beforeLines="100" w:after="120" w:afterLines="50"/>
              <w:ind w:firstLine="482" w:firstLineChars="200"/>
              <w:rPr>
                <w:b/>
                <w:bCs/>
                <w:sz w:val="24"/>
              </w:rPr>
            </w:pPr>
            <w:r>
              <w:rPr>
                <w:rFonts w:hint="eastAsia"/>
                <w:b/>
                <w:bCs/>
                <w:sz w:val="24"/>
              </w:rPr>
              <w:t>4.</w:t>
            </w:r>
            <w:r>
              <w:rPr>
                <w:b/>
                <w:bCs/>
                <w:sz w:val="24"/>
              </w:rPr>
              <w:t>1.1施工期大气污染影响分析</w:t>
            </w:r>
          </w:p>
          <w:p w14:paraId="44E11DB9">
            <w:pPr>
              <w:adjustRightInd w:val="0"/>
              <w:snapToGrid w:val="0"/>
              <w:spacing w:line="500" w:lineRule="exact"/>
              <w:ind w:firstLine="480" w:firstLineChars="200"/>
              <w:rPr>
                <w:kern w:val="0"/>
                <w:sz w:val="24"/>
                <w:szCs w:val="20"/>
              </w:rPr>
            </w:pPr>
            <w:r>
              <w:rPr>
                <w:rFonts w:hint="eastAsia"/>
                <w:kern w:val="0"/>
                <w:sz w:val="24"/>
                <w:szCs w:val="20"/>
              </w:rPr>
              <w:t>（1）扬尘</w:t>
            </w:r>
          </w:p>
          <w:p w14:paraId="0282CDD5">
            <w:pPr>
              <w:adjustRightInd w:val="0"/>
              <w:snapToGrid w:val="0"/>
              <w:spacing w:line="500" w:lineRule="exact"/>
              <w:ind w:firstLine="480" w:firstLineChars="200"/>
              <w:rPr>
                <w:kern w:val="0"/>
                <w:sz w:val="24"/>
                <w:szCs w:val="20"/>
              </w:rPr>
            </w:pPr>
            <w:r>
              <w:rPr>
                <w:rFonts w:hint="eastAsia"/>
                <w:kern w:val="0"/>
                <w:sz w:val="24"/>
                <w:szCs w:val="20"/>
              </w:rPr>
              <w:t>施工期间应制定严格的污染防治措施控制扬尘。施工期的扬尘污染主要包括车辆行驶引起的道路扬尘、砂石水泥等建筑材料在装卸过程中产生的扬尘、砂石水泥堆放时因刮风引起的二次扬尘、以及施工场地的地面粉尘等。</w:t>
            </w:r>
          </w:p>
          <w:p w14:paraId="157E8E46">
            <w:pPr>
              <w:adjustRightInd w:val="0"/>
              <w:snapToGrid w:val="0"/>
              <w:spacing w:line="500" w:lineRule="exact"/>
              <w:ind w:firstLine="480" w:firstLineChars="200"/>
              <w:rPr>
                <w:kern w:val="0"/>
                <w:sz w:val="24"/>
                <w:szCs w:val="20"/>
              </w:rPr>
            </w:pPr>
            <w:r>
              <w:rPr>
                <w:rFonts w:hint="eastAsia"/>
                <w:kern w:val="0"/>
                <w:sz w:val="24"/>
                <w:szCs w:val="20"/>
              </w:rPr>
              <w:t>在工地周边设置监测点，监测工地扬尘指标，执行安徽省《施工场地颗粒物排放标准》（DB34/4811-2024）：</w:t>
            </w:r>
          </w:p>
          <w:p w14:paraId="725AB2E7">
            <w:pPr>
              <w:adjustRightInd w:val="0"/>
              <w:snapToGrid w:val="0"/>
              <w:spacing w:line="500" w:lineRule="exact"/>
              <w:jc w:val="center"/>
              <w:rPr>
                <w:b/>
                <w:bCs/>
                <w:kern w:val="0"/>
                <w:sz w:val="20"/>
                <w:szCs w:val="20"/>
              </w:rPr>
            </w:pPr>
            <w:r>
              <w:rPr>
                <w:rFonts w:hint="eastAsia"/>
                <w:b/>
                <w:bCs/>
                <w:kern w:val="0"/>
                <w:sz w:val="20"/>
                <w:szCs w:val="20"/>
              </w:rPr>
              <w:t>表4-1 施工工地监测点颗粒物排放要求</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2124"/>
              <w:gridCol w:w="2124"/>
              <w:gridCol w:w="2125"/>
            </w:tblGrid>
            <w:tr w14:paraId="673B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77CCE33D">
                  <w:pPr>
                    <w:adjustRightInd w:val="0"/>
                    <w:snapToGrid w:val="0"/>
                    <w:spacing w:line="500" w:lineRule="exact"/>
                    <w:jc w:val="center"/>
                    <w:rPr>
                      <w:b/>
                      <w:bCs/>
                      <w:kern w:val="0"/>
                      <w:sz w:val="20"/>
                      <w:szCs w:val="20"/>
                    </w:rPr>
                  </w:pPr>
                  <w:r>
                    <w:rPr>
                      <w:rFonts w:hint="eastAsia"/>
                      <w:b/>
                      <w:bCs/>
                      <w:kern w:val="0"/>
                      <w:sz w:val="20"/>
                      <w:szCs w:val="20"/>
                    </w:rPr>
                    <w:t>控制项目</w:t>
                  </w:r>
                </w:p>
              </w:tc>
              <w:tc>
                <w:tcPr>
                  <w:tcW w:w="1250" w:type="pct"/>
                  <w:vAlign w:val="center"/>
                </w:tcPr>
                <w:p w14:paraId="0A368064">
                  <w:pPr>
                    <w:adjustRightInd w:val="0"/>
                    <w:snapToGrid w:val="0"/>
                    <w:spacing w:line="500" w:lineRule="exact"/>
                    <w:jc w:val="center"/>
                    <w:rPr>
                      <w:b/>
                      <w:bCs/>
                      <w:kern w:val="0"/>
                      <w:sz w:val="20"/>
                      <w:szCs w:val="20"/>
                    </w:rPr>
                  </w:pPr>
                  <w:r>
                    <w:rPr>
                      <w:rFonts w:hint="eastAsia"/>
                      <w:b/>
                      <w:bCs/>
                      <w:kern w:val="0"/>
                      <w:sz w:val="20"/>
                      <w:szCs w:val="20"/>
                    </w:rPr>
                    <w:t>单位</w:t>
                  </w:r>
                </w:p>
              </w:tc>
              <w:tc>
                <w:tcPr>
                  <w:tcW w:w="1250" w:type="pct"/>
                  <w:vAlign w:val="center"/>
                </w:tcPr>
                <w:p w14:paraId="67E83F16">
                  <w:pPr>
                    <w:adjustRightInd w:val="0"/>
                    <w:snapToGrid w:val="0"/>
                    <w:spacing w:line="500" w:lineRule="exact"/>
                    <w:jc w:val="center"/>
                    <w:rPr>
                      <w:b/>
                      <w:bCs/>
                      <w:kern w:val="0"/>
                      <w:sz w:val="20"/>
                      <w:szCs w:val="20"/>
                    </w:rPr>
                  </w:pPr>
                  <w:r>
                    <w:rPr>
                      <w:rFonts w:hint="eastAsia"/>
                      <w:b/>
                      <w:bCs/>
                      <w:kern w:val="0"/>
                      <w:sz w:val="20"/>
                      <w:szCs w:val="20"/>
                    </w:rPr>
                    <w:t>监测点浓度限值</w:t>
                  </w:r>
                </w:p>
              </w:tc>
              <w:tc>
                <w:tcPr>
                  <w:tcW w:w="1250" w:type="pct"/>
                  <w:vAlign w:val="center"/>
                </w:tcPr>
                <w:p w14:paraId="53C92920">
                  <w:pPr>
                    <w:adjustRightInd w:val="0"/>
                    <w:snapToGrid w:val="0"/>
                    <w:spacing w:line="500" w:lineRule="exact"/>
                    <w:jc w:val="center"/>
                    <w:rPr>
                      <w:b/>
                      <w:bCs/>
                      <w:kern w:val="0"/>
                      <w:sz w:val="20"/>
                      <w:szCs w:val="20"/>
                    </w:rPr>
                  </w:pPr>
                  <w:r>
                    <w:rPr>
                      <w:rFonts w:hint="eastAsia"/>
                      <w:b/>
                      <w:bCs/>
                      <w:kern w:val="0"/>
                      <w:sz w:val="20"/>
                      <w:szCs w:val="20"/>
                    </w:rPr>
                    <w:t>达标判定依据</w:t>
                  </w:r>
                </w:p>
              </w:tc>
            </w:tr>
            <w:tr w14:paraId="2A80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restart"/>
                  <w:vAlign w:val="center"/>
                </w:tcPr>
                <w:p w14:paraId="72A903FC">
                  <w:pPr>
                    <w:adjustRightInd w:val="0"/>
                    <w:snapToGrid w:val="0"/>
                    <w:spacing w:line="500" w:lineRule="exact"/>
                    <w:jc w:val="center"/>
                    <w:rPr>
                      <w:kern w:val="0"/>
                      <w:sz w:val="20"/>
                      <w:szCs w:val="20"/>
                    </w:rPr>
                  </w:pPr>
                  <w:r>
                    <w:rPr>
                      <w:rFonts w:hint="eastAsia"/>
                      <w:kern w:val="0"/>
                      <w:sz w:val="20"/>
                      <w:szCs w:val="20"/>
                    </w:rPr>
                    <w:t>TSP</w:t>
                  </w:r>
                </w:p>
              </w:tc>
              <w:tc>
                <w:tcPr>
                  <w:tcW w:w="1250" w:type="pct"/>
                  <w:vMerge w:val="restart"/>
                  <w:vAlign w:val="center"/>
                </w:tcPr>
                <w:p w14:paraId="590AD727">
                  <w:pPr>
                    <w:adjustRightInd w:val="0"/>
                    <w:snapToGrid w:val="0"/>
                    <w:spacing w:line="500" w:lineRule="exact"/>
                    <w:jc w:val="center"/>
                    <w:rPr>
                      <w:kern w:val="0"/>
                      <w:sz w:val="20"/>
                      <w:szCs w:val="20"/>
                    </w:rPr>
                  </w:pPr>
                  <w:r>
                    <w:rPr>
                      <w:rFonts w:hint="eastAsia"/>
                      <w:kern w:val="0"/>
                      <w:sz w:val="20"/>
                      <w:szCs w:val="20"/>
                    </w:rPr>
                    <w:t>μg/m</w:t>
                  </w:r>
                  <w:r>
                    <w:rPr>
                      <w:rFonts w:hint="eastAsia"/>
                      <w:kern w:val="0"/>
                      <w:sz w:val="20"/>
                      <w:szCs w:val="20"/>
                      <w:vertAlign w:val="superscript"/>
                    </w:rPr>
                    <w:t>3</w:t>
                  </w:r>
                </w:p>
              </w:tc>
              <w:tc>
                <w:tcPr>
                  <w:tcW w:w="1250" w:type="pct"/>
                  <w:vAlign w:val="center"/>
                </w:tcPr>
                <w:p w14:paraId="0FECCFB5">
                  <w:pPr>
                    <w:adjustRightInd w:val="0"/>
                    <w:snapToGrid w:val="0"/>
                    <w:spacing w:line="500" w:lineRule="exact"/>
                    <w:jc w:val="center"/>
                    <w:rPr>
                      <w:kern w:val="0"/>
                      <w:sz w:val="20"/>
                      <w:szCs w:val="20"/>
                    </w:rPr>
                  </w:pPr>
                  <w:r>
                    <w:rPr>
                      <w:rFonts w:hint="eastAsia"/>
                      <w:kern w:val="0"/>
                      <w:sz w:val="20"/>
                      <w:szCs w:val="20"/>
                    </w:rPr>
                    <w:t>1000</w:t>
                  </w:r>
                </w:p>
              </w:tc>
              <w:tc>
                <w:tcPr>
                  <w:tcW w:w="1250" w:type="pct"/>
                  <w:vAlign w:val="center"/>
                </w:tcPr>
                <w:p w14:paraId="0AE912BF">
                  <w:pPr>
                    <w:adjustRightInd w:val="0"/>
                    <w:snapToGrid w:val="0"/>
                    <w:spacing w:line="500" w:lineRule="exact"/>
                    <w:jc w:val="center"/>
                    <w:rPr>
                      <w:kern w:val="0"/>
                      <w:sz w:val="20"/>
                      <w:szCs w:val="20"/>
                    </w:rPr>
                  </w:pPr>
                  <w:r>
                    <w:rPr>
                      <w:rFonts w:hint="eastAsia"/>
                      <w:kern w:val="0"/>
                      <w:sz w:val="20"/>
                      <w:szCs w:val="20"/>
                    </w:rPr>
                    <w:t>超标次数≤1 次/日</w:t>
                  </w:r>
                </w:p>
              </w:tc>
            </w:tr>
            <w:tr w14:paraId="1CD4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continue"/>
                  <w:vAlign w:val="center"/>
                </w:tcPr>
                <w:p w14:paraId="2D5813F1">
                  <w:pPr>
                    <w:adjustRightInd w:val="0"/>
                    <w:snapToGrid w:val="0"/>
                    <w:spacing w:line="500" w:lineRule="exact"/>
                    <w:jc w:val="center"/>
                    <w:rPr>
                      <w:kern w:val="0"/>
                      <w:sz w:val="20"/>
                      <w:szCs w:val="20"/>
                    </w:rPr>
                  </w:pPr>
                </w:p>
              </w:tc>
              <w:tc>
                <w:tcPr>
                  <w:tcW w:w="1250" w:type="pct"/>
                  <w:vMerge w:val="continue"/>
                  <w:vAlign w:val="center"/>
                </w:tcPr>
                <w:p w14:paraId="2701C49E">
                  <w:pPr>
                    <w:adjustRightInd w:val="0"/>
                    <w:snapToGrid w:val="0"/>
                    <w:spacing w:line="500" w:lineRule="exact"/>
                    <w:jc w:val="center"/>
                    <w:rPr>
                      <w:kern w:val="0"/>
                      <w:sz w:val="20"/>
                      <w:szCs w:val="20"/>
                    </w:rPr>
                  </w:pPr>
                </w:p>
              </w:tc>
              <w:tc>
                <w:tcPr>
                  <w:tcW w:w="1250" w:type="pct"/>
                  <w:vAlign w:val="center"/>
                </w:tcPr>
                <w:p w14:paraId="09E0A07E">
                  <w:pPr>
                    <w:adjustRightInd w:val="0"/>
                    <w:snapToGrid w:val="0"/>
                    <w:spacing w:line="500" w:lineRule="exact"/>
                    <w:jc w:val="center"/>
                    <w:rPr>
                      <w:kern w:val="0"/>
                      <w:sz w:val="20"/>
                      <w:szCs w:val="20"/>
                    </w:rPr>
                  </w:pPr>
                  <w:r>
                    <w:rPr>
                      <w:rFonts w:hint="eastAsia"/>
                      <w:kern w:val="0"/>
                      <w:sz w:val="20"/>
                      <w:szCs w:val="20"/>
                    </w:rPr>
                    <w:t>500</w:t>
                  </w:r>
                </w:p>
              </w:tc>
              <w:tc>
                <w:tcPr>
                  <w:tcW w:w="1250" w:type="pct"/>
                  <w:vAlign w:val="center"/>
                </w:tcPr>
                <w:p w14:paraId="0979B301">
                  <w:pPr>
                    <w:adjustRightInd w:val="0"/>
                    <w:snapToGrid w:val="0"/>
                    <w:spacing w:line="500" w:lineRule="exact"/>
                    <w:jc w:val="center"/>
                    <w:rPr>
                      <w:kern w:val="0"/>
                      <w:sz w:val="20"/>
                      <w:szCs w:val="20"/>
                    </w:rPr>
                  </w:pPr>
                  <w:r>
                    <w:rPr>
                      <w:rFonts w:hint="eastAsia"/>
                      <w:kern w:val="0"/>
                      <w:sz w:val="20"/>
                      <w:szCs w:val="20"/>
                    </w:rPr>
                    <w:t>超标次数≤6 次/日</w:t>
                  </w:r>
                </w:p>
              </w:tc>
            </w:tr>
            <w:tr w14:paraId="39CB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5000" w:type="pct"/>
                  <w:gridSpan w:val="4"/>
                  <w:vAlign w:val="center"/>
                </w:tcPr>
                <w:p w14:paraId="4DC9C978">
                  <w:pPr>
                    <w:adjustRightInd w:val="0"/>
                    <w:snapToGrid w:val="0"/>
                    <w:ind w:firstLine="474"/>
                    <w:jc w:val="left"/>
                    <w:rPr>
                      <w:kern w:val="0"/>
                      <w:sz w:val="20"/>
                      <w:szCs w:val="20"/>
                    </w:rPr>
                  </w:pPr>
                  <w:r>
                    <w:rPr>
                      <w:rFonts w:hint="eastAsia"/>
                      <w:kern w:val="0"/>
                      <w:sz w:val="20"/>
                      <w:szCs w:val="20"/>
                    </w:rPr>
                    <w:t>任一监测点自整时起依次顺延 15 分钟的 TSP 浓度平均值不得超过的限值。超标次数指一个日历日 96 个TSP 15 分钟浓度平均值超过监测点浓度限值的次数。</w:t>
                  </w:r>
                </w:p>
                <w:p w14:paraId="79A7EA0F">
                  <w:pPr>
                    <w:adjustRightInd w:val="0"/>
                    <w:snapToGrid w:val="0"/>
                    <w:ind w:firstLine="474"/>
                    <w:jc w:val="left"/>
                    <w:rPr>
                      <w:kern w:val="0"/>
                      <w:sz w:val="20"/>
                      <w:szCs w:val="20"/>
                    </w:rPr>
                  </w:pPr>
                  <w:r>
                    <w:rPr>
                      <w:rFonts w:hint="eastAsia"/>
                      <w:kern w:val="0"/>
                      <w:sz w:val="20"/>
                      <w:szCs w:val="20"/>
                    </w:rPr>
                    <w:t>根据HJ633 判定设区市 AQI在 200~300之间且首要污染物为PM</w:t>
                  </w:r>
                  <w:r>
                    <w:rPr>
                      <w:rFonts w:hint="eastAsia"/>
                      <w:kern w:val="0"/>
                      <w:sz w:val="20"/>
                      <w:szCs w:val="20"/>
                      <w:vertAlign w:val="subscript"/>
                    </w:rPr>
                    <w:t>10</w:t>
                  </w:r>
                  <w:r>
                    <w:rPr>
                      <w:rFonts w:hint="eastAsia"/>
                      <w:kern w:val="0"/>
                      <w:sz w:val="20"/>
                      <w:szCs w:val="20"/>
                    </w:rPr>
                    <w:t>或PM</w:t>
                  </w:r>
                  <w:r>
                    <w:rPr>
                      <w:rFonts w:hint="eastAsia"/>
                      <w:kern w:val="0"/>
                      <w:sz w:val="20"/>
                      <w:szCs w:val="20"/>
                      <w:vertAlign w:val="subscript"/>
                    </w:rPr>
                    <w:t>2.5</w:t>
                  </w:r>
                  <w:r>
                    <w:rPr>
                      <w:rFonts w:hint="eastAsia"/>
                      <w:kern w:val="0"/>
                      <w:sz w:val="20"/>
                      <w:szCs w:val="20"/>
                    </w:rPr>
                    <w:t>时，TSP 实测值扣除 200μg/m</w:t>
                  </w:r>
                  <w:r>
                    <w:rPr>
                      <w:rFonts w:hint="eastAsia"/>
                      <w:kern w:val="0"/>
                      <w:sz w:val="20"/>
                      <w:szCs w:val="20"/>
                      <w:vertAlign w:val="superscript"/>
                    </w:rPr>
                    <w:t>3</w:t>
                  </w:r>
                  <w:r>
                    <w:rPr>
                      <w:rFonts w:hint="eastAsia"/>
                      <w:kern w:val="0"/>
                      <w:sz w:val="20"/>
                      <w:szCs w:val="20"/>
                    </w:rPr>
                    <w:t>后再进行评价。</w:t>
                  </w:r>
                </w:p>
              </w:tc>
            </w:tr>
          </w:tbl>
          <w:p w14:paraId="0B3E27E3">
            <w:pPr>
              <w:adjustRightInd w:val="0"/>
              <w:snapToGrid w:val="0"/>
              <w:spacing w:line="500" w:lineRule="exact"/>
              <w:ind w:firstLine="480" w:firstLineChars="200"/>
              <w:rPr>
                <w:kern w:val="0"/>
                <w:sz w:val="24"/>
                <w:szCs w:val="20"/>
              </w:rPr>
            </w:pPr>
            <w:r>
              <w:rPr>
                <w:rFonts w:hint="eastAsia"/>
                <w:kern w:val="0"/>
                <w:sz w:val="24"/>
                <w:szCs w:val="20"/>
              </w:rPr>
              <w:t>针对上述粉尘污染，应做好以下防治措施：</w:t>
            </w:r>
          </w:p>
          <w:p w14:paraId="6A8CF598">
            <w:pPr>
              <w:adjustRightInd w:val="0"/>
              <w:snapToGrid w:val="0"/>
              <w:spacing w:line="500" w:lineRule="exact"/>
              <w:ind w:firstLine="480" w:firstLineChars="200"/>
              <w:rPr>
                <w:kern w:val="0"/>
                <w:sz w:val="24"/>
                <w:szCs w:val="20"/>
              </w:rPr>
            </w:pPr>
            <w:r>
              <w:rPr>
                <w:rFonts w:hint="eastAsia"/>
                <w:kern w:val="0"/>
                <w:sz w:val="24"/>
                <w:szCs w:val="20"/>
              </w:rPr>
              <w:t>①用车辆运输砂石水泥等建筑材料时，应保养好车辆，定时检修汽车挡板，且装载不宜过满。</w:t>
            </w:r>
          </w:p>
          <w:p w14:paraId="3CB6C905">
            <w:pPr>
              <w:adjustRightInd w:val="0"/>
              <w:snapToGrid w:val="0"/>
              <w:spacing w:line="500" w:lineRule="exact"/>
              <w:ind w:firstLine="480" w:firstLineChars="200"/>
              <w:rPr>
                <w:kern w:val="0"/>
                <w:sz w:val="24"/>
                <w:szCs w:val="20"/>
              </w:rPr>
            </w:pPr>
            <w:r>
              <w:rPr>
                <w:rFonts w:hint="eastAsia"/>
                <w:kern w:val="0"/>
                <w:sz w:val="24"/>
                <w:szCs w:val="20"/>
              </w:rPr>
              <w:t>②施工工地全部严格采取封闭、高栏围挡、喷淋等工程措施，施工围挡的设置高度、材质选择、出入口设置、宽度等应符合相关规定。</w:t>
            </w:r>
          </w:p>
          <w:p w14:paraId="4B4AA7DF">
            <w:pPr>
              <w:adjustRightInd w:val="0"/>
              <w:snapToGrid w:val="0"/>
              <w:spacing w:line="500" w:lineRule="exact"/>
              <w:ind w:firstLine="480" w:firstLineChars="200"/>
              <w:rPr>
                <w:kern w:val="0"/>
                <w:sz w:val="24"/>
                <w:szCs w:val="20"/>
              </w:rPr>
            </w:pPr>
            <w:r>
              <w:rPr>
                <w:rFonts w:hint="eastAsia"/>
                <w:kern w:val="0"/>
                <w:sz w:val="24"/>
                <w:szCs w:val="20"/>
              </w:rPr>
              <w:t>③施工垃圾使用封闭的专用垃圾道或采用容器吊运，严禁随意凌空抛洒造成扬尘。施工垃圾要及时清运，清运前要适量洒水减少扬尘。</w:t>
            </w:r>
          </w:p>
          <w:p w14:paraId="0A16F4CD">
            <w:pPr>
              <w:adjustRightInd w:val="0"/>
              <w:snapToGrid w:val="0"/>
              <w:spacing w:line="500" w:lineRule="exact"/>
              <w:ind w:firstLine="480" w:firstLineChars="200"/>
              <w:rPr>
                <w:kern w:val="0"/>
                <w:sz w:val="24"/>
                <w:szCs w:val="20"/>
              </w:rPr>
            </w:pPr>
            <w:r>
              <w:rPr>
                <w:rFonts w:hint="eastAsia"/>
                <w:kern w:val="0"/>
                <w:sz w:val="24"/>
                <w:szCs w:val="20"/>
              </w:rPr>
              <w:t>④在施工场地出入口设置车辆冲洗台和冲洗设施，设有专人清洗车轮、车帮及清扫出入口卫生，确保车辆不带泥上路，车辆运输时也应文明装卸。</w:t>
            </w:r>
          </w:p>
          <w:p w14:paraId="2DBA0755">
            <w:pPr>
              <w:adjustRightInd w:val="0"/>
              <w:snapToGrid w:val="0"/>
              <w:spacing w:line="500" w:lineRule="exact"/>
              <w:ind w:firstLine="480" w:firstLineChars="200"/>
              <w:rPr>
                <w:kern w:val="0"/>
                <w:sz w:val="24"/>
                <w:szCs w:val="20"/>
              </w:rPr>
            </w:pPr>
            <w:r>
              <w:rPr>
                <w:rFonts w:hint="eastAsia"/>
                <w:kern w:val="0"/>
                <w:sz w:val="24"/>
                <w:szCs w:val="20"/>
              </w:rPr>
              <w:t>⑤施工现场堆放砂、石等散体物料的，应当设置高度不低于0.5m的堆放池，并对物料裸露部分实施苫盖，且散体物料堆放场应在远离敏感点一侧布置，以减轻堆土扬尘对其产生的影响。</w:t>
            </w:r>
          </w:p>
          <w:p w14:paraId="54B81DD2">
            <w:pPr>
              <w:adjustRightInd w:val="0"/>
              <w:snapToGrid w:val="0"/>
              <w:spacing w:line="500" w:lineRule="exact"/>
              <w:ind w:firstLine="480" w:firstLineChars="200"/>
              <w:rPr>
                <w:kern w:val="0"/>
                <w:sz w:val="24"/>
                <w:szCs w:val="20"/>
              </w:rPr>
            </w:pPr>
            <w:r>
              <w:rPr>
                <w:rFonts w:hint="eastAsia"/>
                <w:kern w:val="0"/>
                <w:sz w:val="24"/>
                <w:szCs w:val="20"/>
              </w:rPr>
              <w:t>⑥建筑工地必须使用预拌混凝土，禁止现场搅拌，禁止现场消化石灰、拌合成土或其他有严重粉尘污染的作业；禁止焚烧各类垃圾，禁止燃煤。</w:t>
            </w:r>
          </w:p>
          <w:p w14:paraId="365CE83E">
            <w:pPr>
              <w:adjustRightInd w:val="0"/>
              <w:snapToGrid w:val="0"/>
              <w:spacing w:line="500" w:lineRule="exact"/>
              <w:ind w:firstLine="480" w:firstLineChars="200"/>
              <w:rPr>
                <w:kern w:val="0"/>
                <w:sz w:val="24"/>
                <w:szCs w:val="20"/>
              </w:rPr>
            </w:pPr>
            <w:r>
              <w:rPr>
                <w:rFonts w:hint="eastAsia"/>
                <w:kern w:val="0"/>
                <w:sz w:val="24"/>
                <w:szCs w:val="20"/>
              </w:rPr>
              <w:t>⑦工程土方、渣土和垃圾应当集中堆放在远离敏感点的一侧，堆放高度不得超出围挡高度，并采取苫盖、固化措施。</w:t>
            </w:r>
          </w:p>
          <w:p w14:paraId="25465C08">
            <w:pPr>
              <w:adjustRightInd w:val="0"/>
              <w:snapToGrid w:val="0"/>
              <w:spacing w:line="500" w:lineRule="exact"/>
              <w:ind w:firstLine="480" w:firstLineChars="200"/>
              <w:rPr>
                <w:kern w:val="0"/>
                <w:sz w:val="24"/>
                <w:szCs w:val="20"/>
              </w:rPr>
            </w:pPr>
            <w:r>
              <w:rPr>
                <w:rFonts w:hint="eastAsia"/>
                <w:kern w:val="0"/>
                <w:sz w:val="24"/>
                <w:szCs w:val="20"/>
              </w:rPr>
              <w:t>⑧施工产生的渣土、泥浆及废弃物应当随产随清，暂存的渣土应当集中堆放并全部苫盖，禁止渣土外溢至围挡以外或者露天堆放。</w:t>
            </w:r>
          </w:p>
          <w:p w14:paraId="174559A7">
            <w:pPr>
              <w:adjustRightInd w:val="0"/>
              <w:snapToGrid w:val="0"/>
              <w:spacing w:line="500" w:lineRule="exact"/>
              <w:ind w:firstLine="480" w:firstLineChars="200"/>
              <w:rPr>
                <w:kern w:val="0"/>
                <w:sz w:val="24"/>
                <w:szCs w:val="20"/>
              </w:rPr>
            </w:pPr>
            <w:r>
              <w:rPr>
                <w:rFonts w:hint="eastAsia"/>
                <w:kern w:val="0"/>
                <w:sz w:val="24"/>
                <w:szCs w:val="20"/>
              </w:rPr>
              <w:t>根据类比调查，扬尘的影响范围主要在施工现场附近，100m以内扬尘量占总扬尘量的57%左右。本项目100m范围内无居民等环境敏感目标，因此项目施工过程中的扬尘会对周围环境影响较小。本环评要求施工时应遵照建设部的有关施工规范和本环评的建议，在工地四周设置一定高度的围墙、定期洒水、加强管理，以控制扬尘的大量产生，采取有效防护措施后不至于对附近景点和人群构成危害。</w:t>
            </w:r>
          </w:p>
          <w:p w14:paraId="366686D0">
            <w:pPr>
              <w:adjustRightInd w:val="0"/>
              <w:snapToGrid w:val="0"/>
              <w:jc w:val="center"/>
              <w:rPr>
                <w:kern w:val="0"/>
                <w:sz w:val="24"/>
                <w:szCs w:val="20"/>
              </w:rPr>
            </w:pPr>
            <w:r>
              <w:drawing>
                <wp:inline distT="0" distB="0" distL="0" distR="0">
                  <wp:extent cx="5616575" cy="4808220"/>
                  <wp:effectExtent l="0" t="0" r="3175" b="0"/>
                  <wp:docPr id="33216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61034"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16575" cy="4808220"/>
                          </a:xfrm>
                          <a:prstGeom prst="rect">
                            <a:avLst/>
                          </a:prstGeom>
                          <a:noFill/>
                          <a:ln>
                            <a:noFill/>
                          </a:ln>
                        </pic:spPr>
                      </pic:pic>
                    </a:graphicData>
                  </a:graphic>
                </wp:inline>
              </w:drawing>
            </w:r>
          </w:p>
          <w:p w14:paraId="20311189">
            <w:pPr>
              <w:adjustRightInd w:val="0"/>
              <w:snapToGrid w:val="0"/>
              <w:spacing w:line="500" w:lineRule="exact"/>
              <w:ind w:firstLine="40" w:firstLineChars="17"/>
              <w:jc w:val="center"/>
              <w:rPr>
                <w:kern w:val="0"/>
                <w:sz w:val="24"/>
                <w:szCs w:val="20"/>
              </w:rPr>
            </w:pPr>
            <w:r>
              <w:rPr>
                <w:rFonts w:hint="eastAsia"/>
                <w:kern w:val="0"/>
                <w:sz w:val="24"/>
                <w:szCs w:val="20"/>
              </w:rPr>
              <w:t>图4.1 项目周边关系图</w:t>
            </w:r>
          </w:p>
          <w:p w14:paraId="5A8D1EBA">
            <w:pPr>
              <w:adjustRightInd w:val="0"/>
              <w:snapToGrid w:val="0"/>
              <w:spacing w:line="500" w:lineRule="exact"/>
              <w:ind w:firstLine="480" w:firstLineChars="200"/>
              <w:jc w:val="left"/>
              <w:rPr>
                <w:kern w:val="0"/>
                <w:sz w:val="24"/>
                <w:szCs w:val="20"/>
              </w:rPr>
            </w:pPr>
            <w:r>
              <w:rPr>
                <w:rFonts w:hint="eastAsia"/>
                <w:kern w:val="0"/>
                <w:sz w:val="24"/>
                <w:szCs w:val="20"/>
              </w:rPr>
              <w:t>（2）油漆废气</w:t>
            </w:r>
          </w:p>
          <w:p w14:paraId="72E0B536">
            <w:pPr>
              <w:adjustRightInd w:val="0"/>
              <w:snapToGrid w:val="0"/>
              <w:spacing w:line="500" w:lineRule="exact"/>
              <w:ind w:firstLine="480" w:firstLineChars="200"/>
              <w:rPr>
                <w:kern w:val="0"/>
                <w:sz w:val="24"/>
                <w:szCs w:val="20"/>
              </w:rPr>
            </w:pPr>
            <w:r>
              <w:rPr>
                <w:rFonts w:hint="eastAsia"/>
                <w:kern w:val="0"/>
                <w:sz w:val="24"/>
                <w:szCs w:val="20"/>
              </w:rPr>
              <w:t>室内装修阶段对有机溶剂的污染控制首先应在源头上要注意选择无毒或低毒的环保产品，坚决杜绝采用已被淘汰的涂料，合理安排作业，以降低释放源强度；产生的油漆废气经室外空气流通后对周边环境影响较小。室内装修阶段装修材料必须满足《室内装饰装修材料人造板及其制品中甲醛释放限量》（GB18580-2001）、《室内装饰装修材料溶剂型木器涂料中有害物质限量》（GB18581-2009）、《室内装饰装修材料内墙涂料中有害物质限量》（GB 18582-2008）、《室内装饰装修材料胶粘剂中有害物质限量》（GB 18583-2008）、《室内装饰装修材料木家具中有害物质限量》（GB 18584-2001）、《建筑材料放射性核素限量》（GB 6566-2010）、《建筑用外墙涂料中有害物质限量》（GB 24408-2009）、《民用建筑工程室内环境污染控制规范》（GB 50325-2010）等国家标准的要求。</w:t>
            </w:r>
          </w:p>
          <w:p w14:paraId="3194CB2F">
            <w:pPr>
              <w:tabs>
                <w:tab w:val="left" w:pos="7256"/>
              </w:tabs>
              <w:spacing w:before="240" w:beforeLines="100" w:after="120" w:afterLines="50"/>
              <w:ind w:firstLine="482" w:firstLineChars="200"/>
              <w:rPr>
                <w:b/>
                <w:bCs/>
                <w:sz w:val="24"/>
              </w:rPr>
            </w:pPr>
            <w:r>
              <w:rPr>
                <w:rFonts w:hint="eastAsia"/>
                <w:b/>
                <w:bCs/>
                <w:sz w:val="24"/>
              </w:rPr>
              <w:t>4.</w:t>
            </w:r>
            <w:r>
              <w:rPr>
                <w:b/>
                <w:bCs/>
                <w:sz w:val="24"/>
              </w:rPr>
              <w:t>1.2施工期水环境影响分析</w:t>
            </w:r>
          </w:p>
          <w:p w14:paraId="34439993">
            <w:pPr>
              <w:adjustRightInd w:val="0"/>
              <w:snapToGrid w:val="0"/>
              <w:spacing w:line="500" w:lineRule="exact"/>
              <w:ind w:firstLine="480" w:firstLineChars="200"/>
              <w:rPr>
                <w:kern w:val="0"/>
                <w:sz w:val="24"/>
                <w:szCs w:val="20"/>
              </w:rPr>
            </w:pPr>
            <w:r>
              <w:rPr>
                <w:rFonts w:hint="eastAsia"/>
                <w:kern w:val="0"/>
                <w:sz w:val="24"/>
                <w:szCs w:val="20"/>
              </w:rPr>
              <w:t>本项目施工期废水主要来源于施工人员生活污水和工程废水。</w:t>
            </w:r>
          </w:p>
          <w:p w14:paraId="20676B87">
            <w:pPr>
              <w:adjustRightInd w:val="0"/>
              <w:snapToGrid w:val="0"/>
              <w:spacing w:line="500" w:lineRule="exact"/>
              <w:ind w:firstLine="480" w:firstLineChars="200"/>
              <w:rPr>
                <w:kern w:val="0"/>
                <w:sz w:val="24"/>
                <w:szCs w:val="20"/>
              </w:rPr>
            </w:pPr>
            <w:r>
              <w:rPr>
                <w:rFonts w:hint="eastAsia"/>
                <w:kern w:val="0"/>
                <w:sz w:val="24"/>
                <w:szCs w:val="20"/>
              </w:rPr>
              <w:t>（1）生活污水</w:t>
            </w:r>
          </w:p>
          <w:p w14:paraId="3A94ECB1">
            <w:pPr>
              <w:adjustRightInd w:val="0"/>
              <w:snapToGrid w:val="0"/>
              <w:spacing w:line="500" w:lineRule="exact"/>
              <w:ind w:firstLine="480" w:firstLineChars="200"/>
              <w:rPr>
                <w:kern w:val="0"/>
                <w:sz w:val="24"/>
                <w:szCs w:val="20"/>
              </w:rPr>
            </w:pPr>
            <w:r>
              <w:rPr>
                <w:rFonts w:hint="eastAsia"/>
                <w:kern w:val="0"/>
                <w:sz w:val="24"/>
                <w:szCs w:val="20"/>
              </w:rPr>
              <w:t>项目施工期每天平均人员约80人，生活污水产生量以80L/人•d 计，则施工期用水量为6.4 m</w:t>
            </w:r>
            <w:r>
              <w:rPr>
                <w:rFonts w:hint="eastAsia"/>
                <w:kern w:val="0"/>
                <w:sz w:val="24"/>
                <w:szCs w:val="20"/>
                <w:vertAlign w:val="superscript"/>
              </w:rPr>
              <w:t>3</w:t>
            </w:r>
            <w:r>
              <w:rPr>
                <w:rFonts w:hint="eastAsia"/>
                <w:kern w:val="0"/>
                <w:sz w:val="24"/>
                <w:szCs w:val="20"/>
              </w:rPr>
              <w:t>/d，排污系数按用水量的80%计，则施工期生活污水排放量为5.12 m</w:t>
            </w:r>
            <w:r>
              <w:rPr>
                <w:rFonts w:hint="eastAsia"/>
                <w:kern w:val="0"/>
                <w:sz w:val="24"/>
                <w:szCs w:val="20"/>
                <w:vertAlign w:val="superscript"/>
              </w:rPr>
              <w:t>3</w:t>
            </w:r>
            <w:r>
              <w:rPr>
                <w:rFonts w:hint="eastAsia"/>
                <w:kern w:val="0"/>
                <w:sz w:val="24"/>
                <w:szCs w:val="20"/>
              </w:rPr>
              <w:t>/d，污染物COD、SS、NH</w:t>
            </w:r>
            <w:r>
              <w:rPr>
                <w:rFonts w:hint="eastAsia"/>
                <w:kern w:val="0"/>
                <w:sz w:val="24"/>
                <w:szCs w:val="20"/>
                <w:vertAlign w:val="subscript"/>
              </w:rPr>
              <w:t>3</w:t>
            </w:r>
            <w:r>
              <w:rPr>
                <w:rFonts w:hint="eastAsia"/>
                <w:kern w:val="0"/>
                <w:sz w:val="24"/>
                <w:szCs w:val="20"/>
              </w:rPr>
              <w:t>-N、TP 的产生浓度约为300mg/L、250mg/L、30mg/L 和2mg/L，产生量分别约为1.54 kg/d、1.28 kg/d、0.154 kg/d 和0.01 kg/d。由于项目施工期污水排放量仅为5.12 m</w:t>
            </w:r>
            <w:r>
              <w:rPr>
                <w:rFonts w:hint="eastAsia"/>
                <w:kern w:val="0"/>
                <w:sz w:val="24"/>
                <w:szCs w:val="20"/>
                <w:vertAlign w:val="superscript"/>
              </w:rPr>
              <w:t>3</w:t>
            </w:r>
            <w:r>
              <w:rPr>
                <w:rFonts w:hint="eastAsia"/>
                <w:kern w:val="0"/>
                <w:sz w:val="24"/>
                <w:szCs w:val="20"/>
              </w:rPr>
              <w:t>/d，污染物排放量很小，经厂区化粪池处理后，接管市政管网后进入污水处理厂，对周围环境影响较小。</w:t>
            </w:r>
          </w:p>
          <w:p w14:paraId="7E49032F">
            <w:pPr>
              <w:adjustRightInd w:val="0"/>
              <w:snapToGrid w:val="0"/>
              <w:spacing w:line="500" w:lineRule="exact"/>
              <w:ind w:firstLine="480" w:firstLineChars="200"/>
              <w:rPr>
                <w:kern w:val="0"/>
                <w:sz w:val="24"/>
                <w:szCs w:val="20"/>
              </w:rPr>
            </w:pPr>
            <w:r>
              <w:rPr>
                <w:rFonts w:hint="eastAsia"/>
                <w:kern w:val="0"/>
                <w:sz w:val="24"/>
                <w:szCs w:val="20"/>
              </w:rPr>
              <w:t>（2）工程废水</w:t>
            </w:r>
          </w:p>
          <w:p w14:paraId="520C2DD1">
            <w:pPr>
              <w:adjustRightInd w:val="0"/>
              <w:snapToGrid w:val="0"/>
              <w:spacing w:line="500" w:lineRule="exact"/>
              <w:ind w:firstLine="480" w:firstLineChars="200"/>
              <w:rPr>
                <w:kern w:val="0"/>
                <w:sz w:val="24"/>
                <w:szCs w:val="20"/>
              </w:rPr>
            </w:pPr>
            <w:r>
              <w:rPr>
                <w:rFonts w:hint="eastAsia"/>
                <w:kern w:val="0"/>
                <w:sz w:val="24"/>
                <w:szCs w:val="20"/>
              </w:rPr>
              <w:t>对于施工中所产生的工程废水，如果不经处理或处理不当，同样会危害环境。为减少施工废水量的产生施工单位需将物料堆放应远离地表水体；及时掌握天气情况，雨天对机械、料场进行遮挡；施工废水主要污染因子为SS，经收集沉淀等处理后可回用于施工场地的洒水防尘，施工期废水严禁直接排入附近水体。</w:t>
            </w:r>
          </w:p>
          <w:p w14:paraId="38467BA0">
            <w:pPr>
              <w:tabs>
                <w:tab w:val="left" w:pos="7256"/>
              </w:tabs>
              <w:spacing w:before="240" w:beforeLines="100" w:after="120" w:afterLines="50"/>
              <w:ind w:firstLine="482" w:firstLineChars="200"/>
              <w:rPr>
                <w:b/>
                <w:bCs/>
                <w:sz w:val="24"/>
              </w:rPr>
            </w:pPr>
            <w:r>
              <w:rPr>
                <w:rFonts w:hint="eastAsia"/>
                <w:b/>
                <w:bCs/>
                <w:sz w:val="24"/>
              </w:rPr>
              <w:t>4.</w:t>
            </w:r>
            <w:r>
              <w:rPr>
                <w:b/>
                <w:bCs/>
                <w:sz w:val="24"/>
              </w:rPr>
              <w:t>1.3施工期声环境影响分析</w:t>
            </w:r>
          </w:p>
          <w:p w14:paraId="030174A8">
            <w:pPr>
              <w:adjustRightInd w:val="0"/>
              <w:snapToGrid w:val="0"/>
              <w:spacing w:line="500" w:lineRule="exact"/>
              <w:ind w:firstLine="480" w:firstLineChars="200"/>
              <w:rPr>
                <w:kern w:val="0"/>
                <w:sz w:val="24"/>
                <w:szCs w:val="20"/>
              </w:rPr>
            </w:pPr>
            <w:r>
              <w:rPr>
                <w:rFonts w:hint="eastAsia"/>
                <w:kern w:val="0"/>
                <w:sz w:val="24"/>
                <w:szCs w:val="20"/>
              </w:rPr>
              <w:t>施工期间的主要噪声源为各类施工机械的辐射噪声和原材料、建筑垃圾运输时车辆引发的交通噪声。本项目噪声设备分散，大多为不连续性噪声；由于是采用单元操作的方式进行，不能对施工噪声源作出明确的定位，会在一定程度上影响施工噪声预测的准确性。为此，本评价在根据噪声预测模式中对不同施工阶段的噪声衰减情况进行预测时，采用最不利原则，噪声源强取各阶段发生频率最高、源强最大叠加值。</w:t>
            </w:r>
          </w:p>
          <w:p w14:paraId="69E5081A">
            <w:pPr>
              <w:adjustRightInd w:val="0"/>
              <w:snapToGrid w:val="0"/>
              <w:spacing w:line="500" w:lineRule="exact"/>
              <w:ind w:firstLine="480" w:firstLineChars="200"/>
              <w:rPr>
                <w:kern w:val="0"/>
                <w:sz w:val="24"/>
                <w:szCs w:val="20"/>
              </w:rPr>
            </w:pPr>
            <w:r>
              <w:rPr>
                <w:rFonts w:hint="eastAsia"/>
                <w:kern w:val="0"/>
                <w:sz w:val="24"/>
                <w:szCs w:val="20"/>
              </w:rPr>
              <w:t>为进一步减少对噪声影响，可采取以下控制措施：</w:t>
            </w:r>
          </w:p>
          <w:p w14:paraId="1274BAB2">
            <w:pPr>
              <w:adjustRightInd w:val="0"/>
              <w:snapToGrid w:val="0"/>
              <w:spacing w:line="500" w:lineRule="exact"/>
              <w:ind w:firstLine="480" w:firstLineChars="200"/>
              <w:rPr>
                <w:kern w:val="0"/>
                <w:sz w:val="24"/>
                <w:szCs w:val="20"/>
              </w:rPr>
            </w:pPr>
            <w:r>
              <w:rPr>
                <w:rFonts w:hint="eastAsia"/>
                <w:kern w:val="0"/>
                <w:sz w:val="24"/>
                <w:szCs w:val="20"/>
              </w:rPr>
              <w:t>（1）合理安排施工时间</w:t>
            </w:r>
          </w:p>
          <w:p w14:paraId="232B02B3">
            <w:pPr>
              <w:adjustRightInd w:val="0"/>
              <w:snapToGrid w:val="0"/>
              <w:spacing w:line="500" w:lineRule="exact"/>
              <w:ind w:firstLine="480" w:firstLineChars="200"/>
              <w:rPr>
                <w:kern w:val="0"/>
                <w:sz w:val="24"/>
                <w:szCs w:val="20"/>
              </w:rPr>
            </w:pPr>
            <w:r>
              <w:rPr>
                <w:rFonts w:hint="eastAsia"/>
                <w:kern w:val="0"/>
                <w:sz w:val="24"/>
                <w:szCs w:val="20"/>
              </w:rPr>
              <w:t>制订施工计划时，应尽量避免同时使用大量高噪声设备施工。除此之外，高噪声施工时间尽量安排在白天，禁止在夜间施工，因特殊原因确需夜间施工的应提前向相关部门申请夜间施工许可，并接受其依法监督。</w:t>
            </w:r>
          </w:p>
          <w:p w14:paraId="4413642B">
            <w:pPr>
              <w:adjustRightInd w:val="0"/>
              <w:snapToGrid w:val="0"/>
              <w:spacing w:line="500" w:lineRule="exact"/>
              <w:ind w:firstLine="480" w:firstLineChars="200"/>
              <w:rPr>
                <w:kern w:val="0"/>
                <w:sz w:val="24"/>
                <w:szCs w:val="20"/>
              </w:rPr>
            </w:pPr>
            <w:r>
              <w:rPr>
                <w:rFonts w:hint="eastAsia"/>
                <w:kern w:val="0"/>
                <w:sz w:val="24"/>
                <w:szCs w:val="20"/>
              </w:rPr>
              <w:t>（2）合理布局施工场地</w:t>
            </w:r>
          </w:p>
          <w:p w14:paraId="36F6A8FA">
            <w:pPr>
              <w:adjustRightInd w:val="0"/>
              <w:snapToGrid w:val="0"/>
              <w:spacing w:line="500" w:lineRule="exact"/>
              <w:ind w:firstLine="480" w:firstLineChars="200"/>
              <w:rPr>
                <w:kern w:val="0"/>
                <w:sz w:val="24"/>
                <w:szCs w:val="20"/>
              </w:rPr>
            </w:pPr>
            <w:r>
              <w:rPr>
                <w:rFonts w:hint="eastAsia"/>
                <w:kern w:val="0"/>
                <w:sz w:val="24"/>
                <w:szCs w:val="20"/>
              </w:rPr>
              <w:t>施工场地周围建设围墙，设置单独出入口；避免在同一施工地点安排大量动力机械设备，避免局部声级过高；尽量利用工地已完成的建筑作为声障，而达到自我缓解噪声的效果。</w:t>
            </w:r>
          </w:p>
          <w:p w14:paraId="2FBD531E">
            <w:pPr>
              <w:adjustRightInd w:val="0"/>
              <w:snapToGrid w:val="0"/>
              <w:spacing w:line="500" w:lineRule="exact"/>
              <w:ind w:firstLine="480" w:firstLineChars="200"/>
              <w:rPr>
                <w:kern w:val="0"/>
                <w:sz w:val="24"/>
                <w:szCs w:val="20"/>
              </w:rPr>
            </w:pPr>
            <w:r>
              <w:rPr>
                <w:rFonts w:hint="eastAsia"/>
                <w:kern w:val="0"/>
                <w:sz w:val="24"/>
                <w:szCs w:val="20"/>
              </w:rPr>
              <w:t>（3）降低设备声级</w:t>
            </w:r>
          </w:p>
          <w:p w14:paraId="0D2A66A4">
            <w:pPr>
              <w:adjustRightInd w:val="0"/>
              <w:snapToGrid w:val="0"/>
              <w:spacing w:line="500" w:lineRule="exact"/>
              <w:ind w:firstLine="480" w:firstLineChars="200"/>
              <w:rPr>
                <w:kern w:val="0"/>
                <w:sz w:val="24"/>
                <w:szCs w:val="20"/>
              </w:rPr>
            </w:pPr>
            <w:r>
              <w:rPr>
                <w:rFonts w:hint="eastAsia"/>
                <w:kern w:val="0"/>
                <w:sz w:val="24"/>
                <w:szCs w:val="20"/>
              </w:rPr>
              <w:t>设备选型上尽量采用低噪声设备；固定机械设备与挖土、运土机械，可通过排气管消声器和隔离发动机振动部件的方法降低噪声；对动力机械设备进行定期的维修、养护，避免设备因松动部件的振动或消声器的损坏而增加其工作时的噪声级；暂不使用的设备应立即关闭，运输车辆进入现场应减速，并减少鸣笛。</w:t>
            </w:r>
          </w:p>
          <w:p w14:paraId="2EB052A8">
            <w:pPr>
              <w:adjustRightInd w:val="0"/>
              <w:snapToGrid w:val="0"/>
              <w:spacing w:line="500" w:lineRule="exact"/>
              <w:ind w:firstLine="480" w:firstLineChars="200"/>
              <w:rPr>
                <w:kern w:val="0"/>
                <w:sz w:val="24"/>
                <w:szCs w:val="20"/>
              </w:rPr>
            </w:pPr>
            <w:r>
              <w:rPr>
                <w:rFonts w:hint="eastAsia"/>
                <w:kern w:val="0"/>
                <w:sz w:val="24"/>
                <w:szCs w:val="20"/>
              </w:rPr>
              <w:t>（4）降低人为噪声</w:t>
            </w:r>
          </w:p>
          <w:p w14:paraId="3D5FCFE6">
            <w:pPr>
              <w:adjustRightInd w:val="0"/>
              <w:snapToGrid w:val="0"/>
              <w:spacing w:line="500" w:lineRule="exact"/>
              <w:ind w:firstLine="480" w:firstLineChars="200"/>
              <w:rPr>
                <w:kern w:val="0"/>
                <w:sz w:val="24"/>
                <w:szCs w:val="20"/>
              </w:rPr>
            </w:pPr>
            <w:r>
              <w:rPr>
                <w:rFonts w:hint="eastAsia"/>
                <w:kern w:val="0"/>
                <w:sz w:val="24"/>
                <w:szCs w:val="20"/>
              </w:rPr>
              <w:t>按规范操作机械设备；在模板、支架拆卸过程中，遵守作业规定，减少碰撞噪音。</w:t>
            </w:r>
          </w:p>
          <w:p w14:paraId="1FB76E5E">
            <w:pPr>
              <w:adjustRightInd w:val="0"/>
              <w:snapToGrid w:val="0"/>
              <w:spacing w:line="500" w:lineRule="exact"/>
              <w:ind w:firstLine="480" w:firstLineChars="200"/>
              <w:rPr>
                <w:kern w:val="0"/>
                <w:sz w:val="24"/>
                <w:szCs w:val="20"/>
              </w:rPr>
            </w:pPr>
            <w:r>
              <w:rPr>
                <w:rFonts w:hint="eastAsia"/>
                <w:kern w:val="0"/>
                <w:sz w:val="24"/>
                <w:szCs w:val="20"/>
              </w:rPr>
              <w:t>（5）建立临时声障</w:t>
            </w:r>
          </w:p>
          <w:p w14:paraId="5B11CE62">
            <w:pPr>
              <w:adjustRightInd w:val="0"/>
              <w:snapToGrid w:val="0"/>
              <w:spacing w:line="500" w:lineRule="exact"/>
              <w:ind w:firstLine="480" w:firstLineChars="200"/>
              <w:rPr>
                <w:kern w:val="0"/>
                <w:sz w:val="24"/>
                <w:szCs w:val="20"/>
              </w:rPr>
            </w:pPr>
            <w:r>
              <w:rPr>
                <w:rFonts w:hint="eastAsia"/>
                <w:kern w:val="0"/>
                <w:sz w:val="24"/>
                <w:szCs w:val="20"/>
              </w:rPr>
              <w:t>对于位置相对固定的机械设备，能于棚内操作的尽量放入操作间，不能入棚的，可适当建立单面声障。对施工场地噪声影响除采取以上降噪措施外，还应与周围居民建立良好的关系，在作业前予以通知，求得大家的理解。此外施工期间应设热线投拆电话，接受噪声扰民投拆，并对投拆情况进行积极治理或严格的管理。</w:t>
            </w:r>
          </w:p>
          <w:p w14:paraId="55277552">
            <w:pPr>
              <w:adjustRightInd w:val="0"/>
              <w:snapToGrid w:val="0"/>
              <w:spacing w:line="500" w:lineRule="exact"/>
              <w:ind w:firstLine="482" w:firstLineChars="200"/>
              <w:jc w:val="left"/>
              <w:rPr>
                <w:b/>
                <w:bCs/>
                <w:kern w:val="0"/>
                <w:sz w:val="24"/>
              </w:rPr>
            </w:pPr>
            <w:r>
              <w:rPr>
                <w:rFonts w:hint="eastAsia"/>
                <w:b/>
                <w:bCs/>
                <w:sz w:val="24"/>
              </w:rPr>
              <w:t>4.</w:t>
            </w:r>
            <w:r>
              <w:rPr>
                <w:b/>
                <w:bCs/>
                <w:sz w:val="24"/>
              </w:rPr>
              <w:t>1.4施工期固体废物环境影响分析</w:t>
            </w:r>
          </w:p>
          <w:p w14:paraId="65CC9DF5">
            <w:pPr>
              <w:adjustRightInd w:val="0"/>
              <w:snapToGrid w:val="0"/>
              <w:spacing w:line="500" w:lineRule="exact"/>
              <w:ind w:firstLine="480" w:firstLineChars="200"/>
              <w:rPr>
                <w:kern w:val="0"/>
                <w:sz w:val="24"/>
                <w:szCs w:val="20"/>
              </w:rPr>
            </w:pPr>
            <w:r>
              <w:rPr>
                <w:rFonts w:hint="eastAsia"/>
                <w:kern w:val="0"/>
                <w:sz w:val="24"/>
                <w:szCs w:val="20"/>
              </w:rPr>
              <w:t>施工期的固体废物主要有：</w:t>
            </w:r>
          </w:p>
          <w:p w14:paraId="75D4B1AB">
            <w:pPr>
              <w:adjustRightInd w:val="0"/>
              <w:snapToGrid w:val="0"/>
              <w:spacing w:line="500" w:lineRule="exact"/>
              <w:ind w:firstLine="480" w:firstLineChars="200"/>
              <w:rPr>
                <w:kern w:val="0"/>
                <w:sz w:val="24"/>
                <w:szCs w:val="20"/>
              </w:rPr>
            </w:pPr>
            <w:r>
              <w:rPr>
                <w:rFonts w:hint="eastAsia"/>
                <w:kern w:val="0"/>
                <w:sz w:val="24"/>
                <w:szCs w:val="20"/>
              </w:rPr>
              <w:t>（1）施工期间废弃的建筑垃圾如砂石、石灰、混凝土、木材、废砖、土石方等。施工过程中建筑垃圾要做到集中收集、及时清运，防止其乱堆放、或长期堆放而产生扬尘污染。施工结束后，要及时清理施工现场，拆除临时工棚等临时建筑物，废弃的建筑材料应向有关部门申报，核准后方可清运到指定的堆放地点。</w:t>
            </w:r>
          </w:p>
          <w:p w14:paraId="7BB0DC03">
            <w:pPr>
              <w:adjustRightInd w:val="0"/>
              <w:snapToGrid w:val="0"/>
              <w:spacing w:line="500" w:lineRule="exact"/>
              <w:ind w:firstLine="480" w:firstLineChars="200"/>
              <w:rPr>
                <w:kern w:val="0"/>
                <w:sz w:val="24"/>
                <w:szCs w:val="20"/>
              </w:rPr>
            </w:pPr>
            <w:r>
              <w:rPr>
                <w:rFonts w:hint="eastAsia"/>
                <w:kern w:val="0"/>
                <w:sz w:val="24"/>
                <w:szCs w:val="20"/>
              </w:rPr>
              <w:t xml:space="preserve">防治措施： </w:t>
            </w:r>
          </w:p>
          <w:p w14:paraId="4AF558B3">
            <w:pPr>
              <w:adjustRightInd w:val="0"/>
              <w:snapToGrid w:val="0"/>
              <w:spacing w:line="500" w:lineRule="exact"/>
              <w:ind w:firstLine="480" w:firstLineChars="200"/>
              <w:rPr>
                <w:kern w:val="0"/>
                <w:sz w:val="24"/>
                <w:szCs w:val="20"/>
              </w:rPr>
            </w:pPr>
            <w:r>
              <w:rPr>
                <w:rFonts w:hint="eastAsia"/>
                <w:kern w:val="0"/>
                <w:sz w:val="24"/>
                <w:szCs w:val="20"/>
              </w:rPr>
              <w:t>①车辆运输固废时，运输车辆必须做到装载适量，加盖遮布，出工地前做好外部清洗，沿途不漏泥土、不飞扬；运输必须限制在规定时段内进行，按指定路段行驶。</w:t>
            </w:r>
          </w:p>
          <w:p w14:paraId="41589D60">
            <w:pPr>
              <w:adjustRightInd w:val="0"/>
              <w:snapToGrid w:val="0"/>
              <w:spacing w:line="500" w:lineRule="exact"/>
              <w:ind w:firstLine="480" w:firstLineChars="200"/>
              <w:rPr>
                <w:kern w:val="0"/>
                <w:sz w:val="24"/>
                <w:szCs w:val="20"/>
              </w:rPr>
            </w:pPr>
            <w:r>
              <w:rPr>
                <w:rFonts w:hint="eastAsia"/>
                <w:kern w:val="0"/>
                <w:sz w:val="24"/>
                <w:szCs w:val="20"/>
              </w:rPr>
              <w:t>②对可再利用的废料，如木材、钢筋等，应进行回收，以节省资源。</w:t>
            </w:r>
          </w:p>
          <w:p w14:paraId="7F9A3740">
            <w:pPr>
              <w:adjustRightInd w:val="0"/>
              <w:snapToGrid w:val="0"/>
              <w:spacing w:line="500" w:lineRule="exact"/>
              <w:ind w:firstLine="480" w:firstLineChars="200"/>
              <w:rPr>
                <w:kern w:val="0"/>
                <w:sz w:val="24"/>
                <w:szCs w:val="20"/>
              </w:rPr>
            </w:pPr>
            <w:r>
              <w:rPr>
                <w:rFonts w:hint="eastAsia"/>
                <w:kern w:val="0"/>
                <w:sz w:val="24"/>
                <w:szCs w:val="20"/>
              </w:rPr>
              <w:t>③对砖瓦等建筑垃圾，可采用一般堆存的方法处理，但一定要将其最终运送到指定的建筑垃圾倾倒场。</w:t>
            </w:r>
          </w:p>
          <w:p w14:paraId="5A46881C">
            <w:pPr>
              <w:adjustRightInd w:val="0"/>
              <w:snapToGrid w:val="0"/>
              <w:spacing w:line="500" w:lineRule="exact"/>
              <w:ind w:firstLine="480" w:firstLineChars="200"/>
              <w:rPr>
                <w:kern w:val="0"/>
                <w:sz w:val="24"/>
                <w:szCs w:val="20"/>
              </w:rPr>
            </w:pPr>
            <w:r>
              <w:rPr>
                <w:rFonts w:hint="eastAsia"/>
                <w:kern w:val="0"/>
                <w:sz w:val="24"/>
                <w:szCs w:val="20"/>
              </w:rPr>
              <w:t>④实施全封闭型施工，尽可能使施工期间的污染和影响控制在施工场地范围内，尽量减少对周围环境的影响。</w:t>
            </w:r>
          </w:p>
          <w:p w14:paraId="5EE08FBC">
            <w:pPr>
              <w:adjustRightInd w:val="0"/>
              <w:snapToGrid w:val="0"/>
              <w:spacing w:line="500" w:lineRule="exact"/>
              <w:ind w:firstLine="480" w:firstLineChars="200"/>
              <w:rPr>
                <w:kern w:val="0"/>
                <w:sz w:val="24"/>
                <w:szCs w:val="20"/>
              </w:rPr>
            </w:pPr>
            <w:r>
              <w:rPr>
                <w:rFonts w:hint="eastAsia"/>
                <w:kern w:val="0"/>
                <w:sz w:val="24"/>
                <w:szCs w:val="20"/>
              </w:rPr>
              <w:t>⑤施工人员产生的生活垃圾集中收集后由环卫部门统一清运处理。</w:t>
            </w:r>
          </w:p>
          <w:p w14:paraId="67F6F8E9">
            <w:pPr>
              <w:spacing w:line="500" w:lineRule="exact"/>
              <w:ind w:firstLine="480" w:firstLineChars="200"/>
              <w:rPr>
                <w:kern w:val="0"/>
                <w:sz w:val="24"/>
              </w:rPr>
            </w:pPr>
            <w:r>
              <w:rPr>
                <w:rFonts w:hint="eastAsia"/>
                <w:kern w:val="0"/>
                <w:sz w:val="24"/>
              </w:rPr>
              <w:t>（2）施工生活</w:t>
            </w:r>
            <w:r>
              <w:rPr>
                <w:kern w:val="0"/>
                <w:sz w:val="24"/>
              </w:rPr>
              <w:t>垃圾</w:t>
            </w:r>
          </w:p>
          <w:p w14:paraId="08B7E5C7">
            <w:pPr>
              <w:adjustRightInd w:val="0"/>
              <w:snapToGrid w:val="0"/>
              <w:spacing w:line="360" w:lineRule="auto"/>
              <w:ind w:firstLine="480" w:firstLineChars="200"/>
              <w:rPr>
                <w:kern w:val="0"/>
                <w:sz w:val="24"/>
                <w:szCs w:val="20"/>
              </w:rPr>
            </w:pPr>
            <w:r>
              <w:rPr>
                <w:rFonts w:hint="eastAsia"/>
                <w:kern w:val="0"/>
                <w:sz w:val="24"/>
                <w:szCs w:val="20"/>
              </w:rPr>
              <w:t>生活垃圾应集中收集、及时清运交环卫部门处理处置，防止因长期堆放产生的腐烂变质、滋生蚊虫苍蝇，产生恶臭，传染疾病，从而对周围环境和作业人员的健康带来不利影响。</w:t>
            </w:r>
          </w:p>
        </w:tc>
      </w:tr>
    </w:tbl>
    <w:p w14:paraId="15CEB03A">
      <w:pPr>
        <w:tabs>
          <w:tab w:val="left" w:pos="304"/>
        </w:tabs>
        <w:spacing w:before="240" w:beforeLines="100" w:after="120" w:afterLines="50"/>
        <w:ind w:left="38" w:firstLine="420" w:firstLineChars="200"/>
        <w:jc w:val="left"/>
        <w:rPr>
          <w:rFonts w:ascii="宋体" w:hAnsi="宋体" w:cs="宋体"/>
          <w:szCs w:val="21"/>
        </w:rPr>
      </w:pPr>
      <w:r>
        <w:rPr>
          <w:rFonts w:hint="eastAsia" w:ascii="宋体" w:hAnsi="宋体" w:cs="宋体"/>
          <w:szCs w:val="21"/>
        </w:rPr>
        <w:tab/>
      </w:r>
    </w:p>
    <w:p w14:paraId="247B0E78">
      <w:pPr>
        <w:tabs>
          <w:tab w:val="left" w:pos="304"/>
        </w:tabs>
        <w:spacing w:before="240" w:beforeLines="100" w:after="120" w:afterLines="50"/>
        <w:ind w:left="38" w:firstLine="420" w:firstLineChars="200"/>
        <w:jc w:val="left"/>
        <w:rPr>
          <w:rFonts w:ascii="宋体" w:hAnsi="宋体" w:cs="宋体"/>
          <w:szCs w:val="21"/>
        </w:rPr>
      </w:pPr>
    </w:p>
    <w:p w14:paraId="6AB85679">
      <w:pPr>
        <w:tabs>
          <w:tab w:val="left" w:pos="304"/>
        </w:tabs>
        <w:spacing w:before="240" w:beforeLines="100" w:after="120" w:afterLines="50"/>
        <w:ind w:left="38" w:firstLine="482" w:firstLineChars="200"/>
        <w:jc w:val="left"/>
        <w:rPr>
          <w:b/>
          <w:bCs/>
          <w:sz w:val="24"/>
        </w:rPr>
        <w:sectPr>
          <w:pgSz w:w="11907" w:h="16840"/>
          <w:pgMar w:top="1701" w:right="1531" w:bottom="2127" w:left="1531" w:header="851" w:footer="851" w:gutter="0"/>
          <w:pgNumType w:fmt="numberInDash"/>
          <w:cols w:space="720" w:num="1"/>
          <w:docGrid w:linePitch="312" w:charSpace="0"/>
        </w:sect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5036"/>
      </w:tblGrid>
      <w:tr w14:paraId="69D7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7" w:hRule="atLeast"/>
          <w:jc w:val="center"/>
        </w:trPr>
        <w:tc>
          <w:tcPr>
            <w:tcW w:w="529" w:type="dxa"/>
            <w:vAlign w:val="center"/>
          </w:tcPr>
          <w:p w14:paraId="6AB5BF23">
            <w:pPr>
              <w:pStyle w:val="19"/>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运营</w:t>
            </w:r>
          </w:p>
          <w:p w14:paraId="59728272">
            <w:pPr>
              <w:pStyle w:val="19"/>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期环</w:t>
            </w:r>
          </w:p>
          <w:p w14:paraId="19033C5D">
            <w:pPr>
              <w:pStyle w:val="19"/>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境影</w:t>
            </w:r>
          </w:p>
          <w:p w14:paraId="2C2F734F">
            <w:pPr>
              <w:pStyle w:val="19"/>
              <w:spacing w:before="0" w:beforeAutospacing="0" w:after="0" w:afterAutospacing="0"/>
              <w:jc w:val="center"/>
              <w:rPr>
                <w:rFonts w:ascii="黑体" w:hAnsi="黑体" w:eastAsia="黑体"/>
                <w:snapToGrid w:val="0"/>
                <w:szCs w:val="24"/>
              </w:rPr>
            </w:pPr>
            <w:r>
              <w:rPr>
                <w:rFonts w:ascii="Times New Roman" w:hAnsi="Times New Roman"/>
                <w:b/>
                <w:bCs/>
                <w:kern w:val="2"/>
                <w:szCs w:val="24"/>
              </w:rPr>
              <w:t>响和保护措施</w:t>
            </w:r>
          </w:p>
        </w:tc>
        <w:tc>
          <w:tcPr>
            <w:tcW w:w="15036" w:type="dxa"/>
            <w:vAlign w:val="center"/>
          </w:tcPr>
          <w:p w14:paraId="33676807">
            <w:pPr>
              <w:pStyle w:val="51"/>
              <w:ind w:firstLine="482" w:firstLineChars="200"/>
              <w:rPr>
                <w:rFonts w:ascii="宋体" w:hAnsi="宋体" w:cs="宋体"/>
              </w:rPr>
            </w:pPr>
            <w:r>
              <w:rPr>
                <w:rFonts w:hint="eastAsia" w:ascii="宋体" w:hAnsi="宋体" w:cs="宋体"/>
              </w:rPr>
              <w:t>4.2 营运期污染源分析</w:t>
            </w:r>
          </w:p>
          <w:p w14:paraId="210EB594">
            <w:pPr>
              <w:pStyle w:val="51"/>
              <w:ind w:firstLine="482" w:firstLineChars="200"/>
              <w:rPr>
                <w:rFonts w:ascii="宋体" w:hAnsi="宋体" w:cs="宋体"/>
              </w:rPr>
            </w:pPr>
            <w:r>
              <w:rPr>
                <w:rFonts w:hint="eastAsia" w:ascii="宋体" w:hAnsi="宋体" w:cs="宋体"/>
              </w:rPr>
              <w:t>4.2.1 废气污染工序及源强分析</w:t>
            </w:r>
          </w:p>
          <w:p w14:paraId="5F45C2C5">
            <w:pPr>
              <w:widowControl/>
              <w:spacing w:line="360" w:lineRule="auto"/>
              <w:ind w:firstLine="506" w:firstLineChars="211"/>
              <w:jc w:val="left"/>
              <w:rPr>
                <w:kern w:val="0"/>
                <w:sz w:val="24"/>
              </w:rPr>
            </w:pPr>
            <w:r>
              <w:rPr>
                <w:kern w:val="0"/>
                <w:sz w:val="24"/>
              </w:rPr>
              <w:t>项目营运期大气污染物主要</w:t>
            </w:r>
            <w:r>
              <w:rPr>
                <w:rFonts w:hint="eastAsia"/>
                <w:kern w:val="0"/>
                <w:sz w:val="24"/>
              </w:rPr>
              <w:t>为：</w:t>
            </w:r>
            <w:r>
              <w:rPr>
                <w:rFonts w:hint="eastAsia" w:ascii="宋体" w:hAnsi="宋体" w:cs="宋体"/>
                <w:b/>
              </w:rPr>
              <w:t>①</w:t>
            </w:r>
            <w:r>
              <w:rPr>
                <w:rFonts w:hint="eastAsia"/>
                <w:kern w:val="0"/>
                <w:sz w:val="24"/>
              </w:rPr>
              <w:t>原布超声复合、基布撒粉涂布烘干</w:t>
            </w:r>
            <w:r>
              <w:rPr>
                <w:kern w:val="0"/>
                <w:sz w:val="24"/>
              </w:rPr>
              <w:t>过程产生的有机废气</w:t>
            </w:r>
            <w:r>
              <w:rPr>
                <w:rFonts w:hint="eastAsia" w:ascii="宋体" w:hAnsi="宋体" w:cs="宋体"/>
                <w:b/>
              </w:rPr>
              <w:t>。</w:t>
            </w:r>
          </w:p>
          <w:p w14:paraId="4C58AADC">
            <w:pPr>
              <w:pStyle w:val="51"/>
              <w:ind w:firstLine="480" w:firstLineChars="200"/>
              <w:rPr>
                <w:rFonts w:ascii="宋体" w:hAnsi="宋体" w:cs="宋体"/>
                <w:b w:val="0"/>
              </w:rPr>
            </w:pPr>
            <w:r>
              <w:rPr>
                <w:rFonts w:hint="eastAsia" w:ascii="宋体" w:hAnsi="宋体" w:cs="宋体"/>
                <w:b w:val="0"/>
              </w:rPr>
              <w:t>废气源强及排放口信息汇总具体见下表：</w:t>
            </w:r>
          </w:p>
          <w:p w14:paraId="009F8754">
            <w:pPr>
              <w:pStyle w:val="4"/>
              <w:jc w:val="center"/>
              <w:rPr>
                <w:rFonts w:ascii="宋体" w:hAnsi="宋体" w:cs="宋体"/>
                <w:b/>
                <w:bCs/>
                <w:szCs w:val="21"/>
              </w:rPr>
            </w:pPr>
            <w:r>
              <w:rPr>
                <w:rFonts w:hint="eastAsia" w:ascii="宋体" w:hAnsi="宋体" w:cs="宋体"/>
                <w:b/>
                <w:bCs/>
                <w:szCs w:val="21"/>
              </w:rPr>
              <w:t>表4-2 项目有组织废气污染源正常排放汇总表</w:t>
            </w:r>
          </w:p>
          <w:tbl>
            <w:tblPr>
              <w:tblStyle w:val="22"/>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636"/>
              <w:gridCol w:w="831"/>
              <w:gridCol w:w="459"/>
              <w:gridCol w:w="1167"/>
              <w:gridCol w:w="1210"/>
              <w:gridCol w:w="956"/>
              <w:gridCol w:w="904"/>
              <w:gridCol w:w="961"/>
              <w:gridCol w:w="831"/>
              <w:gridCol w:w="1080"/>
              <w:gridCol w:w="1210"/>
              <w:gridCol w:w="636"/>
              <w:gridCol w:w="636"/>
              <w:gridCol w:w="462"/>
              <w:gridCol w:w="711"/>
              <w:gridCol w:w="463"/>
              <w:gridCol w:w="711"/>
              <w:gridCol w:w="460"/>
            </w:tblGrid>
            <w:tr w14:paraId="6668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 w:type="pct"/>
                  <w:vMerge w:val="restart"/>
                  <w:vAlign w:val="center"/>
                </w:tcPr>
                <w:p w14:paraId="031746FC">
                  <w:pPr>
                    <w:jc w:val="center"/>
                    <w:rPr>
                      <w:rFonts w:ascii="宋体" w:hAnsi="宋体" w:cs="宋体"/>
                      <w:b/>
                      <w:bCs/>
                      <w:szCs w:val="21"/>
                    </w:rPr>
                  </w:pPr>
                </w:p>
                <w:p w14:paraId="2F0ADE22">
                  <w:pPr>
                    <w:widowControl/>
                    <w:jc w:val="center"/>
                    <w:rPr>
                      <w:rFonts w:ascii="宋体" w:hAnsi="宋体" w:cs="宋体"/>
                      <w:b/>
                      <w:bCs/>
                      <w:szCs w:val="21"/>
                    </w:rPr>
                  </w:pPr>
                  <w:r>
                    <w:rPr>
                      <w:rFonts w:hint="eastAsia" w:ascii="宋体" w:hAnsi="宋体" w:cs="宋体"/>
                      <w:b/>
                      <w:bCs/>
                      <w:color w:val="000000"/>
                      <w:szCs w:val="21"/>
                      <w:lang w:bidi="ar"/>
                    </w:rPr>
                    <w:t>污</w:t>
                  </w:r>
                </w:p>
                <w:p w14:paraId="4EF88040">
                  <w:pPr>
                    <w:widowControl/>
                    <w:jc w:val="center"/>
                    <w:rPr>
                      <w:rFonts w:ascii="宋体" w:hAnsi="宋体" w:cs="宋体"/>
                      <w:b/>
                      <w:bCs/>
                      <w:szCs w:val="21"/>
                    </w:rPr>
                  </w:pPr>
                  <w:r>
                    <w:rPr>
                      <w:rFonts w:hint="eastAsia" w:ascii="宋体" w:hAnsi="宋体" w:cs="宋体"/>
                      <w:b/>
                      <w:bCs/>
                      <w:color w:val="000000"/>
                      <w:szCs w:val="21"/>
                      <w:lang w:bidi="ar"/>
                    </w:rPr>
                    <w:t>染</w:t>
                  </w:r>
                </w:p>
                <w:p w14:paraId="2E5CE3CA">
                  <w:pPr>
                    <w:widowControl/>
                    <w:jc w:val="center"/>
                    <w:rPr>
                      <w:rFonts w:ascii="宋体" w:hAnsi="宋体" w:cs="宋体"/>
                      <w:b/>
                      <w:bCs/>
                      <w:szCs w:val="21"/>
                    </w:rPr>
                  </w:pPr>
                  <w:r>
                    <w:rPr>
                      <w:rFonts w:hint="eastAsia" w:ascii="宋体" w:hAnsi="宋体" w:cs="宋体"/>
                      <w:b/>
                      <w:bCs/>
                      <w:color w:val="000000"/>
                      <w:szCs w:val="21"/>
                      <w:lang w:bidi="ar"/>
                    </w:rPr>
                    <w:t>源</w:t>
                  </w:r>
                </w:p>
                <w:p w14:paraId="3C9B97F2">
                  <w:pPr>
                    <w:widowControl/>
                    <w:jc w:val="center"/>
                    <w:rPr>
                      <w:rFonts w:ascii="宋体" w:hAnsi="宋体" w:cs="宋体"/>
                      <w:b/>
                      <w:bCs/>
                      <w:szCs w:val="21"/>
                    </w:rPr>
                  </w:pPr>
                  <w:r>
                    <w:rPr>
                      <w:rFonts w:hint="eastAsia" w:ascii="宋体" w:hAnsi="宋体" w:cs="宋体"/>
                      <w:b/>
                      <w:bCs/>
                      <w:color w:val="000000"/>
                      <w:szCs w:val="21"/>
                      <w:lang w:bidi="ar"/>
                    </w:rPr>
                    <w:t>产</w:t>
                  </w:r>
                </w:p>
                <w:p w14:paraId="3820F768">
                  <w:pPr>
                    <w:widowControl/>
                    <w:jc w:val="center"/>
                    <w:rPr>
                      <w:rFonts w:ascii="宋体" w:hAnsi="宋体" w:cs="宋体"/>
                      <w:b/>
                      <w:bCs/>
                      <w:szCs w:val="21"/>
                    </w:rPr>
                  </w:pPr>
                  <w:r>
                    <w:rPr>
                      <w:rFonts w:hint="eastAsia" w:ascii="宋体" w:hAnsi="宋体" w:cs="宋体"/>
                      <w:b/>
                      <w:bCs/>
                      <w:color w:val="000000"/>
                      <w:szCs w:val="21"/>
                      <w:lang w:bidi="ar"/>
                    </w:rPr>
                    <w:t>生</w:t>
                  </w:r>
                </w:p>
                <w:p w14:paraId="63C0181C">
                  <w:pPr>
                    <w:widowControl/>
                    <w:jc w:val="center"/>
                    <w:rPr>
                      <w:rFonts w:ascii="宋体" w:hAnsi="宋体" w:cs="宋体"/>
                      <w:b/>
                      <w:bCs/>
                      <w:szCs w:val="21"/>
                    </w:rPr>
                  </w:pPr>
                  <w:r>
                    <w:rPr>
                      <w:rFonts w:hint="eastAsia" w:ascii="宋体" w:hAnsi="宋体" w:cs="宋体"/>
                      <w:b/>
                      <w:bCs/>
                      <w:color w:val="000000"/>
                      <w:szCs w:val="21"/>
                      <w:lang w:bidi="ar"/>
                    </w:rPr>
                    <w:t>位</w:t>
                  </w:r>
                </w:p>
                <w:p w14:paraId="5B69E760">
                  <w:pPr>
                    <w:widowControl/>
                    <w:jc w:val="center"/>
                    <w:rPr>
                      <w:rFonts w:ascii="宋体" w:hAnsi="宋体" w:cs="宋体"/>
                      <w:b/>
                      <w:bCs/>
                      <w:szCs w:val="21"/>
                    </w:rPr>
                  </w:pPr>
                  <w:r>
                    <w:rPr>
                      <w:rFonts w:hint="eastAsia" w:ascii="宋体" w:hAnsi="宋体" w:cs="宋体"/>
                      <w:b/>
                      <w:bCs/>
                      <w:color w:val="000000"/>
                      <w:szCs w:val="21"/>
                      <w:lang w:bidi="ar"/>
                    </w:rPr>
                    <w:t>置</w:t>
                  </w:r>
                </w:p>
                <w:p w14:paraId="08DE3BB9">
                  <w:pPr>
                    <w:jc w:val="center"/>
                    <w:rPr>
                      <w:rFonts w:ascii="宋体" w:hAnsi="宋体" w:cs="宋体"/>
                      <w:b/>
                      <w:bCs/>
                      <w:szCs w:val="21"/>
                    </w:rPr>
                  </w:pPr>
                </w:p>
              </w:tc>
              <w:tc>
                <w:tcPr>
                  <w:tcW w:w="170" w:type="pct"/>
                  <w:vMerge w:val="restart"/>
                  <w:vAlign w:val="center"/>
                </w:tcPr>
                <w:p w14:paraId="50A5E69F">
                  <w:pPr>
                    <w:widowControl/>
                    <w:jc w:val="center"/>
                    <w:rPr>
                      <w:rFonts w:ascii="宋体" w:hAnsi="宋体" w:cs="宋体"/>
                      <w:b/>
                      <w:bCs/>
                      <w:szCs w:val="21"/>
                    </w:rPr>
                  </w:pPr>
                  <w:r>
                    <w:rPr>
                      <w:rFonts w:hint="eastAsia" w:ascii="宋体" w:hAnsi="宋体" w:cs="宋体"/>
                      <w:b/>
                      <w:bCs/>
                      <w:color w:val="000000"/>
                      <w:szCs w:val="21"/>
                      <w:lang w:bidi="ar"/>
                    </w:rPr>
                    <w:t>污染</w:t>
                  </w:r>
                </w:p>
                <w:p w14:paraId="078D475E">
                  <w:pPr>
                    <w:widowControl/>
                    <w:jc w:val="center"/>
                    <w:rPr>
                      <w:rFonts w:ascii="宋体" w:hAnsi="宋体" w:cs="宋体"/>
                      <w:b/>
                      <w:bCs/>
                      <w:szCs w:val="21"/>
                    </w:rPr>
                  </w:pPr>
                  <w:r>
                    <w:rPr>
                      <w:rFonts w:hint="eastAsia" w:ascii="宋体" w:hAnsi="宋体" w:cs="宋体"/>
                      <w:b/>
                      <w:bCs/>
                      <w:color w:val="000000"/>
                      <w:szCs w:val="21"/>
                      <w:lang w:bidi="ar"/>
                    </w:rPr>
                    <w:t>源</w:t>
                  </w:r>
                </w:p>
                <w:p w14:paraId="51F7A050">
                  <w:pPr>
                    <w:widowControl/>
                    <w:jc w:val="center"/>
                    <w:rPr>
                      <w:rFonts w:ascii="宋体" w:hAnsi="宋体" w:cs="宋体"/>
                      <w:b/>
                      <w:bCs/>
                      <w:szCs w:val="21"/>
                    </w:rPr>
                  </w:pPr>
                  <w:r>
                    <w:rPr>
                      <w:rFonts w:hint="eastAsia" w:ascii="宋体" w:hAnsi="宋体" w:cs="宋体"/>
                      <w:b/>
                      <w:bCs/>
                      <w:color w:val="000000"/>
                      <w:szCs w:val="21"/>
                      <w:lang w:bidi="ar"/>
                    </w:rPr>
                    <w:t>名称</w:t>
                  </w:r>
                </w:p>
                <w:p w14:paraId="23CDFBA0">
                  <w:pPr>
                    <w:jc w:val="center"/>
                    <w:rPr>
                      <w:rFonts w:ascii="宋体" w:hAnsi="宋体" w:cs="宋体"/>
                      <w:b/>
                      <w:bCs/>
                      <w:szCs w:val="21"/>
                    </w:rPr>
                  </w:pPr>
                </w:p>
              </w:tc>
              <w:tc>
                <w:tcPr>
                  <w:tcW w:w="296" w:type="pct"/>
                  <w:vMerge w:val="restart"/>
                  <w:vAlign w:val="center"/>
                </w:tcPr>
                <w:p w14:paraId="303AE572">
                  <w:pPr>
                    <w:widowControl/>
                    <w:jc w:val="center"/>
                    <w:rPr>
                      <w:rFonts w:ascii="宋体" w:hAnsi="宋体" w:cs="宋体"/>
                      <w:b/>
                      <w:bCs/>
                      <w:szCs w:val="21"/>
                    </w:rPr>
                  </w:pPr>
                </w:p>
                <w:p w14:paraId="5E81025B">
                  <w:pPr>
                    <w:widowControl/>
                    <w:jc w:val="center"/>
                    <w:rPr>
                      <w:rFonts w:ascii="宋体" w:hAnsi="宋体" w:cs="宋体"/>
                      <w:b/>
                      <w:bCs/>
                      <w:szCs w:val="21"/>
                    </w:rPr>
                  </w:pPr>
                  <w:r>
                    <w:rPr>
                      <w:rFonts w:hint="eastAsia" w:ascii="宋体" w:hAnsi="宋体" w:cs="宋体"/>
                      <w:b/>
                      <w:bCs/>
                      <w:color w:val="000000"/>
                      <w:szCs w:val="21"/>
                      <w:lang w:bidi="ar"/>
                    </w:rPr>
                    <w:t>排气</w:t>
                  </w:r>
                </w:p>
                <w:p w14:paraId="164442E4">
                  <w:pPr>
                    <w:widowControl/>
                    <w:jc w:val="center"/>
                    <w:rPr>
                      <w:rFonts w:ascii="宋体" w:hAnsi="宋体" w:cs="宋体"/>
                      <w:b/>
                      <w:bCs/>
                      <w:szCs w:val="21"/>
                    </w:rPr>
                  </w:pPr>
                  <w:r>
                    <w:rPr>
                      <w:rFonts w:hint="eastAsia" w:ascii="宋体" w:hAnsi="宋体" w:cs="宋体"/>
                      <w:b/>
                      <w:bCs/>
                      <w:color w:val="000000"/>
                      <w:szCs w:val="21"/>
                      <w:lang w:bidi="ar"/>
                    </w:rPr>
                    <w:t>量</w:t>
                  </w:r>
                </w:p>
                <w:p w14:paraId="53C6D289">
                  <w:pPr>
                    <w:widowControl/>
                    <w:jc w:val="center"/>
                    <w:rPr>
                      <w:rFonts w:ascii="宋体" w:hAnsi="宋体" w:cs="宋体"/>
                      <w:b/>
                      <w:bCs/>
                      <w:szCs w:val="21"/>
                    </w:rPr>
                  </w:pPr>
                  <w:r>
                    <w:rPr>
                      <w:rFonts w:hint="eastAsia" w:ascii="宋体" w:hAnsi="宋体" w:cs="宋体"/>
                      <w:b/>
                      <w:bCs/>
                      <w:color w:val="000000"/>
                      <w:szCs w:val="21"/>
                      <w:lang w:bidi="ar"/>
                    </w:rPr>
                    <w:t>m³/h</w:t>
                  </w:r>
                </w:p>
                <w:p w14:paraId="0D87A3F8">
                  <w:pPr>
                    <w:jc w:val="center"/>
                    <w:rPr>
                      <w:rFonts w:ascii="宋体" w:hAnsi="宋体" w:cs="宋体"/>
                      <w:b/>
                      <w:bCs/>
                      <w:szCs w:val="21"/>
                    </w:rPr>
                  </w:pPr>
                </w:p>
              </w:tc>
              <w:tc>
                <w:tcPr>
                  <w:tcW w:w="170" w:type="pct"/>
                  <w:vMerge w:val="restart"/>
                  <w:vAlign w:val="center"/>
                </w:tcPr>
                <w:p w14:paraId="27AA1E89">
                  <w:pPr>
                    <w:widowControl/>
                    <w:jc w:val="center"/>
                    <w:rPr>
                      <w:rFonts w:ascii="宋体" w:hAnsi="宋体" w:cs="宋体"/>
                      <w:b/>
                      <w:bCs/>
                      <w:szCs w:val="21"/>
                    </w:rPr>
                  </w:pPr>
                  <w:r>
                    <w:rPr>
                      <w:rFonts w:hint="eastAsia" w:ascii="宋体" w:hAnsi="宋体" w:cs="宋体"/>
                      <w:b/>
                      <w:bCs/>
                      <w:color w:val="000000"/>
                      <w:szCs w:val="21"/>
                      <w:lang w:bidi="ar"/>
                    </w:rPr>
                    <w:t>污染</w:t>
                  </w:r>
                </w:p>
                <w:p w14:paraId="44624583">
                  <w:pPr>
                    <w:widowControl/>
                    <w:jc w:val="center"/>
                    <w:rPr>
                      <w:rFonts w:ascii="宋体" w:hAnsi="宋体" w:cs="宋体"/>
                      <w:b/>
                      <w:bCs/>
                      <w:szCs w:val="21"/>
                    </w:rPr>
                  </w:pPr>
                  <w:r>
                    <w:rPr>
                      <w:rFonts w:hint="eastAsia" w:ascii="宋体" w:hAnsi="宋体" w:cs="宋体"/>
                      <w:b/>
                      <w:bCs/>
                      <w:color w:val="000000"/>
                      <w:szCs w:val="21"/>
                      <w:lang w:bidi="ar"/>
                    </w:rPr>
                    <w:t>物</w:t>
                  </w:r>
                </w:p>
                <w:p w14:paraId="091180F8">
                  <w:pPr>
                    <w:widowControl/>
                    <w:jc w:val="center"/>
                    <w:rPr>
                      <w:rFonts w:ascii="宋体" w:hAnsi="宋体" w:cs="宋体"/>
                      <w:b/>
                      <w:bCs/>
                      <w:szCs w:val="21"/>
                    </w:rPr>
                  </w:pPr>
                  <w:r>
                    <w:rPr>
                      <w:rFonts w:hint="eastAsia" w:ascii="宋体" w:hAnsi="宋体" w:cs="宋体"/>
                      <w:b/>
                      <w:bCs/>
                      <w:color w:val="000000"/>
                      <w:szCs w:val="21"/>
                      <w:lang w:bidi="ar"/>
                    </w:rPr>
                    <w:t>名称</w:t>
                  </w:r>
                </w:p>
                <w:p w14:paraId="7F8D5D6B">
                  <w:pPr>
                    <w:jc w:val="center"/>
                    <w:rPr>
                      <w:rFonts w:ascii="宋体" w:hAnsi="宋体" w:cs="宋体"/>
                      <w:b/>
                      <w:bCs/>
                      <w:szCs w:val="21"/>
                    </w:rPr>
                  </w:pPr>
                </w:p>
              </w:tc>
              <w:tc>
                <w:tcPr>
                  <w:tcW w:w="1088" w:type="pct"/>
                  <w:gridSpan w:val="3"/>
                  <w:vAlign w:val="center"/>
                </w:tcPr>
                <w:p w14:paraId="6D45BBF8">
                  <w:pPr>
                    <w:jc w:val="center"/>
                    <w:rPr>
                      <w:rFonts w:ascii="宋体" w:hAnsi="宋体" w:cs="宋体"/>
                      <w:b/>
                      <w:bCs/>
                      <w:szCs w:val="21"/>
                    </w:rPr>
                  </w:pPr>
                </w:p>
                <w:p w14:paraId="2748FABA">
                  <w:pPr>
                    <w:widowControl/>
                    <w:jc w:val="center"/>
                    <w:rPr>
                      <w:rFonts w:ascii="宋体" w:hAnsi="宋体" w:cs="宋体"/>
                      <w:b/>
                      <w:bCs/>
                      <w:szCs w:val="21"/>
                    </w:rPr>
                  </w:pPr>
                  <w:r>
                    <w:rPr>
                      <w:rFonts w:hint="eastAsia" w:ascii="宋体" w:hAnsi="宋体" w:cs="宋体"/>
                      <w:b/>
                      <w:bCs/>
                      <w:color w:val="000000"/>
                      <w:szCs w:val="21"/>
                      <w:lang w:bidi="ar"/>
                    </w:rPr>
                    <w:t>产生情况</w:t>
                  </w:r>
                </w:p>
                <w:p w14:paraId="35C77F1F">
                  <w:pPr>
                    <w:jc w:val="center"/>
                    <w:rPr>
                      <w:rFonts w:ascii="宋体" w:hAnsi="宋体" w:cs="宋体"/>
                      <w:b/>
                      <w:bCs/>
                      <w:szCs w:val="21"/>
                    </w:rPr>
                  </w:pPr>
                </w:p>
              </w:tc>
              <w:tc>
                <w:tcPr>
                  <w:tcW w:w="335" w:type="pct"/>
                  <w:vMerge w:val="restart"/>
                  <w:vAlign w:val="center"/>
                </w:tcPr>
                <w:p w14:paraId="4164A207">
                  <w:pPr>
                    <w:jc w:val="center"/>
                    <w:rPr>
                      <w:rFonts w:ascii="宋体" w:hAnsi="宋体" w:cs="宋体"/>
                      <w:b/>
                      <w:bCs/>
                      <w:szCs w:val="21"/>
                    </w:rPr>
                  </w:pPr>
                  <w:r>
                    <w:rPr>
                      <w:rFonts w:hint="eastAsia" w:ascii="宋体" w:hAnsi="宋体" w:cs="宋体"/>
                      <w:b/>
                      <w:bCs/>
                      <w:szCs w:val="21"/>
                    </w:rPr>
                    <w:t>治理措施</w:t>
                  </w:r>
                </w:p>
              </w:tc>
              <w:tc>
                <w:tcPr>
                  <w:tcW w:w="340" w:type="pct"/>
                  <w:vMerge w:val="restart"/>
                  <w:tcBorders>
                    <w:right w:val="single" w:color="auto" w:sz="4" w:space="0"/>
                  </w:tcBorders>
                  <w:vAlign w:val="center"/>
                </w:tcPr>
                <w:p w14:paraId="4CA8B13F">
                  <w:pPr>
                    <w:widowControl/>
                    <w:jc w:val="center"/>
                    <w:rPr>
                      <w:rFonts w:ascii="宋体" w:hAnsi="宋体" w:cs="宋体"/>
                      <w:b/>
                      <w:bCs/>
                      <w:szCs w:val="21"/>
                    </w:rPr>
                  </w:pPr>
                  <w:r>
                    <w:rPr>
                      <w:rFonts w:hint="eastAsia" w:ascii="宋体" w:hAnsi="宋体" w:cs="宋体"/>
                      <w:b/>
                      <w:bCs/>
                      <w:szCs w:val="21"/>
                    </w:rPr>
                    <w:t>去除率</w:t>
                  </w:r>
                  <w:r>
                    <w:rPr>
                      <w:rFonts w:hint="eastAsia" w:ascii="宋体" w:hAnsi="宋体" w:cs="宋体"/>
                      <w:b/>
                      <w:bCs/>
                      <w:color w:val="000000"/>
                      <w:szCs w:val="21"/>
                      <w:lang w:bidi="ar"/>
                    </w:rPr>
                    <w:t>（％）</w:t>
                  </w:r>
                </w:p>
                <w:p w14:paraId="7EA49B65">
                  <w:pPr>
                    <w:jc w:val="center"/>
                    <w:rPr>
                      <w:rFonts w:ascii="宋体" w:hAnsi="宋体" w:cs="宋体"/>
                      <w:b/>
                      <w:bCs/>
                      <w:szCs w:val="21"/>
                    </w:rPr>
                  </w:pPr>
                </w:p>
              </w:tc>
              <w:tc>
                <w:tcPr>
                  <w:tcW w:w="1100" w:type="pct"/>
                  <w:gridSpan w:val="3"/>
                  <w:vMerge w:val="restart"/>
                  <w:tcBorders>
                    <w:top w:val="single" w:color="auto" w:sz="4" w:space="0"/>
                    <w:left w:val="single" w:color="auto" w:sz="4" w:space="0"/>
                    <w:bottom w:val="single" w:color="auto" w:sz="4" w:space="0"/>
                    <w:right w:val="single" w:color="auto" w:sz="4" w:space="0"/>
                  </w:tcBorders>
                  <w:vAlign w:val="center"/>
                </w:tcPr>
                <w:p w14:paraId="0BEA65E9">
                  <w:pPr>
                    <w:jc w:val="center"/>
                    <w:rPr>
                      <w:rFonts w:ascii="宋体" w:hAnsi="宋体" w:cs="宋体"/>
                      <w:b/>
                      <w:bCs/>
                      <w:szCs w:val="21"/>
                    </w:rPr>
                  </w:pPr>
                  <w:r>
                    <w:rPr>
                      <w:rFonts w:hint="eastAsia" w:ascii="宋体" w:hAnsi="宋体" w:cs="宋体"/>
                      <w:b/>
                      <w:bCs/>
                      <w:szCs w:val="21"/>
                    </w:rPr>
                    <w:t>排放情况</w:t>
                  </w:r>
                </w:p>
              </w:tc>
              <w:tc>
                <w:tcPr>
                  <w:tcW w:w="309" w:type="pct"/>
                  <w:gridSpan w:val="2"/>
                  <w:vMerge w:val="restart"/>
                  <w:tcBorders>
                    <w:left w:val="single" w:color="auto" w:sz="4" w:space="0"/>
                    <w:right w:val="single" w:color="auto" w:sz="4" w:space="0"/>
                  </w:tcBorders>
                  <w:vAlign w:val="center"/>
                </w:tcPr>
                <w:p w14:paraId="3A5444A2">
                  <w:pPr>
                    <w:jc w:val="center"/>
                    <w:rPr>
                      <w:rFonts w:ascii="宋体" w:hAnsi="宋体" w:cs="宋体"/>
                      <w:b/>
                      <w:bCs/>
                      <w:szCs w:val="21"/>
                    </w:rPr>
                  </w:pPr>
                  <w:r>
                    <w:rPr>
                      <w:rFonts w:hint="eastAsia" w:ascii="宋体" w:hAnsi="宋体" w:cs="宋体"/>
                      <w:b/>
                      <w:bCs/>
                      <w:szCs w:val="21"/>
                    </w:rPr>
                    <w:t>排放标准</w:t>
                  </w:r>
                </w:p>
              </w:tc>
              <w:tc>
                <w:tcPr>
                  <w:tcW w:w="597" w:type="pct"/>
                  <w:gridSpan w:val="3"/>
                  <w:vMerge w:val="restart"/>
                  <w:tcBorders>
                    <w:top w:val="single" w:color="auto" w:sz="4" w:space="0"/>
                    <w:left w:val="single" w:color="auto" w:sz="4" w:space="0"/>
                    <w:bottom w:val="single" w:color="auto" w:sz="4" w:space="0"/>
                    <w:right w:val="single" w:color="auto" w:sz="4" w:space="0"/>
                  </w:tcBorders>
                  <w:vAlign w:val="center"/>
                </w:tcPr>
                <w:p w14:paraId="4DD9BC0A">
                  <w:pPr>
                    <w:jc w:val="center"/>
                    <w:rPr>
                      <w:rFonts w:ascii="宋体" w:hAnsi="宋体" w:cs="宋体"/>
                      <w:b/>
                      <w:bCs/>
                      <w:szCs w:val="21"/>
                    </w:rPr>
                  </w:pPr>
                  <w:r>
                    <w:rPr>
                      <w:rFonts w:hint="eastAsia" w:ascii="宋体" w:hAnsi="宋体" w:cs="宋体"/>
                      <w:b/>
                      <w:bCs/>
                      <w:szCs w:val="21"/>
                    </w:rPr>
                    <w:t>排放源参数</w:t>
                  </w:r>
                </w:p>
              </w:tc>
              <w:tc>
                <w:tcPr>
                  <w:tcW w:w="255" w:type="pct"/>
                  <w:vMerge w:val="restart"/>
                  <w:tcBorders>
                    <w:left w:val="single" w:color="auto" w:sz="4" w:space="0"/>
                  </w:tcBorders>
                  <w:vAlign w:val="center"/>
                </w:tcPr>
                <w:p w14:paraId="350FA686">
                  <w:pPr>
                    <w:jc w:val="center"/>
                    <w:rPr>
                      <w:rFonts w:ascii="宋体" w:hAnsi="宋体" w:cs="宋体"/>
                      <w:b/>
                      <w:bCs/>
                      <w:szCs w:val="21"/>
                    </w:rPr>
                  </w:pPr>
                  <w:r>
                    <w:rPr>
                      <w:rFonts w:hint="eastAsia" w:ascii="宋体" w:hAnsi="宋体" w:cs="宋体"/>
                      <w:b/>
                      <w:bCs/>
                      <w:szCs w:val="21"/>
                    </w:rPr>
                    <w:t>运行时间</w:t>
                  </w:r>
                </w:p>
              </w:tc>
              <w:tc>
                <w:tcPr>
                  <w:tcW w:w="170" w:type="pct"/>
                  <w:vMerge w:val="restart"/>
                  <w:vAlign w:val="center"/>
                </w:tcPr>
                <w:p w14:paraId="347422D2">
                  <w:pPr>
                    <w:jc w:val="center"/>
                    <w:rPr>
                      <w:rFonts w:ascii="宋体" w:hAnsi="宋体" w:cs="宋体"/>
                      <w:b/>
                      <w:bCs/>
                      <w:szCs w:val="21"/>
                    </w:rPr>
                  </w:pPr>
                  <w:r>
                    <w:rPr>
                      <w:rFonts w:hint="eastAsia" w:ascii="宋体" w:hAnsi="宋体" w:cs="宋体"/>
                      <w:b/>
                      <w:bCs/>
                      <w:szCs w:val="21"/>
                    </w:rPr>
                    <w:t>排放方式</w:t>
                  </w:r>
                </w:p>
              </w:tc>
            </w:tr>
            <w:tr w14:paraId="7DB5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 w:type="pct"/>
                  <w:vMerge w:val="continue"/>
                  <w:vAlign w:val="center"/>
                </w:tcPr>
                <w:p w14:paraId="55A961CD">
                  <w:pPr>
                    <w:jc w:val="center"/>
                    <w:rPr>
                      <w:rFonts w:ascii="宋体" w:hAnsi="宋体" w:cs="宋体"/>
                      <w:szCs w:val="21"/>
                    </w:rPr>
                  </w:pPr>
                </w:p>
              </w:tc>
              <w:tc>
                <w:tcPr>
                  <w:tcW w:w="170" w:type="pct"/>
                  <w:vMerge w:val="continue"/>
                  <w:vAlign w:val="center"/>
                </w:tcPr>
                <w:p w14:paraId="5E19DCA6">
                  <w:pPr>
                    <w:jc w:val="center"/>
                    <w:rPr>
                      <w:rFonts w:ascii="宋体" w:hAnsi="宋体" w:cs="宋体"/>
                      <w:szCs w:val="21"/>
                    </w:rPr>
                  </w:pPr>
                </w:p>
              </w:tc>
              <w:tc>
                <w:tcPr>
                  <w:tcW w:w="296" w:type="pct"/>
                  <w:vMerge w:val="continue"/>
                  <w:vAlign w:val="center"/>
                </w:tcPr>
                <w:p w14:paraId="2132AAB7">
                  <w:pPr>
                    <w:jc w:val="center"/>
                    <w:rPr>
                      <w:rFonts w:ascii="宋体" w:hAnsi="宋体" w:cs="宋体"/>
                      <w:szCs w:val="21"/>
                    </w:rPr>
                  </w:pPr>
                </w:p>
              </w:tc>
              <w:tc>
                <w:tcPr>
                  <w:tcW w:w="170" w:type="pct"/>
                  <w:vMerge w:val="continue"/>
                  <w:vAlign w:val="center"/>
                </w:tcPr>
                <w:p w14:paraId="2FCC033A">
                  <w:pPr>
                    <w:jc w:val="center"/>
                    <w:rPr>
                      <w:rFonts w:ascii="宋体" w:hAnsi="宋体" w:cs="宋体"/>
                      <w:szCs w:val="21"/>
                    </w:rPr>
                  </w:pPr>
                </w:p>
              </w:tc>
              <w:tc>
                <w:tcPr>
                  <w:tcW w:w="340" w:type="pct"/>
                  <w:vMerge w:val="restart"/>
                  <w:vAlign w:val="center"/>
                </w:tcPr>
                <w:p w14:paraId="40A48C41">
                  <w:pPr>
                    <w:widowControl/>
                    <w:jc w:val="center"/>
                    <w:rPr>
                      <w:rFonts w:ascii="宋体" w:hAnsi="宋体" w:cs="宋体"/>
                      <w:b/>
                      <w:bCs/>
                      <w:szCs w:val="21"/>
                    </w:rPr>
                  </w:pPr>
                  <w:r>
                    <w:rPr>
                      <w:rFonts w:hint="eastAsia" w:ascii="宋体" w:hAnsi="宋体" w:cs="宋体"/>
                      <w:b/>
                      <w:bCs/>
                      <w:szCs w:val="21"/>
                    </w:rPr>
                    <w:t>浓度</w:t>
                  </w:r>
                  <w:r>
                    <w:rPr>
                      <w:rFonts w:hint="eastAsia" w:ascii="宋体" w:hAnsi="宋体" w:cs="宋体"/>
                      <w:b/>
                      <w:bCs/>
                      <w:color w:val="000000"/>
                      <w:szCs w:val="21"/>
                      <w:lang w:bidi="ar"/>
                    </w:rPr>
                    <w:t>（mg/m³）</w:t>
                  </w:r>
                </w:p>
                <w:p w14:paraId="03A57EB2">
                  <w:pPr>
                    <w:jc w:val="center"/>
                    <w:rPr>
                      <w:rFonts w:ascii="宋体" w:hAnsi="宋体" w:cs="宋体"/>
                      <w:b/>
                      <w:bCs/>
                      <w:szCs w:val="21"/>
                    </w:rPr>
                  </w:pPr>
                </w:p>
              </w:tc>
              <w:tc>
                <w:tcPr>
                  <w:tcW w:w="424" w:type="pct"/>
                  <w:vMerge w:val="restart"/>
                  <w:vAlign w:val="center"/>
                </w:tcPr>
                <w:p w14:paraId="7EFA2769">
                  <w:pPr>
                    <w:widowControl/>
                    <w:jc w:val="center"/>
                    <w:rPr>
                      <w:rFonts w:ascii="宋体" w:hAnsi="宋体" w:cs="宋体"/>
                      <w:b/>
                      <w:bCs/>
                      <w:szCs w:val="21"/>
                    </w:rPr>
                  </w:pPr>
                  <w:r>
                    <w:rPr>
                      <w:rFonts w:hint="eastAsia" w:ascii="宋体" w:hAnsi="宋体" w:cs="宋体"/>
                      <w:b/>
                      <w:bCs/>
                      <w:szCs w:val="21"/>
                    </w:rPr>
                    <w:t>速率</w:t>
                  </w:r>
                  <w:r>
                    <w:rPr>
                      <w:rFonts w:hint="eastAsia" w:ascii="宋体" w:hAnsi="宋体" w:cs="宋体"/>
                      <w:b/>
                      <w:bCs/>
                      <w:color w:val="000000"/>
                      <w:szCs w:val="21"/>
                      <w:lang w:bidi="ar"/>
                    </w:rPr>
                    <w:t>（kg/h）</w:t>
                  </w:r>
                </w:p>
                <w:p w14:paraId="5DC6E28D">
                  <w:pPr>
                    <w:jc w:val="center"/>
                    <w:rPr>
                      <w:rFonts w:ascii="宋体" w:hAnsi="宋体" w:cs="宋体"/>
                      <w:b/>
                      <w:bCs/>
                      <w:szCs w:val="21"/>
                    </w:rPr>
                  </w:pPr>
                </w:p>
              </w:tc>
              <w:tc>
                <w:tcPr>
                  <w:tcW w:w="324" w:type="pct"/>
                  <w:vMerge w:val="restart"/>
                  <w:vAlign w:val="center"/>
                </w:tcPr>
                <w:p w14:paraId="31EE1B5B">
                  <w:pPr>
                    <w:widowControl/>
                    <w:jc w:val="center"/>
                    <w:rPr>
                      <w:rFonts w:ascii="宋体" w:hAnsi="宋体" w:cs="宋体"/>
                      <w:b/>
                      <w:bCs/>
                      <w:szCs w:val="21"/>
                    </w:rPr>
                  </w:pPr>
                  <w:r>
                    <w:rPr>
                      <w:rFonts w:hint="eastAsia" w:ascii="宋体" w:hAnsi="宋体" w:cs="宋体"/>
                      <w:b/>
                      <w:bCs/>
                      <w:szCs w:val="21"/>
                    </w:rPr>
                    <w:t>产生量</w:t>
                  </w:r>
                  <w:r>
                    <w:rPr>
                      <w:rFonts w:hint="eastAsia" w:ascii="宋体" w:hAnsi="宋体" w:cs="宋体"/>
                      <w:b/>
                      <w:bCs/>
                      <w:color w:val="000000"/>
                      <w:szCs w:val="21"/>
                      <w:lang w:bidi="ar"/>
                    </w:rPr>
                    <w:t>（t/a）</w:t>
                  </w:r>
                </w:p>
                <w:p w14:paraId="169C4DA0">
                  <w:pPr>
                    <w:jc w:val="center"/>
                    <w:rPr>
                      <w:rFonts w:ascii="宋体" w:hAnsi="宋体" w:cs="宋体"/>
                      <w:b/>
                      <w:bCs/>
                      <w:szCs w:val="21"/>
                    </w:rPr>
                  </w:pPr>
                </w:p>
              </w:tc>
              <w:tc>
                <w:tcPr>
                  <w:tcW w:w="335" w:type="pct"/>
                  <w:vMerge w:val="continue"/>
                  <w:vAlign w:val="center"/>
                </w:tcPr>
                <w:p w14:paraId="055AA542">
                  <w:pPr>
                    <w:jc w:val="center"/>
                    <w:rPr>
                      <w:rFonts w:ascii="宋体" w:hAnsi="宋体" w:cs="宋体"/>
                      <w:szCs w:val="21"/>
                    </w:rPr>
                  </w:pPr>
                </w:p>
              </w:tc>
              <w:tc>
                <w:tcPr>
                  <w:tcW w:w="340" w:type="pct"/>
                  <w:vMerge w:val="continue"/>
                  <w:tcBorders>
                    <w:right w:val="single" w:color="auto" w:sz="4" w:space="0"/>
                  </w:tcBorders>
                  <w:vAlign w:val="center"/>
                </w:tcPr>
                <w:p w14:paraId="018275F3">
                  <w:pPr>
                    <w:jc w:val="center"/>
                    <w:rPr>
                      <w:rFonts w:ascii="宋体" w:hAnsi="宋体" w:cs="宋体"/>
                      <w:szCs w:val="21"/>
                    </w:rPr>
                  </w:pPr>
                </w:p>
              </w:tc>
              <w:tc>
                <w:tcPr>
                  <w:tcW w:w="296" w:type="pct"/>
                  <w:vMerge w:val="continue"/>
                  <w:tcBorders>
                    <w:top w:val="single" w:color="auto" w:sz="4" w:space="0"/>
                    <w:left w:val="single" w:color="auto" w:sz="4" w:space="0"/>
                    <w:bottom w:val="single" w:color="auto" w:sz="4" w:space="0"/>
                    <w:right w:val="single" w:color="auto" w:sz="4" w:space="0"/>
                  </w:tcBorders>
                  <w:vAlign w:val="center"/>
                </w:tcPr>
                <w:p w14:paraId="04F39BC3">
                  <w:pPr>
                    <w:widowControl/>
                    <w:jc w:val="center"/>
                    <w:rPr>
                      <w:rFonts w:ascii="宋体" w:hAnsi="宋体" w:cs="宋体"/>
                      <w:szCs w:val="21"/>
                    </w:rPr>
                  </w:pPr>
                  <w:r>
                    <w:rPr>
                      <w:rFonts w:hint="eastAsia" w:ascii="宋体" w:hAnsi="宋体" w:cs="宋体"/>
                      <w:color w:val="000000"/>
                      <w:szCs w:val="21"/>
                      <w:lang w:bidi="ar"/>
                    </w:rPr>
                    <w:t>浓</w:t>
                  </w:r>
                </w:p>
                <w:p w14:paraId="10AB28F6">
                  <w:pPr>
                    <w:widowControl/>
                    <w:jc w:val="center"/>
                    <w:rPr>
                      <w:rFonts w:ascii="宋体" w:hAnsi="宋体" w:cs="宋体"/>
                      <w:szCs w:val="21"/>
                    </w:rPr>
                  </w:pPr>
                  <w:r>
                    <w:rPr>
                      <w:rFonts w:hint="eastAsia" w:ascii="宋体" w:hAnsi="宋体" w:cs="宋体"/>
                      <w:color w:val="000000"/>
                      <w:szCs w:val="21"/>
                      <w:lang w:bidi="ar"/>
                    </w:rPr>
                    <w:t>度</w:t>
                  </w:r>
                </w:p>
                <w:p w14:paraId="114F2F48">
                  <w:pPr>
                    <w:widowControl/>
                    <w:jc w:val="center"/>
                    <w:rPr>
                      <w:rFonts w:ascii="宋体" w:hAnsi="宋体" w:cs="宋体"/>
                      <w:szCs w:val="21"/>
                    </w:rPr>
                  </w:pPr>
                  <w:r>
                    <w:rPr>
                      <w:rFonts w:hint="eastAsia" w:ascii="宋体" w:hAnsi="宋体" w:cs="宋体"/>
                      <w:color w:val="000000"/>
                      <w:szCs w:val="21"/>
                      <w:lang w:bidi="ar"/>
                    </w:rPr>
                    <w:t>（m</w:t>
                  </w:r>
                </w:p>
                <w:p w14:paraId="25D5A36C">
                  <w:pPr>
                    <w:widowControl/>
                    <w:jc w:val="center"/>
                    <w:rPr>
                      <w:rFonts w:ascii="宋体" w:hAnsi="宋体" w:cs="宋体"/>
                      <w:szCs w:val="21"/>
                    </w:rPr>
                  </w:pPr>
                  <w:r>
                    <w:rPr>
                      <w:rFonts w:hint="eastAsia" w:ascii="宋体" w:hAnsi="宋体" w:cs="宋体"/>
                      <w:color w:val="000000"/>
                      <w:szCs w:val="21"/>
                      <w:lang w:bidi="ar"/>
                    </w:rPr>
                    <w:t>g/</w:t>
                  </w:r>
                </w:p>
                <w:p w14:paraId="0FEB3019">
                  <w:pPr>
                    <w:widowControl/>
                    <w:jc w:val="center"/>
                    <w:rPr>
                      <w:rFonts w:ascii="宋体" w:hAnsi="宋体" w:cs="宋体"/>
                      <w:szCs w:val="21"/>
                    </w:rPr>
                  </w:pPr>
                  <w:r>
                    <w:rPr>
                      <w:rFonts w:hint="eastAsia" w:ascii="宋体" w:hAnsi="宋体" w:cs="宋体"/>
                      <w:color w:val="000000"/>
                      <w:szCs w:val="21"/>
                      <w:lang w:bidi="ar"/>
                    </w:rPr>
                    <w:t>m³）</w:t>
                  </w:r>
                </w:p>
                <w:p w14:paraId="4CA0EE2C">
                  <w:pPr>
                    <w:jc w:val="center"/>
                    <w:rPr>
                      <w:rFonts w:ascii="宋体" w:hAnsi="宋体" w:cs="宋体"/>
                      <w:szCs w:val="21"/>
                    </w:rPr>
                  </w:pPr>
                </w:p>
              </w:tc>
              <w:tc>
                <w:tcPr>
                  <w:tcW w:w="380" w:type="pct"/>
                  <w:vMerge w:val="continue"/>
                  <w:tcBorders>
                    <w:top w:val="single" w:color="auto" w:sz="4" w:space="0"/>
                    <w:left w:val="single" w:color="auto" w:sz="4" w:space="0"/>
                    <w:bottom w:val="single" w:color="auto" w:sz="4" w:space="0"/>
                    <w:right w:val="single" w:color="auto" w:sz="4" w:space="0"/>
                  </w:tcBorders>
                  <w:vAlign w:val="center"/>
                </w:tcPr>
                <w:p w14:paraId="54DDE593">
                  <w:pPr>
                    <w:widowControl/>
                    <w:jc w:val="center"/>
                    <w:rPr>
                      <w:rFonts w:ascii="宋体" w:hAnsi="宋体" w:cs="宋体"/>
                      <w:szCs w:val="21"/>
                    </w:rPr>
                  </w:pPr>
                  <w:r>
                    <w:rPr>
                      <w:rFonts w:hint="eastAsia" w:ascii="宋体" w:hAnsi="宋体" w:cs="宋体"/>
                      <w:color w:val="000000"/>
                      <w:szCs w:val="21"/>
                      <w:lang w:bidi="ar"/>
                    </w:rPr>
                    <w:t>速</w:t>
                  </w:r>
                </w:p>
                <w:p w14:paraId="5FBD1F34">
                  <w:pPr>
                    <w:widowControl/>
                    <w:jc w:val="center"/>
                    <w:rPr>
                      <w:rFonts w:ascii="宋体" w:hAnsi="宋体" w:cs="宋体"/>
                      <w:szCs w:val="21"/>
                    </w:rPr>
                  </w:pPr>
                  <w:r>
                    <w:rPr>
                      <w:rFonts w:hint="eastAsia" w:ascii="宋体" w:hAnsi="宋体" w:cs="宋体"/>
                      <w:color w:val="000000"/>
                      <w:szCs w:val="21"/>
                      <w:lang w:bidi="ar"/>
                    </w:rPr>
                    <w:t>率</w:t>
                  </w:r>
                </w:p>
                <w:p w14:paraId="7562EFD2">
                  <w:pPr>
                    <w:widowControl/>
                    <w:jc w:val="center"/>
                    <w:rPr>
                      <w:rFonts w:ascii="宋体" w:hAnsi="宋体" w:cs="宋体"/>
                      <w:szCs w:val="21"/>
                    </w:rPr>
                  </w:pPr>
                  <w:r>
                    <w:rPr>
                      <w:rFonts w:hint="eastAsia" w:ascii="宋体" w:hAnsi="宋体" w:cs="宋体"/>
                      <w:color w:val="000000"/>
                      <w:szCs w:val="21"/>
                      <w:lang w:bidi="ar"/>
                    </w:rPr>
                    <w:t>（</w:t>
                  </w:r>
                </w:p>
                <w:p w14:paraId="6F9734A3">
                  <w:pPr>
                    <w:widowControl/>
                    <w:jc w:val="center"/>
                    <w:rPr>
                      <w:rFonts w:ascii="宋体" w:hAnsi="宋体" w:cs="宋体"/>
                      <w:szCs w:val="21"/>
                    </w:rPr>
                  </w:pPr>
                  <w:r>
                    <w:rPr>
                      <w:rFonts w:hint="eastAsia" w:ascii="宋体" w:hAnsi="宋体" w:cs="宋体"/>
                      <w:color w:val="000000"/>
                      <w:szCs w:val="21"/>
                      <w:lang w:bidi="ar"/>
                    </w:rPr>
                    <w:t>kg</w:t>
                  </w:r>
                </w:p>
                <w:p w14:paraId="16CB3A0B">
                  <w:pPr>
                    <w:widowControl/>
                    <w:jc w:val="center"/>
                    <w:rPr>
                      <w:rFonts w:ascii="宋体" w:hAnsi="宋体" w:cs="宋体"/>
                      <w:szCs w:val="21"/>
                    </w:rPr>
                  </w:pPr>
                  <w:r>
                    <w:rPr>
                      <w:rFonts w:hint="eastAsia" w:ascii="宋体" w:hAnsi="宋体" w:cs="宋体"/>
                      <w:color w:val="000000"/>
                      <w:szCs w:val="21"/>
                      <w:lang w:bidi="ar"/>
                    </w:rPr>
                    <w:t>/h）</w:t>
                  </w:r>
                </w:p>
                <w:p w14:paraId="0D7E6FF9">
                  <w:pPr>
                    <w:jc w:val="center"/>
                    <w:rPr>
                      <w:rFonts w:ascii="宋体" w:hAnsi="宋体" w:cs="宋体"/>
                      <w:szCs w:val="21"/>
                    </w:rPr>
                  </w:pPr>
                </w:p>
              </w:tc>
              <w:tc>
                <w:tcPr>
                  <w:tcW w:w="424" w:type="pct"/>
                  <w:vMerge w:val="continue"/>
                  <w:tcBorders>
                    <w:top w:val="single" w:color="auto" w:sz="4" w:space="0"/>
                    <w:left w:val="single" w:color="auto" w:sz="4" w:space="0"/>
                    <w:bottom w:val="single" w:color="auto" w:sz="4" w:space="0"/>
                    <w:right w:val="single" w:color="auto" w:sz="4" w:space="0"/>
                  </w:tcBorders>
                  <w:vAlign w:val="center"/>
                </w:tcPr>
                <w:p w14:paraId="469A4ADF">
                  <w:pPr>
                    <w:widowControl/>
                    <w:jc w:val="center"/>
                    <w:rPr>
                      <w:rFonts w:ascii="宋体" w:hAnsi="宋体" w:cs="宋体"/>
                      <w:szCs w:val="21"/>
                    </w:rPr>
                  </w:pPr>
                  <w:r>
                    <w:rPr>
                      <w:rFonts w:hint="eastAsia" w:ascii="宋体" w:hAnsi="宋体" w:cs="宋体"/>
                      <w:color w:val="000000"/>
                      <w:szCs w:val="21"/>
                      <w:lang w:bidi="ar"/>
                    </w:rPr>
                    <w:t>排</w:t>
                  </w:r>
                </w:p>
                <w:p w14:paraId="28371552">
                  <w:pPr>
                    <w:widowControl/>
                    <w:jc w:val="center"/>
                    <w:rPr>
                      <w:rFonts w:ascii="宋体" w:hAnsi="宋体" w:cs="宋体"/>
                      <w:szCs w:val="21"/>
                    </w:rPr>
                  </w:pPr>
                  <w:r>
                    <w:rPr>
                      <w:rFonts w:hint="eastAsia" w:ascii="宋体" w:hAnsi="宋体" w:cs="宋体"/>
                      <w:color w:val="000000"/>
                      <w:szCs w:val="21"/>
                      <w:lang w:bidi="ar"/>
                    </w:rPr>
                    <w:t>放</w:t>
                  </w:r>
                </w:p>
                <w:p w14:paraId="6439A921">
                  <w:pPr>
                    <w:widowControl/>
                    <w:jc w:val="center"/>
                    <w:rPr>
                      <w:rFonts w:ascii="宋体" w:hAnsi="宋体" w:cs="宋体"/>
                      <w:szCs w:val="21"/>
                    </w:rPr>
                  </w:pPr>
                  <w:r>
                    <w:rPr>
                      <w:rFonts w:hint="eastAsia" w:ascii="宋体" w:hAnsi="宋体" w:cs="宋体"/>
                      <w:color w:val="000000"/>
                      <w:szCs w:val="21"/>
                      <w:lang w:bidi="ar"/>
                    </w:rPr>
                    <w:t>量</w:t>
                  </w:r>
                </w:p>
                <w:p w14:paraId="131A35A0">
                  <w:pPr>
                    <w:widowControl/>
                    <w:jc w:val="center"/>
                    <w:rPr>
                      <w:rFonts w:ascii="宋体" w:hAnsi="宋体" w:cs="宋体"/>
                      <w:szCs w:val="21"/>
                    </w:rPr>
                  </w:pPr>
                  <w:r>
                    <w:rPr>
                      <w:rFonts w:hint="eastAsia" w:ascii="宋体" w:hAnsi="宋体" w:cs="宋体"/>
                      <w:color w:val="000000"/>
                      <w:szCs w:val="21"/>
                      <w:lang w:bidi="ar"/>
                    </w:rPr>
                    <w:t>（</w:t>
                  </w:r>
                </w:p>
                <w:p w14:paraId="6F87FE68">
                  <w:pPr>
                    <w:widowControl/>
                    <w:jc w:val="center"/>
                    <w:rPr>
                      <w:rFonts w:ascii="宋体" w:hAnsi="宋体" w:cs="宋体"/>
                      <w:szCs w:val="21"/>
                    </w:rPr>
                  </w:pPr>
                  <w:r>
                    <w:rPr>
                      <w:rFonts w:hint="eastAsia" w:ascii="宋体" w:hAnsi="宋体" w:cs="宋体"/>
                      <w:color w:val="000000"/>
                      <w:szCs w:val="21"/>
                      <w:lang w:bidi="ar"/>
                    </w:rPr>
                    <w:t>t</w:t>
                  </w:r>
                </w:p>
                <w:p w14:paraId="4F37E054">
                  <w:pPr>
                    <w:widowControl/>
                    <w:jc w:val="center"/>
                    <w:rPr>
                      <w:rFonts w:ascii="宋体" w:hAnsi="宋体" w:cs="宋体"/>
                      <w:szCs w:val="21"/>
                    </w:rPr>
                  </w:pPr>
                  <w:r>
                    <w:rPr>
                      <w:rFonts w:hint="eastAsia" w:ascii="宋体" w:hAnsi="宋体" w:cs="宋体"/>
                      <w:color w:val="000000"/>
                      <w:szCs w:val="21"/>
                      <w:lang w:bidi="ar"/>
                    </w:rPr>
                    <w:t>/a</w:t>
                  </w:r>
                </w:p>
                <w:p w14:paraId="2DA5DCCB">
                  <w:pPr>
                    <w:widowControl/>
                    <w:jc w:val="center"/>
                    <w:rPr>
                      <w:rFonts w:ascii="宋体" w:hAnsi="宋体" w:cs="宋体"/>
                      <w:szCs w:val="21"/>
                    </w:rPr>
                  </w:pPr>
                  <w:r>
                    <w:rPr>
                      <w:rFonts w:hint="eastAsia" w:ascii="宋体" w:hAnsi="宋体" w:cs="宋体"/>
                      <w:color w:val="000000"/>
                      <w:szCs w:val="21"/>
                      <w:lang w:bidi="ar"/>
                    </w:rPr>
                    <w:t>）</w:t>
                  </w:r>
                </w:p>
                <w:p w14:paraId="4F142F43">
                  <w:pPr>
                    <w:jc w:val="center"/>
                    <w:rPr>
                      <w:rFonts w:ascii="宋体" w:hAnsi="宋体" w:cs="宋体"/>
                      <w:szCs w:val="21"/>
                    </w:rPr>
                  </w:pPr>
                </w:p>
              </w:tc>
              <w:tc>
                <w:tcPr>
                  <w:tcW w:w="180" w:type="pct"/>
                  <w:vMerge w:val="continue"/>
                  <w:tcBorders>
                    <w:left w:val="single" w:color="auto" w:sz="4" w:space="0"/>
                  </w:tcBorders>
                  <w:vAlign w:val="center"/>
                </w:tcPr>
                <w:p w14:paraId="5465FD2C">
                  <w:pPr>
                    <w:widowControl/>
                    <w:jc w:val="center"/>
                    <w:rPr>
                      <w:rFonts w:ascii="宋体" w:hAnsi="宋体" w:cs="宋体"/>
                      <w:szCs w:val="21"/>
                    </w:rPr>
                  </w:pPr>
                  <w:r>
                    <w:rPr>
                      <w:rFonts w:hint="eastAsia" w:ascii="宋体" w:hAnsi="宋体" w:cs="宋体"/>
                      <w:color w:val="000000"/>
                      <w:szCs w:val="21"/>
                      <w:lang w:bidi="ar"/>
                    </w:rPr>
                    <w:t>浓</w:t>
                  </w:r>
                </w:p>
                <w:p w14:paraId="67AE6709">
                  <w:pPr>
                    <w:widowControl/>
                    <w:jc w:val="center"/>
                    <w:rPr>
                      <w:rFonts w:ascii="宋体" w:hAnsi="宋体" w:cs="宋体"/>
                      <w:szCs w:val="21"/>
                    </w:rPr>
                  </w:pPr>
                  <w:r>
                    <w:rPr>
                      <w:rFonts w:hint="eastAsia" w:ascii="宋体" w:hAnsi="宋体" w:cs="宋体"/>
                      <w:color w:val="000000"/>
                      <w:szCs w:val="21"/>
                      <w:lang w:bidi="ar"/>
                    </w:rPr>
                    <w:t>度</w:t>
                  </w:r>
                </w:p>
                <w:p w14:paraId="28B3AD3F">
                  <w:pPr>
                    <w:widowControl/>
                    <w:jc w:val="center"/>
                    <w:rPr>
                      <w:rFonts w:ascii="宋体" w:hAnsi="宋体" w:cs="宋体"/>
                      <w:szCs w:val="21"/>
                    </w:rPr>
                  </w:pPr>
                  <w:r>
                    <w:rPr>
                      <w:rFonts w:hint="eastAsia" w:ascii="宋体" w:hAnsi="宋体" w:cs="宋体"/>
                      <w:color w:val="000000"/>
                      <w:szCs w:val="21"/>
                      <w:lang w:bidi="ar"/>
                    </w:rPr>
                    <w:t>（m</w:t>
                  </w:r>
                </w:p>
                <w:p w14:paraId="100A0FB9">
                  <w:pPr>
                    <w:widowControl/>
                    <w:jc w:val="center"/>
                    <w:rPr>
                      <w:rFonts w:ascii="宋体" w:hAnsi="宋体" w:cs="宋体"/>
                      <w:szCs w:val="21"/>
                    </w:rPr>
                  </w:pPr>
                  <w:r>
                    <w:rPr>
                      <w:rFonts w:hint="eastAsia" w:ascii="宋体" w:hAnsi="宋体" w:cs="宋体"/>
                      <w:color w:val="000000"/>
                      <w:szCs w:val="21"/>
                      <w:lang w:bidi="ar"/>
                    </w:rPr>
                    <w:t>g/</w:t>
                  </w:r>
                </w:p>
                <w:p w14:paraId="6D09EAC5">
                  <w:pPr>
                    <w:widowControl/>
                    <w:jc w:val="center"/>
                    <w:rPr>
                      <w:rFonts w:ascii="宋体" w:hAnsi="宋体" w:cs="宋体"/>
                      <w:szCs w:val="21"/>
                    </w:rPr>
                  </w:pPr>
                  <w:r>
                    <w:rPr>
                      <w:rFonts w:hint="eastAsia" w:ascii="宋体" w:hAnsi="宋体" w:cs="宋体"/>
                      <w:color w:val="000000"/>
                      <w:szCs w:val="21"/>
                      <w:lang w:bidi="ar"/>
                    </w:rPr>
                    <w:t>m³）</w:t>
                  </w:r>
                </w:p>
                <w:p w14:paraId="30807B1B">
                  <w:pPr>
                    <w:jc w:val="center"/>
                    <w:rPr>
                      <w:rFonts w:ascii="宋体" w:hAnsi="宋体" w:cs="宋体"/>
                      <w:szCs w:val="21"/>
                    </w:rPr>
                  </w:pPr>
                </w:p>
              </w:tc>
              <w:tc>
                <w:tcPr>
                  <w:tcW w:w="129" w:type="pct"/>
                  <w:vMerge w:val="continue"/>
                  <w:tcBorders>
                    <w:right w:val="single" w:color="auto" w:sz="4" w:space="0"/>
                  </w:tcBorders>
                  <w:vAlign w:val="center"/>
                </w:tcPr>
                <w:p w14:paraId="4BFF983E">
                  <w:pPr>
                    <w:widowControl/>
                    <w:jc w:val="center"/>
                    <w:rPr>
                      <w:rFonts w:ascii="宋体" w:hAnsi="宋体" w:cs="宋体"/>
                      <w:szCs w:val="21"/>
                    </w:rPr>
                  </w:pPr>
                  <w:r>
                    <w:rPr>
                      <w:rFonts w:hint="eastAsia" w:ascii="宋体" w:hAnsi="宋体" w:cs="宋体"/>
                      <w:color w:val="000000"/>
                      <w:szCs w:val="21"/>
                      <w:lang w:bidi="ar"/>
                    </w:rPr>
                    <w:t>速</w:t>
                  </w:r>
                </w:p>
                <w:p w14:paraId="27806FC5">
                  <w:pPr>
                    <w:widowControl/>
                    <w:jc w:val="center"/>
                    <w:rPr>
                      <w:rFonts w:ascii="宋体" w:hAnsi="宋体" w:cs="宋体"/>
                      <w:szCs w:val="21"/>
                    </w:rPr>
                  </w:pPr>
                  <w:r>
                    <w:rPr>
                      <w:rFonts w:hint="eastAsia" w:ascii="宋体" w:hAnsi="宋体" w:cs="宋体"/>
                      <w:color w:val="000000"/>
                      <w:szCs w:val="21"/>
                      <w:lang w:bidi="ar"/>
                    </w:rPr>
                    <w:t>率</w:t>
                  </w:r>
                </w:p>
                <w:p w14:paraId="054CABF7">
                  <w:pPr>
                    <w:widowControl/>
                    <w:jc w:val="center"/>
                    <w:rPr>
                      <w:rFonts w:ascii="宋体" w:hAnsi="宋体" w:cs="宋体"/>
                      <w:szCs w:val="21"/>
                    </w:rPr>
                  </w:pPr>
                  <w:r>
                    <w:rPr>
                      <w:rFonts w:hint="eastAsia" w:ascii="宋体" w:hAnsi="宋体" w:cs="宋体"/>
                      <w:color w:val="000000"/>
                      <w:szCs w:val="21"/>
                      <w:lang w:bidi="ar"/>
                    </w:rPr>
                    <w:t>（</w:t>
                  </w:r>
                </w:p>
                <w:p w14:paraId="696DDC93">
                  <w:pPr>
                    <w:widowControl/>
                    <w:jc w:val="center"/>
                    <w:rPr>
                      <w:rFonts w:ascii="宋体" w:hAnsi="宋体" w:cs="宋体"/>
                      <w:szCs w:val="21"/>
                    </w:rPr>
                  </w:pPr>
                  <w:r>
                    <w:rPr>
                      <w:rFonts w:hint="eastAsia" w:ascii="宋体" w:hAnsi="宋体" w:cs="宋体"/>
                      <w:color w:val="000000"/>
                      <w:szCs w:val="21"/>
                      <w:lang w:bidi="ar"/>
                    </w:rPr>
                    <w:t>kg</w:t>
                  </w:r>
                </w:p>
                <w:p w14:paraId="36B3D5EF">
                  <w:pPr>
                    <w:widowControl/>
                    <w:jc w:val="center"/>
                    <w:rPr>
                      <w:rFonts w:ascii="宋体" w:hAnsi="宋体" w:cs="宋体"/>
                      <w:szCs w:val="21"/>
                    </w:rPr>
                  </w:pPr>
                  <w:r>
                    <w:rPr>
                      <w:rFonts w:hint="eastAsia" w:ascii="宋体" w:hAnsi="宋体" w:cs="宋体"/>
                      <w:color w:val="000000"/>
                      <w:szCs w:val="21"/>
                      <w:lang w:bidi="ar"/>
                    </w:rPr>
                    <w:t>/h）</w:t>
                  </w:r>
                </w:p>
                <w:p w14:paraId="2C230632">
                  <w:pPr>
                    <w:jc w:val="center"/>
                    <w:rPr>
                      <w:rFonts w:ascii="宋体" w:hAnsi="宋体" w:cs="宋体"/>
                      <w:szCs w:val="21"/>
                    </w:rPr>
                  </w:pPr>
                </w:p>
              </w:tc>
              <w:tc>
                <w:tcPr>
                  <w:tcW w:w="171" w:type="pct"/>
                  <w:vMerge w:val="continue"/>
                  <w:tcBorders>
                    <w:top w:val="single" w:color="auto" w:sz="4" w:space="0"/>
                    <w:left w:val="single" w:color="auto" w:sz="4" w:space="0"/>
                    <w:bottom w:val="single" w:color="auto" w:sz="4" w:space="0"/>
                    <w:right w:val="single" w:color="auto" w:sz="4" w:space="0"/>
                  </w:tcBorders>
                  <w:vAlign w:val="center"/>
                </w:tcPr>
                <w:p w14:paraId="56B173DF">
                  <w:pPr>
                    <w:widowControl/>
                    <w:jc w:val="center"/>
                    <w:rPr>
                      <w:rFonts w:ascii="宋体" w:hAnsi="宋体" w:cs="宋体"/>
                      <w:szCs w:val="21"/>
                    </w:rPr>
                  </w:pPr>
                  <w:r>
                    <w:rPr>
                      <w:rFonts w:hint="eastAsia" w:ascii="宋体" w:hAnsi="宋体" w:cs="宋体"/>
                      <w:color w:val="000000"/>
                      <w:szCs w:val="21"/>
                      <w:lang w:bidi="ar"/>
                    </w:rPr>
                    <w:t>高</w:t>
                  </w:r>
                </w:p>
                <w:p w14:paraId="70B70554">
                  <w:pPr>
                    <w:widowControl/>
                    <w:jc w:val="center"/>
                    <w:rPr>
                      <w:rFonts w:ascii="宋体" w:hAnsi="宋体" w:cs="宋体"/>
                      <w:szCs w:val="21"/>
                    </w:rPr>
                  </w:pPr>
                  <w:r>
                    <w:rPr>
                      <w:rFonts w:hint="eastAsia" w:ascii="宋体" w:hAnsi="宋体" w:cs="宋体"/>
                      <w:color w:val="000000"/>
                      <w:szCs w:val="21"/>
                      <w:lang w:bidi="ar"/>
                    </w:rPr>
                    <w:t>度</w:t>
                  </w:r>
                </w:p>
                <w:p w14:paraId="3854671F">
                  <w:pPr>
                    <w:widowControl/>
                    <w:jc w:val="center"/>
                    <w:rPr>
                      <w:rFonts w:ascii="宋体" w:hAnsi="宋体" w:cs="宋体"/>
                      <w:szCs w:val="21"/>
                    </w:rPr>
                  </w:pPr>
                  <w:r>
                    <w:rPr>
                      <w:rFonts w:hint="eastAsia" w:ascii="宋体" w:hAnsi="宋体" w:cs="宋体"/>
                      <w:color w:val="000000"/>
                      <w:szCs w:val="21"/>
                      <w:lang w:bidi="ar"/>
                    </w:rPr>
                    <w:t>（</w:t>
                  </w:r>
                </w:p>
                <w:p w14:paraId="1904D0A1">
                  <w:pPr>
                    <w:widowControl/>
                    <w:jc w:val="center"/>
                    <w:rPr>
                      <w:rFonts w:ascii="宋体" w:hAnsi="宋体" w:cs="宋体"/>
                      <w:szCs w:val="21"/>
                    </w:rPr>
                  </w:pPr>
                  <w:r>
                    <w:rPr>
                      <w:rFonts w:hint="eastAsia" w:ascii="宋体" w:hAnsi="宋体" w:cs="宋体"/>
                      <w:color w:val="000000"/>
                      <w:szCs w:val="21"/>
                      <w:lang w:bidi="ar"/>
                    </w:rPr>
                    <w:t>m</w:t>
                  </w:r>
                </w:p>
                <w:p w14:paraId="68C46516">
                  <w:pPr>
                    <w:widowControl/>
                    <w:jc w:val="center"/>
                    <w:rPr>
                      <w:rFonts w:ascii="宋体" w:hAnsi="宋体" w:cs="宋体"/>
                      <w:szCs w:val="21"/>
                    </w:rPr>
                  </w:pPr>
                  <w:r>
                    <w:rPr>
                      <w:rFonts w:hint="eastAsia" w:ascii="宋体" w:hAnsi="宋体" w:cs="宋体"/>
                      <w:color w:val="000000"/>
                      <w:szCs w:val="21"/>
                      <w:lang w:bidi="ar"/>
                    </w:rPr>
                    <w:t>）</w:t>
                  </w:r>
                </w:p>
                <w:p w14:paraId="5166EA76">
                  <w:pPr>
                    <w:jc w:val="center"/>
                    <w:rPr>
                      <w:rFonts w:ascii="宋体" w:hAnsi="宋体" w:cs="宋体"/>
                      <w:szCs w:val="21"/>
                    </w:rPr>
                  </w:pPr>
                </w:p>
              </w:tc>
              <w:tc>
                <w:tcPr>
                  <w:tcW w:w="255" w:type="pct"/>
                  <w:vMerge w:val="continue"/>
                  <w:tcBorders>
                    <w:top w:val="single" w:color="auto" w:sz="4" w:space="0"/>
                    <w:left w:val="single" w:color="auto" w:sz="4" w:space="0"/>
                    <w:bottom w:val="single" w:color="auto" w:sz="4" w:space="0"/>
                    <w:right w:val="single" w:color="auto" w:sz="4" w:space="0"/>
                  </w:tcBorders>
                  <w:vAlign w:val="center"/>
                </w:tcPr>
                <w:p w14:paraId="743D992A">
                  <w:pPr>
                    <w:widowControl/>
                    <w:jc w:val="center"/>
                    <w:rPr>
                      <w:rFonts w:ascii="宋体" w:hAnsi="宋体" w:cs="宋体"/>
                      <w:szCs w:val="21"/>
                    </w:rPr>
                  </w:pPr>
                  <w:r>
                    <w:rPr>
                      <w:rFonts w:hint="eastAsia" w:ascii="宋体" w:hAnsi="宋体" w:cs="宋体"/>
                      <w:color w:val="000000"/>
                      <w:szCs w:val="21"/>
                      <w:lang w:bidi="ar"/>
                    </w:rPr>
                    <w:t>内</w:t>
                  </w:r>
                </w:p>
                <w:p w14:paraId="7A29DA76">
                  <w:pPr>
                    <w:widowControl/>
                    <w:jc w:val="center"/>
                    <w:rPr>
                      <w:rFonts w:ascii="宋体" w:hAnsi="宋体" w:cs="宋体"/>
                      <w:szCs w:val="21"/>
                    </w:rPr>
                  </w:pPr>
                  <w:r>
                    <w:rPr>
                      <w:rFonts w:hint="eastAsia" w:ascii="宋体" w:hAnsi="宋体" w:cs="宋体"/>
                      <w:color w:val="000000"/>
                      <w:szCs w:val="21"/>
                      <w:lang w:bidi="ar"/>
                    </w:rPr>
                    <w:t>径</w:t>
                  </w:r>
                </w:p>
                <w:p w14:paraId="32AEEAF6">
                  <w:pPr>
                    <w:widowControl/>
                    <w:jc w:val="center"/>
                    <w:rPr>
                      <w:rFonts w:ascii="宋体" w:hAnsi="宋体" w:cs="宋体"/>
                      <w:szCs w:val="21"/>
                    </w:rPr>
                  </w:pPr>
                  <w:r>
                    <w:rPr>
                      <w:rFonts w:hint="eastAsia" w:ascii="宋体" w:hAnsi="宋体" w:cs="宋体"/>
                      <w:color w:val="000000"/>
                      <w:szCs w:val="21"/>
                      <w:lang w:bidi="ar"/>
                    </w:rPr>
                    <w:t>（</w:t>
                  </w:r>
                </w:p>
                <w:p w14:paraId="7B78B036">
                  <w:pPr>
                    <w:widowControl/>
                    <w:jc w:val="center"/>
                    <w:rPr>
                      <w:rFonts w:ascii="宋体" w:hAnsi="宋体" w:cs="宋体"/>
                      <w:szCs w:val="21"/>
                    </w:rPr>
                  </w:pPr>
                  <w:r>
                    <w:rPr>
                      <w:rFonts w:hint="eastAsia" w:ascii="宋体" w:hAnsi="宋体" w:cs="宋体"/>
                      <w:color w:val="000000"/>
                      <w:szCs w:val="21"/>
                      <w:lang w:bidi="ar"/>
                    </w:rPr>
                    <w:t>m</w:t>
                  </w:r>
                </w:p>
                <w:p w14:paraId="600D0771">
                  <w:pPr>
                    <w:widowControl/>
                    <w:jc w:val="center"/>
                    <w:rPr>
                      <w:rFonts w:ascii="宋体" w:hAnsi="宋体" w:cs="宋体"/>
                      <w:szCs w:val="21"/>
                    </w:rPr>
                  </w:pPr>
                  <w:r>
                    <w:rPr>
                      <w:rFonts w:hint="eastAsia" w:ascii="宋体" w:hAnsi="宋体" w:cs="宋体"/>
                      <w:color w:val="000000"/>
                      <w:szCs w:val="21"/>
                      <w:lang w:bidi="ar"/>
                    </w:rPr>
                    <w:t>）</w:t>
                  </w:r>
                </w:p>
                <w:p w14:paraId="6EE375C1">
                  <w:pPr>
                    <w:jc w:val="center"/>
                    <w:rPr>
                      <w:rFonts w:ascii="宋体" w:hAnsi="宋体" w:cs="宋体"/>
                      <w:szCs w:val="21"/>
                    </w:rPr>
                  </w:pPr>
                </w:p>
              </w:tc>
              <w:tc>
                <w:tcPr>
                  <w:tcW w:w="171" w:type="pct"/>
                  <w:vMerge w:val="continue"/>
                  <w:tcBorders>
                    <w:top w:val="single" w:color="auto" w:sz="4" w:space="0"/>
                    <w:left w:val="single" w:color="auto" w:sz="4" w:space="0"/>
                    <w:bottom w:val="single" w:color="auto" w:sz="4" w:space="0"/>
                    <w:right w:val="single" w:color="auto" w:sz="4" w:space="0"/>
                  </w:tcBorders>
                  <w:vAlign w:val="center"/>
                </w:tcPr>
                <w:p w14:paraId="2729690C">
                  <w:pPr>
                    <w:jc w:val="center"/>
                    <w:rPr>
                      <w:rFonts w:ascii="宋体" w:hAnsi="宋体" w:cs="宋体"/>
                      <w:szCs w:val="21"/>
                    </w:rPr>
                  </w:pPr>
                  <w:r>
                    <w:rPr>
                      <w:rFonts w:hint="eastAsia" w:ascii="宋体" w:hAnsi="宋体" w:cs="宋体"/>
                      <w:szCs w:val="21"/>
                    </w:rPr>
                    <w:t>温度</w:t>
                  </w:r>
                </w:p>
              </w:tc>
              <w:tc>
                <w:tcPr>
                  <w:tcW w:w="255" w:type="pct"/>
                  <w:vMerge w:val="continue"/>
                  <w:tcBorders>
                    <w:left w:val="single" w:color="auto" w:sz="4" w:space="0"/>
                  </w:tcBorders>
                  <w:vAlign w:val="center"/>
                </w:tcPr>
                <w:p w14:paraId="7AAFB59E">
                  <w:pPr>
                    <w:jc w:val="center"/>
                    <w:rPr>
                      <w:rFonts w:ascii="宋体" w:hAnsi="宋体" w:cs="宋体"/>
                      <w:szCs w:val="21"/>
                    </w:rPr>
                  </w:pPr>
                </w:p>
              </w:tc>
              <w:tc>
                <w:tcPr>
                  <w:tcW w:w="170" w:type="pct"/>
                  <w:vMerge w:val="continue"/>
                  <w:vAlign w:val="center"/>
                </w:tcPr>
                <w:p w14:paraId="41D75A72">
                  <w:pPr>
                    <w:jc w:val="center"/>
                    <w:rPr>
                      <w:rFonts w:ascii="宋体" w:hAnsi="宋体" w:cs="宋体"/>
                      <w:szCs w:val="21"/>
                    </w:rPr>
                  </w:pPr>
                </w:p>
              </w:tc>
            </w:tr>
            <w:tr w14:paraId="60A4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70" w:type="pct"/>
                  <w:vAlign w:val="center"/>
                </w:tcPr>
                <w:p w14:paraId="3B9090F1">
                  <w:pPr>
                    <w:widowControl/>
                    <w:jc w:val="center"/>
                    <w:rPr>
                      <w:rFonts w:ascii="宋体" w:hAnsi="宋体" w:cs="宋体"/>
                      <w:szCs w:val="21"/>
                    </w:rPr>
                  </w:pPr>
                  <w:r>
                    <w:rPr>
                      <w:rFonts w:hint="eastAsia" w:ascii="宋体" w:hAnsi="宋体" w:cs="宋体"/>
                      <w:color w:val="000000"/>
                      <w:szCs w:val="21"/>
                      <w:lang w:bidi="ar"/>
                    </w:rPr>
                    <w:t>生</w:t>
                  </w:r>
                </w:p>
                <w:p w14:paraId="341541FF">
                  <w:pPr>
                    <w:widowControl/>
                    <w:jc w:val="center"/>
                    <w:rPr>
                      <w:rFonts w:ascii="宋体" w:hAnsi="宋体" w:cs="宋体"/>
                      <w:szCs w:val="21"/>
                    </w:rPr>
                  </w:pPr>
                  <w:r>
                    <w:rPr>
                      <w:rFonts w:hint="eastAsia" w:ascii="宋体" w:hAnsi="宋体" w:cs="宋体"/>
                      <w:color w:val="000000"/>
                      <w:szCs w:val="21"/>
                      <w:lang w:bidi="ar"/>
                    </w:rPr>
                    <w:t>产</w:t>
                  </w:r>
                </w:p>
                <w:p w14:paraId="2E91A250">
                  <w:pPr>
                    <w:widowControl/>
                    <w:jc w:val="center"/>
                    <w:rPr>
                      <w:rFonts w:ascii="宋体" w:hAnsi="宋体" w:cs="宋体"/>
                      <w:szCs w:val="21"/>
                    </w:rPr>
                  </w:pPr>
                  <w:r>
                    <w:rPr>
                      <w:rFonts w:hint="eastAsia" w:ascii="宋体" w:hAnsi="宋体" w:cs="宋体"/>
                      <w:color w:val="000000"/>
                      <w:szCs w:val="21"/>
                      <w:lang w:bidi="ar"/>
                    </w:rPr>
                    <w:t>车</w:t>
                  </w:r>
                </w:p>
                <w:p w14:paraId="240CA644">
                  <w:pPr>
                    <w:widowControl/>
                    <w:jc w:val="center"/>
                    <w:rPr>
                      <w:rFonts w:ascii="宋体" w:hAnsi="宋体" w:cs="宋体"/>
                      <w:szCs w:val="21"/>
                    </w:rPr>
                  </w:pPr>
                  <w:r>
                    <w:rPr>
                      <w:rFonts w:hint="eastAsia" w:ascii="宋体" w:hAnsi="宋体" w:cs="宋体"/>
                      <w:color w:val="000000"/>
                      <w:szCs w:val="21"/>
                      <w:lang w:bidi="ar"/>
                    </w:rPr>
                    <w:t>间</w:t>
                  </w:r>
                </w:p>
                <w:p w14:paraId="145331F5">
                  <w:pPr>
                    <w:jc w:val="center"/>
                    <w:rPr>
                      <w:rFonts w:ascii="宋体" w:hAnsi="宋体" w:cs="宋体"/>
                      <w:szCs w:val="21"/>
                    </w:rPr>
                  </w:pPr>
                </w:p>
              </w:tc>
              <w:tc>
                <w:tcPr>
                  <w:tcW w:w="170" w:type="pct"/>
                  <w:vAlign w:val="center"/>
                </w:tcPr>
                <w:p w14:paraId="350635E4">
                  <w:pPr>
                    <w:widowControl/>
                    <w:jc w:val="center"/>
                    <w:rPr>
                      <w:rFonts w:ascii="宋体" w:hAnsi="宋体" w:cs="宋体"/>
                      <w:szCs w:val="21"/>
                    </w:rPr>
                  </w:pPr>
                  <w:r>
                    <w:rPr>
                      <w:rFonts w:hint="eastAsia" w:ascii="宋体" w:hAnsi="宋体" w:cs="宋体"/>
                      <w:color w:val="000000"/>
                      <w:szCs w:val="21"/>
                      <w:lang w:bidi="ar"/>
                    </w:rPr>
                    <w:t>超声复合、撒粉烘干涂布有机废气</w:t>
                  </w:r>
                </w:p>
              </w:tc>
              <w:tc>
                <w:tcPr>
                  <w:tcW w:w="296" w:type="pct"/>
                  <w:vAlign w:val="center"/>
                </w:tcPr>
                <w:p w14:paraId="4A4E4225">
                  <w:pPr>
                    <w:jc w:val="center"/>
                    <w:rPr>
                      <w:rFonts w:ascii="宋体" w:hAnsi="宋体" w:cs="宋体"/>
                      <w:szCs w:val="21"/>
                    </w:rPr>
                  </w:pPr>
                  <w:r>
                    <w:rPr>
                      <w:rFonts w:hint="eastAsia" w:ascii="宋体" w:hAnsi="宋体" w:cs="宋体"/>
                      <w:szCs w:val="21"/>
                    </w:rPr>
                    <w:t>20000</w:t>
                  </w:r>
                </w:p>
              </w:tc>
              <w:tc>
                <w:tcPr>
                  <w:tcW w:w="170" w:type="pct"/>
                  <w:vAlign w:val="center"/>
                </w:tcPr>
                <w:p w14:paraId="45107669">
                  <w:pPr>
                    <w:widowControl/>
                    <w:jc w:val="center"/>
                    <w:rPr>
                      <w:rFonts w:ascii="宋体" w:hAnsi="宋体" w:cs="宋体"/>
                      <w:szCs w:val="21"/>
                    </w:rPr>
                  </w:pPr>
                  <w:r>
                    <w:rPr>
                      <w:rFonts w:hint="eastAsia" w:ascii="宋体" w:hAnsi="宋体" w:cs="宋体"/>
                      <w:color w:val="000000"/>
                      <w:szCs w:val="21"/>
                      <w:lang w:bidi="ar"/>
                    </w:rPr>
                    <w:t>非甲烷总烃</w:t>
                  </w:r>
                </w:p>
                <w:p w14:paraId="239B71F6">
                  <w:pPr>
                    <w:jc w:val="center"/>
                    <w:rPr>
                      <w:rFonts w:ascii="宋体" w:hAnsi="宋体" w:cs="宋体"/>
                      <w:szCs w:val="21"/>
                    </w:rPr>
                  </w:pPr>
                </w:p>
              </w:tc>
              <w:tc>
                <w:tcPr>
                  <w:tcW w:w="340" w:type="pct"/>
                  <w:vAlign w:val="center"/>
                </w:tcPr>
                <w:p w14:paraId="1D6FBFB7">
                  <w:pPr>
                    <w:jc w:val="center"/>
                    <w:rPr>
                      <w:rFonts w:ascii="宋体" w:hAnsi="宋体" w:cs="宋体"/>
                      <w:szCs w:val="21"/>
                    </w:rPr>
                  </w:pPr>
                </w:p>
                <w:p w14:paraId="631A7EAF">
                  <w:pPr>
                    <w:jc w:val="center"/>
                    <w:rPr>
                      <w:rFonts w:ascii="宋体" w:hAnsi="宋体" w:cs="宋体"/>
                      <w:szCs w:val="21"/>
                    </w:rPr>
                  </w:pPr>
                  <w:r>
                    <w:rPr>
                      <w:rFonts w:hint="eastAsia" w:ascii="宋体" w:hAnsi="宋体" w:cs="宋体"/>
                      <w:szCs w:val="21"/>
                    </w:rPr>
                    <w:t>62.1875</w:t>
                  </w:r>
                </w:p>
                <w:p w14:paraId="0A7AEA0D">
                  <w:pPr>
                    <w:jc w:val="center"/>
                    <w:rPr>
                      <w:rFonts w:ascii="宋体" w:hAnsi="宋体" w:cs="宋体"/>
                      <w:szCs w:val="21"/>
                    </w:rPr>
                  </w:pPr>
                </w:p>
              </w:tc>
              <w:tc>
                <w:tcPr>
                  <w:tcW w:w="424" w:type="pct"/>
                  <w:vAlign w:val="center"/>
                </w:tcPr>
                <w:p w14:paraId="2871AC79">
                  <w:pPr>
                    <w:jc w:val="center"/>
                    <w:rPr>
                      <w:rFonts w:ascii="宋体" w:hAnsi="宋体" w:cs="宋体"/>
                      <w:szCs w:val="21"/>
                    </w:rPr>
                  </w:pPr>
                  <w:r>
                    <w:rPr>
                      <w:rFonts w:hint="eastAsia" w:ascii="宋体" w:hAnsi="宋体" w:cs="宋体"/>
                      <w:szCs w:val="21"/>
                    </w:rPr>
                    <w:t>1.24375</w:t>
                  </w:r>
                </w:p>
              </w:tc>
              <w:tc>
                <w:tcPr>
                  <w:tcW w:w="324" w:type="pct"/>
                  <w:vAlign w:val="center"/>
                </w:tcPr>
                <w:p w14:paraId="2BF256D4">
                  <w:pPr>
                    <w:jc w:val="center"/>
                    <w:rPr>
                      <w:rFonts w:ascii="宋体" w:hAnsi="宋体" w:cs="宋体"/>
                      <w:szCs w:val="21"/>
                    </w:rPr>
                  </w:pPr>
                  <w:r>
                    <w:rPr>
                      <w:rFonts w:hint="eastAsia" w:ascii="宋体" w:hAnsi="宋体" w:cs="宋体"/>
                      <w:szCs w:val="21"/>
                    </w:rPr>
                    <w:t>2.985</w:t>
                  </w:r>
                </w:p>
              </w:tc>
              <w:tc>
                <w:tcPr>
                  <w:tcW w:w="335" w:type="pct"/>
                  <w:vAlign w:val="center"/>
                </w:tcPr>
                <w:p w14:paraId="0AF9D7B0">
                  <w:pPr>
                    <w:widowControl/>
                    <w:jc w:val="center"/>
                    <w:rPr>
                      <w:rFonts w:ascii="宋体" w:hAnsi="宋体" w:cs="宋体"/>
                      <w:szCs w:val="21"/>
                    </w:rPr>
                  </w:pPr>
                  <w:r>
                    <w:rPr>
                      <w:rFonts w:hint="eastAsia" w:ascii="宋体" w:hAnsi="宋体" w:cs="宋体"/>
                      <w:szCs w:val="21"/>
                    </w:rPr>
                    <w:t>二级静电油雾器+活性炭吸附+催化燃烧+15m高排气筒</w:t>
                  </w:r>
                </w:p>
              </w:tc>
              <w:tc>
                <w:tcPr>
                  <w:tcW w:w="340" w:type="pct"/>
                  <w:vAlign w:val="center"/>
                </w:tcPr>
                <w:p w14:paraId="2DD43828">
                  <w:pPr>
                    <w:jc w:val="center"/>
                    <w:rPr>
                      <w:rFonts w:ascii="宋体" w:hAnsi="宋体" w:cs="宋体"/>
                      <w:szCs w:val="21"/>
                    </w:rPr>
                  </w:pPr>
                  <w:r>
                    <w:rPr>
                      <w:rFonts w:hint="eastAsia" w:ascii="宋体" w:hAnsi="宋体" w:cs="宋体"/>
                      <w:szCs w:val="21"/>
                    </w:rPr>
                    <w:t>90</w:t>
                  </w:r>
                </w:p>
              </w:tc>
              <w:tc>
                <w:tcPr>
                  <w:tcW w:w="296" w:type="pct"/>
                  <w:tcBorders>
                    <w:top w:val="single" w:color="auto" w:sz="4" w:space="0"/>
                  </w:tcBorders>
                  <w:vAlign w:val="center"/>
                </w:tcPr>
                <w:p w14:paraId="417B195E">
                  <w:pPr>
                    <w:jc w:val="center"/>
                    <w:rPr>
                      <w:rFonts w:ascii="宋体" w:hAnsi="宋体" w:cs="宋体"/>
                      <w:szCs w:val="21"/>
                    </w:rPr>
                  </w:pPr>
                </w:p>
                <w:p w14:paraId="2A8905E3">
                  <w:pPr>
                    <w:jc w:val="center"/>
                    <w:rPr>
                      <w:rFonts w:ascii="宋体" w:hAnsi="宋体" w:cs="宋体"/>
                      <w:szCs w:val="21"/>
                    </w:rPr>
                  </w:pPr>
                  <w:r>
                    <w:rPr>
                      <w:rFonts w:hint="eastAsia" w:ascii="宋体" w:hAnsi="宋体" w:cs="宋体"/>
                      <w:szCs w:val="21"/>
                    </w:rPr>
                    <w:t>6.218</w:t>
                  </w:r>
                </w:p>
                <w:p w14:paraId="65B3AE07">
                  <w:pPr>
                    <w:jc w:val="center"/>
                    <w:rPr>
                      <w:rFonts w:ascii="宋体" w:hAnsi="宋体" w:cs="宋体"/>
                      <w:szCs w:val="21"/>
                    </w:rPr>
                  </w:pPr>
                </w:p>
              </w:tc>
              <w:tc>
                <w:tcPr>
                  <w:tcW w:w="380" w:type="pct"/>
                  <w:tcBorders>
                    <w:top w:val="single" w:color="auto" w:sz="4" w:space="0"/>
                  </w:tcBorders>
                  <w:vAlign w:val="center"/>
                </w:tcPr>
                <w:p w14:paraId="39283735">
                  <w:pPr>
                    <w:jc w:val="center"/>
                    <w:rPr>
                      <w:rFonts w:ascii="宋体" w:hAnsi="宋体" w:cs="宋体"/>
                      <w:szCs w:val="21"/>
                    </w:rPr>
                  </w:pPr>
                  <w:r>
                    <w:rPr>
                      <w:rFonts w:hint="eastAsia" w:ascii="宋体" w:hAnsi="宋体" w:cs="宋体"/>
                      <w:szCs w:val="21"/>
                    </w:rPr>
                    <w:t>0.124</w:t>
                  </w:r>
                </w:p>
              </w:tc>
              <w:tc>
                <w:tcPr>
                  <w:tcW w:w="424" w:type="pct"/>
                  <w:tcBorders>
                    <w:top w:val="single" w:color="auto" w:sz="4" w:space="0"/>
                  </w:tcBorders>
                  <w:vAlign w:val="center"/>
                </w:tcPr>
                <w:p w14:paraId="56DABEF9">
                  <w:pPr>
                    <w:jc w:val="center"/>
                    <w:rPr>
                      <w:rFonts w:ascii="宋体" w:hAnsi="宋体" w:cs="宋体"/>
                      <w:szCs w:val="21"/>
                    </w:rPr>
                  </w:pPr>
                  <w:r>
                    <w:rPr>
                      <w:rFonts w:hint="eastAsia" w:ascii="宋体" w:hAnsi="宋体" w:cs="宋体"/>
                      <w:szCs w:val="21"/>
                    </w:rPr>
                    <w:t>0.2985</w:t>
                  </w:r>
                </w:p>
              </w:tc>
              <w:tc>
                <w:tcPr>
                  <w:tcW w:w="180" w:type="pct"/>
                  <w:vAlign w:val="center"/>
                </w:tcPr>
                <w:p w14:paraId="20DD44AE">
                  <w:pPr>
                    <w:jc w:val="center"/>
                    <w:rPr>
                      <w:rFonts w:ascii="宋体" w:hAnsi="宋体" w:cs="宋体"/>
                      <w:szCs w:val="21"/>
                    </w:rPr>
                  </w:pPr>
                  <w:r>
                    <w:rPr>
                      <w:rFonts w:hint="eastAsia" w:ascii="宋体" w:hAnsi="宋体" w:cs="宋体"/>
                      <w:szCs w:val="21"/>
                    </w:rPr>
                    <w:t>70</w:t>
                  </w:r>
                </w:p>
              </w:tc>
              <w:tc>
                <w:tcPr>
                  <w:tcW w:w="129" w:type="pct"/>
                  <w:vAlign w:val="center"/>
                </w:tcPr>
                <w:p w14:paraId="63A0821A">
                  <w:pPr>
                    <w:jc w:val="center"/>
                    <w:rPr>
                      <w:rFonts w:ascii="宋体" w:hAnsi="宋体" w:cs="宋体"/>
                      <w:szCs w:val="21"/>
                    </w:rPr>
                  </w:pPr>
                  <w:r>
                    <w:rPr>
                      <w:rFonts w:hint="eastAsia" w:ascii="宋体" w:hAnsi="宋体" w:cs="宋体"/>
                      <w:szCs w:val="21"/>
                    </w:rPr>
                    <w:t>3.0</w:t>
                  </w:r>
                </w:p>
              </w:tc>
              <w:tc>
                <w:tcPr>
                  <w:tcW w:w="171" w:type="pct"/>
                  <w:tcBorders>
                    <w:top w:val="single" w:color="auto" w:sz="4" w:space="0"/>
                  </w:tcBorders>
                  <w:vAlign w:val="center"/>
                </w:tcPr>
                <w:p w14:paraId="1FAC16CF">
                  <w:pPr>
                    <w:jc w:val="center"/>
                    <w:rPr>
                      <w:rFonts w:ascii="宋体" w:hAnsi="宋体" w:cs="宋体"/>
                      <w:szCs w:val="21"/>
                    </w:rPr>
                  </w:pPr>
                  <w:r>
                    <w:rPr>
                      <w:rFonts w:hint="eastAsia" w:ascii="宋体" w:hAnsi="宋体" w:cs="宋体"/>
                      <w:szCs w:val="21"/>
                    </w:rPr>
                    <w:t>15</w:t>
                  </w:r>
                </w:p>
              </w:tc>
              <w:tc>
                <w:tcPr>
                  <w:tcW w:w="255" w:type="pct"/>
                  <w:tcBorders>
                    <w:top w:val="single" w:color="auto" w:sz="4" w:space="0"/>
                  </w:tcBorders>
                  <w:vAlign w:val="center"/>
                </w:tcPr>
                <w:p w14:paraId="27F3C43D">
                  <w:pPr>
                    <w:jc w:val="center"/>
                    <w:rPr>
                      <w:rFonts w:ascii="宋体" w:hAnsi="宋体" w:cs="宋体"/>
                      <w:szCs w:val="21"/>
                    </w:rPr>
                  </w:pPr>
                  <w:r>
                    <w:rPr>
                      <w:rFonts w:hint="eastAsia" w:ascii="宋体" w:hAnsi="宋体" w:cs="宋体"/>
                      <w:szCs w:val="21"/>
                    </w:rPr>
                    <w:t>0.6</w:t>
                  </w:r>
                  <w:r>
                    <w:rPr>
                      <w:rFonts w:ascii="宋体" w:hAnsi="宋体" w:cs="宋体"/>
                      <w:szCs w:val="21"/>
                    </w:rPr>
                    <w:t>5</w:t>
                  </w:r>
                </w:p>
              </w:tc>
              <w:tc>
                <w:tcPr>
                  <w:tcW w:w="171" w:type="pct"/>
                  <w:tcBorders>
                    <w:top w:val="single" w:color="auto" w:sz="4" w:space="0"/>
                  </w:tcBorders>
                  <w:vAlign w:val="center"/>
                </w:tcPr>
                <w:p w14:paraId="4DBC251C">
                  <w:pPr>
                    <w:jc w:val="center"/>
                    <w:rPr>
                      <w:rFonts w:ascii="宋体" w:hAnsi="宋体" w:cs="宋体"/>
                      <w:szCs w:val="21"/>
                    </w:rPr>
                  </w:pPr>
                  <w:r>
                    <w:rPr>
                      <w:rFonts w:hint="eastAsia" w:ascii="宋体" w:hAnsi="宋体" w:cs="宋体"/>
                      <w:szCs w:val="21"/>
                    </w:rPr>
                    <w:t>常温</w:t>
                  </w:r>
                </w:p>
              </w:tc>
              <w:tc>
                <w:tcPr>
                  <w:tcW w:w="255" w:type="pct"/>
                  <w:vAlign w:val="center"/>
                </w:tcPr>
                <w:p w14:paraId="45E891EA">
                  <w:pPr>
                    <w:jc w:val="center"/>
                    <w:rPr>
                      <w:rFonts w:ascii="宋体" w:hAnsi="宋体" w:cs="宋体"/>
                      <w:szCs w:val="21"/>
                    </w:rPr>
                  </w:pPr>
                  <w:r>
                    <w:rPr>
                      <w:rFonts w:hint="eastAsia" w:ascii="宋体" w:hAnsi="宋体" w:cs="宋体"/>
                      <w:szCs w:val="21"/>
                    </w:rPr>
                    <w:t>2400</w:t>
                  </w:r>
                </w:p>
              </w:tc>
              <w:tc>
                <w:tcPr>
                  <w:tcW w:w="170" w:type="pct"/>
                  <w:vAlign w:val="center"/>
                </w:tcPr>
                <w:p w14:paraId="0632A9AF">
                  <w:pPr>
                    <w:jc w:val="center"/>
                    <w:rPr>
                      <w:rFonts w:ascii="宋体" w:hAnsi="宋体" w:cs="宋体"/>
                      <w:szCs w:val="21"/>
                    </w:rPr>
                  </w:pPr>
                  <w:r>
                    <w:rPr>
                      <w:rFonts w:hint="eastAsia" w:ascii="宋体" w:hAnsi="宋体" w:cs="宋体"/>
                      <w:szCs w:val="21"/>
                    </w:rPr>
                    <w:t>连续排放</w:t>
                  </w:r>
                </w:p>
              </w:tc>
            </w:tr>
          </w:tbl>
          <w:p w14:paraId="009D286E">
            <w:pPr>
              <w:pStyle w:val="51"/>
              <w:spacing w:line="240" w:lineRule="auto"/>
              <w:ind w:firstLine="422" w:firstLineChars="200"/>
              <w:jc w:val="center"/>
              <w:rPr>
                <w:rFonts w:ascii="Times New Roman" w:hAnsi="Times New Roman"/>
                <w:sz w:val="21"/>
                <w:szCs w:val="21"/>
              </w:rPr>
            </w:pPr>
          </w:p>
          <w:p w14:paraId="2824B112">
            <w:pPr>
              <w:pStyle w:val="52"/>
              <w:ind w:firstLine="480"/>
            </w:pPr>
          </w:p>
          <w:p w14:paraId="22A9C05B">
            <w:pPr>
              <w:widowControl/>
              <w:jc w:val="center"/>
              <w:rPr>
                <w:rFonts w:ascii="宋体" w:hAnsi="宋体" w:cs="宋体"/>
                <w:b/>
                <w:bCs/>
                <w:color w:val="000000"/>
                <w:kern w:val="0"/>
                <w:szCs w:val="21"/>
                <w:lang w:bidi="ar"/>
              </w:rPr>
            </w:pPr>
            <w:r>
              <w:rPr>
                <w:rFonts w:hint="eastAsia" w:ascii="宋体" w:hAnsi="宋体" w:cs="宋体"/>
                <w:b/>
                <w:bCs/>
                <w:color w:val="000000"/>
                <w:kern w:val="0"/>
                <w:szCs w:val="21"/>
                <w:lang w:bidi="ar"/>
              </w:rPr>
              <w:t>表 4-3 项目无组织废气产生及排放情况一览表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368"/>
              <w:gridCol w:w="1368"/>
              <w:gridCol w:w="1368"/>
              <w:gridCol w:w="1371"/>
              <w:gridCol w:w="1371"/>
              <w:gridCol w:w="1372"/>
              <w:gridCol w:w="1372"/>
              <w:gridCol w:w="2015"/>
              <w:gridCol w:w="1837"/>
            </w:tblGrid>
            <w:tr w14:paraId="3711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462" w:type="pct"/>
                  <w:vAlign w:val="center"/>
                </w:tcPr>
                <w:p w14:paraId="6545269B">
                  <w:pPr>
                    <w:widowControl/>
                    <w:jc w:val="center"/>
                    <w:rPr>
                      <w:rFonts w:ascii="宋体" w:hAnsi="宋体" w:cs="宋体"/>
                      <w:b/>
                      <w:bCs/>
                      <w:color w:val="000000"/>
                      <w:szCs w:val="21"/>
                      <w:lang w:bidi="ar"/>
                    </w:rPr>
                  </w:pPr>
                  <w:r>
                    <w:rPr>
                      <w:rFonts w:hint="eastAsia" w:ascii="宋体" w:hAnsi="宋体" w:cs="宋体"/>
                      <w:b/>
                      <w:bCs/>
                      <w:color w:val="000000"/>
                      <w:szCs w:val="21"/>
                      <w:lang w:bidi="ar"/>
                    </w:rPr>
                    <w:t>项目</w:t>
                  </w:r>
                </w:p>
              </w:tc>
              <w:tc>
                <w:tcPr>
                  <w:tcW w:w="462" w:type="pct"/>
                  <w:vAlign w:val="center"/>
                </w:tcPr>
                <w:p w14:paraId="28E6EBB4">
                  <w:pPr>
                    <w:widowControl/>
                    <w:jc w:val="center"/>
                    <w:rPr>
                      <w:rFonts w:ascii="宋体" w:hAnsi="宋体" w:cs="宋体"/>
                      <w:b/>
                      <w:bCs/>
                      <w:color w:val="000000"/>
                      <w:szCs w:val="21"/>
                      <w:lang w:bidi="ar"/>
                    </w:rPr>
                  </w:pPr>
                  <w:r>
                    <w:rPr>
                      <w:rFonts w:hint="eastAsia" w:ascii="宋体" w:hAnsi="宋体" w:cs="宋体"/>
                      <w:b/>
                      <w:bCs/>
                      <w:color w:val="000000"/>
                      <w:szCs w:val="21"/>
                      <w:lang w:bidi="ar"/>
                    </w:rPr>
                    <w:t>面源名称</w:t>
                  </w:r>
                </w:p>
              </w:tc>
              <w:tc>
                <w:tcPr>
                  <w:tcW w:w="462" w:type="pct"/>
                  <w:vAlign w:val="center"/>
                </w:tcPr>
                <w:p w14:paraId="3DED1D07">
                  <w:pPr>
                    <w:widowControl/>
                    <w:jc w:val="center"/>
                    <w:rPr>
                      <w:rFonts w:ascii="宋体" w:hAnsi="宋体" w:cs="宋体"/>
                      <w:b/>
                      <w:bCs/>
                      <w:color w:val="000000"/>
                      <w:szCs w:val="21"/>
                      <w:lang w:bidi="ar"/>
                    </w:rPr>
                  </w:pPr>
                  <w:r>
                    <w:rPr>
                      <w:rFonts w:hint="eastAsia" w:ascii="宋体" w:hAnsi="宋体" w:cs="宋体"/>
                      <w:b/>
                      <w:bCs/>
                      <w:color w:val="000000"/>
                      <w:szCs w:val="21"/>
                      <w:lang w:bidi="ar"/>
                    </w:rPr>
                    <w:t>面源长度</w:t>
                  </w:r>
                </w:p>
              </w:tc>
              <w:tc>
                <w:tcPr>
                  <w:tcW w:w="462" w:type="pct"/>
                  <w:vAlign w:val="center"/>
                </w:tcPr>
                <w:p w14:paraId="4C7F57B4">
                  <w:pPr>
                    <w:widowControl/>
                    <w:jc w:val="center"/>
                    <w:rPr>
                      <w:rFonts w:ascii="宋体" w:hAnsi="宋体" w:cs="宋体"/>
                      <w:b/>
                      <w:bCs/>
                      <w:color w:val="000000"/>
                      <w:szCs w:val="21"/>
                      <w:lang w:bidi="ar"/>
                    </w:rPr>
                  </w:pPr>
                  <w:r>
                    <w:rPr>
                      <w:rFonts w:hint="eastAsia" w:ascii="宋体" w:hAnsi="宋体" w:cs="宋体"/>
                      <w:b/>
                      <w:bCs/>
                      <w:color w:val="000000"/>
                      <w:szCs w:val="21"/>
                      <w:lang w:bidi="ar"/>
                    </w:rPr>
                    <w:t>面源宽度</w:t>
                  </w:r>
                </w:p>
              </w:tc>
              <w:tc>
                <w:tcPr>
                  <w:tcW w:w="463" w:type="pct"/>
                  <w:vAlign w:val="center"/>
                </w:tcPr>
                <w:p w14:paraId="4C547D24">
                  <w:pPr>
                    <w:widowControl/>
                    <w:jc w:val="center"/>
                    <w:rPr>
                      <w:rFonts w:ascii="宋体" w:hAnsi="宋体" w:cs="宋体"/>
                      <w:b/>
                      <w:bCs/>
                      <w:color w:val="000000"/>
                      <w:szCs w:val="21"/>
                      <w:lang w:bidi="ar"/>
                    </w:rPr>
                  </w:pPr>
                  <w:r>
                    <w:rPr>
                      <w:rFonts w:hint="eastAsia" w:ascii="宋体" w:hAnsi="宋体" w:cs="宋体"/>
                      <w:b/>
                      <w:bCs/>
                      <w:color w:val="000000"/>
                      <w:szCs w:val="21"/>
                      <w:lang w:bidi="ar"/>
                    </w:rPr>
                    <w:t>与正北方向夹角</w:t>
                  </w:r>
                </w:p>
              </w:tc>
              <w:tc>
                <w:tcPr>
                  <w:tcW w:w="463" w:type="pct"/>
                  <w:vAlign w:val="center"/>
                </w:tcPr>
                <w:p w14:paraId="6051A55E">
                  <w:pPr>
                    <w:widowControl/>
                    <w:jc w:val="center"/>
                    <w:rPr>
                      <w:rFonts w:ascii="宋体" w:hAnsi="宋体" w:cs="宋体"/>
                      <w:b/>
                      <w:bCs/>
                      <w:color w:val="000000"/>
                      <w:szCs w:val="21"/>
                      <w:lang w:bidi="ar"/>
                    </w:rPr>
                  </w:pPr>
                  <w:r>
                    <w:rPr>
                      <w:rFonts w:hint="eastAsia" w:ascii="宋体" w:hAnsi="宋体" w:cs="宋体"/>
                      <w:b/>
                      <w:bCs/>
                      <w:color w:val="000000"/>
                      <w:szCs w:val="21"/>
                      <w:lang w:bidi="ar"/>
                    </w:rPr>
                    <w:t>面源初始排放高度</w:t>
                  </w:r>
                </w:p>
              </w:tc>
              <w:tc>
                <w:tcPr>
                  <w:tcW w:w="463" w:type="pct"/>
                  <w:vAlign w:val="center"/>
                </w:tcPr>
                <w:p w14:paraId="3741F871">
                  <w:pPr>
                    <w:widowControl/>
                    <w:jc w:val="center"/>
                    <w:rPr>
                      <w:rFonts w:ascii="宋体" w:hAnsi="宋体" w:cs="宋体"/>
                      <w:b/>
                      <w:bCs/>
                      <w:color w:val="000000"/>
                      <w:szCs w:val="21"/>
                      <w:lang w:bidi="ar"/>
                    </w:rPr>
                  </w:pPr>
                  <w:r>
                    <w:rPr>
                      <w:rFonts w:hint="eastAsia" w:ascii="宋体" w:hAnsi="宋体" w:cs="宋体"/>
                      <w:b/>
                      <w:bCs/>
                      <w:color w:val="000000"/>
                      <w:szCs w:val="21"/>
                      <w:lang w:bidi="ar"/>
                    </w:rPr>
                    <w:t>年排放小时数</w:t>
                  </w:r>
                </w:p>
              </w:tc>
              <w:tc>
                <w:tcPr>
                  <w:tcW w:w="463" w:type="pct"/>
                  <w:vAlign w:val="center"/>
                </w:tcPr>
                <w:p w14:paraId="78E4D31A">
                  <w:pPr>
                    <w:widowControl/>
                    <w:jc w:val="center"/>
                    <w:rPr>
                      <w:rFonts w:ascii="宋体" w:hAnsi="宋体" w:cs="宋体"/>
                      <w:b/>
                      <w:bCs/>
                      <w:color w:val="000000"/>
                      <w:szCs w:val="21"/>
                      <w:lang w:bidi="ar"/>
                    </w:rPr>
                  </w:pPr>
                  <w:r>
                    <w:rPr>
                      <w:rFonts w:hint="eastAsia" w:ascii="宋体" w:hAnsi="宋体" w:cs="宋体"/>
                      <w:b/>
                      <w:bCs/>
                      <w:color w:val="000000"/>
                      <w:szCs w:val="21"/>
                      <w:lang w:bidi="ar"/>
                    </w:rPr>
                    <w:t>排放工况</w:t>
                  </w:r>
                </w:p>
              </w:tc>
              <w:tc>
                <w:tcPr>
                  <w:tcW w:w="1300" w:type="pct"/>
                  <w:gridSpan w:val="2"/>
                  <w:vAlign w:val="center"/>
                </w:tcPr>
                <w:p w14:paraId="7D83744B">
                  <w:pPr>
                    <w:widowControl/>
                    <w:jc w:val="center"/>
                    <w:rPr>
                      <w:rFonts w:ascii="宋体" w:hAnsi="宋体" w:cs="宋体"/>
                      <w:b/>
                      <w:bCs/>
                      <w:color w:val="000000"/>
                      <w:szCs w:val="21"/>
                      <w:lang w:bidi="ar"/>
                    </w:rPr>
                  </w:pPr>
                  <w:r>
                    <w:rPr>
                      <w:rFonts w:hint="eastAsia" w:ascii="宋体" w:hAnsi="宋体" w:cs="宋体"/>
                      <w:b/>
                      <w:bCs/>
                      <w:color w:val="000000"/>
                      <w:szCs w:val="21"/>
                      <w:lang w:bidi="ar"/>
                    </w:rPr>
                    <w:t>评价因子</w:t>
                  </w:r>
                </w:p>
              </w:tc>
            </w:tr>
            <w:tr w14:paraId="604D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2" w:type="pct"/>
                  <w:vAlign w:val="center"/>
                </w:tcPr>
                <w:p w14:paraId="2F6FDA90">
                  <w:pPr>
                    <w:widowControl/>
                    <w:jc w:val="center"/>
                    <w:rPr>
                      <w:rFonts w:ascii="宋体" w:hAnsi="宋体" w:cs="宋体"/>
                      <w:color w:val="000000"/>
                      <w:szCs w:val="21"/>
                      <w:lang w:bidi="ar"/>
                    </w:rPr>
                  </w:pPr>
                  <w:r>
                    <w:rPr>
                      <w:rFonts w:hint="eastAsia" w:ascii="宋体" w:hAnsi="宋体" w:cs="宋体"/>
                      <w:color w:val="000000"/>
                      <w:szCs w:val="21"/>
                      <w:lang w:bidi="ar"/>
                    </w:rPr>
                    <w:t>符号</w:t>
                  </w:r>
                </w:p>
              </w:tc>
              <w:tc>
                <w:tcPr>
                  <w:tcW w:w="462" w:type="pct"/>
                  <w:vAlign w:val="center"/>
                </w:tcPr>
                <w:p w14:paraId="71208C98">
                  <w:pPr>
                    <w:widowControl/>
                    <w:jc w:val="center"/>
                    <w:rPr>
                      <w:rFonts w:ascii="宋体" w:hAnsi="宋体" w:cs="宋体"/>
                      <w:color w:val="000000"/>
                      <w:szCs w:val="21"/>
                      <w:lang w:bidi="ar"/>
                    </w:rPr>
                  </w:pPr>
                  <w:r>
                    <w:rPr>
                      <w:rFonts w:hint="eastAsia" w:ascii="宋体" w:hAnsi="宋体" w:cs="宋体"/>
                      <w:color w:val="000000"/>
                      <w:szCs w:val="21"/>
                      <w:lang w:bidi="ar"/>
                    </w:rPr>
                    <w:t>Name</w:t>
                  </w:r>
                </w:p>
              </w:tc>
              <w:tc>
                <w:tcPr>
                  <w:tcW w:w="462" w:type="pct"/>
                  <w:vAlign w:val="center"/>
                </w:tcPr>
                <w:p w14:paraId="08BE8B99">
                  <w:pPr>
                    <w:widowControl/>
                    <w:jc w:val="center"/>
                    <w:rPr>
                      <w:rFonts w:ascii="宋体" w:hAnsi="宋体" w:cs="宋体"/>
                      <w:color w:val="000000"/>
                      <w:szCs w:val="21"/>
                      <w:lang w:bidi="ar"/>
                    </w:rPr>
                  </w:pPr>
                  <w:r>
                    <w:rPr>
                      <w:rFonts w:hint="eastAsia" w:ascii="宋体" w:hAnsi="宋体" w:cs="宋体"/>
                      <w:color w:val="000000"/>
                      <w:szCs w:val="21"/>
                      <w:lang w:bidi="ar"/>
                    </w:rPr>
                    <w:t>L1</w:t>
                  </w:r>
                </w:p>
              </w:tc>
              <w:tc>
                <w:tcPr>
                  <w:tcW w:w="462" w:type="pct"/>
                  <w:vAlign w:val="center"/>
                </w:tcPr>
                <w:p w14:paraId="10FE211C">
                  <w:pPr>
                    <w:widowControl/>
                    <w:jc w:val="center"/>
                    <w:rPr>
                      <w:rFonts w:ascii="宋体" w:hAnsi="宋体" w:cs="宋体"/>
                      <w:color w:val="000000"/>
                      <w:szCs w:val="21"/>
                      <w:lang w:bidi="ar"/>
                    </w:rPr>
                  </w:pPr>
                  <w:r>
                    <w:rPr>
                      <w:rFonts w:hint="eastAsia" w:ascii="宋体" w:hAnsi="宋体" w:cs="宋体"/>
                      <w:color w:val="000000"/>
                      <w:szCs w:val="21"/>
                      <w:lang w:bidi="ar"/>
                    </w:rPr>
                    <w:t>Lw</w:t>
                  </w:r>
                </w:p>
              </w:tc>
              <w:tc>
                <w:tcPr>
                  <w:tcW w:w="463" w:type="pct"/>
                  <w:vAlign w:val="center"/>
                </w:tcPr>
                <w:p w14:paraId="0048EF51">
                  <w:pPr>
                    <w:widowControl/>
                    <w:jc w:val="center"/>
                    <w:rPr>
                      <w:rFonts w:ascii="宋体" w:hAnsi="宋体" w:cs="宋体"/>
                      <w:color w:val="000000"/>
                      <w:szCs w:val="21"/>
                      <w:lang w:bidi="ar"/>
                    </w:rPr>
                  </w:pPr>
                  <w:r>
                    <w:rPr>
                      <w:rFonts w:hint="eastAsia" w:ascii="宋体" w:hAnsi="宋体" w:cs="宋体"/>
                      <w:color w:val="000000"/>
                      <w:szCs w:val="21"/>
                      <w:lang w:bidi="ar"/>
                    </w:rPr>
                    <w:t>Are</w:t>
                  </w:r>
                </w:p>
              </w:tc>
              <w:tc>
                <w:tcPr>
                  <w:tcW w:w="463" w:type="pct"/>
                  <w:vAlign w:val="center"/>
                </w:tcPr>
                <w:p w14:paraId="09119620">
                  <w:pPr>
                    <w:widowControl/>
                    <w:jc w:val="center"/>
                    <w:rPr>
                      <w:rFonts w:ascii="宋体" w:hAnsi="宋体" w:cs="宋体"/>
                      <w:color w:val="000000"/>
                      <w:szCs w:val="21"/>
                      <w:lang w:bidi="ar"/>
                    </w:rPr>
                  </w:pPr>
                  <w:r>
                    <w:rPr>
                      <w:rFonts w:hint="eastAsia" w:ascii="宋体" w:hAnsi="宋体" w:cs="宋体"/>
                      <w:color w:val="000000"/>
                      <w:szCs w:val="21"/>
                      <w:lang w:bidi="ar"/>
                    </w:rPr>
                    <w:t>H</w:t>
                  </w:r>
                </w:p>
              </w:tc>
              <w:tc>
                <w:tcPr>
                  <w:tcW w:w="463" w:type="pct"/>
                  <w:vAlign w:val="center"/>
                </w:tcPr>
                <w:p w14:paraId="02B8F6BD">
                  <w:pPr>
                    <w:widowControl/>
                    <w:jc w:val="center"/>
                    <w:rPr>
                      <w:rFonts w:ascii="宋体" w:hAnsi="宋体" w:cs="宋体"/>
                      <w:color w:val="000000"/>
                      <w:szCs w:val="21"/>
                      <w:lang w:bidi="ar"/>
                    </w:rPr>
                  </w:pPr>
                  <w:r>
                    <w:rPr>
                      <w:rFonts w:hint="eastAsia" w:ascii="宋体" w:hAnsi="宋体" w:cs="宋体"/>
                      <w:color w:val="000000"/>
                      <w:szCs w:val="21"/>
                      <w:lang w:bidi="ar"/>
                    </w:rPr>
                    <w:t>Hr</w:t>
                  </w:r>
                </w:p>
              </w:tc>
              <w:tc>
                <w:tcPr>
                  <w:tcW w:w="463" w:type="pct"/>
                  <w:vAlign w:val="center"/>
                </w:tcPr>
                <w:p w14:paraId="0CDE597D">
                  <w:pPr>
                    <w:widowControl/>
                    <w:jc w:val="center"/>
                    <w:rPr>
                      <w:rFonts w:ascii="宋体" w:hAnsi="宋体" w:cs="宋体"/>
                      <w:color w:val="000000"/>
                      <w:szCs w:val="21"/>
                      <w:lang w:bidi="ar"/>
                    </w:rPr>
                  </w:pPr>
                  <w:r>
                    <w:rPr>
                      <w:rFonts w:hint="eastAsia" w:ascii="宋体" w:hAnsi="宋体" w:cs="宋体"/>
                      <w:color w:val="000000"/>
                      <w:szCs w:val="21"/>
                      <w:lang w:bidi="ar"/>
                    </w:rPr>
                    <w:t>Cond</w:t>
                  </w:r>
                </w:p>
              </w:tc>
              <w:tc>
                <w:tcPr>
                  <w:tcW w:w="680" w:type="pct"/>
                  <w:vAlign w:val="center"/>
                </w:tcPr>
                <w:p w14:paraId="491BDAC5">
                  <w:pPr>
                    <w:widowControl/>
                    <w:jc w:val="center"/>
                    <w:rPr>
                      <w:rFonts w:ascii="宋体" w:hAnsi="宋体" w:cs="宋体"/>
                      <w:color w:val="000000"/>
                      <w:szCs w:val="21"/>
                      <w:lang w:bidi="ar"/>
                    </w:rPr>
                  </w:pPr>
                  <w:r>
                    <w:rPr>
                      <w:rFonts w:hint="eastAsia" w:ascii="宋体" w:hAnsi="宋体" w:cs="宋体"/>
                      <w:color w:val="000000"/>
                      <w:szCs w:val="21"/>
                      <w:lang w:bidi="ar"/>
                    </w:rPr>
                    <w:t>颗粒物</w:t>
                  </w:r>
                </w:p>
              </w:tc>
              <w:tc>
                <w:tcPr>
                  <w:tcW w:w="620" w:type="pct"/>
                  <w:vAlign w:val="center"/>
                </w:tcPr>
                <w:p w14:paraId="4CA490A3">
                  <w:pPr>
                    <w:widowControl/>
                    <w:jc w:val="center"/>
                    <w:rPr>
                      <w:rFonts w:ascii="宋体" w:hAnsi="宋体" w:cs="宋体"/>
                      <w:color w:val="000000"/>
                      <w:szCs w:val="21"/>
                      <w:lang w:bidi="ar"/>
                    </w:rPr>
                  </w:pPr>
                  <w:r>
                    <w:rPr>
                      <w:rFonts w:hint="eastAsia" w:ascii="宋体" w:hAnsi="宋体" w:cs="宋体"/>
                      <w:color w:val="000000"/>
                      <w:szCs w:val="21"/>
                      <w:lang w:bidi="ar"/>
                    </w:rPr>
                    <w:t>非甲烷总烃</w:t>
                  </w:r>
                </w:p>
              </w:tc>
            </w:tr>
            <w:tr w14:paraId="735F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2" w:type="pct"/>
                  <w:vAlign w:val="center"/>
                </w:tcPr>
                <w:p w14:paraId="1CAB7A1F">
                  <w:pPr>
                    <w:widowControl/>
                    <w:jc w:val="center"/>
                    <w:rPr>
                      <w:rFonts w:ascii="宋体" w:hAnsi="宋体" w:cs="宋体"/>
                      <w:color w:val="000000"/>
                      <w:szCs w:val="21"/>
                      <w:lang w:bidi="ar"/>
                    </w:rPr>
                  </w:pPr>
                  <w:r>
                    <w:rPr>
                      <w:rFonts w:hint="eastAsia" w:ascii="宋体" w:hAnsi="宋体" w:cs="宋体"/>
                      <w:color w:val="000000"/>
                      <w:szCs w:val="21"/>
                      <w:lang w:bidi="ar"/>
                    </w:rPr>
                    <w:t>单位</w:t>
                  </w:r>
                </w:p>
              </w:tc>
              <w:tc>
                <w:tcPr>
                  <w:tcW w:w="462" w:type="pct"/>
                  <w:vAlign w:val="center"/>
                </w:tcPr>
                <w:p w14:paraId="7978B706">
                  <w:pPr>
                    <w:widowControl/>
                    <w:jc w:val="center"/>
                    <w:rPr>
                      <w:rFonts w:ascii="宋体" w:hAnsi="宋体" w:cs="宋体"/>
                      <w:color w:val="000000"/>
                      <w:szCs w:val="21"/>
                      <w:lang w:bidi="ar"/>
                    </w:rPr>
                  </w:pPr>
                </w:p>
              </w:tc>
              <w:tc>
                <w:tcPr>
                  <w:tcW w:w="462" w:type="pct"/>
                  <w:vAlign w:val="center"/>
                </w:tcPr>
                <w:p w14:paraId="27125120">
                  <w:pPr>
                    <w:widowControl/>
                    <w:jc w:val="center"/>
                    <w:rPr>
                      <w:rFonts w:ascii="宋体" w:hAnsi="宋体" w:cs="宋体"/>
                      <w:color w:val="000000"/>
                      <w:szCs w:val="21"/>
                      <w:lang w:bidi="ar"/>
                    </w:rPr>
                  </w:pPr>
                  <w:r>
                    <w:rPr>
                      <w:rFonts w:hint="eastAsia" w:ascii="宋体" w:hAnsi="宋体" w:cs="宋体"/>
                      <w:color w:val="000000"/>
                      <w:szCs w:val="21"/>
                      <w:lang w:bidi="ar"/>
                    </w:rPr>
                    <w:t>M</w:t>
                  </w:r>
                </w:p>
              </w:tc>
              <w:tc>
                <w:tcPr>
                  <w:tcW w:w="462" w:type="pct"/>
                  <w:vAlign w:val="center"/>
                </w:tcPr>
                <w:p w14:paraId="04BEFA7E">
                  <w:pPr>
                    <w:widowControl/>
                    <w:jc w:val="center"/>
                    <w:rPr>
                      <w:rFonts w:ascii="宋体" w:hAnsi="宋体" w:cs="宋体"/>
                      <w:color w:val="000000"/>
                      <w:szCs w:val="21"/>
                      <w:lang w:bidi="ar"/>
                    </w:rPr>
                  </w:pPr>
                  <w:r>
                    <w:rPr>
                      <w:rFonts w:hint="eastAsia" w:ascii="宋体" w:hAnsi="宋体" w:cs="宋体"/>
                      <w:color w:val="000000"/>
                      <w:szCs w:val="21"/>
                      <w:lang w:bidi="ar"/>
                    </w:rPr>
                    <w:t>M</w:t>
                  </w:r>
                </w:p>
              </w:tc>
              <w:tc>
                <w:tcPr>
                  <w:tcW w:w="463" w:type="pct"/>
                  <w:vAlign w:val="center"/>
                </w:tcPr>
                <w:p w14:paraId="2D9C5A4A">
                  <w:pPr>
                    <w:widowControl/>
                    <w:jc w:val="center"/>
                    <w:rPr>
                      <w:rFonts w:ascii="宋体" w:hAnsi="宋体" w:cs="宋体"/>
                      <w:color w:val="000000"/>
                      <w:szCs w:val="21"/>
                      <w:lang w:bidi="ar"/>
                    </w:rPr>
                  </w:pPr>
                  <w:r>
                    <w:rPr>
                      <w:rFonts w:hint="eastAsia" w:ascii="宋体" w:hAnsi="宋体" w:cs="宋体"/>
                      <w:color w:val="000000"/>
                      <w:szCs w:val="21"/>
                      <w:lang w:bidi="ar"/>
                    </w:rPr>
                    <w:t>O</w:t>
                  </w:r>
                </w:p>
              </w:tc>
              <w:tc>
                <w:tcPr>
                  <w:tcW w:w="463" w:type="pct"/>
                  <w:vAlign w:val="center"/>
                </w:tcPr>
                <w:p w14:paraId="62408A4B">
                  <w:pPr>
                    <w:widowControl/>
                    <w:jc w:val="center"/>
                    <w:rPr>
                      <w:rFonts w:ascii="宋体" w:hAnsi="宋体" w:cs="宋体"/>
                      <w:color w:val="000000"/>
                      <w:szCs w:val="21"/>
                      <w:lang w:bidi="ar"/>
                    </w:rPr>
                  </w:pPr>
                  <w:r>
                    <w:rPr>
                      <w:rFonts w:hint="eastAsia" w:ascii="宋体" w:hAnsi="宋体" w:cs="宋体"/>
                      <w:color w:val="000000"/>
                      <w:szCs w:val="21"/>
                      <w:lang w:bidi="ar"/>
                    </w:rPr>
                    <w:t>M</w:t>
                  </w:r>
                </w:p>
              </w:tc>
              <w:tc>
                <w:tcPr>
                  <w:tcW w:w="463" w:type="pct"/>
                  <w:vAlign w:val="center"/>
                </w:tcPr>
                <w:p w14:paraId="61064F0A">
                  <w:pPr>
                    <w:widowControl/>
                    <w:jc w:val="center"/>
                    <w:rPr>
                      <w:rFonts w:ascii="宋体" w:hAnsi="宋体" w:cs="宋体"/>
                      <w:color w:val="000000"/>
                      <w:szCs w:val="21"/>
                      <w:lang w:bidi="ar"/>
                    </w:rPr>
                  </w:pPr>
                  <w:r>
                    <w:rPr>
                      <w:rFonts w:hint="eastAsia" w:ascii="宋体" w:hAnsi="宋体" w:cs="宋体"/>
                      <w:color w:val="000000"/>
                      <w:szCs w:val="21"/>
                      <w:lang w:bidi="ar"/>
                    </w:rPr>
                    <w:t>H</w:t>
                  </w:r>
                </w:p>
              </w:tc>
              <w:tc>
                <w:tcPr>
                  <w:tcW w:w="463" w:type="pct"/>
                  <w:vAlign w:val="center"/>
                </w:tcPr>
                <w:p w14:paraId="4A130CC5">
                  <w:pPr>
                    <w:widowControl/>
                    <w:jc w:val="center"/>
                    <w:rPr>
                      <w:rFonts w:ascii="宋体" w:hAnsi="宋体" w:cs="宋体"/>
                      <w:color w:val="000000"/>
                      <w:szCs w:val="21"/>
                      <w:lang w:bidi="ar"/>
                    </w:rPr>
                  </w:pPr>
                  <w:r>
                    <w:rPr>
                      <w:rFonts w:hint="eastAsia" w:ascii="宋体" w:hAnsi="宋体" w:cs="宋体"/>
                      <w:color w:val="000000"/>
                      <w:szCs w:val="21"/>
                      <w:lang w:bidi="ar"/>
                    </w:rPr>
                    <w:t>/</w:t>
                  </w:r>
                </w:p>
              </w:tc>
              <w:tc>
                <w:tcPr>
                  <w:tcW w:w="1300" w:type="pct"/>
                  <w:gridSpan w:val="2"/>
                  <w:vAlign w:val="center"/>
                </w:tcPr>
                <w:p w14:paraId="57DDCF1C">
                  <w:pPr>
                    <w:widowControl/>
                    <w:jc w:val="center"/>
                    <w:rPr>
                      <w:rFonts w:ascii="宋体" w:hAnsi="宋体" w:cs="宋体"/>
                      <w:color w:val="000000"/>
                      <w:szCs w:val="21"/>
                      <w:lang w:bidi="ar"/>
                    </w:rPr>
                  </w:pPr>
                  <w:r>
                    <w:rPr>
                      <w:rFonts w:hint="eastAsia" w:ascii="宋体" w:hAnsi="宋体" w:cs="宋体"/>
                      <w:color w:val="000000"/>
                      <w:szCs w:val="21"/>
                      <w:lang w:bidi="ar"/>
                    </w:rPr>
                    <w:t>t/a</w:t>
                  </w:r>
                </w:p>
              </w:tc>
            </w:tr>
            <w:tr w14:paraId="28C9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2" w:type="pct"/>
                  <w:vAlign w:val="center"/>
                </w:tcPr>
                <w:p w14:paraId="2B3742C7">
                  <w:pPr>
                    <w:widowControl/>
                    <w:jc w:val="center"/>
                    <w:rPr>
                      <w:rFonts w:ascii="宋体" w:hAnsi="宋体" w:cs="宋体"/>
                      <w:color w:val="000000"/>
                      <w:szCs w:val="21"/>
                      <w:lang w:bidi="ar"/>
                    </w:rPr>
                  </w:pPr>
                  <w:r>
                    <w:rPr>
                      <w:rFonts w:hint="eastAsia" w:ascii="宋体" w:hAnsi="宋体" w:cs="宋体"/>
                      <w:color w:val="000000"/>
                      <w:szCs w:val="21"/>
                      <w:lang w:bidi="ar"/>
                    </w:rPr>
                    <w:t>1</w:t>
                  </w:r>
                </w:p>
              </w:tc>
              <w:tc>
                <w:tcPr>
                  <w:tcW w:w="462" w:type="pct"/>
                  <w:vAlign w:val="center"/>
                </w:tcPr>
                <w:p w14:paraId="020989F7">
                  <w:pPr>
                    <w:widowControl/>
                    <w:jc w:val="center"/>
                    <w:rPr>
                      <w:rFonts w:ascii="宋体" w:hAnsi="宋体" w:cs="宋体"/>
                      <w:color w:val="000000"/>
                      <w:szCs w:val="21"/>
                      <w:lang w:bidi="ar"/>
                    </w:rPr>
                  </w:pPr>
                  <w:r>
                    <w:rPr>
                      <w:rFonts w:hint="eastAsia" w:ascii="宋体" w:hAnsi="宋体" w:cs="宋体"/>
                      <w:color w:val="000000"/>
                      <w:szCs w:val="21"/>
                      <w:lang w:bidi="ar"/>
                    </w:rPr>
                    <w:t>1</w:t>
                  </w:r>
                  <w:r>
                    <w:rPr>
                      <w:rFonts w:ascii="宋体" w:hAnsi="宋体" w:cs="宋体"/>
                      <w:color w:val="000000"/>
                      <w:szCs w:val="21"/>
                      <w:lang w:bidi="ar"/>
                    </w:rPr>
                    <w:t>#</w:t>
                  </w:r>
                  <w:r>
                    <w:rPr>
                      <w:rFonts w:hint="eastAsia" w:ascii="宋体" w:hAnsi="宋体" w:cs="宋体"/>
                      <w:color w:val="000000"/>
                      <w:szCs w:val="21"/>
                      <w:lang w:bidi="ar"/>
                    </w:rPr>
                    <w:t>厂房</w:t>
                  </w:r>
                </w:p>
              </w:tc>
              <w:tc>
                <w:tcPr>
                  <w:tcW w:w="462" w:type="pct"/>
                  <w:vAlign w:val="center"/>
                </w:tcPr>
                <w:p w14:paraId="42FE68A6">
                  <w:pPr>
                    <w:widowControl/>
                    <w:jc w:val="center"/>
                    <w:rPr>
                      <w:rFonts w:ascii="宋体" w:hAnsi="宋体" w:cs="宋体"/>
                      <w:color w:val="000000"/>
                      <w:szCs w:val="21"/>
                      <w:lang w:bidi="ar"/>
                    </w:rPr>
                  </w:pPr>
                  <w:r>
                    <w:rPr>
                      <w:rFonts w:hint="eastAsia" w:ascii="宋体" w:hAnsi="宋体" w:cs="宋体"/>
                      <w:color w:val="000000"/>
                      <w:szCs w:val="21"/>
                      <w:lang w:bidi="ar"/>
                    </w:rPr>
                    <w:t>90</w:t>
                  </w:r>
                </w:p>
              </w:tc>
              <w:tc>
                <w:tcPr>
                  <w:tcW w:w="462" w:type="pct"/>
                  <w:vAlign w:val="center"/>
                </w:tcPr>
                <w:p w14:paraId="350190AF">
                  <w:pPr>
                    <w:widowControl/>
                    <w:jc w:val="center"/>
                    <w:rPr>
                      <w:rFonts w:ascii="宋体" w:hAnsi="宋体" w:cs="宋体"/>
                      <w:color w:val="000000"/>
                      <w:szCs w:val="21"/>
                      <w:lang w:bidi="ar"/>
                    </w:rPr>
                  </w:pPr>
                  <w:r>
                    <w:rPr>
                      <w:rFonts w:hint="eastAsia" w:ascii="宋体" w:hAnsi="宋体" w:cs="宋体"/>
                      <w:color w:val="000000"/>
                      <w:szCs w:val="21"/>
                      <w:lang w:bidi="ar"/>
                    </w:rPr>
                    <w:t>60</w:t>
                  </w:r>
                </w:p>
              </w:tc>
              <w:tc>
                <w:tcPr>
                  <w:tcW w:w="463" w:type="pct"/>
                  <w:vAlign w:val="center"/>
                </w:tcPr>
                <w:p w14:paraId="18185508">
                  <w:pPr>
                    <w:widowControl/>
                    <w:jc w:val="center"/>
                    <w:rPr>
                      <w:rFonts w:ascii="宋体" w:hAnsi="宋体" w:cs="宋体"/>
                      <w:color w:val="000000"/>
                      <w:szCs w:val="21"/>
                      <w:lang w:bidi="ar"/>
                    </w:rPr>
                  </w:pPr>
                  <w:r>
                    <w:rPr>
                      <w:rFonts w:hint="eastAsia" w:ascii="宋体" w:hAnsi="宋体" w:cs="宋体"/>
                      <w:color w:val="000000"/>
                      <w:szCs w:val="21"/>
                      <w:lang w:bidi="ar"/>
                    </w:rPr>
                    <w:t>0</w:t>
                  </w:r>
                </w:p>
              </w:tc>
              <w:tc>
                <w:tcPr>
                  <w:tcW w:w="463" w:type="pct"/>
                  <w:vAlign w:val="center"/>
                </w:tcPr>
                <w:p w14:paraId="7882C402">
                  <w:pPr>
                    <w:widowControl/>
                    <w:jc w:val="center"/>
                    <w:rPr>
                      <w:rFonts w:ascii="宋体" w:hAnsi="宋体" w:cs="宋体"/>
                      <w:color w:val="000000"/>
                      <w:szCs w:val="21"/>
                      <w:lang w:bidi="ar"/>
                    </w:rPr>
                  </w:pPr>
                  <w:r>
                    <w:rPr>
                      <w:rFonts w:ascii="宋体" w:hAnsi="宋体" w:cs="宋体"/>
                      <w:color w:val="000000"/>
                      <w:szCs w:val="21"/>
                      <w:lang w:bidi="ar"/>
                    </w:rPr>
                    <w:t>12</w:t>
                  </w:r>
                </w:p>
              </w:tc>
              <w:tc>
                <w:tcPr>
                  <w:tcW w:w="463" w:type="pct"/>
                  <w:vAlign w:val="center"/>
                </w:tcPr>
                <w:p w14:paraId="4BA67218">
                  <w:pPr>
                    <w:widowControl/>
                    <w:jc w:val="center"/>
                    <w:rPr>
                      <w:rFonts w:ascii="宋体" w:hAnsi="宋体" w:cs="宋体"/>
                      <w:color w:val="000000"/>
                      <w:szCs w:val="21"/>
                      <w:lang w:bidi="ar"/>
                    </w:rPr>
                  </w:pPr>
                  <w:r>
                    <w:rPr>
                      <w:rFonts w:hint="eastAsia" w:ascii="宋体" w:hAnsi="宋体" w:cs="宋体"/>
                      <w:color w:val="000000"/>
                      <w:szCs w:val="21"/>
                      <w:lang w:bidi="ar"/>
                    </w:rPr>
                    <w:t>2400</w:t>
                  </w:r>
                </w:p>
              </w:tc>
              <w:tc>
                <w:tcPr>
                  <w:tcW w:w="463" w:type="pct"/>
                  <w:vAlign w:val="center"/>
                </w:tcPr>
                <w:p w14:paraId="4B73D5D0">
                  <w:pPr>
                    <w:widowControl/>
                    <w:jc w:val="center"/>
                    <w:rPr>
                      <w:rFonts w:ascii="宋体" w:hAnsi="宋体" w:cs="宋体"/>
                      <w:color w:val="000000"/>
                      <w:szCs w:val="21"/>
                      <w:lang w:bidi="ar"/>
                    </w:rPr>
                  </w:pPr>
                  <w:r>
                    <w:rPr>
                      <w:rFonts w:hint="eastAsia" w:ascii="宋体" w:hAnsi="宋体" w:cs="宋体"/>
                      <w:color w:val="000000"/>
                      <w:szCs w:val="21"/>
                      <w:lang w:bidi="ar"/>
                    </w:rPr>
                    <w:t>连续排放</w:t>
                  </w:r>
                </w:p>
              </w:tc>
              <w:tc>
                <w:tcPr>
                  <w:tcW w:w="680" w:type="pct"/>
                  <w:vAlign w:val="center"/>
                </w:tcPr>
                <w:p w14:paraId="35DE7743">
                  <w:pPr>
                    <w:widowControl/>
                    <w:jc w:val="center"/>
                    <w:rPr>
                      <w:rFonts w:ascii="宋体" w:hAnsi="宋体" w:cs="宋体"/>
                      <w:color w:val="000000"/>
                      <w:szCs w:val="21"/>
                      <w:lang w:bidi="ar"/>
                    </w:rPr>
                  </w:pPr>
                  <w:r>
                    <w:rPr>
                      <w:rFonts w:hint="eastAsia" w:ascii="宋体" w:hAnsi="宋体" w:cs="宋体"/>
                      <w:color w:val="000000"/>
                      <w:szCs w:val="21"/>
                      <w:lang w:bidi="ar"/>
                    </w:rPr>
                    <w:t>0.092</w:t>
                  </w:r>
                </w:p>
              </w:tc>
              <w:tc>
                <w:tcPr>
                  <w:tcW w:w="620" w:type="pct"/>
                  <w:vAlign w:val="center"/>
                </w:tcPr>
                <w:p w14:paraId="329211FE">
                  <w:pPr>
                    <w:widowControl/>
                    <w:jc w:val="center"/>
                    <w:rPr>
                      <w:rFonts w:ascii="宋体" w:hAnsi="宋体" w:cs="宋体"/>
                      <w:color w:val="000000"/>
                      <w:szCs w:val="21"/>
                      <w:lang w:bidi="ar"/>
                    </w:rPr>
                  </w:pPr>
                  <w:r>
                    <w:rPr>
                      <w:rFonts w:hint="eastAsia" w:ascii="宋体" w:hAnsi="宋体" w:cs="宋体"/>
                      <w:color w:val="000000"/>
                      <w:szCs w:val="21"/>
                      <w:lang w:bidi="ar"/>
                    </w:rPr>
                    <w:t>0.0567</w:t>
                  </w:r>
                </w:p>
              </w:tc>
            </w:tr>
          </w:tbl>
          <w:p w14:paraId="447D313C">
            <w:pPr>
              <w:widowControl/>
              <w:jc w:val="center"/>
              <w:rPr>
                <w:rFonts w:ascii="宋体" w:hAnsi="宋体" w:cs="宋体"/>
                <w:b/>
                <w:bCs/>
                <w:color w:val="000000"/>
                <w:kern w:val="0"/>
                <w:sz w:val="20"/>
                <w:szCs w:val="20"/>
                <w:lang w:bidi="ar"/>
              </w:rPr>
            </w:pPr>
          </w:p>
          <w:p w14:paraId="11D6A3D1">
            <w:pPr>
              <w:widowControl/>
              <w:jc w:val="center"/>
              <w:rPr>
                <w:rFonts w:ascii="宋体" w:hAnsi="宋体" w:cs="宋体"/>
                <w:b/>
                <w:bCs/>
                <w:szCs w:val="21"/>
              </w:rPr>
            </w:pPr>
            <w:r>
              <w:rPr>
                <w:rFonts w:hint="eastAsia" w:ascii="宋体" w:hAnsi="宋体" w:cs="宋体"/>
                <w:b/>
                <w:bCs/>
                <w:color w:val="000000"/>
                <w:kern w:val="0"/>
                <w:szCs w:val="21"/>
                <w:lang w:bidi="ar"/>
              </w:rPr>
              <w:t>表 4-4 废气产排污节点、污染物及污染治理设施信息表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983"/>
              <w:gridCol w:w="983"/>
              <w:gridCol w:w="983"/>
              <w:gridCol w:w="986"/>
              <w:gridCol w:w="1235"/>
              <w:gridCol w:w="1235"/>
              <w:gridCol w:w="1235"/>
              <w:gridCol w:w="986"/>
              <w:gridCol w:w="1244"/>
              <w:gridCol w:w="1005"/>
              <w:gridCol w:w="987"/>
              <w:gridCol w:w="987"/>
              <w:gridCol w:w="978"/>
            </w:tblGrid>
            <w:tr w14:paraId="7E5F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32" w:type="pct"/>
                  <w:vMerge w:val="restart"/>
                  <w:vAlign w:val="center"/>
                </w:tcPr>
                <w:p w14:paraId="7257344E">
                  <w:pPr>
                    <w:jc w:val="center"/>
                    <w:rPr>
                      <w:b/>
                      <w:bCs/>
                      <w:szCs w:val="21"/>
                    </w:rPr>
                  </w:pPr>
                  <w:r>
                    <w:rPr>
                      <w:rFonts w:hint="eastAsia"/>
                      <w:b/>
                      <w:bCs/>
                      <w:szCs w:val="21"/>
                    </w:rPr>
                    <w:t>序号</w:t>
                  </w:r>
                </w:p>
              </w:tc>
              <w:tc>
                <w:tcPr>
                  <w:tcW w:w="332" w:type="pct"/>
                  <w:vMerge w:val="restart"/>
                  <w:vAlign w:val="center"/>
                </w:tcPr>
                <w:p w14:paraId="167E9B0F">
                  <w:pPr>
                    <w:jc w:val="center"/>
                    <w:rPr>
                      <w:b/>
                      <w:bCs/>
                      <w:szCs w:val="21"/>
                    </w:rPr>
                  </w:pPr>
                  <w:r>
                    <w:rPr>
                      <w:rFonts w:hint="eastAsia"/>
                      <w:b/>
                      <w:bCs/>
                      <w:szCs w:val="21"/>
                    </w:rPr>
                    <w:t>产污设施名称（1）</w:t>
                  </w:r>
                </w:p>
              </w:tc>
              <w:tc>
                <w:tcPr>
                  <w:tcW w:w="332" w:type="pct"/>
                  <w:vMerge w:val="restart"/>
                  <w:vAlign w:val="center"/>
                </w:tcPr>
                <w:p w14:paraId="120F58B5">
                  <w:pPr>
                    <w:jc w:val="center"/>
                    <w:rPr>
                      <w:b/>
                      <w:bCs/>
                      <w:szCs w:val="21"/>
                    </w:rPr>
                  </w:pPr>
                  <w:r>
                    <w:rPr>
                      <w:rFonts w:hint="eastAsia"/>
                      <w:b/>
                      <w:bCs/>
                      <w:szCs w:val="21"/>
                    </w:rPr>
                    <w:t>对应产物环节名称（2）</w:t>
                  </w:r>
                </w:p>
              </w:tc>
              <w:tc>
                <w:tcPr>
                  <w:tcW w:w="332" w:type="pct"/>
                  <w:vMerge w:val="restart"/>
                  <w:vAlign w:val="center"/>
                </w:tcPr>
                <w:p w14:paraId="71CACB74">
                  <w:pPr>
                    <w:jc w:val="center"/>
                    <w:rPr>
                      <w:b/>
                      <w:bCs/>
                      <w:szCs w:val="21"/>
                    </w:rPr>
                  </w:pPr>
                  <w:r>
                    <w:rPr>
                      <w:rFonts w:hint="eastAsia"/>
                      <w:b/>
                      <w:bCs/>
                      <w:szCs w:val="21"/>
                    </w:rPr>
                    <w:t>污染物种类（3）</w:t>
                  </w:r>
                </w:p>
              </w:tc>
              <w:tc>
                <w:tcPr>
                  <w:tcW w:w="333" w:type="pct"/>
                  <w:vMerge w:val="restart"/>
                  <w:vAlign w:val="center"/>
                </w:tcPr>
                <w:p w14:paraId="0BEC07B9">
                  <w:pPr>
                    <w:jc w:val="center"/>
                    <w:rPr>
                      <w:b/>
                      <w:bCs/>
                      <w:szCs w:val="21"/>
                    </w:rPr>
                  </w:pPr>
                  <w:r>
                    <w:rPr>
                      <w:rFonts w:hint="eastAsia"/>
                      <w:b/>
                      <w:bCs/>
                      <w:szCs w:val="21"/>
                    </w:rPr>
                    <w:t>排放形式</w:t>
                  </w:r>
                </w:p>
              </w:tc>
              <w:tc>
                <w:tcPr>
                  <w:tcW w:w="2004" w:type="pct"/>
                  <w:gridSpan w:val="5"/>
                  <w:vAlign w:val="center"/>
                </w:tcPr>
                <w:p w14:paraId="78F0EAF1">
                  <w:pPr>
                    <w:jc w:val="center"/>
                    <w:rPr>
                      <w:b/>
                      <w:bCs/>
                      <w:szCs w:val="21"/>
                    </w:rPr>
                  </w:pPr>
                  <w:r>
                    <w:rPr>
                      <w:rFonts w:hint="eastAsia"/>
                      <w:b/>
                      <w:bCs/>
                      <w:szCs w:val="21"/>
                    </w:rPr>
                    <w:t>污染治理设施</w:t>
                  </w:r>
                </w:p>
              </w:tc>
              <w:tc>
                <w:tcPr>
                  <w:tcW w:w="339" w:type="pct"/>
                  <w:vMerge w:val="restart"/>
                  <w:vAlign w:val="center"/>
                </w:tcPr>
                <w:p w14:paraId="4D721C3B">
                  <w:pPr>
                    <w:jc w:val="center"/>
                    <w:rPr>
                      <w:b/>
                      <w:bCs/>
                      <w:szCs w:val="21"/>
                    </w:rPr>
                  </w:pPr>
                  <w:r>
                    <w:rPr>
                      <w:rFonts w:hint="eastAsia"/>
                      <w:b/>
                      <w:bCs/>
                      <w:szCs w:val="21"/>
                    </w:rPr>
                    <w:t>有组织排放口编号（6）</w:t>
                  </w:r>
                </w:p>
              </w:tc>
              <w:tc>
                <w:tcPr>
                  <w:tcW w:w="333" w:type="pct"/>
                  <w:vMerge w:val="restart"/>
                  <w:vAlign w:val="center"/>
                </w:tcPr>
                <w:p w14:paraId="2DB1E6DD">
                  <w:pPr>
                    <w:jc w:val="center"/>
                    <w:rPr>
                      <w:b/>
                      <w:bCs/>
                      <w:szCs w:val="21"/>
                    </w:rPr>
                  </w:pPr>
                  <w:r>
                    <w:rPr>
                      <w:rFonts w:hint="eastAsia"/>
                      <w:b/>
                      <w:bCs/>
                      <w:szCs w:val="21"/>
                    </w:rPr>
                    <w:t>有组织排放口名称</w:t>
                  </w:r>
                </w:p>
              </w:tc>
              <w:tc>
                <w:tcPr>
                  <w:tcW w:w="333" w:type="pct"/>
                  <w:vMerge w:val="restart"/>
                  <w:vAlign w:val="center"/>
                </w:tcPr>
                <w:p w14:paraId="1CF2878D">
                  <w:pPr>
                    <w:jc w:val="center"/>
                    <w:rPr>
                      <w:b/>
                      <w:bCs/>
                      <w:szCs w:val="21"/>
                    </w:rPr>
                  </w:pPr>
                  <w:r>
                    <w:rPr>
                      <w:rFonts w:hint="eastAsia"/>
                      <w:b/>
                      <w:bCs/>
                      <w:szCs w:val="21"/>
                    </w:rPr>
                    <w:t>排放口是否符合要求（7）</w:t>
                  </w:r>
                </w:p>
              </w:tc>
              <w:tc>
                <w:tcPr>
                  <w:tcW w:w="330" w:type="pct"/>
                  <w:vMerge w:val="restart"/>
                  <w:vAlign w:val="center"/>
                </w:tcPr>
                <w:p w14:paraId="1F46E8D8">
                  <w:pPr>
                    <w:jc w:val="center"/>
                    <w:rPr>
                      <w:b/>
                      <w:bCs/>
                      <w:szCs w:val="21"/>
                    </w:rPr>
                  </w:pPr>
                  <w:r>
                    <w:rPr>
                      <w:rFonts w:hint="eastAsia"/>
                      <w:b/>
                      <w:bCs/>
                      <w:szCs w:val="21"/>
                    </w:rPr>
                    <w:t>排放口类型</w:t>
                  </w:r>
                </w:p>
              </w:tc>
            </w:tr>
            <w:tr w14:paraId="2C65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332" w:type="pct"/>
                  <w:vMerge w:val="continue"/>
                  <w:vAlign w:val="center"/>
                </w:tcPr>
                <w:p w14:paraId="2ABCCE14">
                  <w:pPr>
                    <w:jc w:val="center"/>
                    <w:rPr>
                      <w:b/>
                      <w:bCs/>
                      <w:szCs w:val="21"/>
                    </w:rPr>
                  </w:pPr>
                </w:p>
              </w:tc>
              <w:tc>
                <w:tcPr>
                  <w:tcW w:w="332" w:type="pct"/>
                  <w:vMerge w:val="continue"/>
                  <w:vAlign w:val="center"/>
                </w:tcPr>
                <w:p w14:paraId="283AAAE9">
                  <w:pPr>
                    <w:jc w:val="center"/>
                    <w:rPr>
                      <w:b/>
                      <w:bCs/>
                      <w:szCs w:val="21"/>
                    </w:rPr>
                  </w:pPr>
                </w:p>
              </w:tc>
              <w:tc>
                <w:tcPr>
                  <w:tcW w:w="332" w:type="pct"/>
                  <w:vMerge w:val="continue"/>
                  <w:vAlign w:val="center"/>
                </w:tcPr>
                <w:p w14:paraId="6DBB77B8">
                  <w:pPr>
                    <w:jc w:val="center"/>
                    <w:rPr>
                      <w:b/>
                      <w:bCs/>
                      <w:szCs w:val="21"/>
                    </w:rPr>
                  </w:pPr>
                </w:p>
              </w:tc>
              <w:tc>
                <w:tcPr>
                  <w:tcW w:w="332" w:type="pct"/>
                  <w:vMerge w:val="continue"/>
                  <w:vAlign w:val="center"/>
                </w:tcPr>
                <w:p w14:paraId="4BECCE32">
                  <w:pPr>
                    <w:jc w:val="center"/>
                    <w:rPr>
                      <w:b/>
                      <w:bCs/>
                      <w:szCs w:val="21"/>
                    </w:rPr>
                  </w:pPr>
                </w:p>
              </w:tc>
              <w:tc>
                <w:tcPr>
                  <w:tcW w:w="333" w:type="pct"/>
                  <w:vMerge w:val="continue"/>
                  <w:vAlign w:val="center"/>
                </w:tcPr>
                <w:p w14:paraId="56AF33D9">
                  <w:pPr>
                    <w:jc w:val="center"/>
                    <w:rPr>
                      <w:b/>
                      <w:bCs/>
                      <w:szCs w:val="21"/>
                    </w:rPr>
                  </w:pPr>
                </w:p>
              </w:tc>
              <w:tc>
                <w:tcPr>
                  <w:tcW w:w="417" w:type="pct"/>
                  <w:vAlign w:val="center"/>
                </w:tcPr>
                <w:p w14:paraId="1A64E3F3">
                  <w:pPr>
                    <w:jc w:val="center"/>
                    <w:rPr>
                      <w:b/>
                      <w:bCs/>
                      <w:szCs w:val="21"/>
                    </w:rPr>
                  </w:pPr>
                  <w:r>
                    <w:rPr>
                      <w:rFonts w:hint="eastAsia"/>
                      <w:b/>
                      <w:bCs/>
                      <w:szCs w:val="21"/>
                    </w:rPr>
                    <w:t>污染治理设施编号</w:t>
                  </w:r>
                </w:p>
              </w:tc>
              <w:tc>
                <w:tcPr>
                  <w:tcW w:w="417" w:type="pct"/>
                  <w:vAlign w:val="center"/>
                </w:tcPr>
                <w:p w14:paraId="2B89AC22">
                  <w:pPr>
                    <w:jc w:val="center"/>
                    <w:rPr>
                      <w:b/>
                      <w:bCs/>
                      <w:szCs w:val="21"/>
                    </w:rPr>
                  </w:pPr>
                  <w:r>
                    <w:rPr>
                      <w:rFonts w:hint="eastAsia"/>
                      <w:b/>
                      <w:bCs/>
                      <w:szCs w:val="21"/>
                    </w:rPr>
                    <w:t>污染防治设施名称（5）</w:t>
                  </w:r>
                </w:p>
              </w:tc>
              <w:tc>
                <w:tcPr>
                  <w:tcW w:w="417" w:type="pct"/>
                  <w:vAlign w:val="center"/>
                </w:tcPr>
                <w:p w14:paraId="5B9D596F">
                  <w:pPr>
                    <w:jc w:val="center"/>
                    <w:rPr>
                      <w:b/>
                      <w:bCs/>
                      <w:szCs w:val="21"/>
                    </w:rPr>
                  </w:pPr>
                  <w:r>
                    <w:rPr>
                      <w:rFonts w:hint="eastAsia"/>
                      <w:b/>
                      <w:bCs/>
                      <w:szCs w:val="21"/>
                    </w:rPr>
                    <w:t>污染防治设施工艺</w:t>
                  </w:r>
                </w:p>
              </w:tc>
              <w:tc>
                <w:tcPr>
                  <w:tcW w:w="333" w:type="pct"/>
                  <w:vAlign w:val="center"/>
                </w:tcPr>
                <w:p w14:paraId="3E7CE34C">
                  <w:pPr>
                    <w:jc w:val="center"/>
                    <w:rPr>
                      <w:b/>
                      <w:bCs/>
                      <w:szCs w:val="21"/>
                    </w:rPr>
                  </w:pPr>
                  <w:r>
                    <w:rPr>
                      <w:rFonts w:hint="eastAsia"/>
                      <w:b/>
                      <w:bCs/>
                      <w:szCs w:val="21"/>
                    </w:rPr>
                    <w:t>是否为可行技术</w:t>
                  </w:r>
                </w:p>
              </w:tc>
              <w:tc>
                <w:tcPr>
                  <w:tcW w:w="420" w:type="pct"/>
                  <w:vAlign w:val="center"/>
                </w:tcPr>
                <w:p w14:paraId="5828AAA2">
                  <w:pPr>
                    <w:jc w:val="center"/>
                    <w:rPr>
                      <w:b/>
                      <w:bCs/>
                      <w:szCs w:val="21"/>
                    </w:rPr>
                  </w:pPr>
                  <w:r>
                    <w:rPr>
                      <w:rFonts w:hint="eastAsia"/>
                      <w:b/>
                      <w:bCs/>
                      <w:szCs w:val="21"/>
                    </w:rPr>
                    <w:t>污染防治设施其他信息</w:t>
                  </w:r>
                </w:p>
              </w:tc>
              <w:tc>
                <w:tcPr>
                  <w:tcW w:w="339" w:type="pct"/>
                  <w:vMerge w:val="continue"/>
                  <w:vAlign w:val="center"/>
                </w:tcPr>
                <w:p w14:paraId="2B26E264">
                  <w:pPr>
                    <w:jc w:val="center"/>
                    <w:rPr>
                      <w:b/>
                      <w:bCs/>
                      <w:szCs w:val="21"/>
                    </w:rPr>
                  </w:pPr>
                </w:p>
              </w:tc>
              <w:tc>
                <w:tcPr>
                  <w:tcW w:w="333" w:type="pct"/>
                  <w:vMerge w:val="continue"/>
                  <w:vAlign w:val="center"/>
                </w:tcPr>
                <w:p w14:paraId="0DC7F27E">
                  <w:pPr>
                    <w:jc w:val="center"/>
                    <w:rPr>
                      <w:b/>
                      <w:bCs/>
                      <w:szCs w:val="21"/>
                    </w:rPr>
                  </w:pPr>
                </w:p>
              </w:tc>
              <w:tc>
                <w:tcPr>
                  <w:tcW w:w="333" w:type="pct"/>
                  <w:vMerge w:val="continue"/>
                  <w:vAlign w:val="center"/>
                </w:tcPr>
                <w:p w14:paraId="4AAE8F49">
                  <w:pPr>
                    <w:jc w:val="center"/>
                    <w:rPr>
                      <w:b/>
                      <w:bCs/>
                      <w:szCs w:val="21"/>
                    </w:rPr>
                  </w:pPr>
                </w:p>
              </w:tc>
              <w:tc>
                <w:tcPr>
                  <w:tcW w:w="330" w:type="pct"/>
                  <w:vMerge w:val="continue"/>
                  <w:vAlign w:val="center"/>
                </w:tcPr>
                <w:p w14:paraId="25BBB03F">
                  <w:pPr>
                    <w:jc w:val="center"/>
                    <w:rPr>
                      <w:b/>
                      <w:bCs/>
                      <w:szCs w:val="21"/>
                    </w:rPr>
                  </w:pPr>
                </w:p>
              </w:tc>
            </w:tr>
            <w:tr w14:paraId="2114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32" w:type="pct"/>
                  <w:vAlign w:val="center"/>
                </w:tcPr>
                <w:p w14:paraId="428AC33E">
                  <w:pPr>
                    <w:jc w:val="center"/>
                    <w:rPr>
                      <w:szCs w:val="21"/>
                    </w:rPr>
                  </w:pPr>
                  <w:r>
                    <w:rPr>
                      <w:rFonts w:hint="eastAsia"/>
                      <w:szCs w:val="21"/>
                    </w:rPr>
                    <w:t>1</w:t>
                  </w:r>
                </w:p>
              </w:tc>
              <w:tc>
                <w:tcPr>
                  <w:tcW w:w="332" w:type="pct"/>
                  <w:vAlign w:val="center"/>
                </w:tcPr>
                <w:p w14:paraId="6070FAE9">
                  <w:pPr>
                    <w:jc w:val="center"/>
                    <w:rPr>
                      <w:szCs w:val="21"/>
                    </w:rPr>
                  </w:pPr>
                  <w:r>
                    <w:rPr>
                      <w:rFonts w:hint="eastAsia"/>
                      <w:szCs w:val="21"/>
                    </w:rPr>
                    <w:t>超声复合、撒粉烘干涂布有机废气</w:t>
                  </w:r>
                </w:p>
              </w:tc>
              <w:tc>
                <w:tcPr>
                  <w:tcW w:w="332" w:type="pct"/>
                  <w:vAlign w:val="center"/>
                </w:tcPr>
                <w:p w14:paraId="6956B13B">
                  <w:pPr>
                    <w:rPr>
                      <w:szCs w:val="21"/>
                    </w:rPr>
                  </w:pPr>
                  <w:r>
                    <w:rPr>
                      <w:rFonts w:hint="eastAsia"/>
                      <w:szCs w:val="21"/>
                    </w:rPr>
                    <w:t>超声复合、撒粉涂布烘干等工序</w:t>
                  </w:r>
                </w:p>
              </w:tc>
              <w:tc>
                <w:tcPr>
                  <w:tcW w:w="332" w:type="pct"/>
                  <w:vAlign w:val="center"/>
                </w:tcPr>
                <w:p w14:paraId="3DDA168D">
                  <w:pPr>
                    <w:jc w:val="center"/>
                    <w:rPr>
                      <w:szCs w:val="21"/>
                    </w:rPr>
                  </w:pPr>
                  <w:r>
                    <w:rPr>
                      <w:rFonts w:hint="eastAsia"/>
                      <w:szCs w:val="21"/>
                    </w:rPr>
                    <w:t>非甲烷总烃</w:t>
                  </w:r>
                </w:p>
              </w:tc>
              <w:tc>
                <w:tcPr>
                  <w:tcW w:w="333" w:type="pct"/>
                  <w:vAlign w:val="center"/>
                </w:tcPr>
                <w:p w14:paraId="729FEB32">
                  <w:pPr>
                    <w:jc w:val="center"/>
                    <w:rPr>
                      <w:szCs w:val="21"/>
                    </w:rPr>
                  </w:pPr>
                  <w:r>
                    <w:rPr>
                      <w:rFonts w:hint="eastAsia"/>
                      <w:szCs w:val="21"/>
                    </w:rPr>
                    <w:t>有组织排放</w:t>
                  </w:r>
                </w:p>
              </w:tc>
              <w:tc>
                <w:tcPr>
                  <w:tcW w:w="417" w:type="pct"/>
                  <w:vAlign w:val="center"/>
                </w:tcPr>
                <w:p w14:paraId="7C0EE468">
                  <w:pPr>
                    <w:jc w:val="center"/>
                    <w:rPr>
                      <w:szCs w:val="21"/>
                    </w:rPr>
                  </w:pPr>
                  <w:r>
                    <w:rPr>
                      <w:rFonts w:hint="eastAsia"/>
                      <w:szCs w:val="21"/>
                    </w:rPr>
                    <w:t>TA001</w:t>
                  </w:r>
                </w:p>
              </w:tc>
              <w:tc>
                <w:tcPr>
                  <w:tcW w:w="417" w:type="pct"/>
                  <w:vAlign w:val="center"/>
                </w:tcPr>
                <w:p w14:paraId="625D64BD">
                  <w:pPr>
                    <w:jc w:val="center"/>
                    <w:rPr>
                      <w:szCs w:val="21"/>
                    </w:rPr>
                  </w:pPr>
                  <w:r>
                    <w:rPr>
                      <w:rFonts w:hint="eastAsia"/>
                      <w:szCs w:val="21"/>
                    </w:rPr>
                    <w:t>二级静电油雾器+活性炭吸附+催化燃烧</w:t>
                  </w:r>
                </w:p>
              </w:tc>
              <w:tc>
                <w:tcPr>
                  <w:tcW w:w="417" w:type="pct"/>
                  <w:vAlign w:val="center"/>
                </w:tcPr>
                <w:p w14:paraId="33EE8359">
                  <w:pPr>
                    <w:jc w:val="center"/>
                    <w:rPr>
                      <w:szCs w:val="21"/>
                    </w:rPr>
                  </w:pPr>
                  <w:r>
                    <w:rPr>
                      <w:rFonts w:hint="eastAsia"/>
                      <w:szCs w:val="21"/>
                    </w:rPr>
                    <w:t>吸附、催化氧化</w:t>
                  </w:r>
                </w:p>
              </w:tc>
              <w:tc>
                <w:tcPr>
                  <w:tcW w:w="333" w:type="pct"/>
                  <w:vAlign w:val="center"/>
                </w:tcPr>
                <w:p w14:paraId="6031BB41">
                  <w:pPr>
                    <w:jc w:val="center"/>
                    <w:rPr>
                      <w:szCs w:val="21"/>
                    </w:rPr>
                  </w:pPr>
                  <w:r>
                    <w:rPr>
                      <w:rFonts w:hint="eastAsia"/>
                      <w:szCs w:val="21"/>
                    </w:rPr>
                    <w:t>是</w:t>
                  </w:r>
                </w:p>
              </w:tc>
              <w:tc>
                <w:tcPr>
                  <w:tcW w:w="420" w:type="pct"/>
                  <w:vAlign w:val="center"/>
                </w:tcPr>
                <w:p w14:paraId="6EE9A937">
                  <w:pPr>
                    <w:jc w:val="center"/>
                    <w:rPr>
                      <w:szCs w:val="21"/>
                    </w:rPr>
                  </w:pPr>
                  <w:r>
                    <w:rPr>
                      <w:rFonts w:hint="eastAsia"/>
                      <w:szCs w:val="21"/>
                    </w:rPr>
                    <w:t>/</w:t>
                  </w:r>
                </w:p>
              </w:tc>
              <w:tc>
                <w:tcPr>
                  <w:tcW w:w="339" w:type="pct"/>
                  <w:vAlign w:val="center"/>
                </w:tcPr>
                <w:p w14:paraId="150DA5CF">
                  <w:pPr>
                    <w:jc w:val="center"/>
                    <w:rPr>
                      <w:szCs w:val="21"/>
                    </w:rPr>
                  </w:pPr>
                  <w:r>
                    <w:rPr>
                      <w:rFonts w:hint="eastAsia"/>
                      <w:szCs w:val="21"/>
                    </w:rPr>
                    <w:t>DA001</w:t>
                  </w:r>
                </w:p>
              </w:tc>
              <w:tc>
                <w:tcPr>
                  <w:tcW w:w="333" w:type="pct"/>
                  <w:vAlign w:val="center"/>
                </w:tcPr>
                <w:p w14:paraId="479EAF5F">
                  <w:pPr>
                    <w:jc w:val="center"/>
                    <w:rPr>
                      <w:szCs w:val="21"/>
                    </w:rPr>
                  </w:pPr>
                  <w:r>
                    <w:rPr>
                      <w:rFonts w:hint="eastAsia"/>
                      <w:szCs w:val="21"/>
                    </w:rPr>
                    <w:t>废气排气筒</w:t>
                  </w:r>
                </w:p>
              </w:tc>
              <w:tc>
                <w:tcPr>
                  <w:tcW w:w="333" w:type="pct"/>
                  <w:vAlign w:val="center"/>
                </w:tcPr>
                <w:p w14:paraId="2DBA99B1">
                  <w:pPr>
                    <w:jc w:val="center"/>
                    <w:rPr>
                      <w:szCs w:val="21"/>
                    </w:rPr>
                  </w:pPr>
                  <w:r>
                    <w:rPr>
                      <w:rFonts w:hint="eastAsia"/>
                      <w:szCs w:val="21"/>
                    </w:rPr>
                    <w:t>是</w:t>
                  </w:r>
                </w:p>
              </w:tc>
              <w:tc>
                <w:tcPr>
                  <w:tcW w:w="330" w:type="pct"/>
                  <w:vAlign w:val="center"/>
                </w:tcPr>
                <w:p w14:paraId="6AA6EE65">
                  <w:pPr>
                    <w:jc w:val="center"/>
                    <w:rPr>
                      <w:szCs w:val="21"/>
                    </w:rPr>
                  </w:pPr>
                  <w:r>
                    <w:rPr>
                      <w:rFonts w:hint="eastAsia"/>
                      <w:szCs w:val="21"/>
                    </w:rPr>
                    <w:t>一般排放口</w:t>
                  </w:r>
                </w:p>
              </w:tc>
            </w:tr>
          </w:tbl>
          <w:p w14:paraId="257DE96E">
            <w:pPr>
              <w:spacing w:line="360" w:lineRule="auto"/>
              <w:jc w:val="center"/>
              <w:outlineLvl w:val="0"/>
              <w:rPr>
                <w:rFonts w:ascii="宋体" w:hAnsi="宋体" w:cs="宋体"/>
                <w:b/>
                <w:bCs/>
                <w:color w:val="000000"/>
                <w:kern w:val="0"/>
                <w:szCs w:val="21"/>
                <w:lang w:bidi="ar"/>
              </w:rPr>
            </w:pPr>
          </w:p>
          <w:p w14:paraId="6A70EB83">
            <w:pPr>
              <w:spacing w:line="360" w:lineRule="auto"/>
              <w:jc w:val="center"/>
              <w:outlineLvl w:val="0"/>
              <w:rPr>
                <w:rFonts w:ascii="宋体" w:hAnsi="宋体" w:cs="宋体"/>
                <w:b/>
                <w:bCs/>
                <w:color w:val="000000"/>
                <w:kern w:val="0"/>
                <w:szCs w:val="21"/>
                <w:lang w:bidi="ar"/>
              </w:rPr>
            </w:pPr>
            <w:bookmarkStart w:id="8" w:name="_Toc189401884"/>
            <w:r>
              <w:rPr>
                <w:rFonts w:hint="eastAsia" w:ascii="宋体" w:hAnsi="宋体" w:cs="宋体"/>
                <w:b/>
                <w:bCs/>
                <w:color w:val="000000"/>
                <w:kern w:val="0"/>
                <w:szCs w:val="21"/>
                <w:lang w:bidi="ar"/>
              </w:rPr>
              <w:t>表 4-5大气排放口基本情况</w:t>
            </w:r>
            <w:bookmarkEnd w:id="8"/>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1475"/>
              <w:gridCol w:w="1475"/>
              <w:gridCol w:w="1475"/>
              <w:gridCol w:w="1529"/>
              <w:gridCol w:w="1478"/>
              <w:gridCol w:w="1475"/>
              <w:gridCol w:w="1476"/>
              <w:gridCol w:w="1476"/>
              <w:gridCol w:w="1476"/>
            </w:tblGrid>
            <w:tr w14:paraId="7AD7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498" w:type="pct"/>
                  <w:vMerge w:val="restart"/>
                  <w:vAlign w:val="center"/>
                </w:tcPr>
                <w:p w14:paraId="0907F688">
                  <w:pPr>
                    <w:jc w:val="center"/>
                    <w:rPr>
                      <w:rFonts w:ascii="宋体" w:hAnsi="宋体" w:cs="宋体"/>
                      <w:b/>
                      <w:bCs/>
                      <w:color w:val="000000"/>
                      <w:szCs w:val="21"/>
                      <w:lang w:bidi="ar"/>
                    </w:rPr>
                  </w:pPr>
                  <w:r>
                    <w:rPr>
                      <w:rFonts w:hint="eastAsia" w:ascii="宋体" w:hAnsi="宋体" w:cs="宋体"/>
                      <w:b/>
                      <w:bCs/>
                      <w:color w:val="000000"/>
                      <w:szCs w:val="21"/>
                      <w:lang w:bidi="ar"/>
                    </w:rPr>
                    <w:t>序号</w:t>
                  </w:r>
                </w:p>
              </w:tc>
              <w:tc>
                <w:tcPr>
                  <w:tcW w:w="498" w:type="pct"/>
                  <w:vMerge w:val="restart"/>
                  <w:vAlign w:val="center"/>
                </w:tcPr>
                <w:p w14:paraId="11896F24">
                  <w:pPr>
                    <w:jc w:val="center"/>
                    <w:rPr>
                      <w:rFonts w:ascii="宋体" w:hAnsi="宋体" w:cs="宋体"/>
                      <w:b/>
                      <w:bCs/>
                      <w:color w:val="000000"/>
                      <w:szCs w:val="21"/>
                      <w:lang w:bidi="ar"/>
                    </w:rPr>
                  </w:pPr>
                  <w:r>
                    <w:rPr>
                      <w:rFonts w:hint="eastAsia" w:ascii="宋体" w:hAnsi="宋体" w:cs="宋体"/>
                      <w:b/>
                      <w:bCs/>
                      <w:color w:val="000000"/>
                      <w:szCs w:val="21"/>
                      <w:lang w:bidi="ar"/>
                    </w:rPr>
                    <w:t>排放口编号</w:t>
                  </w:r>
                </w:p>
              </w:tc>
              <w:tc>
                <w:tcPr>
                  <w:tcW w:w="498" w:type="pct"/>
                  <w:vMerge w:val="restart"/>
                  <w:vAlign w:val="center"/>
                </w:tcPr>
                <w:p w14:paraId="6079603D">
                  <w:pPr>
                    <w:jc w:val="center"/>
                    <w:rPr>
                      <w:rFonts w:ascii="宋体" w:hAnsi="宋体" w:cs="宋体"/>
                      <w:b/>
                      <w:bCs/>
                      <w:color w:val="000000"/>
                      <w:szCs w:val="21"/>
                      <w:lang w:bidi="ar"/>
                    </w:rPr>
                  </w:pPr>
                  <w:r>
                    <w:rPr>
                      <w:rFonts w:hint="eastAsia" w:ascii="宋体" w:hAnsi="宋体" w:cs="宋体"/>
                      <w:b/>
                      <w:bCs/>
                      <w:color w:val="000000"/>
                      <w:szCs w:val="21"/>
                      <w:lang w:bidi="ar"/>
                    </w:rPr>
                    <w:t>排放口名称</w:t>
                  </w:r>
                </w:p>
              </w:tc>
              <w:tc>
                <w:tcPr>
                  <w:tcW w:w="498" w:type="pct"/>
                  <w:vMerge w:val="restart"/>
                  <w:vAlign w:val="center"/>
                </w:tcPr>
                <w:p w14:paraId="2B6DEBCA">
                  <w:pPr>
                    <w:jc w:val="center"/>
                    <w:rPr>
                      <w:rFonts w:ascii="宋体" w:hAnsi="宋体" w:cs="宋体"/>
                      <w:b/>
                      <w:bCs/>
                      <w:color w:val="000000"/>
                      <w:szCs w:val="21"/>
                      <w:lang w:bidi="ar"/>
                    </w:rPr>
                  </w:pPr>
                  <w:r>
                    <w:rPr>
                      <w:rFonts w:hint="eastAsia" w:ascii="宋体" w:hAnsi="宋体" w:cs="宋体"/>
                      <w:b/>
                      <w:bCs/>
                      <w:color w:val="000000"/>
                      <w:szCs w:val="21"/>
                      <w:lang w:bidi="ar"/>
                    </w:rPr>
                    <w:t>污染物种类</w:t>
                  </w:r>
                </w:p>
              </w:tc>
              <w:tc>
                <w:tcPr>
                  <w:tcW w:w="1015" w:type="pct"/>
                  <w:gridSpan w:val="2"/>
                  <w:vAlign w:val="center"/>
                </w:tcPr>
                <w:p w14:paraId="32FB5FE1">
                  <w:pPr>
                    <w:jc w:val="center"/>
                    <w:rPr>
                      <w:rFonts w:ascii="宋体" w:hAnsi="宋体" w:cs="宋体"/>
                      <w:b/>
                      <w:bCs/>
                      <w:color w:val="000000"/>
                      <w:szCs w:val="21"/>
                      <w:lang w:bidi="ar"/>
                    </w:rPr>
                  </w:pPr>
                  <w:r>
                    <w:rPr>
                      <w:rFonts w:hint="eastAsia" w:ascii="宋体" w:hAnsi="宋体" w:cs="宋体"/>
                      <w:b/>
                      <w:bCs/>
                      <w:color w:val="000000"/>
                      <w:szCs w:val="21"/>
                      <w:lang w:bidi="ar"/>
                    </w:rPr>
                    <w:t>排放口地理坐标（°）</w:t>
                  </w:r>
                </w:p>
              </w:tc>
              <w:tc>
                <w:tcPr>
                  <w:tcW w:w="498" w:type="pct"/>
                  <w:vMerge w:val="restart"/>
                  <w:vAlign w:val="center"/>
                </w:tcPr>
                <w:p w14:paraId="7099F6C1">
                  <w:pPr>
                    <w:jc w:val="center"/>
                    <w:rPr>
                      <w:rFonts w:ascii="宋体" w:hAnsi="宋体" w:cs="宋体"/>
                      <w:b/>
                      <w:bCs/>
                      <w:color w:val="000000"/>
                      <w:szCs w:val="21"/>
                      <w:lang w:bidi="ar"/>
                    </w:rPr>
                  </w:pPr>
                  <w:r>
                    <w:rPr>
                      <w:rFonts w:hint="eastAsia" w:ascii="宋体" w:hAnsi="宋体" w:cs="宋体"/>
                      <w:b/>
                      <w:bCs/>
                      <w:color w:val="000000"/>
                      <w:szCs w:val="21"/>
                      <w:lang w:bidi="ar"/>
                    </w:rPr>
                    <w:t>排气筒高度（m）</w:t>
                  </w:r>
                </w:p>
              </w:tc>
              <w:tc>
                <w:tcPr>
                  <w:tcW w:w="498" w:type="pct"/>
                  <w:vMerge w:val="restart"/>
                  <w:vAlign w:val="center"/>
                </w:tcPr>
                <w:p w14:paraId="5D9C36E8">
                  <w:pPr>
                    <w:jc w:val="center"/>
                    <w:rPr>
                      <w:rFonts w:ascii="宋体" w:hAnsi="宋体" w:cs="宋体"/>
                      <w:b/>
                      <w:bCs/>
                      <w:color w:val="000000"/>
                      <w:szCs w:val="21"/>
                      <w:lang w:bidi="ar"/>
                    </w:rPr>
                  </w:pPr>
                  <w:r>
                    <w:rPr>
                      <w:rFonts w:hint="eastAsia" w:ascii="宋体" w:hAnsi="宋体" w:cs="宋体"/>
                      <w:b/>
                      <w:bCs/>
                      <w:color w:val="000000"/>
                      <w:szCs w:val="21"/>
                      <w:lang w:bidi="ar"/>
                    </w:rPr>
                    <w:t>排气筒出口内径（m）</w:t>
                  </w:r>
                </w:p>
              </w:tc>
              <w:tc>
                <w:tcPr>
                  <w:tcW w:w="498" w:type="pct"/>
                  <w:vMerge w:val="restart"/>
                  <w:vAlign w:val="center"/>
                </w:tcPr>
                <w:p w14:paraId="4CF35898">
                  <w:pPr>
                    <w:jc w:val="center"/>
                    <w:rPr>
                      <w:rFonts w:ascii="宋体" w:hAnsi="宋体" w:cs="宋体"/>
                      <w:b/>
                      <w:bCs/>
                      <w:color w:val="000000"/>
                      <w:szCs w:val="21"/>
                      <w:lang w:bidi="ar"/>
                    </w:rPr>
                  </w:pPr>
                  <w:r>
                    <w:rPr>
                      <w:rFonts w:hint="eastAsia" w:ascii="宋体" w:hAnsi="宋体" w:cs="宋体"/>
                      <w:b/>
                      <w:bCs/>
                      <w:color w:val="000000"/>
                      <w:szCs w:val="21"/>
                      <w:lang w:bidi="ar"/>
                    </w:rPr>
                    <w:t>排气温度（℃）</w:t>
                  </w:r>
                </w:p>
              </w:tc>
              <w:tc>
                <w:tcPr>
                  <w:tcW w:w="498" w:type="pct"/>
                  <w:vMerge w:val="restart"/>
                  <w:vAlign w:val="center"/>
                </w:tcPr>
                <w:p w14:paraId="2E9A91CB">
                  <w:pPr>
                    <w:jc w:val="center"/>
                    <w:rPr>
                      <w:rFonts w:ascii="宋体" w:hAnsi="宋体" w:cs="宋体"/>
                      <w:b/>
                      <w:bCs/>
                      <w:color w:val="000000"/>
                      <w:szCs w:val="21"/>
                      <w:lang w:bidi="ar"/>
                    </w:rPr>
                  </w:pPr>
                  <w:r>
                    <w:rPr>
                      <w:rFonts w:hint="eastAsia" w:ascii="宋体" w:hAnsi="宋体" w:cs="宋体"/>
                      <w:b/>
                      <w:bCs/>
                      <w:color w:val="000000"/>
                      <w:szCs w:val="21"/>
                      <w:lang w:bidi="ar"/>
                    </w:rPr>
                    <w:t>其他信息</w:t>
                  </w:r>
                </w:p>
              </w:tc>
            </w:tr>
            <w:tr w14:paraId="739B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498" w:type="pct"/>
                  <w:vMerge w:val="continue"/>
                  <w:vAlign w:val="center"/>
                </w:tcPr>
                <w:p w14:paraId="44B9AD42">
                  <w:pPr>
                    <w:jc w:val="center"/>
                    <w:rPr>
                      <w:rFonts w:ascii="宋体" w:hAnsi="宋体" w:cs="宋体"/>
                      <w:b/>
                      <w:bCs/>
                      <w:szCs w:val="21"/>
                    </w:rPr>
                  </w:pPr>
                </w:p>
              </w:tc>
              <w:tc>
                <w:tcPr>
                  <w:tcW w:w="498" w:type="pct"/>
                  <w:vMerge w:val="continue"/>
                  <w:vAlign w:val="center"/>
                </w:tcPr>
                <w:p w14:paraId="22388D3A">
                  <w:pPr>
                    <w:jc w:val="center"/>
                    <w:rPr>
                      <w:rFonts w:ascii="宋体" w:hAnsi="宋体" w:cs="宋体"/>
                      <w:b/>
                      <w:bCs/>
                      <w:szCs w:val="21"/>
                    </w:rPr>
                  </w:pPr>
                </w:p>
              </w:tc>
              <w:tc>
                <w:tcPr>
                  <w:tcW w:w="498" w:type="pct"/>
                  <w:vMerge w:val="continue"/>
                  <w:vAlign w:val="center"/>
                </w:tcPr>
                <w:p w14:paraId="6E8EB226">
                  <w:pPr>
                    <w:jc w:val="center"/>
                    <w:rPr>
                      <w:rFonts w:ascii="宋体" w:hAnsi="宋体" w:cs="宋体"/>
                      <w:b/>
                      <w:bCs/>
                      <w:szCs w:val="21"/>
                    </w:rPr>
                  </w:pPr>
                </w:p>
              </w:tc>
              <w:tc>
                <w:tcPr>
                  <w:tcW w:w="498" w:type="pct"/>
                  <w:vMerge w:val="continue"/>
                  <w:vAlign w:val="center"/>
                </w:tcPr>
                <w:p w14:paraId="735551F7">
                  <w:pPr>
                    <w:jc w:val="center"/>
                    <w:rPr>
                      <w:rFonts w:ascii="宋体" w:hAnsi="宋体" w:cs="宋体"/>
                      <w:b/>
                      <w:bCs/>
                      <w:szCs w:val="21"/>
                    </w:rPr>
                  </w:pPr>
                </w:p>
              </w:tc>
              <w:tc>
                <w:tcPr>
                  <w:tcW w:w="516" w:type="pct"/>
                  <w:vAlign w:val="center"/>
                </w:tcPr>
                <w:p w14:paraId="2B365BCE">
                  <w:pPr>
                    <w:jc w:val="center"/>
                    <w:rPr>
                      <w:rFonts w:ascii="宋体" w:hAnsi="宋体" w:cs="宋体"/>
                      <w:b/>
                      <w:bCs/>
                      <w:szCs w:val="21"/>
                    </w:rPr>
                  </w:pPr>
                  <w:r>
                    <w:rPr>
                      <w:rFonts w:hint="eastAsia" w:ascii="宋体" w:hAnsi="宋体" w:cs="宋体"/>
                      <w:b/>
                      <w:bCs/>
                      <w:szCs w:val="21"/>
                    </w:rPr>
                    <w:t>经度</w:t>
                  </w:r>
                </w:p>
              </w:tc>
              <w:tc>
                <w:tcPr>
                  <w:tcW w:w="499" w:type="pct"/>
                  <w:vAlign w:val="center"/>
                </w:tcPr>
                <w:p w14:paraId="5F6CB70A">
                  <w:pPr>
                    <w:jc w:val="center"/>
                    <w:rPr>
                      <w:rFonts w:ascii="宋体" w:hAnsi="宋体" w:cs="宋体"/>
                      <w:b/>
                      <w:bCs/>
                      <w:szCs w:val="21"/>
                    </w:rPr>
                  </w:pPr>
                  <w:r>
                    <w:rPr>
                      <w:rFonts w:hint="eastAsia" w:ascii="宋体" w:hAnsi="宋体" w:cs="宋体"/>
                      <w:b/>
                      <w:bCs/>
                      <w:szCs w:val="21"/>
                    </w:rPr>
                    <w:t>纬度</w:t>
                  </w:r>
                </w:p>
              </w:tc>
              <w:tc>
                <w:tcPr>
                  <w:tcW w:w="498" w:type="pct"/>
                  <w:vMerge w:val="continue"/>
                  <w:vAlign w:val="center"/>
                </w:tcPr>
                <w:p w14:paraId="68B6E63A">
                  <w:pPr>
                    <w:jc w:val="center"/>
                    <w:rPr>
                      <w:rFonts w:ascii="宋体" w:hAnsi="宋体" w:cs="宋体"/>
                      <w:b/>
                      <w:bCs/>
                      <w:szCs w:val="21"/>
                    </w:rPr>
                  </w:pPr>
                </w:p>
              </w:tc>
              <w:tc>
                <w:tcPr>
                  <w:tcW w:w="498" w:type="pct"/>
                  <w:vMerge w:val="continue"/>
                  <w:vAlign w:val="center"/>
                </w:tcPr>
                <w:p w14:paraId="4BAB38FA">
                  <w:pPr>
                    <w:jc w:val="center"/>
                    <w:rPr>
                      <w:rFonts w:ascii="宋体" w:hAnsi="宋体" w:cs="宋体"/>
                      <w:b/>
                      <w:bCs/>
                      <w:szCs w:val="21"/>
                    </w:rPr>
                  </w:pPr>
                </w:p>
              </w:tc>
              <w:tc>
                <w:tcPr>
                  <w:tcW w:w="498" w:type="pct"/>
                  <w:vMerge w:val="continue"/>
                  <w:vAlign w:val="center"/>
                </w:tcPr>
                <w:p w14:paraId="02B5BCF8">
                  <w:pPr>
                    <w:jc w:val="center"/>
                    <w:rPr>
                      <w:rFonts w:ascii="宋体" w:hAnsi="宋体" w:cs="宋体"/>
                      <w:b/>
                      <w:bCs/>
                      <w:szCs w:val="21"/>
                    </w:rPr>
                  </w:pPr>
                </w:p>
              </w:tc>
              <w:tc>
                <w:tcPr>
                  <w:tcW w:w="498" w:type="pct"/>
                  <w:vMerge w:val="continue"/>
                  <w:vAlign w:val="center"/>
                </w:tcPr>
                <w:p w14:paraId="111F2A06">
                  <w:pPr>
                    <w:jc w:val="center"/>
                    <w:rPr>
                      <w:rFonts w:ascii="宋体" w:hAnsi="宋体" w:cs="宋体"/>
                      <w:b/>
                      <w:bCs/>
                      <w:szCs w:val="21"/>
                    </w:rPr>
                  </w:pPr>
                </w:p>
              </w:tc>
            </w:tr>
            <w:tr w14:paraId="29C9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3C918CDB">
                  <w:pPr>
                    <w:jc w:val="center"/>
                    <w:rPr>
                      <w:rFonts w:ascii="宋体" w:hAnsi="宋体" w:cs="宋体"/>
                      <w:color w:val="000000"/>
                      <w:szCs w:val="21"/>
                      <w:lang w:bidi="ar"/>
                    </w:rPr>
                  </w:pPr>
                  <w:r>
                    <w:rPr>
                      <w:rFonts w:hint="eastAsia" w:ascii="宋体" w:hAnsi="宋体" w:cs="宋体"/>
                      <w:color w:val="000000"/>
                      <w:szCs w:val="21"/>
                      <w:lang w:bidi="ar"/>
                    </w:rPr>
                    <w:t>1</w:t>
                  </w:r>
                </w:p>
              </w:tc>
              <w:tc>
                <w:tcPr>
                  <w:tcW w:w="498" w:type="pct"/>
                  <w:vAlign w:val="center"/>
                </w:tcPr>
                <w:p w14:paraId="36D5751E">
                  <w:pPr>
                    <w:jc w:val="center"/>
                    <w:rPr>
                      <w:rFonts w:ascii="宋体" w:hAnsi="宋体" w:cs="宋体"/>
                      <w:color w:val="000000"/>
                      <w:szCs w:val="21"/>
                      <w:lang w:bidi="ar"/>
                    </w:rPr>
                  </w:pPr>
                  <w:r>
                    <w:rPr>
                      <w:rFonts w:hint="eastAsia" w:ascii="宋体" w:hAnsi="宋体" w:cs="宋体"/>
                      <w:color w:val="000000"/>
                      <w:szCs w:val="21"/>
                      <w:lang w:bidi="ar"/>
                    </w:rPr>
                    <w:t>DA001</w:t>
                  </w:r>
                </w:p>
              </w:tc>
              <w:tc>
                <w:tcPr>
                  <w:tcW w:w="498" w:type="pct"/>
                </w:tcPr>
                <w:p w14:paraId="35FAC548">
                  <w:pPr>
                    <w:jc w:val="center"/>
                    <w:rPr>
                      <w:rFonts w:ascii="宋体" w:hAnsi="宋体" w:cs="宋体"/>
                      <w:color w:val="000000"/>
                      <w:szCs w:val="21"/>
                      <w:lang w:bidi="ar"/>
                    </w:rPr>
                  </w:pPr>
                  <w:r>
                    <w:rPr>
                      <w:rFonts w:hint="eastAsia"/>
                    </w:rPr>
                    <w:t>废气排气筒</w:t>
                  </w:r>
                </w:p>
              </w:tc>
              <w:tc>
                <w:tcPr>
                  <w:tcW w:w="498" w:type="pct"/>
                  <w:vAlign w:val="center"/>
                </w:tcPr>
                <w:p w14:paraId="706F3CA3">
                  <w:pPr>
                    <w:jc w:val="center"/>
                    <w:rPr>
                      <w:rFonts w:ascii="宋体" w:hAnsi="宋体" w:cs="宋体"/>
                      <w:color w:val="000000"/>
                      <w:szCs w:val="21"/>
                      <w:lang w:bidi="ar"/>
                    </w:rPr>
                  </w:pPr>
                  <w:r>
                    <w:rPr>
                      <w:rFonts w:hint="eastAsia"/>
                      <w:szCs w:val="21"/>
                    </w:rPr>
                    <w:t>非甲烷总烃</w:t>
                  </w:r>
                </w:p>
              </w:tc>
              <w:tc>
                <w:tcPr>
                  <w:tcW w:w="516" w:type="pct"/>
                  <w:vAlign w:val="center"/>
                </w:tcPr>
                <w:p w14:paraId="76761F1D">
                  <w:pPr>
                    <w:jc w:val="center"/>
                    <w:rPr>
                      <w:rFonts w:ascii="宋体" w:hAnsi="宋体" w:cs="宋体"/>
                      <w:color w:val="000000"/>
                      <w:szCs w:val="21"/>
                      <w:lang w:bidi="ar"/>
                    </w:rPr>
                  </w:pPr>
                  <w:r>
                    <w:rPr>
                      <w:rFonts w:ascii="宋体" w:hAnsi="宋体" w:cs="宋体"/>
                      <w:color w:val="000000"/>
                      <w:szCs w:val="21"/>
                      <w:lang w:bidi="ar"/>
                    </w:rPr>
                    <w:t>115.971</w:t>
                  </w:r>
                  <w:r>
                    <w:rPr>
                      <w:rFonts w:hint="eastAsia" w:ascii="宋体" w:hAnsi="宋体" w:cs="宋体"/>
                      <w:color w:val="000000"/>
                      <w:szCs w:val="21"/>
                      <w:lang w:bidi="ar"/>
                    </w:rPr>
                    <w:t>2</w:t>
                  </w:r>
                </w:p>
              </w:tc>
              <w:tc>
                <w:tcPr>
                  <w:tcW w:w="499" w:type="pct"/>
                  <w:vAlign w:val="center"/>
                </w:tcPr>
                <w:p w14:paraId="2C949CF0">
                  <w:pPr>
                    <w:jc w:val="center"/>
                    <w:rPr>
                      <w:rFonts w:ascii="宋体" w:hAnsi="宋体" w:cs="宋体"/>
                      <w:color w:val="000000"/>
                      <w:szCs w:val="21"/>
                      <w:lang w:bidi="ar"/>
                    </w:rPr>
                  </w:pPr>
                  <w:r>
                    <w:rPr>
                      <w:rFonts w:ascii="宋体" w:hAnsi="宋体" w:cs="宋体"/>
                      <w:color w:val="000000"/>
                      <w:szCs w:val="21"/>
                      <w:lang w:bidi="ar"/>
                    </w:rPr>
                    <w:t>31.778</w:t>
                  </w:r>
                  <w:r>
                    <w:rPr>
                      <w:rFonts w:hint="eastAsia" w:ascii="宋体" w:hAnsi="宋体" w:cs="宋体"/>
                      <w:color w:val="000000"/>
                      <w:szCs w:val="21"/>
                      <w:lang w:bidi="ar"/>
                    </w:rPr>
                    <w:t>3</w:t>
                  </w:r>
                </w:p>
              </w:tc>
              <w:tc>
                <w:tcPr>
                  <w:tcW w:w="498" w:type="pct"/>
                  <w:vAlign w:val="center"/>
                </w:tcPr>
                <w:p w14:paraId="5C557156">
                  <w:pPr>
                    <w:jc w:val="center"/>
                    <w:rPr>
                      <w:rFonts w:ascii="宋体" w:hAnsi="宋体" w:cs="宋体"/>
                      <w:color w:val="000000"/>
                      <w:szCs w:val="21"/>
                      <w:lang w:bidi="ar"/>
                    </w:rPr>
                  </w:pPr>
                  <w:r>
                    <w:rPr>
                      <w:rFonts w:hint="eastAsia" w:ascii="宋体" w:hAnsi="宋体" w:cs="宋体"/>
                      <w:color w:val="000000"/>
                      <w:szCs w:val="21"/>
                      <w:lang w:bidi="ar"/>
                    </w:rPr>
                    <w:t>15</w:t>
                  </w:r>
                </w:p>
              </w:tc>
              <w:tc>
                <w:tcPr>
                  <w:tcW w:w="498" w:type="pct"/>
                  <w:vAlign w:val="center"/>
                </w:tcPr>
                <w:p w14:paraId="54E9DB64">
                  <w:pPr>
                    <w:jc w:val="center"/>
                    <w:rPr>
                      <w:rFonts w:ascii="宋体" w:hAnsi="宋体" w:cs="宋体"/>
                      <w:color w:val="000000"/>
                      <w:szCs w:val="21"/>
                      <w:lang w:bidi="ar"/>
                    </w:rPr>
                  </w:pPr>
                  <w:r>
                    <w:rPr>
                      <w:rFonts w:hint="eastAsia" w:ascii="宋体" w:hAnsi="宋体" w:cs="宋体"/>
                      <w:color w:val="000000"/>
                      <w:szCs w:val="21"/>
                      <w:lang w:bidi="ar"/>
                    </w:rPr>
                    <w:t>0.65</w:t>
                  </w:r>
                </w:p>
              </w:tc>
              <w:tc>
                <w:tcPr>
                  <w:tcW w:w="498" w:type="pct"/>
                  <w:vAlign w:val="center"/>
                </w:tcPr>
                <w:p w14:paraId="2A925B6E">
                  <w:pPr>
                    <w:jc w:val="center"/>
                    <w:rPr>
                      <w:rFonts w:ascii="宋体" w:hAnsi="宋体" w:cs="宋体"/>
                      <w:color w:val="000000"/>
                      <w:szCs w:val="21"/>
                      <w:lang w:bidi="ar"/>
                    </w:rPr>
                  </w:pPr>
                  <w:r>
                    <w:rPr>
                      <w:rFonts w:hint="eastAsia" w:ascii="宋体" w:hAnsi="宋体" w:cs="宋体"/>
                      <w:color w:val="000000"/>
                      <w:szCs w:val="21"/>
                      <w:lang w:bidi="ar"/>
                    </w:rPr>
                    <w:t>常温</w:t>
                  </w:r>
                </w:p>
              </w:tc>
              <w:tc>
                <w:tcPr>
                  <w:tcW w:w="498" w:type="pct"/>
                  <w:vAlign w:val="center"/>
                </w:tcPr>
                <w:p w14:paraId="4BCA451B">
                  <w:pPr>
                    <w:jc w:val="center"/>
                    <w:rPr>
                      <w:rFonts w:ascii="宋体" w:hAnsi="宋体" w:cs="宋体"/>
                      <w:color w:val="000000"/>
                      <w:szCs w:val="21"/>
                      <w:lang w:bidi="ar"/>
                    </w:rPr>
                  </w:pPr>
                  <w:r>
                    <w:rPr>
                      <w:rFonts w:hint="eastAsia" w:ascii="宋体" w:hAnsi="宋体" w:cs="宋体"/>
                      <w:color w:val="000000"/>
                      <w:szCs w:val="21"/>
                      <w:lang w:bidi="ar"/>
                    </w:rPr>
                    <w:t>/</w:t>
                  </w:r>
                </w:p>
              </w:tc>
            </w:tr>
          </w:tbl>
          <w:p w14:paraId="6C21DAE4">
            <w:pPr>
              <w:spacing w:line="360" w:lineRule="auto"/>
              <w:jc w:val="center"/>
              <w:outlineLvl w:val="0"/>
              <w:rPr>
                <w:rFonts w:ascii="宋体" w:hAnsi="宋体" w:cs="宋体"/>
                <w:b/>
                <w:bCs/>
                <w:color w:val="000000"/>
                <w:kern w:val="0"/>
                <w:szCs w:val="21"/>
                <w:lang w:bidi="ar"/>
              </w:rPr>
            </w:pPr>
          </w:p>
        </w:tc>
      </w:tr>
    </w:tbl>
    <w:p w14:paraId="3396C8F5">
      <w:pPr>
        <w:tabs>
          <w:tab w:val="left" w:pos="304"/>
        </w:tabs>
        <w:spacing w:before="240" w:beforeLines="100" w:after="120" w:afterLines="50"/>
        <w:ind w:left="38" w:firstLine="482" w:firstLineChars="200"/>
        <w:jc w:val="left"/>
        <w:rPr>
          <w:b/>
          <w:bCs/>
          <w:sz w:val="24"/>
        </w:rPr>
        <w:sectPr>
          <w:pgSz w:w="16840" w:h="11907" w:orient="landscape"/>
          <w:pgMar w:top="1526" w:right="576" w:bottom="1526" w:left="576" w:header="850" w:footer="850" w:gutter="0"/>
          <w:pgNumType w:fmt="numberInDash"/>
          <w:cols w:space="720" w:num="1"/>
          <w:docGrid w:linePitch="312" w:charSpace="0"/>
        </w:sectPr>
      </w:pPr>
    </w:p>
    <w:tbl>
      <w:tblPr>
        <w:tblStyle w:val="22"/>
        <w:tblW w:w="95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9270"/>
      </w:tblGrid>
      <w:tr w14:paraId="4317D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837" w:hRule="atLeast"/>
          <w:jc w:val="center"/>
        </w:trPr>
        <w:tc>
          <w:tcPr>
            <w:tcW w:w="266" w:type="dxa"/>
            <w:tcMar>
              <w:left w:w="28" w:type="dxa"/>
              <w:right w:w="28" w:type="dxa"/>
            </w:tcMar>
            <w:vAlign w:val="center"/>
          </w:tcPr>
          <w:p w14:paraId="429780AD">
            <w:pPr>
              <w:adjustRightInd w:val="0"/>
              <w:snapToGrid w:val="0"/>
              <w:jc w:val="center"/>
              <w:rPr>
                <w:rFonts w:ascii="宋体" w:hAnsi="宋体" w:cs="宋体"/>
                <w:bCs/>
                <w:szCs w:val="21"/>
              </w:rPr>
            </w:pPr>
            <w:r>
              <w:rPr>
                <w:rFonts w:hint="eastAsia" w:ascii="宋体" w:hAnsi="宋体" w:cs="宋体"/>
                <w:bCs/>
                <w:szCs w:val="21"/>
              </w:rPr>
              <w:t>运营</w:t>
            </w:r>
          </w:p>
          <w:p w14:paraId="4930432A">
            <w:pPr>
              <w:adjustRightInd w:val="0"/>
              <w:snapToGrid w:val="0"/>
              <w:jc w:val="center"/>
              <w:rPr>
                <w:rFonts w:ascii="宋体" w:hAnsi="宋体" w:cs="宋体"/>
                <w:bCs/>
                <w:szCs w:val="21"/>
              </w:rPr>
            </w:pPr>
            <w:r>
              <w:rPr>
                <w:rFonts w:hint="eastAsia" w:ascii="宋体" w:hAnsi="宋体" w:cs="宋体"/>
                <w:bCs/>
                <w:szCs w:val="21"/>
              </w:rPr>
              <w:t>期环</w:t>
            </w:r>
          </w:p>
          <w:p w14:paraId="5B8D85B0">
            <w:pPr>
              <w:adjustRightInd w:val="0"/>
              <w:snapToGrid w:val="0"/>
              <w:jc w:val="center"/>
              <w:rPr>
                <w:rFonts w:ascii="宋体" w:hAnsi="宋体" w:cs="宋体"/>
                <w:bCs/>
                <w:szCs w:val="21"/>
              </w:rPr>
            </w:pPr>
            <w:r>
              <w:rPr>
                <w:rFonts w:hint="eastAsia" w:ascii="宋体" w:hAnsi="宋体" w:cs="宋体"/>
                <w:bCs/>
                <w:szCs w:val="21"/>
              </w:rPr>
              <w:t>境影</w:t>
            </w:r>
          </w:p>
          <w:p w14:paraId="5F4E8C33">
            <w:pPr>
              <w:adjustRightInd w:val="0"/>
              <w:snapToGrid w:val="0"/>
              <w:jc w:val="center"/>
              <w:rPr>
                <w:rFonts w:ascii="宋体" w:hAnsi="宋体" w:cs="宋体"/>
                <w:bCs/>
                <w:szCs w:val="21"/>
              </w:rPr>
            </w:pPr>
            <w:r>
              <w:rPr>
                <w:rFonts w:hint="eastAsia" w:ascii="宋体" w:hAnsi="宋体" w:cs="宋体"/>
                <w:bCs/>
                <w:szCs w:val="21"/>
              </w:rPr>
              <w:t>响和</w:t>
            </w:r>
          </w:p>
          <w:p w14:paraId="63656381">
            <w:pPr>
              <w:adjustRightInd w:val="0"/>
              <w:snapToGrid w:val="0"/>
              <w:jc w:val="center"/>
              <w:rPr>
                <w:rFonts w:ascii="宋体" w:hAnsi="宋体" w:cs="宋体"/>
                <w:bCs/>
                <w:szCs w:val="21"/>
              </w:rPr>
            </w:pPr>
            <w:r>
              <w:rPr>
                <w:rFonts w:hint="eastAsia" w:ascii="宋体" w:hAnsi="宋体" w:cs="宋体"/>
                <w:bCs/>
                <w:szCs w:val="21"/>
              </w:rPr>
              <w:t>保护</w:t>
            </w:r>
          </w:p>
          <w:p w14:paraId="43A74A0B">
            <w:pPr>
              <w:adjustRightInd w:val="0"/>
              <w:snapToGrid w:val="0"/>
              <w:jc w:val="center"/>
              <w:rPr>
                <w:rFonts w:ascii="宋体" w:hAnsi="宋体" w:cs="宋体"/>
                <w:bCs/>
                <w:szCs w:val="21"/>
              </w:rPr>
            </w:pPr>
            <w:r>
              <w:rPr>
                <w:rFonts w:hint="eastAsia" w:ascii="宋体" w:hAnsi="宋体" w:cs="宋体"/>
                <w:bCs/>
                <w:szCs w:val="21"/>
              </w:rPr>
              <w:t>措施</w:t>
            </w:r>
          </w:p>
        </w:tc>
        <w:tc>
          <w:tcPr>
            <w:tcW w:w="9270" w:type="dxa"/>
            <w:vAlign w:val="center"/>
          </w:tcPr>
          <w:p w14:paraId="03D05D58">
            <w:pPr>
              <w:spacing w:line="500" w:lineRule="exact"/>
              <w:ind w:firstLine="482" w:firstLineChars="200"/>
              <w:rPr>
                <w:b/>
                <w:bCs/>
                <w:kern w:val="0"/>
                <w:sz w:val="24"/>
              </w:rPr>
            </w:pPr>
            <w:r>
              <w:rPr>
                <w:rFonts w:hint="eastAsia"/>
                <w:b/>
                <w:bCs/>
                <w:kern w:val="0"/>
                <w:sz w:val="24"/>
              </w:rPr>
              <w:t>4.2.2营运期废气源强分析</w:t>
            </w:r>
          </w:p>
          <w:p w14:paraId="6B99A82C">
            <w:pPr>
              <w:spacing w:line="360" w:lineRule="auto"/>
              <w:ind w:firstLine="480" w:firstLineChars="200"/>
              <w:rPr>
                <w:kern w:val="0"/>
                <w:sz w:val="24"/>
              </w:rPr>
            </w:pPr>
            <w:r>
              <w:rPr>
                <w:rFonts w:hint="eastAsia"/>
                <w:kern w:val="0"/>
                <w:sz w:val="24"/>
              </w:rPr>
              <w:t>（</w:t>
            </w:r>
            <w:r>
              <w:rPr>
                <w:kern w:val="0"/>
                <w:sz w:val="24"/>
              </w:rPr>
              <w:t xml:space="preserve">1）废气源强 </w:t>
            </w:r>
          </w:p>
          <w:p w14:paraId="00D58A76">
            <w:pPr>
              <w:widowControl/>
              <w:spacing w:line="360" w:lineRule="auto"/>
              <w:ind w:firstLine="506" w:firstLineChars="211"/>
              <w:jc w:val="left"/>
              <w:rPr>
                <w:kern w:val="0"/>
                <w:sz w:val="24"/>
              </w:rPr>
            </w:pPr>
            <w:r>
              <w:rPr>
                <w:kern w:val="0"/>
                <w:sz w:val="24"/>
              </w:rPr>
              <w:t>项目营运期大气污染物主要有</w:t>
            </w:r>
            <w:r>
              <w:rPr>
                <w:rFonts w:hint="eastAsia"/>
                <w:kern w:val="0"/>
                <w:sz w:val="24"/>
              </w:rPr>
              <w:t>原布超声复合、基布撒粉涂布烘干过程产生的有机废气，镀锌钢卷切割产生的颗粒物废气，组装焊接</w:t>
            </w:r>
            <w:r>
              <w:rPr>
                <w:kern w:val="0"/>
                <w:sz w:val="24"/>
              </w:rPr>
              <w:t>过程产生的</w:t>
            </w:r>
            <w:r>
              <w:rPr>
                <w:rFonts w:hint="eastAsia"/>
                <w:kern w:val="0"/>
                <w:sz w:val="24"/>
              </w:rPr>
              <w:t>焊接烟尘</w:t>
            </w:r>
            <w:r>
              <w:rPr>
                <w:kern w:val="0"/>
                <w:sz w:val="24"/>
              </w:rPr>
              <w:t>，</w:t>
            </w:r>
            <w:r>
              <w:rPr>
                <w:rFonts w:hint="eastAsia"/>
                <w:kern w:val="0"/>
                <w:sz w:val="24"/>
              </w:rPr>
              <w:t>焊接后补漆</w:t>
            </w:r>
            <w:r>
              <w:rPr>
                <w:kern w:val="0"/>
                <w:sz w:val="24"/>
              </w:rPr>
              <w:t>过程产生的</w:t>
            </w:r>
            <w:r>
              <w:rPr>
                <w:rFonts w:hint="eastAsia"/>
                <w:kern w:val="0"/>
                <w:sz w:val="24"/>
              </w:rPr>
              <w:t>有机废气</w:t>
            </w:r>
            <w:r>
              <w:rPr>
                <w:kern w:val="0"/>
                <w:sz w:val="24"/>
              </w:rPr>
              <w:t>，</w:t>
            </w:r>
            <w:r>
              <w:rPr>
                <w:rFonts w:hint="eastAsia"/>
                <w:kern w:val="0"/>
                <w:sz w:val="24"/>
              </w:rPr>
              <w:t>涂覆密封</w:t>
            </w:r>
            <w:r>
              <w:rPr>
                <w:kern w:val="0"/>
                <w:sz w:val="24"/>
              </w:rPr>
              <w:t>过程产生的有机废气</w:t>
            </w:r>
            <w:r>
              <w:rPr>
                <w:rFonts w:hint="eastAsia"/>
                <w:kern w:val="0"/>
                <w:sz w:val="24"/>
              </w:rPr>
              <w:t>。</w:t>
            </w:r>
          </w:p>
          <w:p w14:paraId="1F03FF52">
            <w:pPr>
              <w:widowControl/>
              <w:spacing w:line="360" w:lineRule="auto"/>
              <w:ind w:firstLine="506" w:firstLineChars="211"/>
              <w:jc w:val="left"/>
              <w:rPr>
                <w:kern w:val="0"/>
                <w:sz w:val="24"/>
              </w:rPr>
            </w:pPr>
            <w:r>
              <w:rPr>
                <w:rFonts w:hint="eastAsia"/>
                <w:kern w:val="0"/>
                <w:sz w:val="24"/>
              </w:rPr>
              <w:t>以上废气源中仅原布超声复合、基布撒粉涂布烘干过程产生的有机废气为有组织排放，其他废气均为无组织排放。</w:t>
            </w:r>
          </w:p>
          <w:p w14:paraId="1B2D88B1">
            <w:pPr>
              <w:spacing w:line="500" w:lineRule="exact"/>
              <w:ind w:firstLine="241" w:firstLineChars="100"/>
              <w:rPr>
                <w:b/>
                <w:bCs/>
                <w:kern w:val="0"/>
                <w:sz w:val="24"/>
              </w:rPr>
            </w:pPr>
            <w:r>
              <w:rPr>
                <w:rFonts w:hint="eastAsia"/>
                <w:b/>
                <w:bCs/>
                <w:kern w:val="0"/>
                <w:sz w:val="24"/>
              </w:rPr>
              <w:t xml:space="preserve">废气源强核算 </w:t>
            </w:r>
          </w:p>
          <w:p w14:paraId="46CA19F5">
            <w:pPr>
              <w:spacing w:line="500" w:lineRule="exact"/>
              <w:ind w:firstLine="480" w:firstLineChars="200"/>
              <w:rPr>
                <w:kern w:val="0"/>
                <w:sz w:val="24"/>
              </w:rPr>
            </w:pPr>
            <w:r>
              <w:rPr>
                <w:kern w:val="0"/>
                <w:sz w:val="24"/>
              </w:rPr>
              <w:t>①</w:t>
            </w:r>
            <w:r>
              <w:rPr>
                <w:rFonts w:hint="eastAsia"/>
                <w:kern w:val="0"/>
                <w:sz w:val="24"/>
              </w:rPr>
              <w:t>原布超声复合、基布撒粉涂布烘干过程产生的有机废气</w:t>
            </w:r>
            <w:r>
              <w:rPr>
                <w:rFonts w:hint="eastAsia" w:ascii="Cambria Math" w:hAnsi="Cambria Math" w:cs="Cambria Math"/>
                <w:kern w:val="0"/>
                <w:sz w:val="24"/>
              </w:rPr>
              <w:t>（有组织）</w:t>
            </w:r>
          </w:p>
          <w:p w14:paraId="6E240A95">
            <w:pPr>
              <w:spacing w:line="500" w:lineRule="exact"/>
              <w:ind w:firstLine="480" w:firstLineChars="200"/>
              <w:rPr>
                <w:kern w:val="0"/>
                <w:sz w:val="24"/>
              </w:rPr>
            </w:pPr>
            <w:r>
              <w:rPr>
                <w:kern w:val="0"/>
                <w:sz w:val="24"/>
              </w:rPr>
              <w:t>项目</w:t>
            </w:r>
            <w:r>
              <w:rPr>
                <w:rFonts w:hint="eastAsia"/>
                <w:kern w:val="0"/>
                <w:sz w:val="24"/>
              </w:rPr>
              <w:t>超声复合工序使用胶黏剂主要成分为：a,w-二羟基二甲基硅氧烷15~25%、氧化铝35~55%、氧化锌35~45%，其VOCs含量为 22g/kg，年用量为110t/a，总VOCs产生量为2.42t/a；</w:t>
            </w:r>
          </w:p>
          <w:p w14:paraId="70E25D1A">
            <w:pPr>
              <w:spacing w:line="500" w:lineRule="exact"/>
              <w:ind w:firstLine="480" w:firstLineChars="200"/>
              <w:rPr>
                <w:kern w:val="0"/>
                <w:sz w:val="24"/>
              </w:rPr>
            </w:pPr>
            <w:r>
              <w:rPr>
                <w:rFonts w:hint="eastAsia"/>
                <w:kern w:val="0"/>
                <w:sz w:val="24"/>
              </w:rPr>
              <w:t>撒粉涂布烘干工序使用酒精（95%）0.5t/a，按全部挥发计，总VOCs产生量为0.475t/a；</w:t>
            </w:r>
          </w:p>
          <w:p w14:paraId="66957A59">
            <w:pPr>
              <w:spacing w:line="500" w:lineRule="exact"/>
              <w:ind w:firstLine="480" w:firstLineChars="200"/>
              <w:rPr>
                <w:kern w:val="0"/>
                <w:sz w:val="24"/>
              </w:rPr>
            </w:pPr>
            <w:r>
              <w:rPr>
                <w:rFonts w:hint="eastAsia"/>
                <w:kern w:val="0"/>
                <w:sz w:val="24"/>
              </w:rPr>
              <w:t>涂布工序使用PA树脂30t/a，其VOCs含量为 3g/kg，年用量为30t/a，总VOCs产生量为0.09t/a；</w:t>
            </w:r>
          </w:p>
          <w:p w14:paraId="379536A9">
            <w:pPr>
              <w:spacing w:line="500" w:lineRule="exact"/>
              <w:ind w:firstLine="480" w:firstLineChars="200"/>
              <w:rPr>
                <w:kern w:val="0"/>
                <w:sz w:val="24"/>
              </w:rPr>
            </w:pPr>
            <w:r>
              <w:rPr>
                <w:rFonts w:hint="eastAsia"/>
                <w:kern w:val="0"/>
                <w:sz w:val="24"/>
              </w:rPr>
              <w:t>故有组织VOCs总产生量为2.42+0.475+0.09=2.985t/a，产生速率为1.24375kg/h。</w:t>
            </w:r>
          </w:p>
          <w:p w14:paraId="33574809">
            <w:pPr>
              <w:spacing w:line="500" w:lineRule="exact"/>
              <w:ind w:firstLine="480" w:firstLineChars="200"/>
              <w:rPr>
                <w:kern w:val="0"/>
                <w:sz w:val="24"/>
              </w:rPr>
            </w:pPr>
            <w:r>
              <w:rPr>
                <w:kern w:val="0"/>
                <w:sz w:val="24"/>
              </w:rPr>
              <w:t>②</w:t>
            </w:r>
            <w:r>
              <w:rPr>
                <w:rFonts w:hint="eastAsia"/>
                <w:kern w:val="0"/>
                <w:sz w:val="24"/>
              </w:rPr>
              <w:t>镀锌钢卷切割工序产生的颗粒物</w:t>
            </w:r>
            <w:r>
              <w:rPr>
                <w:rFonts w:hint="eastAsia" w:ascii="Cambria Math" w:hAnsi="Cambria Math" w:cs="Cambria Math"/>
                <w:kern w:val="0"/>
                <w:sz w:val="24"/>
              </w:rPr>
              <w:t>（无组织）</w:t>
            </w:r>
          </w:p>
          <w:p w14:paraId="31929D47">
            <w:pPr>
              <w:spacing w:line="500" w:lineRule="exact"/>
              <w:ind w:firstLine="480" w:firstLineChars="200"/>
              <w:rPr>
                <w:kern w:val="0"/>
                <w:sz w:val="24"/>
              </w:rPr>
            </w:pPr>
            <w:r>
              <w:rPr>
                <w:rFonts w:hint="eastAsia"/>
                <w:kern w:val="0"/>
                <w:sz w:val="24"/>
              </w:rPr>
              <w:t>项目镀锌钢卷使用等离子进行切割，钢卷年用量800t/a，根据</w:t>
            </w:r>
            <w:r>
              <w:rPr>
                <w:kern w:val="0"/>
                <w:sz w:val="24"/>
              </w:rPr>
              <w:t>《排放源统计调查产排污核算方法和系数手册》中</w:t>
            </w:r>
            <w:r>
              <w:rPr>
                <w:rFonts w:hint="eastAsia"/>
                <w:kern w:val="0"/>
                <w:sz w:val="24"/>
              </w:rPr>
              <w:t xml:space="preserve"> 33-37,431-434机械行业系数手册，产污系数为1.1kg/吨原料，故颗粒物产生量为0.88t/a。</w:t>
            </w:r>
          </w:p>
          <w:p w14:paraId="2F6D03ED">
            <w:pPr>
              <w:pStyle w:val="50"/>
              <w:numPr>
                <w:ilvl w:val="0"/>
                <w:numId w:val="4"/>
              </w:numPr>
              <w:spacing w:line="500" w:lineRule="exact"/>
              <w:rPr>
                <w:kern w:val="0"/>
                <w:sz w:val="24"/>
              </w:rPr>
            </w:pPr>
            <w:r>
              <w:rPr>
                <w:rFonts w:hint="eastAsia"/>
                <w:kern w:val="0"/>
                <w:sz w:val="24"/>
              </w:rPr>
              <w:t>组装焊接工序产生的焊接烟尘（颗粒物）</w:t>
            </w:r>
            <w:r>
              <w:rPr>
                <w:rFonts w:hint="eastAsia" w:ascii="Cambria Math" w:hAnsi="Cambria Math" w:cs="Cambria Math"/>
                <w:kern w:val="0"/>
                <w:sz w:val="24"/>
              </w:rPr>
              <w:t>（无组织）</w:t>
            </w:r>
          </w:p>
          <w:p w14:paraId="5C850568">
            <w:pPr>
              <w:spacing w:line="500" w:lineRule="exact"/>
              <w:ind w:firstLine="480" w:firstLineChars="200"/>
              <w:rPr>
                <w:kern w:val="0"/>
                <w:sz w:val="24"/>
              </w:rPr>
            </w:pPr>
            <w:r>
              <w:rPr>
                <w:rFonts w:hint="eastAsia"/>
                <w:kern w:val="0"/>
                <w:sz w:val="24"/>
              </w:rPr>
              <w:t>项目焊接工序使用手工焊条进行焊接，焊条年用量2t/a，根据</w:t>
            </w:r>
            <w:r>
              <w:rPr>
                <w:kern w:val="0"/>
                <w:sz w:val="24"/>
              </w:rPr>
              <w:t>《排放源统计调查产排污核算方法和系数手册》中</w:t>
            </w:r>
            <w:r>
              <w:rPr>
                <w:rFonts w:hint="eastAsia"/>
                <w:kern w:val="0"/>
                <w:sz w:val="24"/>
              </w:rPr>
              <w:t xml:space="preserve"> 33-37,431-434机械行业系数手册，产污系数为20.2kg/吨原料，故颗粒物产生量为0.0404t/a。</w:t>
            </w:r>
          </w:p>
          <w:p w14:paraId="50839194">
            <w:pPr>
              <w:spacing w:line="500" w:lineRule="exact"/>
              <w:ind w:left="480"/>
              <w:rPr>
                <w:rFonts w:ascii="Cambria Math" w:hAnsi="Cambria Math" w:cs="Cambria Math"/>
                <w:kern w:val="0"/>
                <w:sz w:val="24"/>
              </w:rPr>
            </w:pPr>
            <w:r>
              <w:rPr>
                <w:rFonts w:ascii="Cambria Math" w:hAnsi="Cambria Math" w:cs="Cambria Math"/>
                <w:kern w:val="0"/>
                <w:sz w:val="24"/>
              </w:rPr>
              <w:t>④</w:t>
            </w:r>
            <w:r>
              <w:rPr>
                <w:rFonts w:hint="eastAsia" w:ascii="Cambria Math" w:hAnsi="Cambria Math" w:cs="Cambria Math"/>
                <w:kern w:val="0"/>
                <w:sz w:val="24"/>
              </w:rPr>
              <w:t>补漆工序产生的有机废气（无组织）</w:t>
            </w:r>
          </w:p>
          <w:p w14:paraId="6486E110">
            <w:pPr>
              <w:wordWrap w:val="0"/>
              <w:topLinePunct/>
              <w:spacing w:line="500" w:lineRule="exact"/>
              <w:ind w:left="-24" w:firstLine="450"/>
              <w:jc w:val="left"/>
              <w:rPr>
                <w:kern w:val="0"/>
                <w:sz w:val="24"/>
              </w:rPr>
            </w:pPr>
            <w:r>
              <w:rPr>
                <w:rFonts w:hint="eastAsia"/>
                <w:kern w:val="0"/>
                <w:sz w:val="24"/>
              </w:rPr>
              <w:t>过滤器组装焊接后，对部分焊疤进行补漆，使用瓶装自喷漆进行补漆，自喷漆年用量0.3t/a，根据厂家提供的MSDS，VOCs产生量为98g/L（密度取值1.1kg/L），故有机废气产生量为0.3*0.098/1.1=0.0267 t/a。</w:t>
            </w:r>
          </w:p>
          <w:p w14:paraId="42A77F5C">
            <w:pPr>
              <w:wordWrap w:val="0"/>
              <w:topLinePunct/>
              <w:spacing w:line="500" w:lineRule="exact"/>
              <w:ind w:left="-24" w:firstLine="450"/>
              <w:jc w:val="left"/>
              <w:rPr>
                <w:rFonts w:ascii="Cambria Math" w:hAnsi="Cambria Math" w:cs="Cambria Math"/>
                <w:kern w:val="0"/>
                <w:sz w:val="24"/>
              </w:rPr>
            </w:pPr>
            <w:r>
              <w:rPr>
                <w:rFonts w:ascii="Cambria Math" w:hAnsi="Cambria Math" w:cs="Cambria Math"/>
                <w:kern w:val="0"/>
                <w:sz w:val="24"/>
              </w:rPr>
              <w:t>⑤</w:t>
            </w:r>
            <w:r>
              <w:rPr>
                <w:rFonts w:hint="eastAsia" w:ascii="Cambria Math" w:hAnsi="Cambria Math" w:cs="Cambria Math"/>
                <w:kern w:val="0"/>
                <w:sz w:val="24"/>
              </w:rPr>
              <w:t>涂覆密封工序产生的有机废气（无组织）</w:t>
            </w:r>
          </w:p>
          <w:p w14:paraId="071EFB16">
            <w:pPr>
              <w:wordWrap w:val="0"/>
              <w:topLinePunct/>
              <w:spacing w:line="500" w:lineRule="exact"/>
              <w:ind w:left="-24" w:firstLine="450"/>
              <w:jc w:val="left"/>
              <w:rPr>
                <w:kern w:val="0"/>
                <w:sz w:val="24"/>
              </w:rPr>
            </w:pPr>
            <w:r>
              <w:rPr>
                <w:rFonts w:hint="eastAsia" w:ascii="Cambria Math" w:hAnsi="Cambria Math" w:cs="Cambria Math"/>
                <w:kern w:val="0"/>
                <w:sz w:val="24"/>
              </w:rPr>
              <w:t>涂覆密封工序使用密封胶对缝口进行密封，</w:t>
            </w:r>
            <w:r>
              <w:rPr>
                <w:rFonts w:hint="eastAsia"/>
                <w:kern w:val="0"/>
                <w:sz w:val="24"/>
              </w:rPr>
              <w:t>密封胶年用量0.5t/a，根据</w:t>
            </w:r>
            <w:r>
              <w:rPr>
                <w:kern w:val="0"/>
                <w:sz w:val="24"/>
              </w:rPr>
              <w:t>《排放源统计调查产排污核算方法和系数手册》中</w:t>
            </w:r>
            <w:r>
              <w:rPr>
                <w:rFonts w:hint="eastAsia"/>
                <w:kern w:val="0"/>
                <w:sz w:val="24"/>
              </w:rPr>
              <w:t xml:space="preserve"> 33-37,431-434机械行业系数手册，产污系数为60kg/吨原料，故有机废气产生量为0.03t/a。</w:t>
            </w:r>
          </w:p>
          <w:p w14:paraId="78A85D08">
            <w:pPr>
              <w:spacing w:line="500" w:lineRule="exact"/>
              <w:ind w:firstLine="480" w:firstLineChars="200"/>
              <w:rPr>
                <w:kern w:val="0"/>
                <w:sz w:val="24"/>
              </w:rPr>
            </w:pPr>
          </w:p>
          <w:p w14:paraId="6596413D">
            <w:pPr>
              <w:spacing w:line="500" w:lineRule="exact"/>
              <w:ind w:firstLine="480" w:firstLineChars="200"/>
              <w:rPr>
                <w:kern w:val="0"/>
                <w:sz w:val="24"/>
              </w:rPr>
            </w:pPr>
            <w:r>
              <w:rPr>
                <w:rFonts w:hint="eastAsia"/>
                <w:kern w:val="0"/>
                <w:sz w:val="24"/>
              </w:rPr>
              <w:t>本项目超声复合、撒粉涂布烘干</w:t>
            </w:r>
            <w:r>
              <w:rPr>
                <w:kern w:val="0"/>
                <w:sz w:val="24"/>
              </w:rPr>
              <w:t>均为全密封设备，设备有固定排放管(或口)直接与风管连接，设备整体密闭只留产品进出口</w:t>
            </w:r>
            <w:r>
              <w:rPr>
                <w:rFonts w:hint="eastAsia"/>
                <w:kern w:val="0"/>
                <w:sz w:val="24"/>
              </w:rPr>
              <w:t>，</w:t>
            </w:r>
            <w:r>
              <w:rPr>
                <w:kern w:val="0"/>
                <w:sz w:val="24"/>
              </w:rPr>
              <w:t>废气收集效率</w:t>
            </w:r>
            <w:r>
              <w:rPr>
                <w:rFonts w:hint="eastAsia"/>
                <w:kern w:val="0"/>
                <w:sz w:val="24"/>
              </w:rPr>
              <w:t>为100</w:t>
            </w:r>
            <w:r>
              <w:rPr>
                <w:kern w:val="0"/>
                <w:sz w:val="24"/>
              </w:rPr>
              <w:t>%。</w:t>
            </w:r>
            <w:r>
              <w:rPr>
                <w:rFonts w:hint="eastAsia"/>
                <w:kern w:val="0"/>
                <w:sz w:val="24"/>
              </w:rPr>
              <w:t>根据设备参数及既往经验，废气风量取值为20000 m</w:t>
            </w:r>
            <w:r>
              <w:rPr>
                <w:rFonts w:hint="eastAsia"/>
                <w:kern w:val="0"/>
                <w:sz w:val="24"/>
                <w:vertAlign w:val="superscript"/>
              </w:rPr>
              <w:t>3</w:t>
            </w:r>
            <w:r>
              <w:rPr>
                <w:rFonts w:hint="eastAsia"/>
                <w:kern w:val="0"/>
                <w:sz w:val="24"/>
              </w:rPr>
              <w:t>/h。</w:t>
            </w:r>
          </w:p>
          <w:p w14:paraId="0EDA316D">
            <w:pPr>
              <w:spacing w:line="500" w:lineRule="exact"/>
              <w:ind w:firstLine="480" w:firstLineChars="200"/>
              <w:rPr>
                <w:kern w:val="0"/>
                <w:sz w:val="24"/>
              </w:rPr>
            </w:pPr>
            <w:r>
              <w:rPr>
                <w:kern w:val="0"/>
                <w:sz w:val="24"/>
              </w:rPr>
              <w:t>本项目采用“</w:t>
            </w:r>
            <w:r>
              <w:rPr>
                <w:rFonts w:hint="eastAsia"/>
                <w:kern w:val="0"/>
                <w:sz w:val="24"/>
              </w:rPr>
              <w:t>二级静电油雾器+</w:t>
            </w:r>
            <w:r>
              <w:rPr>
                <w:kern w:val="0"/>
                <w:sz w:val="24"/>
              </w:rPr>
              <w:t>活性炭吸附</w:t>
            </w:r>
            <w:r>
              <w:rPr>
                <w:rFonts w:hint="eastAsia"/>
                <w:kern w:val="0"/>
                <w:sz w:val="24"/>
              </w:rPr>
              <w:t>+催化燃烧装置</w:t>
            </w:r>
            <w:r>
              <w:rPr>
                <w:kern w:val="0"/>
                <w:sz w:val="24"/>
              </w:rPr>
              <w:t>”对</w:t>
            </w:r>
            <w:r>
              <w:rPr>
                <w:rFonts w:hint="eastAsia"/>
                <w:kern w:val="0"/>
                <w:sz w:val="24"/>
              </w:rPr>
              <w:t>超声复合、撒粉涂布烘干生产线</w:t>
            </w:r>
            <w:r>
              <w:rPr>
                <w:kern w:val="0"/>
                <w:sz w:val="24"/>
              </w:rPr>
              <w:t>废气进行处理，有机废气去除率取</w:t>
            </w:r>
            <w:r>
              <w:rPr>
                <w:rFonts w:hint="eastAsia"/>
                <w:kern w:val="0"/>
                <w:sz w:val="24"/>
              </w:rPr>
              <w:t>9</w:t>
            </w:r>
            <w:r>
              <w:rPr>
                <w:kern w:val="0"/>
                <w:sz w:val="24"/>
              </w:rPr>
              <w:t>0%。</w:t>
            </w:r>
            <w:r>
              <w:rPr>
                <w:rFonts w:hint="eastAsia"/>
                <w:kern w:val="0"/>
                <w:sz w:val="24"/>
              </w:rPr>
              <w:t>有组织废气排放浓度为：VOCs 6.219 mg/m</w:t>
            </w:r>
            <w:r>
              <w:rPr>
                <w:rFonts w:hint="eastAsia"/>
                <w:kern w:val="0"/>
                <w:sz w:val="24"/>
                <w:vertAlign w:val="superscript"/>
              </w:rPr>
              <w:t>3</w:t>
            </w:r>
            <w:r>
              <w:rPr>
                <w:rFonts w:hint="eastAsia"/>
                <w:kern w:val="0"/>
                <w:sz w:val="24"/>
              </w:rPr>
              <w:t>，符合标准要求。</w:t>
            </w:r>
          </w:p>
          <w:p w14:paraId="621E6B3B">
            <w:pPr>
              <w:spacing w:line="500" w:lineRule="exact"/>
              <w:ind w:firstLine="480" w:firstLineChars="200"/>
              <w:rPr>
                <w:kern w:val="0"/>
                <w:sz w:val="24"/>
              </w:rPr>
            </w:pPr>
            <w:r>
              <w:rPr>
                <w:kern w:val="0"/>
                <w:sz w:val="24"/>
              </w:rPr>
              <w:t>（</w:t>
            </w:r>
            <w:r>
              <w:rPr>
                <w:rFonts w:hint="eastAsia"/>
                <w:kern w:val="0"/>
                <w:sz w:val="24"/>
              </w:rPr>
              <w:t>2</w:t>
            </w:r>
            <w:r>
              <w:rPr>
                <w:kern w:val="0"/>
                <w:sz w:val="24"/>
              </w:rPr>
              <w:t xml:space="preserve">）监测要求 </w:t>
            </w:r>
          </w:p>
          <w:p w14:paraId="4404A674">
            <w:pPr>
              <w:spacing w:line="500" w:lineRule="exact"/>
              <w:ind w:firstLine="480" w:firstLineChars="200"/>
              <w:rPr>
                <w:kern w:val="0"/>
                <w:sz w:val="24"/>
              </w:rPr>
            </w:pPr>
            <w:r>
              <w:rPr>
                <w:kern w:val="0"/>
                <w:sz w:val="24"/>
              </w:rPr>
              <w:t>参照</w:t>
            </w:r>
            <w:r>
              <w:rPr>
                <w:rFonts w:hint="eastAsia"/>
                <w:kern w:val="0"/>
                <w:sz w:val="24"/>
              </w:rPr>
              <w:t>《排污许可证申请与核发技术规范 纺织印染工业》(HJ 861-2017)</w:t>
            </w:r>
            <w:r>
              <w:rPr>
                <w:kern w:val="0"/>
                <w:sz w:val="24"/>
              </w:rPr>
              <w:t>、《排污单位自行监测技术指南 总则》（HJ 819-2017），项目运营期废气监测要求如下。</w:t>
            </w:r>
          </w:p>
          <w:p w14:paraId="017278D3">
            <w:pPr>
              <w:widowControl/>
              <w:jc w:val="center"/>
              <w:rPr>
                <w:rFonts w:ascii="瀹嬩綋" w:hAnsi="瀹嬩綋" w:eastAsia="瀹嬩綋" w:cs="瀹嬩綋"/>
                <w:b/>
                <w:bCs/>
                <w:color w:val="000000"/>
                <w:kern w:val="0"/>
                <w:szCs w:val="21"/>
                <w:lang w:bidi="ar"/>
              </w:rPr>
            </w:pPr>
            <w:r>
              <w:rPr>
                <w:rFonts w:ascii="瀹嬩綋" w:hAnsi="瀹嬩綋" w:eastAsia="瀹嬩綋" w:cs="瀹嬩綋"/>
                <w:b/>
                <w:bCs/>
                <w:color w:val="000000"/>
                <w:kern w:val="0"/>
                <w:szCs w:val="21"/>
                <w:lang w:bidi="ar"/>
              </w:rPr>
              <w:t>表</w:t>
            </w:r>
            <w:r>
              <w:rPr>
                <w:rFonts w:hint="eastAsia"/>
                <w:b/>
                <w:bCs/>
                <w:color w:val="000000"/>
                <w:kern w:val="0"/>
                <w:szCs w:val="21"/>
                <w:lang w:bidi="ar"/>
              </w:rPr>
              <w:t>4-6</w:t>
            </w:r>
            <w:r>
              <w:rPr>
                <w:rFonts w:ascii="瀹嬩綋" w:hAnsi="瀹嬩綋" w:eastAsia="瀹嬩綋" w:cs="瀹嬩綋"/>
                <w:b/>
                <w:bCs/>
                <w:color w:val="000000"/>
                <w:kern w:val="0"/>
                <w:szCs w:val="21"/>
                <w:lang w:bidi="ar"/>
              </w:rPr>
              <w:t xml:space="preserve"> 废气污染物监测汇总表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2399"/>
              <w:gridCol w:w="3377"/>
              <w:gridCol w:w="1633"/>
            </w:tblGrid>
            <w:tr w14:paraId="4787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Align w:val="center"/>
                </w:tcPr>
                <w:p w14:paraId="333BC41C">
                  <w:pPr>
                    <w:pStyle w:val="52"/>
                    <w:spacing w:line="240" w:lineRule="auto"/>
                    <w:ind w:firstLine="0"/>
                    <w:jc w:val="center"/>
                    <w:rPr>
                      <w:rFonts w:ascii="Times New Roman"/>
                      <w:b/>
                      <w:bCs/>
                      <w:sz w:val="21"/>
                      <w:szCs w:val="21"/>
                    </w:rPr>
                  </w:pPr>
                  <w:r>
                    <w:rPr>
                      <w:rFonts w:ascii="Times New Roman"/>
                      <w:b/>
                      <w:bCs/>
                      <w:sz w:val="21"/>
                      <w:szCs w:val="21"/>
                    </w:rPr>
                    <w:t>项目</w:t>
                  </w:r>
                </w:p>
              </w:tc>
              <w:tc>
                <w:tcPr>
                  <w:tcW w:w="1327" w:type="pct"/>
                  <w:vAlign w:val="center"/>
                </w:tcPr>
                <w:p w14:paraId="16DF23FE">
                  <w:pPr>
                    <w:pStyle w:val="52"/>
                    <w:spacing w:line="240" w:lineRule="auto"/>
                    <w:ind w:firstLine="0"/>
                    <w:jc w:val="center"/>
                    <w:rPr>
                      <w:rFonts w:ascii="Times New Roman"/>
                      <w:b/>
                      <w:bCs/>
                      <w:sz w:val="21"/>
                      <w:szCs w:val="21"/>
                    </w:rPr>
                  </w:pPr>
                  <w:r>
                    <w:rPr>
                      <w:rFonts w:ascii="Times New Roman"/>
                      <w:b/>
                      <w:bCs/>
                      <w:sz w:val="21"/>
                      <w:szCs w:val="21"/>
                    </w:rPr>
                    <w:t>监测点位</w:t>
                  </w:r>
                </w:p>
              </w:tc>
              <w:tc>
                <w:tcPr>
                  <w:tcW w:w="1868" w:type="pct"/>
                  <w:vAlign w:val="center"/>
                </w:tcPr>
                <w:p w14:paraId="09747522">
                  <w:pPr>
                    <w:pStyle w:val="52"/>
                    <w:spacing w:line="240" w:lineRule="auto"/>
                    <w:ind w:firstLine="0"/>
                    <w:jc w:val="center"/>
                    <w:rPr>
                      <w:rFonts w:ascii="Times New Roman"/>
                      <w:b/>
                      <w:bCs/>
                      <w:sz w:val="21"/>
                      <w:szCs w:val="21"/>
                    </w:rPr>
                  </w:pPr>
                  <w:r>
                    <w:rPr>
                      <w:rFonts w:ascii="Times New Roman"/>
                      <w:b/>
                      <w:bCs/>
                      <w:sz w:val="21"/>
                      <w:szCs w:val="21"/>
                    </w:rPr>
                    <w:t>监测内容</w:t>
                  </w:r>
                </w:p>
              </w:tc>
              <w:tc>
                <w:tcPr>
                  <w:tcW w:w="903" w:type="pct"/>
                  <w:vAlign w:val="center"/>
                </w:tcPr>
                <w:p w14:paraId="53BE531F">
                  <w:pPr>
                    <w:pStyle w:val="52"/>
                    <w:spacing w:line="240" w:lineRule="auto"/>
                    <w:ind w:firstLine="0"/>
                    <w:jc w:val="center"/>
                    <w:rPr>
                      <w:rFonts w:ascii="Times New Roman"/>
                      <w:b/>
                      <w:bCs/>
                      <w:sz w:val="21"/>
                      <w:szCs w:val="21"/>
                    </w:rPr>
                  </w:pPr>
                  <w:r>
                    <w:rPr>
                      <w:rFonts w:ascii="Times New Roman"/>
                      <w:b/>
                      <w:bCs/>
                      <w:sz w:val="21"/>
                      <w:szCs w:val="21"/>
                    </w:rPr>
                    <w:t>监测频率</w:t>
                  </w:r>
                </w:p>
              </w:tc>
            </w:tr>
            <w:tr w14:paraId="34CA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restart"/>
                  <w:vAlign w:val="center"/>
                </w:tcPr>
                <w:p w14:paraId="3A3E2225">
                  <w:pPr>
                    <w:pStyle w:val="52"/>
                    <w:spacing w:line="240" w:lineRule="auto"/>
                    <w:ind w:firstLine="0"/>
                    <w:jc w:val="center"/>
                    <w:rPr>
                      <w:rFonts w:ascii="Times New Roman"/>
                      <w:sz w:val="21"/>
                      <w:szCs w:val="21"/>
                    </w:rPr>
                  </w:pPr>
                  <w:r>
                    <w:rPr>
                      <w:rFonts w:ascii="Times New Roman"/>
                      <w:sz w:val="21"/>
                      <w:szCs w:val="21"/>
                    </w:rPr>
                    <w:t>废气</w:t>
                  </w:r>
                </w:p>
              </w:tc>
              <w:tc>
                <w:tcPr>
                  <w:tcW w:w="1327" w:type="pct"/>
                  <w:vMerge w:val="restart"/>
                  <w:vAlign w:val="center"/>
                </w:tcPr>
                <w:p w14:paraId="7CB0ACC5">
                  <w:pPr>
                    <w:pStyle w:val="52"/>
                    <w:spacing w:line="240" w:lineRule="auto"/>
                    <w:ind w:firstLine="0"/>
                    <w:jc w:val="center"/>
                    <w:rPr>
                      <w:rFonts w:ascii="Times New Roman"/>
                      <w:sz w:val="21"/>
                      <w:szCs w:val="21"/>
                    </w:rPr>
                  </w:pPr>
                  <w:r>
                    <w:rPr>
                      <w:rFonts w:ascii="Times New Roman"/>
                      <w:sz w:val="21"/>
                      <w:szCs w:val="21"/>
                    </w:rPr>
                    <w:t>DA001</w:t>
                  </w:r>
                </w:p>
              </w:tc>
              <w:tc>
                <w:tcPr>
                  <w:tcW w:w="1868" w:type="pct"/>
                  <w:vAlign w:val="center"/>
                </w:tcPr>
                <w:p w14:paraId="20E0FEC6">
                  <w:pPr>
                    <w:pStyle w:val="52"/>
                    <w:spacing w:line="240" w:lineRule="auto"/>
                    <w:ind w:firstLine="0"/>
                    <w:jc w:val="center"/>
                    <w:rPr>
                      <w:rFonts w:ascii="Times New Roman"/>
                      <w:sz w:val="21"/>
                      <w:szCs w:val="21"/>
                    </w:rPr>
                  </w:pPr>
                  <w:r>
                    <w:rPr>
                      <w:rFonts w:ascii="Times New Roman"/>
                      <w:sz w:val="21"/>
                      <w:szCs w:val="21"/>
                    </w:rPr>
                    <w:t>非甲烷总烃</w:t>
                  </w:r>
                </w:p>
              </w:tc>
              <w:tc>
                <w:tcPr>
                  <w:tcW w:w="903" w:type="pct"/>
                  <w:vAlign w:val="center"/>
                </w:tcPr>
                <w:p w14:paraId="729AB97C">
                  <w:pPr>
                    <w:pStyle w:val="52"/>
                    <w:spacing w:line="240" w:lineRule="auto"/>
                    <w:ind w:firstLine="0"/>
                    <w:jc w:val="center"/>
                    <w:rPr>
                      <w:rFonts w:ascii="Times New Roman"/>
                      <w:sz w:val="21"/>
                      <w:szCs w:val="21"/>
                    </w:rPr>
                  </w:pPr>
                  <w:r>
                    <w:rPr>
                      <w:rFonts w:ascii="Times New Roman"/>
                      <w:sz w:val="21"/>
                      <w:szCs w:val="21"/>
                    </w:rPr>
                    <w:t>1次/季</w:t>
                  </w:r>
                </w:p>
              </w:tc>
            </w:tr>
            <w:tr w14:paraId="3954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continue"/>
                  <w:vAlign w:val="center"/>
                </w:tcPr>
                <w:p w14:paraId="5FAD0E60">
                  <w:pPr>
                    <w:pStyle w:val="52"/>
                    <w:spacing w:line="240" w:lineRule="auto"/>
                    <w:ind w:firstLine="0"/>
                    <w:jc w:val="center"/>
                    <w:rPr>
                      <w:rFonts w:ascii="Times New Roman"/>
                      <w:sz w:val="21"/>
                      <w:szCs w:val="21"/>
                    </w:rPr>
                  </w:pPr>
                </w:p>
              </w:tc>
              <w:tc>
                <w:tcPr>
                  <w:tcW w:w="1327" w:type="pct"/>
                  <w:vMerge w:val="continue"/>
                  <w:vAlign w:val="center"/>
                </w:tcPr>
                <w:p w14:paraId="0D0D6CB8">
                  <w:pPr>
                    <w:pStyle w:val="52"/>
                    <w:spacing w:line="240" w:lineRule="auto"/>
                    <w:ind w:firstLine="0"/>
                    <w:jc w:val="center"/>
                    <w:rPr>
                      <w:rFonts w:ascii="Times New Roman"/>
                      <w:sz w:val="21"/>
                      <w:szCs w:val="21"/>
                    </w:rPr>
                  </w:pPr>
                </w:p>
              </w:tc>
              <w:tc>
                <w:tcPr>
                  <w:tcW w:w="1868" w:type="pct"/>
                  <w:vAlign w:val="center"/>
                </w:tcPr>
                <w:p w14:paraId="57107B46">
                  <w:pPr>
                    <w:pStyle w:val="52"/>
                    <w:spacing w:line="240" w:lineRule="auto"/>
                    <w:ind w:firstLine="0"/>
                    <w:jc w:val="center"/>
                    <w:rPr>
                      <w:rFonts w:ascii="Times New Roman"/>
                      <w:sz w:val="21"/>
                      <w:szCs w:val="21"/>
                    </w:rPr>
                  </w:pPr>
                  <w:r>
                    <w:rPr>
                      <w:rFonts w:ascii="Times New Roman"/>
                      <w:sz w:val="21"/>
                      <w:szCs w:val="21"/>
                    </w:rPr>
                    <w:t>臭气浓度</w:t>
                  </w:r>
                </w:p>
              </w:tc>
              <w:tc>
                <w:tcPr>
                  <w:tcW w:w="903" w:type="pct"/>
                  <w:vAlign w:val="center"/>
                </w:tcPr>
                <w:p w14:paraId="2E56219E">
                  <w:pPr>
                    <w:pStyle w:val="52"/>
                    <w:spacing w:line="240" w:lineRule="auto"/>
                    <w:ind w:firstLine="0"/>
                    <w:jc w:val="center"/>
                    <w:rPr>
                      <w:rFonts w:ascii="Times New Roman"/>
                      <w:sz w:val="21"/>
                      <w:szCs w:val="21"/>
                    </w:rPr>
                  </w:pPr>
                  <w:r>
                    <w:rPr>
                      <w:rFonts w:ascii="Times New Roman"/>
                      <w:sz w:val="21"/>
                      <w:szCs w:val="21"/>
                    </w:rPr>
                    <w:t>1次/半年</w:t>
                  </w:r>
                </w:p>
              </w:tc>
            </w:tr>
            <w:tr w14:paraId="4007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continue"/>
                  <w:vAlign w:val="center"/>
                </w:tcPr>
                <w:p w14:paraId="7AE06423">
                  <w:pPr>
                    <w:pStyle w:val="52"/>
                    <w:spacing w:line="240" w:lineRule="auto"/>
                    <w:ind w:firstLine="0"/>
                    <w:jc w:val="center"/>
                    <w:rPr>
                      <w:rFonts w:ascii="Times New Roman"/>
                      <w:sz w:val="21"/>
                      <w:szCs w:val="21"/>
                    </w:rPr>
                  </w:pPr>
                </w:p>
              </w:tc>
              <w:tc>
                <w:tcPr>
                  <w:tcW w:w="1327" w:type="pct"/>
                  <w:vMerge w:val="continue"/>
                  <w:vAlign w:val="center"/>
                </w:tcPr>
                <w:p w14:paraId="0D6E9CF6">
                  <w:pPr>
                    <w:pStyle w:val="52"/>
                    <w:spacing w:line="240" w:lineRule="auto"/>
                    <w:ind w:firstLine="0"/>
                    <w:jc w:val="center"/>
                    <w:rPr>
                      <w:rFonts w:ascii="Times New Roman"/>
                      <w:sz w:val="21"/>
                      <w:szCs w:val="21"/>
                    </w:rPr>
                  </w:pPr>
                </w:p>
              </w:tc>
              <w:tc>
                <w:tcPr>
                  <w:tcW w:w="1868" w:type="pct"/>
                  <w:vAlign w:val="center"/>
                </w:tcPr>
                <w:p w14:paraId="678841C9">
                  <w:pPr>
                    <w:pStyle w:val="52"/>
                    <w:spacing w:line="240" w:lineRule="auto"/>
                    <w:ind w:firstLine="0"/>
                    <w:jc w:val="center"/>
                    <w:rPr>
                      <w:rFonts w:ascii="Times New Roman"/>
                      <w:sz w:val="21"/>
                      <w:szCs w:val="21"/>
                    </w:rPr>
                  </w:pPr>
                  <w:r>
                    <w:rPr>
                      <w:rFonts w:ascii="Times New Roman"/>
                      <w:sz w:val="21"/>
                      <w:szCs w:val="21"/>
                    </w:rPr>
                    <w:t>氨</w:t>
                  </w:r>
                </w:p>
              </w:tc>
              <w:tc>
                <w:tcPr>
                  <w:tcW w:w="903" w:type="pct"/>
                  <w:vAlign w:val="center"/>
                </w:tcPr>
                <w:p w14:paraId="7150B39A">
                  <w:pPr>
                    <w:pStyle w:val="52"/>
                    <w:spacing w:line="240" w:lineRule="auto"/>
                    <w:ind w:firstLine="0"/>
                    <w:jc w:val="center"/>
                    <w:rPr>
                      <w:rFonts w:ascii="Times New Roman"/>
                      <w:sz w:val="21"/>
                      <w:szCs w:val="21"/>
                    </w:rPr>
                  </w:pPr>
                  <w:r>
                    <w:rPr>
                      <w:rFonts w:ascii="Times New Roman"/>
                      <w:sz w:val="21"/>
                      <w:szCs w:val="21"/>
                    </w:rPr>
                    <w:t>1次/半年</w:t>
                  </w:r>
                </w:p>
              </w:tc>
            </w:tr>
            <w:tr w14:paraId="241E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continue"/>
                  <w:vAlign w:val="center"/>
                </w:tcPr>
                <w:p w14:paraId="6B13D946">
                  <w:pPr>
                    <w:pStyle w:val="52"/>
                    <w:spacing w:line="240" w:lineRule="auto"/>
                    <w:ind w:firstLine="0"/>
                    <w:jc w:val="center"/>
                    <w:rPr>
                      <w:rFonts w:ascii="Times New Roman"/>
                      <w:sz w:val="21"/>
                      <w:szCs w:val="21"/>
                    </w:rPr>
                  </w:pPr>
                </w:p>
              </w:tc>
              <w:tc>
                <w:tcPr>
                  <w:tcW w:w="1327" w:type="pct"/>
                  <w:vMerge w:val="continue"/>
                  <w:vAlign w:val="center"/>
                </w:tcPr>
                <w:p w14:paraId="73834943">
                  <w:pPr>
                    <w:pStyle w:val="52"/>
                    <w:spacing w:line="240" w:lineRule="auto"/>
                    <w:ind w:firstLine="0"/>
                    <w:jc w:val="center"/>
                    <w:rPr>
                      <w:rFonts w:ascii="Times New Roman"/>
                      <w:sz w:val="21"/>
                      <w:szCs w:val="21"/>
                    </w:rPr>
                  </w:pPr>
                </w:p>
              </w:tc>
              <w:tc>
                <w:tcPr>
                  <w:tcW w:w="1868" w:type="pct"/>
                  <w:vAlign w:val="center"/>
                </w:tcPr>
                <w:p w14:paraId="0E9E92D8">
                  <w:pPr>
                    <w:pStyle w:val="52"/>
                    <w:spacing w:line="240" w:lineRule="auto"/>
                    <w:ind w:firstLine="0"/>
                    <w:jc w:val="center"/>
                    <w:rPr>
                      <w:rFonts w:ascii="Times New Roman"/>
                      <w:sz w:val="21"/>
                      <w:szCs w:val="21"/>
                    </w:rPr>
                  </w:pPr>
                  <w:r>
                    <w:rPr>
                      <w:rFonts w:hint="eastAsia" w:ascii="Times New Roman"/>
                      <w:sz w:val="21"/>
                      <w:szCs w:val="21"/>
                    </w:rPr>
                    <w:t>颗粒物</w:t>
                  </w:r>
                </w:p>
              </w:tc>
              <w:tc>
                <w:tcPr>
                  <w:tcW w:w="903" w:type="pct"/>
                  <w:vAlign w:val="center"/>
                </w:tcPr>
                <w:p w14:paraId="7474138D">
                  <w:pPr>
                    <w:pStyle w:val="52"/>
                    <w:spacing w:line="240" w:lineRule="auto"/>
                    <w:ind w:firstLine="0"/>
                    <w:jc w:val="center"/>
                    <w:rPr>
                      <w:rFonts w:ascii="Times New Roman"/>
                      <w:sz w:val="21"/>
                      <w:szCs w:val="21"/>
                    </w:rPr>
                  </w:pPr>
                  <w:r>
                    <w:rPr>
                      <w:rFonts w:ascii="Times New Roman"/>
                      <w:sz w:val="21"/>
                      <w:szCs w:val="21"/>
                    </w:rPr>
                    <w:t>1次/半年</w:t>
                  </w:r>
                </w:p>
              </w:tc>
            </w:tr>
            <w:tr w14:paraId="72C6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continue"/>
                  <w:vAlign w:val="center"/>
                </w:tcPr>
                <w:p w14:paraId="525FD447">
                  <w:pPr>
                    <w:pStyle w:val="52"/>
                    <w:spacing w:line="240" w:lineRule="auto"/>
                    <w:jc w:val="center"/>
                    <w:rPr>
                      <w:rFonts w:ascii="Times New Roman"/>
                      <w:sz w:val="21"/>
                      <w:szCs w:val="21"/>
                    </w:rPr>
                  </w:pPr>
                </w:p>
              </w:tc>
              <w:tc>
                <w:tcPr>
                  <w:tcW w:w="1327" w:type="pct"/>
                  <w:vMerge w:val="restart"/>
                  <w:vAlign w:val="center"/>
                </w:tcPr>
                <w:p w14:paraId="415F805C">
                  <w:pPr>
                    <w:pStyle w:val="52"/>
                    <w:spacing w:line="240" w:lineRule="auto"/>
                    <w:ind w:firstLine="0"/>
                    <w:jc w:val="center"/>
                    <w:rPr>
                      <w:rFonts w:ascii="Times New Roman"/>
                      <w:sz w:val="21"/>
                      <w:szCs w:val="21"/>
                    </w:rPr>
                  </w:pPr>
                  <w:r>
                    <w:rPr>
                      <w:rFonts w:ascii="Times New Roman"/>
                      <w:sz w:val="21"/>
                      <w:szCs w:val="21"/>
                    </w:rPr>
                    <w:t>厂界上、下风向</w:t>
                  </w:r>
                </w:p>
              </w:tc>
              <w:tc>
                <w:tcPr>
                  <w:tcW w:w="1868" w:type="pct"/>
                  <w:vAlign w:val="center"/>
                </w:tcPr>
                <w:p w14:paraId="07CC17BA">
                  <w:pPr>
                    <w:pStyle w:val="52"/>
                    <w:spacing w:line="240" w:lineRule="auto"/>
                    <w:ind w:firstLine="0"/>
                    <w:jc w:val="center"/>
                    <w:rPr>
                      <w:rFonts w:ascii="Times New Roman"/>
                      <w:sz w:val="21"/>
                      <w:szCs w:val="21"/>
                    </w:rPr>
                  </w:pPr>
                  <w:r>
                    <w:rPr>
                      <w:rFonts w:ascii="Times New Roman"/>
                      <w:sz w:val="21"/>
                      <w:szCs w:val="21"/>
                    </w:rPr>
                    <w:t>非甲烷总烃</w:t>
                  </w:r>
                </w:p>
              </w:tc>
              <w:tc>
                <w:tcPr>
                  <w:tcW w:w="903" w:type="pct"/>
                  <w:vAlign w:val="center"/>
                </w:tcPr>
                <w:p w14:paraId="3BB6E6EE">
                  <w:pPr>
                    <w:pStyle w:val="52"/>
                    <w:spacing w:line="240" w:lineRule="auto"/>
                    <w:ind w:firstLine="0"/>
                    <w:jc w:val="center"/>
                    <w:rPr>
                      <w:rFonts w:ascii="Times New Roman"/>
                      <w:sz w:val="21"/>
                      <w:szCs w:val="21"/>
                    </w:rPr>
                  </w:pPr>
                  <w:r>
                    <w:rPr>
                      <w:rFonts w:ascii="Times New Roman"/>
                      <w:sz w:val="21"/>
                      <w:szCs w:val="21"/>
                    </w:rPr>
                    <w:t>1次/半年</w:t>
                  </w:r>
                </w:p>
              </w:tc>
            </w:tr>
            <w:tr w14:paraId="3841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continue"/>
                  <w:vAlign w:val="center"/>
                </w:tcPr>
                <w:p w14:paraId="310704AF">
                  <w:pPr>
                    <w:pStyle w:val="52"/>
                    <w:spacing w:line="240" w:lineRule="auto"/>
                    <w:jc w:val="center"/>
                    <w:rPr>
                      <w:rFonts w:ascii="Times New Roman"/>
                      <w:sz w:val="21"/>
                      <w:szCs w:val="21"/>
                    </w:rPr>
                  </w:pPr>
                </w:p>
              </w:tc>
              <w:tc>
                <w:tcPr>
                  <w:tcW w:w="1327" w:type="pct"/>
                  <w:vMerge w:val="continue"/>
                  <w:vAlign w:val="center"/>
                </w:tcPr>
                <w:p w14:paraId="754B7EB8">
                  <w:pPr>
                    <w:pStyle w:val="52"/>
                    <w:spacing w:line="240" w:lineRule="auto"/>
                    <w:ind w:firstLine="0"/>
                    <w:jc w:val="center"/>
                    <w:rPr>
                      <w:rFonts w:ascii="Times New Roman"/>
                      <w:sz w:val="21"/>
                      <w:szCs w:val="21"/>
                    </w:rPr>
                  </w:pPr>
                </w:p>
              </w:tc>
              <w:tc>
                <w:tcPr>
                  <w:tcW w:w="1868" w:type="pct"/>
                  <w:vAlign w:val="center"/>
                </w:tcPr>
                <w:p w14:paraId="6C494E2E">
                  <w:pPr>
                    <w:pStyle w:val="52"/>
                    <w:spacing w:line="240" w:lineRule="auto"/>
                    <w:ind w:firstLine="0"/>
                    <w:jc w:val="center"/>
                    <w:rPr>
                      <w:rFonts w:ascii="Times New Roman"/>
                      <w:sz w:val="21"/>
                      <w:szCs w:val="21"/>
                    </w:rPr>
                  </w:pPr>
                  <w:r>
                    <w:rPr>
                      <w:rFonts w:ascii="Times New Roman"/>
                      <w:sz w:val="21"/>
                      <w:szCs w:val="21"/>
                    </w:rPr>
                    <w:t>颗粒物</w:t>
                  </w:r>
                </w:p>
              </w:tc>
              <w:tc>
                <w:tcPr>
                  <w:tcW w:w="903" w:type="pct"/>
                  <w:vAlign w:val="center"/>
                </w:tcPr>
                <w:p w14:paraId="534925EF">
                  <w:pPr>
                    <w:pStyle w:val="52"/>
                    <w:spacing w:line="240" w:lineRule="auto"/>
                    <w:ind w:firstLine="0"/>
                    <w:jc w:val="center"/>
                    <w:rPr>
                      <w:rFonts w:ascii="Times New Roman"/>
                      <w:sz w:val="21"/>
                      <w:szCs w:val="21"/>
                    </w:rPr>
                  </w:pPr>
                  <w:r>
                    <w:rPr>
                      <w:rFonts w:ascii="Times New Roman"/>
                      <w:sz w:val="21"/>
                      <w:szCs w:val="21"/>
                    </w:rPr>
                    <w:t>1次/半年</w:t>
                  </w:r>
                </w:p>
              </w:tc>
            </w:tr>
            <w:tr w14:paraId="0B1E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continue"/>
                  <w:vAlign w:val="center"/>
                </w:tcPr>
                <w:p w14:paraId="34679F16">
                  <w:pPr>
                    <w:pStyle w:val="52"/>
                    <w:spacing w:line="240" w:lineRule="auto"/>
                    <w:jc w:val="center"/>
                    <w:rPr>
                      <w:rFonts w:ascii="Times New Roman"/>
                      <w:sz w:val="21"/>
                      <w:szCs w:val="21"/>
                    </w:rPr>
                  </w:pPr>
                </w:p>
              </w:tc>
              <w:tc>
                <w:tcPr>
                  <w:tcW w:w="1327" w:type="pct"/>
                  <w:vMerge w:val="continue"/>
                  <w:vAlign w:val="center"/>
                </w:tcPr>
                <w:p w14:paraId="064EE34A">
                  <w:pPr>
                    <w:pStyle w:val="52"/>
                    <w:spacing w:line="240" w:lineRule="auto"/>
                    <w:ind w:firstLine="0"/>
                    <w:jc w:val="center"/>
                    <w:rPr>
                      <w:rFonts w:ascii="Times New Roman"/>
                      <w:sz w:val="21"/>
                      <w:szCs w:val="21"/>
                    </w:rPr>
                  </w:pPr>
                </w:p>
              </w:tc>
              <w:tc>
                <w:tcPr>
                  <w:tcW w:w="1868" w:type="pct"/>
                  <w:vAlign w:val="center"/>
                </w:tcPr>
                <w:p w14:paraId="1B724EA0">
                  <w:pPr>
                    <w:pStyle w:val="52"/>
                    <w:spacing w:line="240" w:lineRule="auto"/>
                    <w:ind w:firstLine="0"/>
                    <w:jc w:val="center"/>
                    <w:rPr>
                      <w:rFonts w:ascii="Times New Roman"/>
                      <w:sz w:val="21"/>
                      <w:szCs w:val="21"/>
                    </w:rPr>
                  </w:pPr>
                  <w:r>
                    <w:rPr>
                      <w:rFonts w:ascii="Times New Roman"/>
                      <w:sz w:val="21"/>
                      <w:szCs w:val="21"/>
                    </w:rPr>
                    <w:t>臭气浓度</w:t>
                  </w:r>
                </w:p>
              </w:tc>
              <w:tc>
                <w:tcPr>
                  <w:tcW w:w="903" w:type="pct"/>
                  <w:vAlign w:val="center"/>
                </w:tcPr>
                <w:p w14:paraId="0B3F0135">
                  <w:pPr>
                    <w:pStyle w:val="52"/>
                    <w:spacing w:line="240" w:lineRule="auto"/>
                    <w:ind w:firstLine="0"/>
                    <w:jc w:val="center"/>
                    <w:rPr>
                      <w:rFonts w:ascii="Times New Roman"/>
                      <w:sz w:val="21"/>
                      <w:szCs w:val="21"/>
                    </w:rPr>
                  </w:pPr>
                  <w:r>
                    <w:rPr>
                      <w:rFonts w:ascii="Times New Roman"/>
                      <w:sz w:val="21"/>
                      <w:szCs w:val="21"/>
                    </w:rPr>
                    <w:t>1次/半年</w:t>
                  </w:r>
                </w:p>
              </w:tc>
            </w:tr>
            <w:tr w14:paraId="2C51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vMerge w:val="continue"/>
                  <w:vAlign w:val="center"/>
                </w:tcPr>
                <w:p w14:paraId="190FD64A">
                  <w:pPr>
                    <w:pStyle w:val="52"/>
                    <w:spacing w:line="240" w:lineRule="auto"/>
                    <w:jc w:val="center"/>
                    <w:rPr>
                      <w:rFonts w:ascii="Times New Roman"/>
                      <w:sz w:val="21"/>
                      <w:szCs w:val="21"/>
                    </w:rPr>
                  </w:pPr>
                </w:p>
              </w:tc>
              <w:tc>
                <w:tcPr>
                  <w:tcW w:w="1327" w:type="pct"/>
                  <w:vMerge w:val="continue"/>
                  <w:vAlign w:val="center"/>
                </w:tcPr>
                <w:p w14:paraId="0F9C971F">
                  <w:pPr>
                    <w:pStyle w:val="52"/>
                    <w:spacing w:line="240" w:lineRule="auto"/>
                    <w:ind w:firstLine="0"/>
                    <w:jc w:val="center"/>
                    <w:rPr>
                      <w:rFonts w:ascii="Times New Roman"/>
                      <w:sz w:val="21"/>
                      <w:szCs w:val="21"/>
                    </w:rPr>
                  </w:pPr>
                </w:p>
              </w:tc>
              <w:tc>
                <w:tcPr>
                  <w:tcW w:w="1868" w:type="pct"/>
                  <w:vAlign w:val="center"/>
                </w:tcPr>
                <w:p w14:paraId="055E499F">
                  <w:pPr>
                    <w:pStyle w:val="52"/>
                    <w:spacing w:line="240" w:lineRule="auto"/>
                    <w:ind w:firstLine="0"/>
                    <w:jc w:val="center"/>
                    <w:rPr>
                      <w:rFonts w:ascii="Times New Roman"/>
                      <w:sz w:val="21"/>
                      <w:szCs w:val="21"/>
                    </w:rPr>
                  </w:pPr>
                  <w:r>
                    <w:rPr>
                      <w:rFonts w:ascii="Times New Roman"/>
                      <w:sz w:val="21"/>
                      <w:szCs w:val="21"/>
                    </w:rPr>
                    <w:t>氨</w:t>
                  </w:r>
                </w:p>
              </w:tc>
              <w:tc>
                <w:tcPr>
                  <w:tcW w:w="903" w:type="pct"/>
                  <w:vAlign w:val="center"/>
                </w:tcPr>
                <w:p w14:paraId="0D3B0593">
                  <w:pPr>
                    <w:pStyle w:val="52"/>
                    <w:spacing w:line="240" w:lineRule="auto"/>
                    <w:ind w:firstLine="0"/>
                    <w:jc w:val="center"/>
                    <w:rPr>
                      <w:rFonts w:ascii="Times New Roman"/>
                      <w:sz w:val="21"/>
                      <w:szCs w:val="21"/>
                    </w:rPr>
                  </w:pPr>
                  <w:r>
                    <w:rPr>
                      <w:rFonts w:ascii="Times New Roman"/>
                      <w:sz w:val="21"/>
                      <w:szCs w:val="21"/>
                    </w:rPr>
                    <w:t>1次/半年</w:t>
                  </w:r>
                </w:p>
              </w:tc>
            </w:tr>
          </w:tbl>
          <w:p w14:paraId="4E46FB69">
            <w:pPr>
              <w:spacing w:line="500" w:lineRule="exact"/>
              <w:ind w:firstLine="480" w:firstLineChars="200"/>
              <w:rPr>
                <w:kern w:val="0"/>
                <w:sz w:val="24"/>
              </w:rPr>
            </w:pPr>
            <w:r>
              <w:rPr>
                <w:kern w:val="0"/>
                <w:sz w:val="24"/>
              </w:rPr>
              <w:t>（</w:t>
            </w:r>
            <w:r>
              <w:rPr>
                <w:rFonts w:hint="eastAsia"/>
                <w:kern w:val="0"/>
                <w:sz w:val="24"/>
              </w:rPr>
              <w:t>3</w:t>
            </w:r>
            <w:r>
              <w:rPr>
                <w:kern w:val="0"/>
                <w:sz w:val="24"/>
              </w:rPr>
              <w:t xml:space="preserve">）非正常工况 </w:t>
            </w:r>
          </w:p>
          <w:p w14:paraId="1427C7E9">
            <w:pPr>
              <w:spacing w:line="500" w:lineRule="exact"/>
              <w:ind w:firstLine="480" w:firstLineChars="200"/>
              <w:rPr>
                <w:kern w:val="0"/>
                <w:sz w:val="24"/>
              </w:rPr>
            </w:pPr>
            <w:r>
              <w:rPr>
                <w:kern w:val="0"/>
                <w:sz w:val="24"/>
              </w:rPr>
              <w:t>根据建设单位提供的信息，项目设备开车时同步开启配套污染治理设施，因此，项目开车、停车时不涉及废气非正常排放，建设项目废气涉及到的非正常排放主要是废气处理设施发生故障，考虑下列情况：</w:t>
            </w:r>
          </w:p>
          <w:p w14:paraId="552CE42D">
            <w:pPr>
              <w:spacing w:line="500" w:lineRule="exact"/>
              <w:ind w:firstLine="480" w:firstLineChars="200"/>
              <w:rPr>
                <w:kern w:val="0"/>
                <w:sz w:val="24"/>
              </w:rPr>
            </w:pPr>
            <w:r>
              <w:rPr>
                <w:kern w:val="0"/>
                <w:sz w:val="24"/>
              </w:rPr>
              <w:t>①DA001 排气筒考虑处理设施故障，达不到设计的去除效率，项目考虑非正常排放是对废气的去除效率下降为零。</w:t>
            </w:r>
          </w:p>
          <w:p w14:paraId="792D2C6D">
            <w:pPr>
              <w:spacing w:line="500" w:lineRule="exact"/>
              <w:ind w:firstLine="480" w:firstLineChars="200"/>
              <w:rPr>
                <w:kern w:val="0"/>
                <w:sz w:val="24"/>
              </w:rPr>
            </w:pPr>
            <w:r>
              <w:rPr>
                <w:kern w:val="0"/>
                <w:sz w:val="24"/>
              </w:rPr>
              <w:t>出现以上事故后，企业通过采取及时、有效的应对措施，一般可控制在 1h 内恢复正常，因此按 1h 进行事故排放源强估算，建设项目非正常排放源强见下表。</w:t>
            </w:r>
          </w:p>
          <w:p w14:paraId="550E53D2">
            <w:pPr>
              <w:widowControl/>
              <w:jc w:val="center"/>
              <w:rPr>
                <w:kern w:val="0"/>
                <w:sz w:val="24"/>
              </w:rPr>
            </w:pPr>
            <w:r>
              <w:rPr>
                <w:rFonts w:ascii="瀹嬩綋" w:hAnsi="瀹嬩綋" w:eastAsia="瀹嬩綋" w:cs="瀹嬩綋"/>
                <w:b/>
                <w:bCs/>
                <w:color w:val="000000"/>
                <w:kern w:val="0"/>
                <w:szCs w:val="21"/>
                <w:lang w:bidi="ar"/>
              </w:rPr>
              <w:t>表</w:t>
            </w:r>
            <w:r>
              <w:rPr>
                <w:rFonts w:hint="eastAsia"/>
                <w:b/>
                <w:bCs/>
                <w:color w:val="000000"/>
                <w:kern w:val="0"/>
                <w:szCs w:val="21"/>
                <w:lang w:bidi="ar"/>
              </w:rPr>
              <w:t>4-7</w:t>
            </w:r>
            <w:r>
              <w:rPr>
                <w:rFonts w:ascii="瀹嬩綋" w:hAnsi="瀹嬩綋" w:eastAsia="瀹嬩綋" w:cs="瀹嬩綋"/>
                <w:b/>
                <w:bCs/>
                <w:color w:val="000000"/>
                <w:kern w:val="0"/>
                <w:szCs w:val="21"/>
                <w:lang w:bidi="ar"/>
              </w:rPr>
              <w:t xml:space="preserve"> 大气污染物非正常工况排放量核算表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006"/>
              <w:gridCol w:w="1000"/>
              <w:gridCol w:w="1000"/>
              <w:gridCol w:w="1031"/>
              <w:gridCol w:w="1006"/>
              <w:gridCol w:w="1000"/>
              <w:gridCol w:w="1000"/>
              <w:gridCol w:w="1001"/>
            </w:tblGrid>
            <w:tr w14:paraId="77D4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21B293CE">
                  <w:pPr>
                    <w:widowControl/>
                    <w:jc w:val="center"/>
                    <w:rPr>
                      <w:kern w:val="0"/>
                      <w:sz w:val="20"/>
                      <w:szCs w:val="20"/>
                    </w:rPr>
                  </w:pPr>
                  <w:r>
                    <w:rPr>
                      <w:b/>
                      <w:bCs/>
                      <w:color w:val="000000"/>
                      <w:kern w:val="0"/>
                      <w:sz w:val="20"/>
                      <w:szCs w:val="20"/>
                      <w:lang w:bidi="ar"/>
                    </w:rPr>
                    <w:t>排气筒编号</w:t>
                  </w:r>
                </w:p>
              </w:tc>
              <w:tc>
                <w:tcPr>
                  <w:tcW w:w="556" w:type="pct"/>
                  <w:vAlign w:val="center"/>
                </w:tcPr>
                <w:p w14:paraId="5ADD0A9E">
                  <w:pPr>
                    <w:widowControl/>
                    <w:jc w:val="center"/>
                    <w:rPr>
                      <w:kern w:val="0"/>
                      <w:sz w:val="20"/>
                      <w:szCs w:val="20"/>
                    </w:rPr>
                  </w:pPr>
                  <w:r>
                    <w:rPr>
                      <w:b/>
                      <w:bCs/>
                      <w:color w:val="000000"/>
                      <w:kern w:val="0"/>
                      <w:sz w:val="20"/>
                      <w:szCs w:val="20"/>
                      <w:lang w:bidi="ar"/>
                    </w:rPr>
                    <w:t>污染源</w:t>
                  </w:r>
                </w:p>
              </w:tc>
              <w:tc>
                <w:tcPr>
                  <w:tcW w:w="553" w:type="pct"/>
                  <w:vAlign w:val="center"/>
                </w:tcPr>
                <w:p w14:paraId="6CED45DC">
                  <w:pPr>
                    <w:widowControl/>
                    <w:jc w:val="center"/>
                    <w:rPr>
                      <w:kern w:val="0"/>
                      <w:sz w:val="20"/>
                      <w:szCs w:val="20"/>
                    </w:rPr>
                  </w:pPr>
                  <w:r>
                    <w:rPr>
                      <w:b/>
                      <w:bCs/>
                      <w:color w:val="000000"/>
                      <w:kern w:val="0"/>
                      <w:sz w:val="20"/>
                      <w:szCs w:val="20"/>
                      <w:lang w:bidi="ar"/>
                    </w:rPr>
                    <w:t>非正常排放原因</w:t>
                  </w:r>
                </w:p>
              </w:tc>
              <w:tc>
                <w:tcPr>
                  <w:tcW w:w="553" w:type="pct"/>
                  <w:vAlign w:val="center"/>
                </w:tcPr>
                <w:p w14:paraId="659DE96D">
                  <w:pPr>
                    <w:widowControl/>
                    <w:jc w:val="center"/>
                    <w:rPr>
                      <w:kern w:val="0"/>
                      <w:sz w:val="20"/>
                      <w:szCs w:val="20"/>
                    </w:rPr>
                  </w:pPr>
                  <w:r>
                    <w:rPr>
                      <w:b/>
                      <w:bCs/>
                      <w:color w:val="000000"/>
                      <w:kern w:val="0"/>
                      <w:sz w:val="20"/>
                      <w:szCs w:val="20"/>
                      <w:lang w:bidi="ar"/>
                    </w:rPr>
                    <w:t>污染物</w:t>
                  </w:r>
                </w:p>
              </w:tc>
              <w:tc>
                <w:tcPr>
                  <w:tcW w:w="570" w:type="pct"/>
                  <w:vAlign w:val="center"/>
                </w:tcPr>
                <w:p w14:paraId="7610F900">
                  <w:pPr>
                    <w:widowControl/>
                    <w:jc w:val="center"/>
                    <w:rPr>
                      <w:kern w:val="0"/>
                      <w:sz w:val="20"/>
                      <w:szCs w:val="20"/>
                    </w:rPr>
                  </w:pPr>
                  <w:r>
                    <w:rPr>
                      <w:b/>
                      <w:bCs/>
                      <w:color w:val="000000"/>
                      <w:kern w:val="0"/>
                      <w:sz w:val="20"/>
                      <w:szCs w:val="20"/>
                      <w:lang w:bidi="ar"/>
                    </w:rPr>
                    <w:t>非正常排放速率(kg/h)</w:t>
                  </w:r>
                </w:p>
              </w:tc>
              <w:tc>
                <w:tcPr>
                  <w:tcW w:w="556" w:type="pct"/>
                  <w:vAlign w:val="center"/>
                </w:tcPr>
                <w:p w14:paraId="042D5F41">
                  <w:pPr>
                    <w:widowControl/>
                    <w:jc w:val="center"/>
                    <w:rPr>
                      <w:sz w:val="20"/>
                      <w:szCs w:val="20"/>
                    </w:rPr>
                  </w:pPr>
                  <w:r>
                    <w:rPr>
                      <w:b/>
                      <w:bCs/>
                      <w:color w:val="000000"/>
                      <w:kern w:val="0"/>
                      <w:sz w:val="20"/>
                      <w:szCs w:val="20"/>
                      <w:lang w:bidi="ar"/>
                    </w:rPr>
                    <w:t>非正常排放浓度</w:t>
                  </w:r>
                </w:p>
                <w:p w14:paraId="5BABE39A">
                  <w:pPr>
                    <w:widowControl/>
                    <w:jc w:val="center"/>
                    <w:rPr>
                      <w:kern w:val="0"/>
                      <w:sz w:val="20"/>
                      <w:szCs w:val="20"/>
                    </w:rPr>
                  </w:pPr>
                  <w:r>
                    <w:rPr>
                      <w:b/>
                      <w:bCs/>
                      <w:color w:val="000000"/>
                      <w:kern w:val="0"/>
                      <w:sz w:val="20"/>
                      <w:szCs w:val="20"/>
                      <w:lang w:bidi="ar"/>
                    </w:rPr>
                    <w:t>(mg/m</w:t>
                  </w:r>
                  <w:r>
                    <w:rPr>
                      <w:b/>
                      <w:bCs/>
                      <w:color w:val="000000"/>
                      <w:kern w:val="0"/>
                      <w:sz w:val="20"/>
                      <w:szCs w:val="20"/>
                      <w:vertAlign w:val="superscript"/>
                      <w:lang w:bidi="ar"/>
                    </w:rPr>
                    <w:t>3</w:t>
                  </w:r>
                  <w:r>
                    <w:rPr>
                      <w:b/>
                      <w:bCs/>
                      <w:color w:val="000000"/>
                      <w:kern w:val="0"/>
                      <w:sz w:val="20"/>
                      <w:szCs w:val="20"/>
                      <w:lang w:bidi="ar"/>
                    </w:rPr>
                    <w:t>)</w:t>
                  </w:r>
                </w:p>
              </w:tc>
              <w:tc>
                <w:tcPr>
                  <w:tcW w:w="553" w:type="pct"/>
                  <w:vAlign w:val="center"/>
                </w:tcPr>
                <w:p w14:paraId="6C47847A">
                  <w:pPr>
                    <w:widowControl/>
                    <w:jc w:val="center"/>
                    <w:rPr>
                      <w:sz w:val="20"/>
                      <w:szCs w:val="20"/>
                    </w:rPr>
                  </w:pPr>
                  <w:r>
                    <w:rPr>
                      <w:b/>
                      <w:bCs/>
                      <w:color w:val="000000"/>
                      <w:kern w:val="0"/>
                      <w:sz w:val="20"/>
                      <w:szCs w:val="20"/>
                      <w:lang w:bidi="ar"/>
                    </w:rPr>
                    <w:t>单次持</w:t>
                  </w:r>
                </w:p>
                <w:p w14:paraId="0EB22DFD">
                  <w:pPr>
                    <w:widowControl/>
                    <w:jc w:val="center"/>
                    <w:rPr>
                      <w:kern w:val="0"/>
                      <w:sz w:val="20"/>
                      <w:szCs w:val="20"/>
                    </w:rPr>
                  </w:pPr>
                  <w:r>
                    <w:rPr>
                      <w:b/>
                      <w:bCs/>
                      <w:color w:val="000000"/>
                      <w:kern w:val="0"/>
                      <w:sz w:val="20"/>
                      <w:szCs w:val="20"/>
                      <w:lang w:bidi="ar"/>
                    </w:rPr>
                    <w:t>续时间/h</w:t>
                  </w:r>
                </w:p>
              </w:tc>
              <w:tc>
                <w:tcPr>
                  <w:tcW w:w="553" w:type="pct"/>
                  <w:vAlign w:val="center"/>
                </w:tcPr>
                <w:p w14:paraId="649B0B84">
                  <w:pPr>
                    <w:widowControl/>
                    <w:jc w:val="center"/>
                    <w:rPr>
                      <w:kern w:val="0"/>
                      <w:sz w:val="20"/>
                      <w:szCs w:val="20"/>
                    </w:rPr>
                  </w:pPr>
                  <w:r>
                    <w:rPr>
                      <w:b/>
                      <w:bCs/>
                      <w:color w:val="000000"/>
                      <w:kern w:val="0"/>
                      <w:sz w:val="20"/>
                      <w:szCs w:val="20"/>
                      <w:lang w:bidi="ar"/>
                    </w:rPr>
                    <w:t>年发生频次</w:t>
                  </w:r>
                </w:p>
              </w:tc>
              <w:tc>
                <w:tcPr>
                  <w:tcW w:w="553" w:type="pct"/>
                  <w:vAlign w:val="center"/>
                </w:tcPr>
                <w:p w14:paraId="2B15A12B">
                  <w:pPr>
                    <w:widowControl/>
                    <w:jc w:val="center"/>
                    <w:rPr>
                      <w:kern w:val="0"/>
                      <w:sz w:val="20"/>
                      <w:szCs w:val="20"/>
                    </w:rPr>
                  </w:pPr>
                  <w:r>
                    <w:rPr>
                      <w:b/>
                      <w:bCs/>
                      <w:color w:val="000000"/>
                      <w:kern w:val="0"/>
                      <w:sz w:val="20"/>
                      <w:szCs w:val="20"/>
                      <w:lang w:bidi="ar"/>
                    </w:rPr>
                    <w:t>应对措施</w:t>
                  </w:r>
                </w:p>
              </w:tc>
            </w:tr>
            <w:tr w14:paraId="320E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375ABCB7">
                  <w:pPr>
                    <w:widowControl/>
                    <w:jc w:val="center"/>
                    <w:rPr>
                      <w:kern w:val="0"/>
                      <w:sz w:val="20"/>
                      <w:szCs w:val="20"/>
                    </w:rPr>
                  </w:pPr>
                  <w:r>
                    <w:rPr>
                      <w:color w:val="000000"/>
                      <w:kern w:val="0"/>
                      <w:sz w:val="20"/>
                      <w:szCs w:val="20"/>
                      <w:lang w:bidi="ar"/>
                    </w:rPr>
                    <w:t>DA001</w:t>
                  </w:r>
                </w:p>
              </w:tc>
              <w:tc>
                <w:tcPr>
                  <w:tcW w:w="556" w:type="pct"/>
                  <w:vAlign w:val="center"/>
                </w:tcPr>
                <w:p w14:paraId="28B83604">
                  <w:pPr>
                    <w:widowControl/>
                    <w:jc w:val="center"/>
                    <w:rPr>
                      <w:kern w:val="0"/>
                      <w:sz w:val="20"/>
                      <w:szCs w:val="20"/>
                    </w:rPr>
                  </w:pPr>
                  <w:r>
                    <w:rPr>
                      <w:rFonts w:hint="eastAsia"/>
                      <w:color w:val="000000"/>
                      <w:kern w:val="0"/>
                      <w:sz w:val="20"/>
                      <w:szCs w:val="20"/>
                      <w:lang w:bidi="ar"/>
                    </w:rPr>
                    <w:t>超声复合、撒粉涂布烘干废气</w:t>
                  </w:r>
                </w:p>
              </w:tc>
              <w:tc>
                <w:tcPr>
                  <w:tcW w:w="553" w:type="pct"/>
                  <w:vAlign w:val="center"/>
                </w:tcPr>
                <w:p w14:paraId="3DFD0741">
                  <w:pPr>
                    <w:widowControl/>
                    <w:jc w:val="center"/>
                    <w:rPr>
                      <w:kern w:val="0"/>
                      <w:sz w:val="20"/>
                      <w:szCs w:val="20"/>
                    </w:rPr>
                  </w:pPr>
                  <w:r>
                    <w:rPr>
                      <w:color w:val="000000"/>
                      <w:kern w:val="0"/>
                      <w:sz w:val="20"/>
                      <w:szCs w:val="20"/>
                      <w:lang w:bidi="ar"/>
                    </w:rPr>
                    <w:t>废气治理设施失效</w:t>
                  </w:r>
                </w:p>
              </w:tc>
              <w:tc>
                <w:tcPr>
                  <w:tcW w:w="553" w:type="pct"/>
                  <w:vAlign w:val="center"/>
                </w:tcPr>
                <w:p w14:paraId="2F0C0D40">
                  <w:pPr>
                    <w:widowControl/>
                    <w:jc w:val="center"/>
                    <w:rPr>
                      <w:kern w:val="0"/>
                      <w:sz w:val="20"/>
                      <w:szCs w:val="20"/>
                    </w:rPr>
                  </w:pPr>
                  <w:r>
                    <w:rPr>
                      <w:color w:val="000000"/>
                      <w:kern w:val="0"/>
                      <w:sz w:val="20"/>
                      <w:szCs w:val="20"/>
                      <w:lang w:bidi="ar"/>
                    </w:rPr>
                    <w:t>NMHC</w:t>
                  </w:r>
                </w:p>
              </w:tc>
              <w:tc>
                <w:tcPr>
                  <w:tcW w:w="570" w:type="pct"/>
                  <w:vAlign w:val="center"/>
                </w:tcPr>
                <w:p w14:paraId="7C651269">
                  <w:pPr>
                    <w:widowControl/>
                    <w:jc w:val="center"/>
                    <w:rPr>
                      <w:kern w:val="0"/>
                      <w:sz w:val="20"/>
                      <w:szCs w:val="20"/>
                    </w:rPr>
                  </w:pPr>
                  <w:r>
                    <w:rPr>
                      <w:rFonts w:hint="eastAsia"/>
                      <w:color w:val="000000"/>
                      <w:kern w:val="0"/>
                      <w:sz w:val="20"/>
                      <w:szCs w:val="20"/>
                      <w:lang w:bidi="ar"/>
                    </w:rPr>
                    <w:t>1.24375</w:t>
                  </w:r>
                </w:p>
              </w:tc>
              <w:tc>
                <w:tcPr>
                  <w:tcW w:w="556" w:type="pct"/>
                  <w:vAlign w:val="center"/>
                </w:tcPr>
                <w:p w14:paraId="4C802EE5">
                  <w:pPr>
                    <w:widowControl/>
                    <w:jc w:val="center"/>
                    <w:rPr>
                      <w:kern w:val="0"/>
                      <w:sz w:val="20"/>
                      <w:szCs w:val="20"/>
                    </w:rPr>
                  </w:pPr>
                  <w:r>
                    <w:rPr>
                      <w:rFonts w:hint="eastAsia"/>
                      <w:color w:val="000000"/>
                      <w:kern w:val="0"/>
                      <w:sz w:val="20"/>
                      <w:szCs w:val="20"/>
                      <w:lang w:bidi="ar"/>
                    </w:rPr>
                    <w:t>62.1875</w:t>
                  </w:r>
                </w:p>
              </w:tc>
              <w:tc>
                <w:tcPr>
                  <w:tcW w:w="553" w:type="pct"/>
                  <w:vAlign w:val="center"/>
                </w:tcPr>
                <w:p w14:paraId="6C93DEA1">
                  <w:pPr>
                    <w:spacing w:line="500" w:lineRule="exact"/>
                    <w:jc w:val="center"/>
                    <w:rPr>
                      <w:kern w:val="0"/>
                      <w:sz w:val="20"/>
                      <w:szCs w:val="20"/>
                    </w:rPr>
                  </w:pPr>
                  <w:r>
                    <w:rPr>
                      <w:kern w:val="0"/>
                      <w:sz w:val="20"/>
                      <w:szCs w:val="20"/>
                    </w:rPr>
                    <w:t>1</w:t>
                  </w:r>
                </w:p>
              </w:tc>
              <w:tc>
                <w:tcPr>
                  <w:tcW w:w="553" w:type="pct"/>
                  <w:vAlign w:val="center"/>
                </w:tcPr>
                <w:p w14:paraId="7FD0C5B7">
                  <w:pPr>
                    <w:spacing w:line="500" w:lineRule="exact"/>
                    <w:jc w:val="center"/>
                    <w:rPr>
                      <w:kern w:val="0"/>
                      <w:sz w:val="20"/>
                      <w:szCs w:val="20"/>
                    </w:rPr>
                  </w:pPr>
                  <w:r>
                    <w:rPr>
                      <w:kern w:val="0"/>
                      <w:sz w:val="20"/>
                      <w:szCs w:val="20"/>
                    </w:rPr>
                    <w:t>1</w:t>
                  </w:r>
                </w:p>
              </w:tc>
              <w:tc>
                <w:tcPr>
                  <w:tcW w:w="553" w:type="pct"/>
                  <w:vAlign w:val="center"/>
                </w:tcPr>
                <w:p w14:paraId="073DE7CF">
                  <w:pPr>
                    <w:widowControl/>
                    <w:jc w:val="center"/>
                    <w:rPr>
                      <w:sz w:val="20"/>
                      <w:szCs w:val="20"/>
                    </w:rPr>
                  </w:pPr>
                  <w:r>
                    <w:rPr>
                      <w:color w:val="000000"/>
                      <w:kern w:val="0"/>
                      <w:sz w:val="20"/>
                      <w:szCs w:val="20"/>
                      <w:lang w:bidi="ar"/>
                    </w:rPr>
                    <w:t>停机检</w:t>
                  </w:r>
                </w:p>
                <w:p w14:paraId="6CF29A15">
                  <w:pPr>
                    <w:widowControl/>
                    <w:jc w:val="center"/>
                    <w:rPr>
                      <w:kern w:val="0"/>
                      <w:sz w:val="20"/>
                      <w:szCs w:val="20"/>
                    </w:rPr>
                  </w:pPr>
                  <w:r>
                    <w:rPr>
                      <w:color w:val="000000"/>
                      <w:kern w:val="0"/>
                      <w:sz w:val="20"/>
                      <w:szCs w:val="20"/>
                      <w:lang w:bidi="ar"/>
                    </w:rPr>
                    <w:t>修</w:t>
                  </w:r>
                </w:p>
              </w:tc>
            </w:tr>
          </w:tbl>
          <w:p w14:paraId="23DA8E48">
            <w:pPr>
              <w:spacing w:line="500" w:lineRule="exact"/>
              <w:ind w:firstLine="480" w:firstLineChars="200"/>
              <w:rPr>
                <w:kern w:val="0"/>
                <w:sz w:val="24"/>
              </w:rPr>
            </w:pPr>
            <w:r>
              <w:rPr>
                <w:kern w:val="0"/>
                <w:sz w:val="24"/>
              </w:rPr>
              <w:t>由上表可知，非正常工况下，DA001排气筒非甲烷总烃的排放浓度</w:t>
            </w:r>
            <w:r>
              <w:rPr>
                <w:rFonts w:hint="eastAsia"/>
                <w:kern w:val="0"/>
                <w:sz w:val="24"/>
              </w:rPr>
              <w:t>接近</w:t>
            </w:r>
            <w:r>
              <w:rPr>
                <w:kern w:val="0"/>
                <w:sz w:val="24"/>
              </w:rPr>
              <w:t>超标，较正常排放时明显升高</w:t>
            </w:r>
            <w:r>
              <w:rPr>
                <w:rFonts w:hint="eastAsia"/>
                <w:kern w:val="0"/>
                <w:sz w:val="24"/>
              </w:rPr>
              <w:t>。</w:t>
            </w:r>
          </w:p>
          <w:p w14:paraId="5AD314D4">
            <w:pPr>
              <w:spacing w:line="500" w:lineRule="exact"/>
              <w:ind w:firstLine="480" w:firstLineChars="200"/>
              <w:rPr>
                <w:kern w:val="0"/>
                <w:sz w:val="24"/>
              </w:rPr>
            </w:pPr>
            <w:r>
              <w:rPr>
                <w:kern w:val="0"/>
                <w:sz w:val="24"/>
              </w:rPr>
              <w:t>为防止生产废气非正常工况排放，企业必须加强废气处理设施的管理，定期检修，确保废气处理设施正常运行，在废气处理设备停止运行或出现故障时，产生废气的各工序也必须相应停止生产。</w:t>
            </w:r>
          </w:p>
          <w:p w14:paraId="6ED2F4E9">
            <w:pPr>
              <w:spacing w:line="500" w:lineRule="exact"/>
              <w:ind w:firstLine="480" w:firstLineChars="200"/>
              <w:rPr>
                <w:kern w:val="0"/>
                <w:sz w:val="24"/>
              </w:rPr>
            </w:pPr>
            <w:r>
              <w:rPr>
                <w:kern w:val="0"/>
                <w:sz w:val="24"/>
              </w:rPr>
              <w:t>（</w:t>
            </w:r>
            <w:r>
              <w:rPr>
                <w:rFonts w:hint="eastAsia"/>
                <w:kern w:val="0"/>
                <w:sz w:val="24"/>
              </w:rPr>
              <w:t>4</w:t>
            </w:r>
            <w:r>
              <w:rPr>
                <w:kern w:val="0"/>
                <w:sz w:val="24"/>
              </w:rPr>
              <w:t>）废气污染防治技术可行性分析</w:t>
            </w:r>
          </w:p>
          <w:p w14:paraId="2E0A7E10">
            <w:pPr>
              <w:spacing w:line="500" w:lineRule="exact"/>
              <w:ind w:firstLine="480" w:firstLineChars="200"/>
              <w:rPr>
                <w:kern w:val="0"/>
                <w:sz w:val="24"/>
              </w:rPr>
            </w:pPr>
            <w:r>
              <w:rPr>
                <w:kern w:val="0"/>
                <w:sz w:val="24"/>
              </w:rPr>
              <w:t>本项目</w:t>
            </w:r>
            <w:r>
              <w:rPr>
                <w:rFonts w:hint="eastAsia"/>
                <w:kern w:val="0"/>
                <w:sz w:val="24"/>
              </w:rPr>
              <w:t>超声复合、撒粉涂布烘干废气生产线</w:t>
            </w:r>
            <w:r>
              <w:rPr>
                <w:kern w:val="0"/>
                <w:sz w:val="24"/>
              </w:rPr>
              <w:t>产生的有机废气（NMHC）采用</w:t>
            </w:r>
            <w:r>
              <w:rPr>
                <w:rFonts w:hint="eastAsia"/>
                <w:kern w:val="0"/>
                <w:sz w:val="24"/>
              </w:rPr>
              <w:t>二级静电油雾器+</w:t>
            </w:r>
            <w:r>
              <w:rPr>
                <w:kern w:val="0"/>
                <w:sz w:val="24"/>
              </w:rPr>
              <w:t>活性炭</w:t>
            </w:r>
            <w:r>
              <w:rPr>
                <w:rFonts w:hint="eastAsia"/>
                <w:kern w:val="0"/>
                <w:sz w:val="24"/>
              </w:rPr>
              <w:t>吸附+催化燃烧装置</w:t>
            </w:r>
            <w:r>
              <w:rPr>
                <w:kern w:val="0"/>
                <w:sz w:val="24"/>
              </w:rPr>
              <w:t>处理，根据</w:t>
            </w:r>
            <w:r>
              <w:rPr>
                <w:rFonts w:hint="eastAsia"/>
                <w:kern w:val="0"/>
                <w:sz w:val="24"/>
              </w:rPr>
              <w:t>《排污许可证申请与核发技术规范 纺织印染工业》(HJ 861-2017)</w:t>
            </w:r>
            <w:r>
              <w:rPr>
                <w:kern w:val="0"/>
                <w:sz w:val="24"/>
              </w:rPr>
              <w:t>排污单位废气防治可行技术参考表，挥发性有机物采用活性炭吸附法为可行技术。</w:t>
            </w:r>
          </w:p>
          <w:p w14:paraId="02C54B21">
            <w:pPr>
              <w:pStyle w:val="51"/>
              <w:ind w:firstLine="482" w:firstLineChars="200"/>
              <w:rPr>
                <w:rFonts w:ascii="宋体" w:hAnsi="宋体" w:cs="宋体"/>
                <w:lang w:bidi="ar"/>
              </w:rPr>
            </w:pPr>
          </w:p>
          <w:p w14:paraId="505165E3">
            <w:pPr>
              <w:pStyle w:val="51"/>
              <w:ind w:firstLine="482" w:firstLineChars="200"/>
              <w:rPr>
                <w:rFonts w:ascii="宋体" w:hAnsi="宋体" w:cs="宋体"/>
              </w:rPr>
            </w:pPr>
            <w:r>
              <w:rPr>
                <w:rFonts w:hint="eastAsia" w:ascii="宋体" w:hAnsi="宋体" w:cs="宋体"/>
                <w:lang w:bidi="ar"/>
              </w:rPr>
              <w:t xml:space="preserve">活性炭吸附装置： </w:t>
            </w:r>
          </w:p>
          <w:p w14:paraId="5DBE9AD7">
            <w:pPr>
              <w:pStyle w:val="51"/>
              <w:numPr>
                <w:ilvl w:val="0"/>
                <w:numId w:val="5"/>
              </w:numPr>
              <w:rPr>
                <w:rFonts w:ascii="宋体" w:hAnsi="宋体" w:cs="宋体"/>
                <w:b w:val="0"/>
                <w:bCs/>
              </w:rPr>
            </w:pPr>
            <w:r>
              <w:rPr>
                <w:rFonts w:hint="eastAsia" w:ascii="宋体" w:hAnsi="宋体" w:cs="宋体"/>
                <w:b w:val="0"/>
                <w:bCs/>
                <w:lang w:bidi="ar"/>
              </w:rPr>
              <w:t xml:space="preserve">工作原理： </w:t>
            </w:r>
          </w:p>
          <w:p w14:paraId="74472117">
            <w:pPr>
              <w:pStyle w:val="51"/>
              <w:ind w:firstLine="480" w:firstLineChars="200"/>
              <w:rPr>
                <w:rFonts w:ascii="宋体" w:hAnsi="宋体" w:cs="宋体"/>
                <w:b w:val="0"/>
                <w:bCs/>
              </w:rPr>
            </w:pPr>
            <w:r>
              <w:rPr>
                <w:rFonts w:hint="eastAsia" w:ascii="宋体" w:hAnsi="宋体" w:cs="宋体"/>
                <w:b w:val="0"/>
                <w:bCs/>
                <w:lang w:bidi="ar"/>
              </w:rPr>
              <w:t xml:space="preserve">活性炭吸附装置：活性炭吸附属于深度处理，具有大的比表面积以及其精细的多孔表面构造，可以吸附多种有机废气，吸附容量大等优点。活性炭的吸附可分为物理吸附和化学吸附。物理吸附主要发生在活性炭去除液相和气相中杂质的过程中。活性炭的多孔结构提供了大量的表面积，从而使其非常容易达到吸收收集杂质的目的。活性炭孔壁上的大量的分子可以产生强大的引力，从而达到将介质中的杂质吸引到孔径中的目的。吸附能力的强弱，取决于活性炭微细孔比表面积的大小和吸附温度。最好活性炭的比表面积可达 1000 ㎡/g炭以上，20℃常温下的吸附能力（以碘值表示〉可达 1000 mg/g 之多，因此一般气用活性炭的常温吸附碘值≥800 mg/g炭。除了物理吸附之外，化学反应也经常发生在活性炭的表面。项目使用二级活性炭吸附装置，提高有机废气净化效果，其有机废气效率可以达到 90%以上。 </w:t>
            </w:r>
          </w:p>
          <w:p w14:paraId="67CD5A47">
            <w:pPr>
              <w:pStyle w:val="51"/>
              <w:ind w:firstLine="480" w:firstLineChars="200"/>
              <w:rPr>
                <w:rFonts w:ascii="宋体" w:hAnsi="宋体" w:cs="宋体"/>
                <w:b w:val="0"/>
                <w:bCs/>
              </w:rPr>
            </w:pPr>
            <w:r>
              <w:rPr>
                <w:rFonts w:hint="eastAsia" w:ascii="宋体" w:hAnsi="宋体" w:cs="宋体"/>
                <w:b w:val="0"/>
                <w:bCs/>
                <w:lang w:bidi="ar"/>
              </w:rPr>
              <w:t xml:space="preserve">采用活性炭吸附去除有机废气已广泛应用于化工、橡塑制品、医药、表面喷涂行业废气治理工程中，其工艺成熟可靠，故采用此工艺是有保障的。但在选用时需注意活性炭对不同有机气体分子的吸附是有选择的，需有很强的针对性，应选择由合适的原材料制作且粒度适宜的活性炭，或者根据需要选择 2 种以上的不同类型的活性炭混合使用，以提高废气去除率。 </w:t>
            </w:r>
          </w:p>
          <w:p w14:paraId="4C0D376D">
            <w:pPr>
              <w:pStyle w:val="51"/>
              <w:ind w:firstLine="480" w:firstLineChars="200"/>
              <w:rPr>
                <w:rFonts w:ascii="宋体" w:hAnsi="宋体" w:cs="宋体"/>
                <w:b w:val="0"/>
                <w:bCs/>
              </w:rPr>
            </w:pPr>
            <w:r>
              <w:rPr>
                <w:rFonts w:hint="eastAsia" w:ascii="宋体" w:hAnsi="宋体" w:cs="宋体"/>
                <w:b w:val="0"/>
                <w:bCs/>
                <w:lang w:bidi="ar"/>
              </w:rPr>
              <w:t xml:space="preserve">②设备特点： </w:t>
            </w:r>
          </w:p>
          <w:p w14:paraId="32141E13">
            <w:pPr>
              <w:pStyle w:val="51"/>
              <w:ind w:firstLine="480" w:firstLineChars="200"/>
              <w:rPr>
                <w:rFonts w:ascii="宋体" w:hAnsi="宋体" w:cs="宋体"/>
                <w:b w:val="0"/>
                <w:bCs/>
              </w:rPr>
            </w:pPr>
            <w:r>
              <w:rPr>
                <w:rFonts w:hint="eastAsia" w:ascii="宋体" w:hAnsi="宋体" w:cs="宋体"/>
                <w:b w:val="0"/>
                <w:bCs/>
                <w:lang w:bidi="ar"/>
              </w:rPr>
              <w:t>A、适用于常温低浓度的有机废气的净化，不产生二次污染设备投资低。</w:t>
            </w:r>
          </w:p>
          <w:p w14:paraId="48D291B3">
            <w:pPr>
              <w:pStyle w:val="51"/>
              <w:ind w:firstLine="480" w:firstLineChars="200"/>
              <w:rPr>
                <w:rFonts w:ascii="宋体" w:hAnsi="宋体" w:cs="宋体"/>
                <w:b w:val="0"/>
                <w:bCs/>
                <w:lang w:bidi="ar"/>
              </w:rPr>
            </w:pPr>
            <w:r>
              <w:rPr>
                <w:rFonts w:hint="eastAsia" w:ascii="宋体" w:hAnsi="宋体" w:cs="宋体"/>
                <w:b w:val="0"/>
                <w:bCs/>
                <w:lang w:bidi="ar"/>
              </w:rPr>
              <w:t xml:space="preserve">B、设备结构简单、占地面积小。 </w:t>
            </w:r>
          </w:p>
          <w:p w14:paraId="512C4EDA">
            <w:pPr>
              <w:pStyle w:val="51"/>
              <w:ind w:firstLine="480" w:firstLineChars="200"/>
              <w:rPr>
                <w:rFonts w:ascii="宋体" w:hAnsi="宋体" w:cs="宋体"/>
                <w:b w:val="0"/>
                <w:bCs/>
                <w:lang w:bidi="ar"/>
              </w:rPr>
            </w:pPr>
            <w:r>
              <w:rPr>
                <w:rFonts w:hint="eastAsia" w:ascii="宋体" w:hAnsi="宋体" w:cs="宋体"/>
                <w:b w:val="0"/>
                <w:bCs/>
                <w:lang w:bidi="ar"/>
              </w:rPr>
              <w:t xml:space="preserve">C、净化效率高，净化效率达 80-90%。 </w:t>
            </w:r>
          </w:p>
          <w:p w14:paraId="2BD9DE55">
            <w:pPr>
              <w:pStyle w:val="51"/>
              <w:ind w:firstLine="480" w:firstLineChars="200"/>
              <w:rPr>
                <w:rFonts w:ascii="宋体" w:hAnsi="宋体" w:cs="宋体"/>
                <w:b w:val="0"/>
                <w:bCs/>
                <w:lang w:bidi="ar"/>
              </w:rPr>
            </w:pPr>
            <w:r>
              <w:rPr>
                <w:rFonts w:hint="eastAsia" w:ascii="宋体" w:hAnsi="宋体" w:cs="宋体"/>
                <w:b w:val="0"/>
                <w:bCs/>
                <w:lang w:bidi="ar"/>
              </w:rPr>
              <w:t xml:space="preserve">D、整套装置无运动部件，维护简单，故障率低、留有前侧门，更换过滤材 </w:t>
            </w:r>
          </w:p>
          <w:p w14:paraId="60333440">
            <w:pPr>
              <w:pStyle w:val="51"/>
              <w:rPr>
                <w:rFonts w:ascii="宋体" w:hAnsi="宋体" w:cs="宋体"/>
                <w:b w:val="0"/>
                <w:bCs/>
                <w:lang w:bidi="ar"/>
              </w:rPr>
            </w:pPr>
            <w:r>
              <w:rPr>
                <w:rFonts w:hint="eastAsia" w:ascii="宋体" w:hAnsi="宋体" w:cs="宋体"/>
                <w:b w:val="0"/>
                <w:bCs/>
                <w:lang w:bidi="ar"/>
              </w:rPr>
              <w:t xml:space="preserve">料简单方便。 </w:t>
            </w:r>
          </w:p>
          <w:p w14:paraId="27685F22">
            <w:pPr>
              <w:pStyle w:val="51"/>
              <w:ind w:firstLine="480" w:firstLineChars="200"/>
              <w:rPr>
                <w:rFonts w:ascii="Times New Roman"/>
                <w:lang w:bidi="ar"/>
              </w:rPr>
            </w:pPr>
            <w:r>
              <w:rPr>
                <w:rFonts w:hint="eastAsia" w:ascii="宋体" w:hAnsi="宋体" w:cs="宋体"/>
                <w:b w:val="0"/>
                <w:bCs/>
                <w:lang w:bidi="ar"/>
              </w:rPr>
              <w:t>活性炭吸附装置内部构造示意图见下图。</w:t>
            </w:r>
          </w:p>
          <w:p w14:paraId="6A1653B2">
            <w:pPr>
              <w:pStyle w:val="52"/>
              <w:ind w:firstLine="1400" w:firstLineChars="500"/>
            </w:pPr>
            <w:r>
              <w:drawing>
                <wp:inline distT="0" distB="0" distL="0" distR="0">
                  <wp:extent cx="4030980" cy="1950720"/>
                  <wp:effectExtent l="0" t="0" r="7620" b="0"/>
                  <wp:docPr id="558286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86498"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30980" cy="1950720"/>
                          </a:xfrm>
                          <a:prstGeom prst="rect">
                            <a:avLst/>
                          </a:prstGeom>
                          <a:noFill/>
                          <a:ln>
                            <a:noFill/>
                          </a:ln>
                        </pic:spPr>
                      </pic:pic>
                    </a:graphicData>
                  </a:graphic>
                </wp:inline>
              </w:drawing>
            </w:r>
          </w:p>
          <w:p w14:paraId="7595C447">
            <w:pPr>
              <w:spacing w:line="360" w:lineRule="auto"/>
              <w:ind w:firstLine="422" w:firstLineChars="200"/>
              <w:jc w:val="center"/>
              <w:rPr>
                <w:rFonts w:ascii="宋体" w:hAnsi="宋体" w:cs="宋体"/>
                <w:b/>
                <w:bCs/>
                <w:szCs w:val="21"/>
              </w:rPr>
            </w:pPr>
            <w:r>
              <w:rPr>
                <w:rFonts w:hint="eastAsia" w:ascii="宋体" w:hAnsi="宋体" w:cs="宋体"/>
                <w:b/>
                <w:bCs/>
                <w:szCs w:val="21"/>
              </w:rPr>
              <w:t>图4.2活性炭吸附装置内部构造示意图</w:t>
            </w:r>
          </w:p>
          <w:p w14:paraId="0D97D839">
            <w:pPr>
              <w:pStyle w:val="51"/>
              <w:ind w:firstLine="480" w:firstLineChars="200"/>
              <w:rPr>
                <w:rFonts w:ascii="宋体" w:hAnsi="宋体" w:cs="宋体"/>
                <w:b w:val="0"/>
                <w:bCs/>
                <w:lang w:bidi="ar"/>
              </w:rPr>
            </w:pPr>
            <w:r>
              <w:rPr>
                <w:rFonts w:hint="eastAsia" w:ascii="宋体" w:hAnsi="宋体" w:cs="宋体"/>
                <w:b w:val="0"/>
                <w:bCs/>
                <w:lang w:bidi="ar"/>
              </w:rPr>
              <w:t xml:space="preserve">项目活性炭吸附装置设计参数满足《吸附法工业有机废气治理工程技术规范》（HJ 2026-2013）中要求。随着活性炭的吸附过程，设备阻力随之缓慢增加，当活性炭饱和时，设备阻力达到最大值，此后的设备净化效率基本失去。为此，系统在设备进出风口处设置一套差压测量系统，对该装置进出口的废气压力差进行检测并显示，当压差值为1100Pa，以告知业主需对该设备的活性炭进行更换，更换期间厂区不进行生产。目前工程实践中均采用压差值控制活性炭更换，该方法观测方便、比较直观，因此采用压差值控制活性炭更换完全可行。更换下来的废活性炭委托有资质的单位处置。 </w:t>
            </w:r>
          </w:p>
          <w:p w14:paraId="1C826FF9">
            <w:pPr>
              <w:pStyle w:val="51"/>
              <w:numPr>
                <w:ilvl w:val="0"/>
                <w:numId w:val="6"/>
              </w:numPr>
              <w:rPr>
                <w:rFonts w:ascii="宋体" w:hAnsi="宋体" w:cs="宋体"/>
                <w:b w:val="0"/>
                <w:bCs/>
                <w:lang w:bidi="ar"/>
              </w:rPr>
            </w:pPr>
            <w:r>
              <w:rPr>
                <w:rFonts w:hint="eastAsia" w:ascii="宋体" w:hAnsi="宋体" w:cs="宋体"/>
                <w:b w:val="0"/>
                <w:bCs/>
                <w:lang w:bidi="ar"/>
              </w:rPr>
              <w:t xml:space="preserve">活性炭吸附材料选择 </w:t>
            </w:r>
          </w:p>
          <w:p w14:paraId="530E6565">
            <w:pPr>
              <w:pStyle w:val="51"/>
              <w:ind w:firstLine="480" w:firstLineChars="200"/>
              <w:rPr>
                <w:rFonts w:ascii="宋体" w:hAnsi="宋体" w:cs="宋体"/>
                <w:b w:val="0"/>
                <w:bCs/>
                <w:lang w:bidi="ar"/>
              </w:rPr>
            </w:pPr>
            <w:r>
              <w:rPr>
                <w:rFonts w:hint="eastAsia" w:ascii="宋体" w:hAnsi="宋体" w:cs="宋体"/>
                <w:b w:val="0"/>
                <w:bCs/>
                <w:lang w:bidi="ar"/>
              </w:rPr>
              <w:t xml:space="preserve">根据《吸附法工业有机废气治理工程技术规范》，项目在购买活性炭时需选择横向抗压强度不小于0.3MPa、纵向抗压强度不小于0.8MPa、BET比表面积不小于750 ㎡/g 的蜂窝状活性炭。 </w:t>
            </w:r>
          </w:p>
          <w:p w14:paraId="7056CA4F">
            <w:pPr>
              <w:spacing w:line="500" w:lineRule="exact"/>
              <w:ind w:firstLine="480" w:firstLineChars="200"/>
              <w:rPr>
                <w:kern w:val="0"/>
                <w:sz w:val="24"/>
              </w:rPr>
            </w:pPr>
            <w:r>
              <w:rPr>
                <w:kern w:val="0"/>
                <w:sz w:val="24"/>
              </w:rPr>
              <w:t>（</w:t>
            </w:r>
            <w:r>
              <w:rPr>
                <w:rFonts w:hint="eastAsia"/>
                <w:kern w:val="0"/>
                <w:sz w:val="24"/>
              </w:rPr>
              <w:t>5</w:t>
            </w:r>
            <w:r>
              <w:rPr>
                <w:kern w:val="0"/>
                <w:sz w:val="24"/>
              </w:rPr>
              <w:t xml:space="preserve">）废气排放环境影响 </w:t>
            </w:r>
          </w:p>
          <w:p w14:paraId="3E13F635">
            <w:pPr>
              <w:spacing w:line="500" w:lineRule="exact"/>
              <w:ind w:firstLine="480" w:firstLineChars="200"/>
              <w:rPr>
                <w:kern w:val="0"/>
                <w:sz w:val="24"/>
              </w:rPr>
            </w:pPr>
            <w:r>
              <w:rPr>
                <w:rFonts w:hint="eastAsia"/>
                <w:kern w:val="0"/>
                <w:sz w:val="24"/>
              </w:rPr>
              <w:t>1、废气</w:t>
            </w:r>
          </w:p>
          <w:p w14:paraId="4C9C1A68">
            <w:pPr>
              <w:spacing w:line="500" w:lineRule="exact"/>
              <w:ind w:firstLine="480" w:firstLineChars="200"/>
              <w:rPr>
                <w:kern w:val="0"/>
                <w:sz w:val="24"/>
              </w:rPr>
            </w:pPr>
            <w:r>
              <w:rPr>
                <w:kern w:val="0"/>
                <w:sz w:val="24"/>
              </w:rPr>
              <w:t>项目所在区域大气环境质量现状均能达到所属功能区的标准要求，属于环境空气达标区，项目所在区域大气环境质量良好。</w:t>
            </w:r>
          </w:p>
          <w:p w14:paraId="77E66BBE">
            <w:pPr>
              <w:spacing w:line="500" w:lineRule="exact"/>
              <w:ind w:firstLine="480" w:firstLineChars="200"/>
              <w:rPr>
                <w:kern w:val="0"/>
                <w:sz w:val="24"/>
              </w:rPr>
            </w:pPr>
            <w:r>
              <w:rPr>
                <w:rFonts w:hint="eastAsia"/>
                <w:kern w:val="0"/>
                <w:sz w:val="24"/>
              </w:rPr>
              <w:t>超声复合、撒粉涂布烘干废气由风管</w:t>
            </w:r>
            <w:r>
              <w:rPr>
                <w:kern w:val="0"/>
                <w:sz w:val="24"/>
              </w:rPr>
              <w:t>引至“</w:t>
            </w:r>
            <w:r>
              <w:rPr>
                <w:rFonts w:hint="eastAsia"/>
                <w:kern w:val="0"/>
                <w:sz w:val="24"/>
              </w:rPr>
              <w:t>二级静电油雾器+活性炭吸附+催化燃烧</w:t>
            </w:r>
            <w:r>
              <w:rPr>
                <w:kern w:val="0"/>
                <w:sz w:val="24"/>
              </w:rPr>
              <w:t>装置”处理后经 DA001 排气筒高空排放，排放高度约</w:t>
            </w:r>
            <w:r>
              <w:rPr>
                <w:rFonts w:hint="eastAsia"/>
                <w:kern w:val="0"/>
                <w:sz w:val="24"/>
              </w:rPr>
              <w:t>1</w:t>
            </w:r>
            <w:r>
              <w:rPr>
                <w:kern w:val="0"/>
                <w:sz w:val="24"/>
              </w:rPr>
              <w:t>5米。经处理后，NMHC</w:t>
            </w:r>
            <w:r>
              <w:rPr>
                <w:rFonts w:hint="eastAsia"/>
                <w:kern w:val="0"/>
                <w:sz w:val="24"/>
              </w:rPr>
              <w:t>、颗粒物（定性分析）</w:t>
            </w:r>
            <w:r>
              <w:rPr>
                <w:kern w:val="0"/>
                <w:sz w:val="24"/>
              </w:rPr>
              <w:t>有组织排放可以满足</w:t>
            </w:r>
            <w:r>
              <w:rPr>
                <w:rFonts w:hint="eastAsia"/>
                <w:kern w:val="0"/>
                <w:sz w:val="24"/>
              </w:rPr>
              <w:t>《固定源挥发性有机物综合排放标准 第6部分 其他行业》（DB34/4812.6-2024）表1及GB 16297-1996 《大气污染物综合排放标准》表2中排放限值要求</w:t>
            </w:r>
            <w:r>
              <w:rPr>
                <w:kern w:val="0"/>
                <w:sz w:val="24"/>
              </w:rPr>
              <w:t>，</w:t>
            </w:r>
            <w:r>
              <w:rPr>
                <w:rFonts w:hint="eastAsia"/>
                <w:kern w:val="0"/>
                <w:sz w:val="24"/>
              </w:rPr>
              <w:t>氨、臭气浓度</w:t>
            </w:r>
            <w:r>
              <w:rPr>
                <w:kern w:val="0"/>
                <w:sz w:val="24"/>
              </w:rPr>
              <w:t>满足</w:t>
            </w:r>
            <w:r>
              <w:rPr>
                <w:rFonts w:hint="eastAsia"/>
                <w:kern w:val="0"/>
                <w:sz w:val="24"/>
              </w:rPr>
              <w:t>《恶臭污染物排放标准》(GB14554-93) 表2要求，</w:t>
            </w:r>
            <w:r>
              <w:rPr>
                <w:kern w:val="0"/>
                <w:sz w:val="24"/>
              </w:rPr>
              <w:t>对周边大气环境影响不大。项目</w:t>
            </w:r>
            <w:r>
              <w:rPr>
                <w:rFonts w:hint="eastAsia"/>
                <w:kern w:val="0"/>
                <w:sz w:val="24"/>
              </w:rPr>
              <w:t>其他工序</w:t>
            </w:r>
            <w:r>
              <w:rPr>
                <w:kern w:val="0"/>
                <w:sz w:val="24"/>
              </w:rPr>
              <w:t>未被收集的</w:t>
            </w:r>
            <w:r>
              <w:rPr>
                <w:rFonts w:hint="eastAsia"/>
                <w:kern w:val="0"/>
                <w:sz w:val="24"/>
              </w:rPr>
              <w:t>无组织VOCs、</w:t>
            </w:r>
            <w:r>
              <w:rPr>
                <w:kern w:val="0"/>
                <w:sz w:val="24"/>
              </w:rPr>
              <w:t>颗粒物通过加强车间通风，可满足</w:t>
            </w:r>
            <w:r>
              <w:rPr>
                <w:rFonts w:hint="eastAsia"/>
                <w:kern w:val="0"/>
                <w:sz w:val="24"/>
              </w:rPr>
              <w:t>GB 16297-1996 《大气污染物综合排放标准》表2</w:t>
            </w:r>
            <w:r>
              <w:rPr>
                <w:kern w:val="0"/>
                <w:sz w:val="24"/>
              </w:rPr>
              <w:t>无组织排放监控浓度限值的要求</w:t>
            </w:r>
            <w:r>
              <w:rPr>
                <w:rFonts w:hint="eastAsia"/>
                <w:kern w:val="0"/>
                <w:sz w:val="24"/>
              </w:rPr>
              <w:t>，</w:t>
            </w:r>
            <w:r>
              <w:rPr>
                <w:kern w:val="0"/>
                <w:sz w:val="24"/>
              </w:rPr>
              <w:t xml:space="preserve">不会对周围空气环境产生明显影响。建设单位应按环评报告表的要求建设产污过程监控设施。 </w:t>
            </w:r>
          </w:p>
          <w:p w14:paraId="3D36C7CF">
            <w:pPr>
              <w:spacing w:line="500" w:lineRule="exact"/>
              <w:ind w:firstLine="482" w:firstLineChars="200"/>
              <w:rPr>
                <w:b/>
                <w:bCs/>
                <w:kern w:val="0"/>
                <w:sz w:val="24"/>
              </w:rPr>
            </w:pPr>
            <w:r>
              <w:rPr>
                <w:rFonts w:hint="eastAsia"/>
                <w:b/>
                <w:bCs/>
                <w:kern w:val="0"/>
                <w:sz w:val="24"/>
              </w:rPr>
              <w:t>4.2.3 营运期</w:t>
            </w:r>
            <w:r>
              <w:rPr>
                <w:b/>
                <w:bCs/>
                <w:kern w:val="0"/>
                <w:sz w:val="24"/>
              </w:rPr>
              <w:t>废水</w:t>
            </w:r>
            <w:r>
              <w:rPr>
                <w:rFonts w:hint="eastAsia"/>
                <w:b/>
                <w:bCs/>
                <w:kern w:val="0"/>
                <w:sz w:val="24"/>
              </w:rPr>
              <w:t>污染分析</w:t>
            </w:r>
            <w:r>
              <w:rPr>
                <w:b/>
                <w:bCs/>
                <w:kern w:val="0"/>
                <w:sz w:val="24"/>
              </w:rPr>
              <w:t xml:space="preserve"> </w:t>
            </w:r>
          </w:p>
          <w:p w14:paraId="799C31D4">
            <w:pPr>
              <w:spacing w:line="500" w:lineRule="exact"/>
              <w:ind w:firstLine="480" w:firstLineChars="200"/>
              <w:rPr>
                <w:kern w:val="0"/>
                <w:sz w:val="24"/>
              </w:rPr>
            </w:pPr>
            <w:r>
              <w:rPr>
                <w:kern w:val="0"/>
                <w:sz w:val="24"/>
              </w:rPr>
              <w:t xml:space="preserve">（1）废水源强 </w:t>
            </w:r>
          </w:p>
          <w:p w14:paraId="078BB649">
            <w:pPr>
              <w:spacing w:line="500" w:lineRule="exact"/>
              <w:ind w:firstLine="480" w:firstLineChars="200"/>
              <w:rPr>
                <w:kern w:val="0"/>
                <w:sz w:val="24"/>
              </w:rPr>
            </w:pPr>
            <w:r>
              <w:rPr>
                <w:kern w:val="0"/>
                <w:sz w:val="24"/>
              </w:rPr>
              <w:t>项目外排废水主要为生活污水，</w:t>
            </w:r>
            <w:r>
              <w:rPr>
                <w:rFonts w:hint="eastAsia"/>
                <w:kern w:val="0"/>
                <w:sz w:val="24"/>
              </w:rPr>
              <w:t>生活污水产污系数按60L/人·d 计，本项目劳动定员100人，则项目生活污水产生量为6 m</w:t>
            </w:r>
            <w:r>
              <w:rPr>
                <w:rFonts w:hint="eastAsia"/>
                <w:kern w:val="0"/>
                <w:sz w:val="24"/>
                <w:vertAlign w:val="superscript"/>
              </w:rPr>
              <w:t>3</w:t>
            </w:r>
            <w:r>
              <w:rPr>
                <w:rFonts w:hint="eastAsia"/>
                <w:kern w:val="0"/>
                <w:sz w:val="24"/>
              </w:rPr>
              <w:t xml:space="preserve"> /d（1800 m</w:t>
            </w:r>
            <w:r>
              <w:rPr>
                <w:rFonts w:hint="eastAsia"/>
                <w:kern w:val="0"/>
                <w:sz w:val="24"/>
                <w:vertAlign w:val="superscript"/>
              </w:rPr>
              <w:t>3</w:t>
            </w:r>
            <w:r>
              <w:rPr>
                <w:rFonts w:hint="eastAsia"/>
                <w:kern w:val="0"/>
                <w:sz w:val="24"/>
              </w:rPr>
              <w:t>/a），生活污水经化粪池预处理后经化粪池处理后进入污水管网纳入开发区污水处理厂处理。</w:t>
            </w:r>
          </w:p>
          <w:p w14:paraId="33CE4304">
            <w:pPr>
              <w:pStyle w:val="51"/>
              <w:spacing w:line="240" w:lineRule="auto"/>
              <w:ind w:firstLine="422" w:firstLineChars="200"/>
              <w:jc w:val="center"/>
              <w:rPr>
                <w:rFonts w:ascii="Times New Roman"/>
                <w:bCs/>
                <w:sz w:val="21"/>
                <w:szCs w:val="21"/>
              </w:rPr>
            </w:pPr>
          </w:p>
          <w:p w14:paraId="6C7EB486">
            <w:pPr>
              <w:pStyle w:val="51"/>
              <w:spacing w:line="240" w:lineRule="auto"/>
              <w:ind w:firstLine="422" w:firstLineChars="200"/>
              <w:jc w:val="center"/>
              <w:rPr>
                <w:rFonts w:ascii="Times New Roman"/>
                <w:bCs/>
                <w:sz w:val="21"/>
                <w:szCs w:val="21"/>
              </w:rPr>
            </w:pPr>
            <w:r>
              <w:rPr>
                <w:rFonts w:hint="eastAsia" w:ascii="Times New Roman"/>
                <w:bCs/>
                <w:sz w:val="21"/>
                <w:szCs w:val="21"/>
              </w:rPr>
              <w:t>表4-8 废水产排情况一览表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073"/>
              <w:gridCol w:w="1057"/>
              <w:gridCol w:w="1173"/>
              <w:gridCol w:w="1030"/>
              <w:gridCol w:w="947"/>
              <w:gridCol w:w="981"/>
              <w:gridCol w:w="1041"/>
              <w:gridCol w:w="1207"/>
            </w:tblGrid>
            <w:tr w14:paraId="7157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291" w:type="pct"/>
                  <w:vAlign w:val="center"/>
                </w:tcPr>
                <w:p w14:paraId="53E05D3C">
                  <w:pPr>
                    <w:pStyle w:val="51"/>
                    <w:spacing w:line="240" w:lineRule="auto"/>
                    <w:jc w:val="center"/>
                    <w:rPr>
                      <w:rFonts w:ascii="Times New Roman" w:hAnsi="Times New Roman"/>
                      <w:color w:val="auto"/>
                      <w:sz w:val="21"/>
                      <w:szCs w:val="21"/>
                    </w:rPr>
                  </w:pPr>
                  <w:r>
                    <w:rPr>
                      <w:rFonts w:ascii="Times New Roman" w:hAnsi="Times New Roman"/>
                      <w:color w:val="auto"/>
                      <w:sz w:val="21"/>
                      <w:szCs w:val="21"/>
                    </w:rPr>
                    <w:t>废</w:t>
                  </w:r>
                  <w:r>
                    <w:rPr>
                      <w:rFonts w:hint="eastAsia" w:ascii="Times New Roman" w:hAnsi="Times New Roman"/>
                      <w:color w:val="auto"/>
                      <w:sz w:val="21"/>
                      <w:szCs w:val="21"/>
                    </w:rPr>
                    <w:t>污</w:t>
                  </w:r>
                  <w:r>
                    <w:rPr>
                      <w:rFonts w:ascii="Times New Roman" w:hAnsi="Times New Roman"/>
                      <w:color w:val="auto"/>
                      <w:sz w:val="21"/>
                      <w:szCs w:val="21"/>
                    </w:rPr>
                    <w:t>水类别</w:t>
                  </w:r>
                </w:p>
              </w:tc>
              <w:tc>
                <w:tcPr>
                  <w:tcW w:w="594" w:type="pct"/>
                  <w:vAlign w:val="center"/>
                </w:tcPr>
                <w:p w14:paraId="616597A5">
                  <w:pPr>
                    <w:pStyle w:val="51"/>
                    <w:spacing w:line="240" w:lineRule="auto"/>
                    <w:jc w:val="center"/>
                    <w:rPr>
                      <w:rFonts w:ascii="Times New Roman" w:hAnsi="Times New Roman"/>
                      <w:color w:val="auto"/>
                      <w:sz w:val="21"/>
                      <w:szCs w:val="21"/>
                    </w:rPr>
                  </w:pPr>
                  <w:r>
                    <w:rPr>
                      <w:rFonts w:ascii="Times New Roman" w:hAnsi="Times New Roman"/>
                      <w:color w:val="auto"/>
                      <w:sz w:val="21"/>
                      <w:szCs w:val="21"/>
                    </w:rPr>
                    <w:t>产生废水量（t/a）</w:t>
                  </w:r>
                </w:p>
              </w:tc>
              <w:tc>
                <w:tcPr>
                  <w:tcW w:w="585" w:type="pct"/>
                  <w:vAlign w:val="center"/>
                </w:tcPr>
                <w:p w14:paraId="11776E69">
                  <w:pPr>
                    <w:pStyle w:val="51"/>
                    <w:spacing w:line="240" w:lineRule="auto"/>
                    <w:jc w:val="center"/>
                    <w:rPr>
                      <w:rFonts w:ascii="Times New Roman" w:hAnsi="Times New Roman"/>
                      <w:color w:val="auto"/>
                      <w:sz w:val="21"/>
                      <w:szCs w:val="21"/>
                    </w:rPr>
                  </w:pPr>
                  <w:r>
                    <w:rPr>
                      <w:rFonts w:ascii="Times New Roman" w:hAnsi="Times New Roman"/>
                      <w:color w:val="auto"/>
                      <w:sz w:val="21"/>
                      <w:szCs w:val="21"/>
                    </w:rPr>
                    <w:t>污染物</w:t>
                  </w:r>
                </w:p>
              </w:tc>
              <w:tc>
                <w:tcPr>
                  <w:tcW w:w="649" w:type="pct"/>
                  <w:vAlign w:val="center"/>
                </w:tcPr>
                <w:p w14:paraId="2DD360FA">
                  <w:pPr>
                    <w:pStyle w:val="51"/>
                    <w:spacing w:line="240" w:lineRule="auto"/>
                    <w:jc w:val="center"/>
                    <w:rPr>
                      <w:rFonts w:ascii="Times New Roman" w:hAnsi="Times New Roman"/>
                      <w:color w:val="auto"/>
                      <w:sz w:val="21"/>
                      <w:szCs w:val="21"/>
                    </w:rPr>
                  </w:pPr>
                  <w:r>
                    <w:rPr>
                      <w:rFonts w:ascii="Times New Roman" w:hAnsi="Times New Roman"/>
                      <w:color w:val="auto"/>
                      <w:sz w:val="21"/>
                      <w:szCs w:val="21"/>
                    </w:rPr>
                    <w:t>产生浓度（mg/L）</w:t>
                  </w:r>
                </w:p>
              </w:tc>
              <w:tc>
                <w:tcPr>
                  <w:tcW w:w="570" w:type="pct"/>
                  <w:vAlign w:val="center"/>
                </w:tcPr>
                <w:p w14:paraId="213C1E74">
                  <w:pPr>
                    <w:pStyle w:val="51"/>
                    <w:spacing w:line="240" w:lineRule="auto"/>
                    <w:jc w:val="center"/>
                    <w:rPr>
                      <w:rFonts w:ascii="Times New Roman" w:hAnsi="Times New Roman"/>
                      <w:color w:val="auto"/>
                      <w:sz w:val="21"/>
                      <w:szCs w:val="21"/>
                    </w:rPr>
                  </w:pPr>
                  <w:r>
                    <w:rPr>
                      <w:rFonts w:ascii="Times New Roman" w:hAnsi="Times New Roman"/>
                      <w:color w:val="auto"/>
                      <w:sz w:val="21"/>
                      <w:szCs w:val="21"/>
                    </w:rPr>
                    <w:t>产生量（t/a）</w:t>
                  </w:r>
                </w:p>
              </w:tc>
              <w:tc>
                <w:tcPr>
                  <w:tcW w:w="524" w:type="pct"/>
                  <w:vAlign w:val="center"/>
                </w:tcPr>
                <w:p w14:paraId="1A69147F">
                  <w:pPr>
                    <w:pStyle w:val="51"/>
                    <w:spacing w:line="240" w:lineRule="auto"/>
                    <w:jc w:val="center"/>
                    <w:rPr>
                      <w:rFonts w:ascii="Times New Roman" w:hAnsi="Times New Roman"/>
                      <w:color w:val="auto"/>
                      <w:sz w:val="21"/>
                      <w:szCs w:val="21"/>
                    </w:rPr>
                  </w:pPr>
                  <w:r>
                    <w:rPr>
                      <w:rFonts w:ascii="Times New Roman" w:hAnsi="Times New Roman"/>
                      <w:color w:val="auto"/>
                      <w:sz w:val="21"/>
                      <w:szCs w:val="21"/>
                    </w:rPr>
                    <w:t>处理</w:t>
                  </w:r>
                </w:p>
                <w:p w14:paraId="4C440322">
                  <w:pPr>
                    <w:pStyle w:val="51"/>
                    <w:spacing w:line="240" w:lineRule="auto"/>
                    <w:jc w:val="center"/>
                    <w:rPr>
                      <w:rFonts w:ascii="Times New Roman" w:hAnsi="Times New Roman"/>
                      <w:color w:val="auto"/>
                      <w:sz w:val="21"/>
                      <w:szCs w:val="21"/>
                    </w:rPr>
                  </w:pPr>
                  <w:r>
                    <w:rPr>
                      <w:rFonts w:ascii="Times New Roman" w:hAnsi="Times New Roman"/>
                      <w:color w:val="auto"/>
                      <w:sz w:val="21"/>
                      <w:szCs w:val="21"/>
                    </w:rPr>
                    <w:t>措施</w:t>
                  </w:r>
                </w:p>
              </w:tc>
              <w:tc>
                <w:tcPr>
                  <w:tcW w:w="543" w:type="pct"/>
                  <w:vAlign w:val="center"/>
                </w:tcPr>
                <w:p w14:paraId="683915A0">
                  <w:pPr>
                    <w:pStyle w:val="51"/>
                    <w:spacing w:line="240" w:lineRule="auto"/>
                    <w:jc w:val="center"/>
                    <w:rPr>
                      <w:rFonts w:ascii="Times New Roman" w:hAnsi="Times New Roman"/>
                      <w:color w:val="auto"/>
                      <w:sz w:val="21"/>
                      <w:szCs w:val="21"/>
                    </w:rPr>
                  </w:pPr>
                  <w:r>
                    <w:rPr>
                      <w:rFonts w:hint="eastAsia" w:ascii="Times New Roman" w:hAnsi="Times New Roman"/>
                      <w:color w:val="auto"/>
                      <w:sz w:val="21"/>
                      <w:szCs w:val="21"/>
                    </w:rPr>
                    <w:t>排放</w:t>
                  </w:r>
                  <w:r>
                    <w:rPr>
                      <w:rFonts w:ascii="Times New Roman" w:hAnsi="Times New Roman"/>
                      <w:color w:val="auto"/>
                      <w:sz w:val="21"/>
                      <w:szCs w:val="21"/>
                    </w:rPr>
                    <w:t>浓度mg/L</w:t>
                  </w:r>
                </w:p>
              </w:tc>
              <w:tc>
                <w:tcPr>
                  <w:tcW w:w="576" w:type="pct"/>
                  <w:vAlign w:val="center"/>
                </w:tcPr>
                <w:p w14:paraId="70FF9900">
                  <w:pPr>
                    <w:pStyle w:val="51"/>
                    <w:spacing w:line="240" w:lineRule="auto"/>
                    <w:jc w:val="center"/>
                    <w:rPr>
                      <w:rFonts w:ascii="Times New Roman" w:hAnsi="Times New Roman"/>
                      <w:color w:val="auto"/>
                      <w:sz w:val="21"/>
                      <w:szCs w:val="21"/>
                    </w:rPr>
                  </w:pPr>
                  <w:r>
                    <w:rPr>
                      <w:rFonts w:hint="eastAsia" w:ascii="Times New Roman" w:hAnsi="Times New Roman"/>
                      <w:color w:val="auto"/>
                      <w:sz w:val="21"/>
                      <w:szCs w:val="21"/>
                    </w:rPr>
                    <w:t>排放</w:t>
                  </w:r>
                  <w:r>
                    <w:rPr>
                      <w:rFonts w:ascii="Times New Roman" w:hAnsi="Times New Roman"/>
                      <w:color w:val="auto"/>
                      <w:sz w:val="21"/>
                      <w:szCs w:val="21"/>
                    </w:rPr>
                    <w:t>量（t/a）</w:t>
                  </w:r>
                </w:p>
              </w:tc>
              <w:tc>
                <w:tcPr>
                  <w:tcW w:w="668" w:type="pct"/>
                  <w:vAlign w:val="center"/>
                </w:tcPr>
                <w:p w14:paraId="189D9B33">
                  <w:pPr>
                    <w:pStyle w:val="51"/>
                    <w:spacing w:line="240" w:lineRule="auto"/>
                    <w:jc w:val="center"/>
                    <w:rPr>
                      <w:rFonts w:ascii="Times New Roman" w:hAnsi="Times New Roman"/>
                      <w:color w:val="auto"/>
                      <w:sz w:val="21"/>
                      <w:szCs w:val="21"/>
                    </w:rPr>
                  </w:pPr>
                  <w:r>
                    <w:rPr>
                      <w:rFonts w:ascii="Times New Roman" w:hAnsi="Times New Roman"/>
                      <w:color w:val="auto"/>
                      <w:sz w:val="21"/>
                      <w:szCs w:val="21"/>
                    </w:rPr>
                    <w:t>排放出向</w:t>
                  </w:r>
                </w:p>
              </w:tc>
            </w:tr>
            <w:tr w14:paraId="2135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91" w:type="pct"/>
                  <w:vMerge w:val="restart"/>
                  <w:vAlign w:val="center"/>
                </w:tcPr>
                <w:p w14:paraId="4C860DD3">
                  <w:pPr>
                    <w:widowControl/>
                    <w:jc w:val="center"/>
                    <w:textAlignment w:val="center"/>
                    <w:rPr>
                      <w:color w:val="000000"/>
                      <w:szCs w:val="21"/>
                    </w:rPr>
                  </w:pPr>
                  <w:r>
                    <w:rPr>
                      <w:color w:val="000000"/>
                      <w:kern w:val="0"/>
                      <w:szCs w:val="21"/>
                      <w:lang w:bidi="ar"/>
                    </w:rPr>
                    <w:t>生活污水</w:t>
                  </w:r>
                </w:p>
              </w:tc>
              <w:tc>
                <w:tcPr>
                  <w:tcW w:w="594" w:type="pct"/>
                  <w:vMerge w:val="restart"/>
                  <w:vAlign w:val="center"/>
                </w:tcPr>
                <w:p w14:paraId="4DCD3FE1">
                  <w:pPr>
                    <w:widowControl/>
                    <w:jc w:val="center"/>
                    <w:textAlignment w:val="center"/>
                    <w:rPr>
                      <w:color w:val="000000"/>
                      <w:szCs w:val="21"/>
                    </w:rPr>
                  </w:pPr>
                  <w:r>
                    <w:rPr>
                      <w:rFonts w:hint="eastAsia"/>
                      <w:color w:val="000000"/>
                      <w:kern w:val="0"/>
                      <w:szCs w:val="21"/>
                      <w:lang w:bidi="ar"/>
                    </w:rPr>
                    <w:t>1440</w:t>
                  </w:r>
                </w:p>
              </w:tc>
              <w:tc>
                <w:tcPr>
                  <w:tcW w:w="585" w:type="pct"/>
                  <w:vAlign w:val="center"/>
                </w:tcPr>
                <w:p w14:paraId="5618679D">
                  <w:pPr>
                    <w:widowControl/>
                    <w:jc w:val="center"/>
                    <w:textAlignment w:val="center"/>
                    <w:rPr>
                      <w:color w:val="000000"/>
                      <w:szCs w:val="21"/>
                    </w:rPr>
                  </w:pPr>
                  <w:r>
                    <w:rPr>
                      <w:color w:val="000000"/>
                      <w:kern w:val="0"/>
                      <w:szCs w:val="21"/>
                      <w:lang w:bidi="ar"/>
                    </w:rPr>
                    <w:t>COD</w:t>
                  </w:r>
                </w:p>
              </w:tc>
              <w:tc>
                <w:tcPr>
                  <w:tcW w:w="649" w:type="pct"/>
                  <w:vAlign w:val="center"/>
                </w:tcPr>
                <w:p w14:paraId="014BD9D1">
                  <w:pPr>
                    <w:widowControl/>
                    <w:jc w:val="center"/>
                    <w:textAlignment w:val="center"/>
                    <w:rPr>
                      <w:color w:val="000000"/>
                      <w:szCs w:val="21"/>
                    </w:rPr>
                  </w:pPr>
                  <w:r>
                    <w:t>350</w:t>
                  </w:r>
                </w:p>
              </w:tc>
              <w:tc>
                <w:tcPr>
                  <w:tcW w:w="570" w:type="pct"/>
                  <w:vAlign w:val="center"/>
                </w:tcPr>
                <w:p w14:paraId="55EFC9FE">
                  <w:pPr>
                    <w:widowControl/>
                    <w:jc w:val="center"/>
                    <w:textAlignment w:val="center"/>
                    <w:rPr>
                      <w:color w:val="000000"/>
                      <w:szCs w:val="21"/>
                    </w:rPr>
                  </w:pPr>
                  <w:r>
                    <w:t>0.504</w:t>
                  </w:r>
                </w:p>
              </w:tc>
              <w:tc>
                <w:tcPr>
                  <w:tcW w:w="524" w:type="pct"/>
                  <w:vMerge w:val="restart"/>
                  <w:vAlign w:val="center"/>
                </w:tcPr>
                <w:p w14:paraId="6B24EF69">
                  <w:pPr>
                    <w:widowControl/>
                    <w:jc w:val="center"/>
                    <w:textAlignment w:val="center"/>
                    <w:rPr>
                      <w:color w:val="000000"/>
                      <w:szCs w:val="21"/>
                    </w:rPr>
                  </w:pPr>
                  <w:r>
                    <w:rPr>
                      <w:color w:val="000000"/>
                      <w:kern w:val="0"/>
                      <w:szCs w:val="21"/>
                      <w:lang w:bidi="ar"/>
                    </w:rPr>
                    <w:t>化粪池预处理</w:t>
                  </w:r>
                </w:p>
              </w:tc>
              <w:tc>
                <w:tcPr>
                  <w:tcW w:w="543" w:type="pct"/>
                  <w:vAlign w:val="center"/>
                </w:tcPr>
                <w:p w14:paraId="03018828">
                  <w:pPr>
                    <w:widowControl/>
                    <w:jc w:val="center"/>
                    <w:textAlignment w:val="center"/>
                    <w:rPr>
                      <w:color w:val="000000"/>
                      <w:szCs w:val="21"/>
                    </w:rPr>
                  </w:pPr>
                  <w:r>
                    <w:t>320</w:t>
                  </w:r>
                </w:p>
              </w:tc>
              <w:tc>
                <w:tcPr>
                  <w:tcW w:w="576" w:type="pct"/>
                  <w:vAlign w:val="center"/>
                </w:tcPr>
                <w:p w14:paraId="6CD1277E">
                  <w:pPr>
                    <w:widowControl/>
                    <w:jc w:val="center"/>
                    <w:textAlignment w:val="center"/>
                    <w:rPr>
                      <w:color w:val="000000"/>
                      <w:szCs w:val="21"/>
                    </w:rPr>
                  </w:pPr>
                  <w:r>
                    <w:t>0.4608</w:t>
                  </w:r>
                </w:p>
              </w:tc>
              <w:tc>
                <w:tcPr>
                  <w:tcW w:w="668" w:type="pct"/>
                  <w:vMerge w:val="restart"/>
                  <w:vAlign w:val="center"/>
                </w:tcPr>
                <w:p w14:paraId="2EE4F920">
                  <w:pPr>
                    <w:widowControl/>
                    <w:jc w:val="center"/>
                    <w:textAlignment w:val="center"/>
                    <w:rPr>
                      <w:color w:val="000000"/>
                      <w:szCs w:val="21"/>
                    </w:rPr>
                  </w:pPr>
                  <w:r>
                    <w:rPr>
                      <w:rFonts w:hint="eastAsia"/>
                      <w:color w:val="000000"/>
                      <w:szCs w:val="21"/>
                    </w:rPr>
                    <w:t>接管进入金寨开发区污水处理厂</w:t>
                  </w:r>
                </w:p>
              </w:tc>
            </w:tr>
            <w:tr w14:paraId="5E6D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91" w:type="pct"/>
                  <w:vMerge w:val="continue"/>
                  <w:vAlign w:val="center"/>
                </w:tcPr>
                <w:p w14:paraId="2F580A4E">
                  <w:pPr>
                    <w:jc w:val="center"/>
                    <w:rPr>
                      <w:color w:val="000000"/>
                      <w:szCs w:val="21"/>
                    </w:rPr>
                  </w:pPr>
                </w:p>
              </w:tc>
              <w:tc>
                <w:tcPr>
                  <w:tcW w:w="594" w:type="pct"/>
                  <w:vMerge w:val="continue"/>
                  <w:vAlign w:val="center"/>
                </w:tcPr>
                <w:p w14:paraId="5F902D13">
                  <w:pPr>
                    <w:jc w:val="center"/>
                    <w:rPr>
                      <w:color w:val="000000"/>
                      <w:szCs w:val="21"/>
                    </w:rPr>
                  </w:pPr>
                </w:p>
              </w:tc>
              <w:tc>
                <w:tcPr>
                  <w:tcW w:w="585" w:type="pct"/>
                  <w:vAlign w:val="center"/>
                </w:tcPr>
                <w:p w14:paraId="391E0A78">
                  <w:pPr>
                    <w:widowControl/>
                    <w:jc w:val="center"/>
                    <w:textAlignment w:val="center"/>
                    <w:rPr>
                      <w:color w:val="000000"/>
                      <w:szCs w:val="21"/>
                    </w:rPr>
                  </w:pPr>
                  <w:r>
                    <w:rPr>
                      <w:color w:val="000000"/>
                      <w:kern w:val="0"/>
                      <w:szCs w:val="21"/>
                      <w:lang w:bidi="ar"/>
                    </w:rPr>
                    <w:t>BOD</w:t>
                  </w:r>
                  <w:r>
                    <w:rPr>
                      <w:color w:val="000000"/>
                      <w:kern w:val="0"/>
                      <w:szCs w:val="21"/>
                      <w:vertAlign w:val="subscript"/>
                      <w:lang w:bidi="ar"/>
                    </w:rPr>
                    <w:t>5</w:t>
                  </w:r>
                </w:p>
              </w:tc>
              <w:tc>
                <w:tcPr>
                  <w:tcW w:w="649" w:type="pct"/>
                  <w:vAlign w:val="center"/>
                </w:tcPr>
                <w:p w14:paraId="50846BE5">
                  <w:pPr>
                    <w:widowControl/>
                    <w:jc w:val="center"/>
                    <w:textAlignment w:val="center"/>
                    <w:rPr>
                      <w:color w:val="000000"/>
                      <w:szCs w:val="21"/>
                    </w:rPr>
                  </w:pPr>
                  <w:r>
                    <w:t>180</w:t>
                  </w:r>
                </w:p>
              </w:tc>
              <w:tc>
                <w:tcPr>
                  <w:tcW w:w="570" w:type="pct"/>
                  <w:vAlign w:val="center"/>
                </w:tcPr>
                <w:p w14:paraId="032C02EB">
                  <w:pPr>
                    <w:widowControl/>
                    <w:jc w:val="center"/>
                    <w:textAlignment w:val="center"/>
                    <w:rPr>
                      <w:color w:val="000000"/>
                      <w:szCs w:val="21"/>
                    </w:rPr>
                  </w:pPr>
                  <w:r>
                    <w:t>0.2592</w:t>
                  </w:r>
                </w:p>
              </w:tc>
              <w:tc>
                <w:tcPr>
                  <w:tcW w:w="524" w:type="pct"/>
                  <w:vMerge w:val="continue"/>
                  <w:vAlign w:val="center"/>
                </w:tcPr>
                <w:p w14:paraId="4A7892DD">
                  <w:pPr>
                    <w:jc w:val="center"/>
                    <w:rPr>
                      <w:color w:val="000000"/>
                      <w:szCs w:val="21"/>
                    </w:rPr>
                  </w:pPr>
                </w:p>
              </w:tc>
              <w:tc>
                <w:tcPr>
                  <w:tcW w:w="543" w:type="pct"/>
                  <w:vAlign w:val="center"/>
                </w:tcPr>
                <w:p w14:paraId="0EA7098C">
                  <w:pPr>
                    <w:widowControl/>
                    <w:jc w:val="center"/>
                    <w:textAlignment w:val="center"/>
                    <w:rPr>
                      <w:color w:val="000000"/>
                      <w:szCs w:val="21"/>
                    </w:rPr>
                  </w:pPr>
                  <w:r>
                    <w:t>165</w:t>
                  </w:r>
                </w:p>
              </w:tc>
              <w:tc>
                <w:tcPr>
                  <w:tcW w:w="576" w:type="pct"/>
                  <w:vAlign w:val="center"/>
                </w:tcPr>
                <w:p w14:paraId="3926017F">
                  <w:pPr>
                    <w:widowControl/>
                    <w:jc w:val="center"/>
                    <w:textAlignment w:val="center"/>
                    <w:rPr>
                      <w:color w:val="000000"/>
                      <w:szCs w:val="21"/>
                    </w:rPr>
                  </w:pPr>
                  <w:r>
                    <w:t>0.2376</w:t>
                  </w:r>
                </w:p>
              </w:tc>
              <w:tc>
                <w:tcPr>
                  <w:tcW w:w="668" w:type="pct"/>
                  <w:vMerge w:val="continue"/>
                  <w:vAlign w:val="center"/>
                </w:tcPr>
                <w:p w14:paraId="0214437A">
                  <w:pPr>
                    <w:widowControl/>
                    <w:jc w:val="center"/>
                    <w:textAlignment w:val="center"/>
                    <w:rPr>
                      <w:color w:val="000000"/>
                      <w:szCs w:val="21"/>
                    </w:rPr>
                  </w:pPr>
                </w:p>
              </w:tc>
            </w:tr>
            <w:tr w14:paraId="6A4E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91" w:type="pct"/>
                  <w:vMerge w:val="continue"/>
                  <w:vAlign w:val="center"/>
                </w:tcPr>
                <w:p w14:paraId="213F629B">
                  <w:pPr>
                    <w:jc w:val="center"/>
                    <w:rPr>
                      <w:color w:val="000000"/>
                      <w:szCs w:val="21"/>
                    </w:rPr>
                  </w:pPr>
                </w:p>
              </w:tc>
              <w:tc>
                <w:tcPr>
                  <w:tcW w:w="594" w:type="pct"/>
                  <w:vMerge w:val="continue"/>
                  <w:vAlign w:val="center"/>
                </w:tcPr>
                <w:p w14:paraId="17B6A9A8">
                  <w:pPr>
                    <w:jc w:val="center"/>
                    <w:rPr>
                      <w:color w:val="000000"/>
                      <w:szCs w:val="21"/>
                    </w:rPr>
                  </w:pPr>
                </w:p>
              </w:tc>
              <w:tc>
                <w:tcPr>
                  <w:tcW w:w="585" w:type="pct"/>
                  <w:vAlign w:val="center"/>
                </w:tcPr>
                <w:p w14:paraId="5597413C">
                  <w:pPr>
                    <w:widowControl/>
                    <w:jc w:val="center"/>
                    <w:textAlignment w:val="center"/>
                    <w:rPr>
                      <w:color w:val="000000"/>
                      <w:szCs w:val="21"/>
                    </w:rPr>
                  </w:pPr>
                  <w:r>
                    <w:rPr>
                      <w:color w:val="000000"/>
                      <w:kern w:val="0"/>
                      <w:szCs w:val="21"/>
                      <w:lang w:bidi="ar"/>
                    </w:rPr>
                    <w:t>SS</w:t>
                  </w:r>
                </w:p>
              </w:tc>
              <w:tc>
                <w:tcPr>
                  <w:tcW w:w="649" w:type="pct"/>
                  <w:vAlign w:val="center"/>
                </w:tcPr>
                <w:p w14:paraId="26AE8546">
                  <w:pPr>
                    <w:widowControl/>
                    <w:jc w:val="center"/>
                    <w:textAlignment w:val="center"/>
                    <w:rPr>
                      <w:color w:val="000000"/>
                      <w:szCs w:val="21"/>
                    </w:rPr>
                  </w:pPr>
                  <w:r>
                    <w:t>200</w:t>
                  </w:r>
                </w:p>
              </w:tc>
              <w:tc>
                <w:tcPr>
                  <w:tcW w:w="570" w:type="pct"/>
                  <w:vAlign w:val="center"/>
                </w:tcPr>
                <w:p w14:paraId="103B862E">
                  <w:pPr>
                    <w:widowControl/>
                    <w:jc w:val="center"/>
                    <w:textAlignment w:val="center"/>
                    <w:rPr>
                      <w:color w:val="000000"/>
                      <w:szCs w:val="21"/>
                    </w:rPr>
                  </w:pPr>
                  <w:r>
                    <w:t>0.288</w:t>
                  </w:r>
                </w:p>
              </w:tc>
              <w:tc>
                <w:tcPr>
                  <w:tcW w:w="524" w:type="pct"/>
                  <w:vMerge w:val="continue"/>
                  <w:vAlign w:val="center"/>
                </w:tcPr>
                <w:p w14:paraId="56974B95">
                  <w:pPr>
                    <w:jc w:val="center"/>
                    <w:rPr>
                      <w:color w:val="000000"/>
                      <w:szCs w:val="21"/>
                    </w:rPr>
                  </w:pPr>
                </w:p>
              </w:tc>
              <w:tc>
                <w:tcPr>
                  <w:tcW w:w="543" w:type="pct"/>
                  <w:vAlign w:val="center"/>
                </w:tcPr>
                <w:p w14:paraId="053B67CD">
                  <w:pPr>
                    <w:widowControl/>
                    <w:jc w:val="center"/>
                    <w:textAlignment w:val="center"/>
                    <w:rPr>
                      <w:color w:val="000000"/>
                      <w:szCs w:val="21"/>
                    </w:rPr>
                  </w:pPr>
                  <w:r>
                    <w:t>180</w:t>
                  </w:r>
                </w:p>
              </w:tc>
              <w:tc>
                <w:tcPr>
                  <w:tcW w:w="576" w:type="pct"/>
                  <w:vAlign w:val="center"/>
                </w:tcPr>
                <w:p w14:paraId="5309E0B0">
                  <w:pPr>
                    <w:widowControl/>
                    <w:jc w:val="center"/>
                    <w:textAlignment w:val="center"/>
                    <w:rPr>
                      <w:color w:val="000000"/>
                      <w:szCs w:val="21"/>
                    </w:rPr>
                  </w:pPr>
                  <w:r>
                    <w:t>0.2592</w:t>
                  </w:r>
                </w:p>
              </w:tc>
              <w:tc>
                <w:tcPr>
                  <w:tcW w:w="668" w:type="pct"/>
                  <w:vMerge w:val="continue"/>
                  <w:vAlign w:val="center"/>
                </w:tcPr>
                <w:p w14:paraId="3CFDA923">
                  <w:pPr>
                    <w:widowControl/>
                    <w:jc w:val="center"/>
                    <w:textAlignment w:val="center"/>
                    <w:rPr>
                      <w:color w:val="000000"/>
                      <w:szCs w:val="21"/>
                    </w:rPr>
                  </w:pPr>
                </w:p>
              </w:tc>
            </w:tr>
            <w:tr w14:paraId="5CBA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91" w:type="pct"/>
                  <w:vMerge w:val="continue"/>
                  <w:vAlign w:val="center"/>
                </w:tcPr>
                <w:p w14:paraId="605600B4">
                  <w:pPr>
                    <w:jc w:val="center"/>
                    <w:rPr>
                      <w:color w:val="000000"/>
                      <w:szCs w:val="21"/>
                    </w:rPr>
                  </w:pPr>
                </w:p>
              </w:tc>
              <w:tc>
                <w:tcPr>
                  <w:tcW w:w="594" w:type="pct"/>
                  <w:vMerge w:val="continue"/>
                  <w:vAlign w:val="center"/>
                </w:tcPr>
                <w:p w14:paraId="5E65EE0D">
                  <w:pPr>
                    <w:jc w:val="center"/>
                    <w:rPr>
                      <w:color w:val="000000"/>
                      <w:szCs w:val="21"/>
                    </w:rPr>
                  </w:pPr>
                </w:p>
              </w:tc>
              <w:tc>
                <w:tcPr>
                  <w:tcW w:w="585" w:type="pct"/>
                  <w:vAlign w:val="center"/>
                </w:tcPr>
                <w:p w14:paraId="076A61D0">
                  <w:pPr>
                    <w:widowControl/>
                    <w:jc w:val="center"/>
                    <w:textAlignment w:val="center"/>
                    <w:rPr>
                      <w:color w:val="000000"/>
                      <w:szCs w:val="21"/>
                    </w:rPr>
                  </w:pPr>
                  <w:r>
                    <w:rPr>
                      <w:color w:val="000000"/>
                      <w:kern w:val="0"/>
                      <w:szCs w:val="21"/>
                      <w:lang w:bidi="ar"/>
                    </w:rPr>
                    <w:t>NH</w:t>
                  </w:r>
                  <w:r>
                    <w:rPr>
                      <w:color w:val="000000"/>
                      <w:kern w:val="0"/>
                      <w:szCs w:val="21"/>
                      <w:vertAlign w:val="subscript"/>
                      <w:lang w:bidi="ar"/>
                    </w:rPr>
                    <w:t>3</w:t>
                  </w:r>
                  <w:r>
                    <w:rPr>
                      <w:color w:val="000000"/>
                      <w:kern w:val="0"/>
                      <w:szCs w:val="21"/>
                      <w:lang w:bidi="ar"/>
                    </w:rPr>
                    <w:t>-N</w:t>
                  </w:r>
                </w:p>
              </w:tc>
              <w:tc>
                <w:tcPr>
                  <w:tcW w:w="649" w:type="pct"/>
                  <w:vAlign w:val="center"/>
                </w:tcPr>
                <w:p w14:paraId="17370A0F">
                  <w:pPr>
                    <w:widowControl/>
                    <w:jc w:val="center"/>
                    <w:textAlignment w:val="center"/>
                    <w:rPr>
                      <w:color w:val="000000"/>
                      <w:szCs w:val="21"/>
                    </w:rPr>
                  </w:pPr>
                  <w:r>
                    <w:t>35</w:t>
                  </w:r>
                </w:p>
              </w:tc>
              <w:tc>
                <w:tcPr>
                  <w:tcW w:w="570" w:type="pct"/>
                  <w:vAlign w:val="center"/>
                </w:tcPr>
                <w:p w14:paraId="35899C58">
                  <w:pPr>
                    <w:widowControl/>
                    <w:jc w:val="center"/>
                    <w:textAlignment w:val="center"/>
                    <w:rPr>
                      <w:color w:val="000000"/>
                      <w:szCs w:val="21"/>
                    </w:rPr>
                  </w:pPr>
                  <w:r>
                    <w:t>0.0504</w:t>
                  </w:r>
                </w:p>
              </w:tc>
              <w:tc>
                <w:tcPr>
                  <w:tcW w:w="524" w:type="pct"/>
                  <w:vMerge w:val="continue"/>
                  <w:vAlign w:val="center"/>
                </w:tcPr>
                <w:p w14:paraId="7B3FACF7">
                  <w:pPr>
                    <w:jc w:val="center"/>
                    <w:rPr>
                      <w:color w:val="000000"/>
                      <w:szCs w:val="21"/>
                    </w:rPr>
                  </w:pPr>
                </w:p>
              </w:tc>
              <w:tc>
                <w:tcPr>
                  <w:tcW w:w="543" w:type="pct"/>
                  <w:vAlign w:val="center"/>
                </w:tcPr>
                <w:p w14:paraId="54DB6721">
                  <w:pPr>
                    <w:widowControl/>
                    <w:jc w:val="center"/>
                    <w:textAlignment w:val="center"/>
                    <w:rPr>
                      <w:color w:val="000000"/>
                      <w:szCs w:val="21"/>
                    </w:rPr>
                  </w:pPr>
                  <w:r>
                    <w:t>32</w:t>
                  </w:r>
                </w:p>
              </w:tc>
              <w:tc>
                <w:tcPr>
                  <w:tcW w:w="576" w:type="pct"/>
                  <w:vAlign w:val="center"/>
                </w:tcPr>
                <w:p w14:paraId="0010504F">
                  <w:pPr>
                    <w:widowControl/>
                    <w:jc w:val="center"/>
                    <w:textAlignment w:val="center"/>
                    <w:rPr>
                      <w:color w:val="000000"/>
                      <w:szCs w:val="21"/>
                    </w:rPr>
                  </w:pPr>
                  <w:r>
                    <w:t>0.04608</w:t>
                  </w:r>
                </w:p>
              </w:tc>
              <w:tc>
                <w:tcPr>
                  <w:tcW w:w="668" w:type="pct"/>
                  <w:vMerge w:val="continue"/>
                  <w:vAlign w:val="center"/>
                </w:tcPr>
                <w:p w14:paraId="0CE588B8">
                  <w:pPr>
                    <w:widowControl/>
                    <w:jc w:val="center"/>
                    <w:textAlignment w:val="center"/>
                    <w:rPr>
                      <w:color w:val="000000"/>
                      <w:szCs w:val="21"/>
                    </w:rPr>
                  </w:pPr>
                </w:p>
              </w:tc>
            </w:tr>
          </w:tbl>
          <w:p w14:paraId="740B440D">
            <w:pPr>
              <w:spacing w:line="500" w:lineRule="exact"/>
              <w:ind w:firstLine="480" w:firstLineChars="200"/>
              <w:rPr>
                <w:kern w:val="0"/>
                <w:sz w:val="24"/>
              </w:rPr>
            </w:pPr>
            <w:r>
              <w:rPr>
                <w:kern w:val="0"/>
                <w:sz w:val="24"/>
              </w:rPr>
              <w:t>（2）排放口情况</w:t>
            </w:r>
          </w:p>
          <w:p w14:paraId="6F3E8BF3">
            <w:pPr>
              <w:spacing w:line="500" w:lineRule="exact"/>
              <w:ind w:firstLine="480" w:firstLineChars="200"/>
              <w:rPr>
                <w:kern w:val="0"/>
                <w:sz w:val="24"/>
              </w:rPr>
            </w:pPr>
            <w:r>
              <w:rPr>
                <w:kern w:val="0"/>
                <w:sz w:val="24"/>
              </w:rPr>
              <w:t>项目主要外排废水为员工生活污水，属于间接排放，项目间接排放口基本情况如下表所示。</w:t>
            </w:r>
          </w:p>
          <w:p w14:paraId="4D8BE954">
            <w:pPr>
              <w:widowControl/>
              <w:jc w:val="center"/>
            </w:pPr>
            <w:r>
              <w:rPr>
                <w:rFonts w:ascii="瀹嬩綋" w:hAnsi="瀹嬩綋" w:eastAsia="瀹嬩綋" w:cs="瀹嬩綋"/>
                <w:b/>
                <w:bCs/>
                <w:color w:val="000000"/>
                <w:kern w:val="0"/>
                <w:szCs w:val="21"/>
                <w:lang w:bidi="ar"/>
              </w:rPr>
              <w:t>表</w:t>
            </w:r>
            <w:r>
              <w:rPr>
                <w:rFonts w:hint="eastAsia"/>
                <w:b/>
                <w:bCs/>
                <w:color w:val="000000"/>
                <w:kern w:val="0"/>
                <w:szCs w:val="21"/>
                <w:lang w:bidi="ar"/>
              </w:rPr>
              <w:t>4-9</w:t>
            </w:r>
            <w:r>
              <w:rPr>
                <w:rFonts w:ascii="瀹嬩綋" w:hAnsi="瀹嬩綋" w:eastAsia="瀹嬩綋" w:cs="瀹嬩綋"/>
                <w:b/>
                <w:bCs/>
                <w:color w:val="000000"/>
                <w:kern w:val="0"/>
                <w:szCs w:val="21"/>
                <w:lang w:bidi="ar"/>
              </w:rPr>
              <w:t xml:space="preserve"> 废水间接排放口基本情况表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466"/>
              <w:gridCol w:w="941"/>
              <w:gridCol w:w="829"/>
              <w:gridCol w:w="1046"/>
              <w:gridCol w:w="937"/>
              <w:gridCol w:w="937"/>
              <w:gridCol w:w="863"/>
              <w:gridCol w:w="1091"/>
            </w:tblGrid>
            <w:tr w14:paraId="763E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vAlign w:val="center"/>
                </w:tcPr>
                <w:p w14:paraId="0B8325B1">
                  <w:pPr>
                    <w:widowControl/>
                    <w:jc w:val="center"/>
                    <w:rPr>
                      <w:kern w:val="0"/>
                      <w:sz w:val="20"/>
                      <w:szCs w:val="20"/>
                    </w:rPr>
                  </w:pPr>
                  <w:r>
                    <w:rPr>
                      <w:b/>
                      <w:bCs/>
                      <w:color w:val="000000"/>
                      <w:kern w:val="0"/>
                      <w:sz w:val="20"/>
                      <w:szCs w:val="20"/>
                      <w:lang w:bidi="ar"/>
                    </w:rPr>
                    <w:t>序号</w:t>
                  </w:r>
                </w:p>
              </w:tc>
              <w:tc>
                <w:tcPr>
                  <w:tcW w:w="551" w:type="pct"/>
                  <w:vMerge w:val="restart"/>
                  <w:vAlign w:val="center"/>
                </w:tcPr>
                <w:p w14:paraId="4149B98A">
                  <w:pPr>
                    <w:widowControl/>
                    <w:jc w:val="center"/>
                    <w:rPr>
                      <w:kern w:val="0"/>
                      <w:sz w:val="20"/>
                      <w:szCs w:val="20"/>
                    </w:rPr>
                  </w:pPr>
                  <w:r>
                    <w:rPr>
                      <w:b/>
                      <w:bCs/>
                      <w:color w:val="000000"/>
                      <w:kern w:val="0"/>
                      <w:sz w:val="20"/>
                      <w:szCs w:val="20"/>
                      <w:lang w:bidi="ar"/>
                    </w:rPr>
                    <w:t>排放口地理坐标</w:t>
                  </w:r>
                </w:p>
              </w:tc>
              <w:tc>
                <w:tcPr>
                  <w:tcW w:w="553" w:type="pct"/>
                  <w:vMerge w:val="restart"/>
                  <w:vAlign w:val="center"/>
                </w:tcPr>
                <w:p w14:paraId="445FAC7D">
                  <w:pPr>
                    <w:widowControl/>
                    <w:jc w:val="center"/>
                    <w:rPr>
                      <w:sz w:val="20"/>
                      <w:szCs w:val="20"/>
                    </w:rPr>
                  </w:pPr>
                  <w:r>
                    <w:rPr>
                      <w:b/>
                      <w:bCs/>
                      <w:color w:val="000000"/>
                      <w:kern w:val="0"/>
                      <w:sz w:val="20"/>
                      <w:szCs w:val="20"/>
                      <w:lang w:bidi="ar"/>
                    </w:rPr>
                    <w:t>废水排放量（万</w:t>
                  </w:r>
                </w:p>
                <w:p w14:paraId="25690A95">
                  <w:pPr>
                    <w:widowControl/>
                    <w:jc w:val="center"/>
                    <w:rPr>
                      <w:kern w:val="0"/>
                      <w:sz w:val="20"/>
                      <w:szCs w:val="20"/>
                    </w:rPr>
                  </w:pPr>
                  <w:r>
                    <w:rPr>
                      <w:b/>
                      <w:bCs/>
                      <w:color w:val="000000"/>
                      <w:kern w:val="0"/>
                      <w:sz w:val="20"/>
                      <w:szCs w:val="20"/>
                      <w:lang w:bidi="ar"/>
                    </w:rPr>
                    <w:t>t/a）</w:t>
                  </w:r>
                </w:p>
              </w:tc>
              <w:tc>
                <w:tcPr>
                  <w:tcW w:w="491" w:type="pct"/>
                  <w:vMerge w:val="restart"/>
                  <w:vAlign w:val="center"/>
                </w:tcPr>
                <w:p w14:paraId="49C7C16E">
                  <w:pPr>
                    <w:widowControl/>
                    <w:jc w:val="center"/>
                    <w:rPr>
                      <w:kern w:val="0"/>
                      <w:sz w:val="20"/>
                      <w:szCs w:val="20"/>
                    </w:rPr>
                  </w:pPr>
                  <w:r>
                    <w:rPr>
                      <w:b/>
                      <w:bCs/>
                      <w:color w:val="000000"/>
                      <w:kern w:val="0"/>
                      <w:sz w:val="20"/>
                      <w:szCs w:val="20"/>
                      <w:lang w:bidi="ar"/>
                    </w:rPr>
                    <w:t>排放去向</w:t>
                  </w:r>
                </w:p>
              </w:tc>
              <w:tc>
                <w:tcPr>
                  <w:tcW w:w="611" w:type="pct"/>
                  <w:vMerge w:val="restart"/>
                  <w:vAlign w:val="center"/>
                </w:tcPr>
                <w:p w14:paraId="0F5487DC">
                  <w:pPr>
                    <w:widowControl/>
                    <w:jc w:val="center"/>
                    <w:rPr>
                      <w:kern w:val="0"/>
                      <w:sz w:val="20"/>
                      <w:szCs w:val="20"/>
                    </w:rPr>
                  </w:pPr>
                  <w:r>
                    <w:rPr>
                      <w:b/>
                      <w:bCs/>
                      <w:color w:val="000000"/>
                      <w:kern w:val="0"/>
                      <w:sz w:val="20"/>
                      <w:szCs w:val="20"/>
                      <w:lang w:bidi="ar"/>
                    </w:rPr>
                    <w:t>排放规律</w:t>
                  </w:r>
                </w:p>
              </w:tc>
              <w:tc>
                <w:tcPr>
                  <w:tcW w:w="550" w:type="pct"/>
                  <w:vMerge w:val="restart"/>
                  <w:vAlign w:val="center"/>
                </w:tcPr>
                <w:p w14:paraId="38ECAFCE">
                  <w:pPr>
                    <w:widowControl/>
                    <w:jc w:val="center"/>
                    <w:rPr>
                      <w:kern w:val="0"/>
                      <w:sz w:val="20"/>
                      <w:szCs w:val="20"/>
                    </w:rPr>
                  </w:pPr>
                  <w:r>
                    <w:rPr>
                      <w:b/>
                      <w:bCs/>
                      <w:color w:val="000000"/>
                      <w:kern w:val="0"/>
                      <w:sz w:val="20"/>
                      <w:szCs w:val="20"/>
                      <w:lang w:bidi="ar"/>
                    </w:rPr>
                    <w:t>间歇排放时段</w:t>
                  </w:r>
                </w:p>
              </w:tc>
              <w:tc>
                <w:tcPr>
                  <w:tcW w:w="1694" w:type="pct"/>
                  <w:gridSpan w:val="3"/>
                  <w:vAlign w:val="center"/>
                </w:tcPr>
                <w:p w14:paraId="6B21441B">
                  <w:pPr>
                    <w:widowControl/>
                    <w:jc w:val="center"/>
                    <w:rPr>
                      <w:kern w:val="0"/>
                      <w:sz w:val="20"/>
                      <w:szCs w:val="20"/>
                    </w:rPr>
                  </w:pPr>
                  <w:r>
                    <w:rPr>
                      <w:b/>
                      <w:bCs/>
                      <w:color w:val="000000"/>
                      <w:kern w:val="0"/>
                      <w:sz w:val="20"/>
                      <w:szCs w:val="20"/>
                      <w:lang w:bidi="ar"/>
                    </w:rPr>
                    <w:t>受纳污水处理设施信息</w:t>
                  </w:r>
                </w:p>
              </w:tc>
            </w:tr>
            <w:tr w14:paraId="1269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549" w:type="pct"/>
                  <w:vMerge w:val="continue"/>
                  <w:vAlign w:val="center"/>
                </w:tcPr>
                <w:p w14:paraId="5D22E9D3">
                  <w:pPr>
                    <w:spacing w:line="500" w:lineRule="exact"/>
                    <w:jc w:val="center"/>
                    <w:rPr>
                      <w:kern w:val="0"/>
                      <w:sz w:val="20"/>
                      <w:szCs w:val="20"/>
                    </w:rPr>
                  </w:pPr>
                </w:p>
              </w:tc>
              <w:tc>
                <w:tcPr>
                  <w:tcW w:w="551" w:type="pct"/>
                  <w:vMerge w:val="continue"/>
                  <w:vAlign w:val="center"/>
                </w:tcPr>
                <w:p w14:paraId="1F711973">
                  <w:pPr>
                    <w:spacing w:line="500" w:lineRule="exact"/>
                    <w:jc w:val="center"/>
                    <w:rPr>
                      <w:kern w:val="0"/>
                      <w:sz w:val="20"/>
                      <w:szCs w:val="20"/>
                    </w:rPr>
                  </w:pPr>
                </w:p>
              </w:tc>
              <w:tc>
                <w:tcPr>
                  <w:tcW w:w="553" w:type="pct"/>
                  <w:vMerge w:val="continue"/>
                  <w:vAlign w:val="center"/>
                </w:tcPr>
                <w:p w14:paraId="50EA036E">
                  <w:pPr>
                    <w:spacing w:line="500" w:lineRule="exact"/>
                    <w:jc w:val="center"/>
                    <w:rPr>
                      <w:kern w:val="0"/>
                      <w:sz w:val="20"/>
                      <w:szCs w:val="20"/>
                    </w:rPr>
                  </w:pPr>
                </w:p>
              </w:tc>
              <w:tc>
                <w:tcPr>
                  <w:tcW w:w="491" w:type="pct"/>
                  <w:vMerge w:val="continue"/>
                  <w:vAlign w:val="center"/>
                </w:tcPr>
                <w:p w14:paraId="3C9264B5">
                  <w:pPr>
                    <w:spacing w:line="500" w:lineRule="exact"/>
                    <w:jc w:val="center"/>
                    <w:rPr>
                      <w:kern w:val="0"/>
                      <w:sz w:val="20"/>
                      <w:szCs w:val="20"/>
                    </w:rPr>
                  </w:pPr>
                </w:p>
              </w:tc>
              <w:tc>
                <w:tcPr>
                  <w:tcW w:w="611" w:type="pct"/>
                  <w:vMerge w:val="continue"/>
                  <w:vAlign w:val="center"/>
                </w:tcPr>
                <w:p w14:paraId="572E541C">
                  <w:pPr>
                    <w:spacing w:line="500" w:lineRule="exact"/>
                    <w:jc w:val="center"/>
                    <w:rPr>
                      <w:kern w:val="0"/>
                      <w:sz w:val="20"/>
                      <w:szCs w:val="20"/>
                    </w:rPr>
                  </w:pPr>
                </w:p>
              </w:tc>
              <w:tc>
                <w:tcPr>
                  <w:tcW w:w="550" w:type="pct"/>
                  <w:vMerge w:val="continue"/>
                  <w:vAlign w:val="center"/>
                </w:tcPr>
                <w:p w14:paraId="275DA6A4">
                  <w:pPr>
                    <w:spacing w:line="500" w:lineRule="exact"/>
                    <w:jc w:val="center"/>
                    <w:rPr>
                      <w:kern w:val="0"/>
                      <w:sz w:val="20"/>
                      <w:szCs w:val="20"/>
                    </w:rPr>
                  </w:pPr>
                </w:p>
              </w:tc>
              <w:tc>
                <w:tcPr>
                  <w:tcW w:w="550" w:type="pct"/>
                  <w:vAlign w:val="center"/>
                </w:tcPr>
                <w:p w14:paraId="4ECEADB4">
                  <w:pPr>
                    <w:widowControl/>
                    <w:jc w:val="center"/>
                    <w:rPr>
                      <w:kern w:val="0"/>
                      <w:sz w:val="20"/>
                      <w:szCs w:val="20"/>
                    </w:rPr>
                  </w:pPr>
                  <w:r>
                    <w:rPr>
                      <w:b/>
                      <w:bCs/>
                      <w:color w:val="000000"/>
                      <w:kern w:val="0"/>
                      <w:sz w:val="20"/>
                      <w:szCs w:val="20"/>
                      <w:lang w:bidi="ar"/>
                    </w:rPr>
                    <w:t>名称</w:t>
                  </w:r>
                </w:p>
              </w:tc>
              <w:tc>
                <w:tcPr>
                  <w:tcW w:w="509" w:type="pct"/>
                  <w:vAlign w:val="center"/>
                </w:tcPr>
                <w:p w14:paraId="69EAC135">
                  <w:pPr>
                    <w:widowControl/>
                    <w:jc w:val="center"/>
                    <w:rPr>
                      <w:sz w:val="20"/>
                      <w:szCs w:val="20"/>
                    </w:rPr>
                  </w:pPr>
                  <w:r>
                    <w:rPr>
                      <w:b/>
                      <w:bCs/>
                      <w:color w:val="000000"/>
                      <w:kern w:val="0"/>
                      <w:sz w:val="20"/>
                      <w:szCs w:val="20"/>
                      <w:lang w:bidi="ar"/>
                    </w:rPr>
                    <w:t>污染物</w:t>
                  </w:r>
                </w:p>
                <w:p w14:paraId="6E0300E4">
                  <w:pPr>
                    <w:widowControl/>
                    <w:jc w:val="center"/>
                    <w:rPr>
                      <w:kern w:val="0"/>
                      <w:sz w:val="20"/>
                      <w:szCs w:val="20"/>
                    </w:rPr>
                  </w:pPr>
                  <w:r>
                    <w:rPr>
                      <w:b/>
                      <w:bCs/>
                      <w:color w:val="000000"/>
                      <w:kern w:val="0"/>
                      <w:sz w:val="20"/>
                      <w:szCs w:val="20"/>
                      <w:lang w:bidi="ar"/>
                    </w:rPr>
                    <w:t>种类</w:t>
                  </w:r>
                </w:p>
              </w:tc>
              <w:tc>
                <w:tcPr>
                  <w:tcW w:w="635" w:type="pct"/>
                  <w:vAlign w:val="center"/>
                </w:tcPr>
                <w:p w14:paraId="04462796">
                  <w:pPr>
                    <w:widowControl/>
                    <w:jc w:val="center"/>
                    <w:rPr>
                      <w:kern w:val="0"/>
                      <w:sz w:val="20"/>
                      <w:szCs w:val="20"/>
                    </w:rPr>
                  </w:pPr>
                  <w:r>
                    <w:rPr>
                      <w:b/>
                      <w:bCs/>
                      <w:color w:val="000000"/>
                      <w:kern w:val="0"/>
                      <w:sz w:val="20"/>
                      <w:szCs w:val="20"/>
                      <w:lang w:bidi="ar"/>
                    </w:rPr>
                    <w:t>国家或地方污染物排放标准浓度限（mg/L）</w:t>
                  </w:r>
                </w:p>
              </w:tc>
            </w:tr>
            <w:tr w14:paraId="4C84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49" w:type="pct"/>
                  <w:vMerge w:val="restart"/>
                  <w:vAlign w:val="center"/>
                </w:tcPr>
                <w:p w14:paraId="7105170D">
                  <w:pPr>
                    <w:spacing w:line="500" w:lineRule="exact"/>
                    <w:jc w:val="center"/>
                    <w:rPr>
                      <w:kern w:val="0"/>
                      <w:sz w:val="20"/>
                      <w:szCs w:val="20"/>
                    </w:rPr>
                  </w:pPr>
                  <w:r>
                    <w:rPr>
                      <w:kern w:val="0"/>
                      <w:sz w:val="20"/>
                      <w:szCs w:val="20"/>
                    </w:rPr>
                    <w:t>DW001</w:t>
                  </w:r>
                </w:p>
              </w:tc>
              <w:tc>
                <w:tcPr>
                  <w:tcW w:w="551" w:type="pct"/>
                  <w:vMerge w:val="restart"/>
                  <w:vAlign w:val="center"/>
                </w:tcPr>
                <w:p w14:paraId="6B525351">
                  <w:pPr>
                    <w:widowControl/>
                    <w:jc w:val="center"/>
                    <w:rPr>
                      <w:kern w:val="0"/>
                      <w:sz w:val="20"/>
                      <w:szCs w:val="20"/>
                    </w:rPr>
                  </w:pPr>
                  <w:r>
                    <w:rPr>
                      <w:color w:val="000000"/>
                      <w:kern w:val="0"/>
                      <w:sz w:val="20"/>
                      <w:szCs w:val="20"/>
                      <w:lang w:bidi="ar"/>
                    </w:rPr>
                    <w:t>115.971,31.778</w:t>
                  </w:r>
                </w:p>
              </w:tc>
              <w:tc>
                <w:tcPr>
                  <w:tcW w:w="553" w:type="pct"/>
                  <w:vMerge w:val="restart"/>
                  <w:vAlign w:val="center"/>
                </w:tcPr>
                <w:p w14:paraId="50534588">
                  <w:pPr>
                    <w:widowControl/>
                    <w:jc w:val="center"/>
                    <w:rPr>
                      <w:kern w:val="0"/>
                      <w:sz w:val="20"/>
                      <w:szCs w:val="20"/>
                    </w:rPr>
                  </w:pPr>
                  <w:r>
                    <w:rPr>
                      <w:color w:val="000000"/>
                      <w:kern w:val="0"/>
                      <w:sz w:val="20"/>
                      <w:szCs w:val="20"/>
                      <w:lang w:bidi="ar"/>
                    </w:rPr>
                    <w:t>0.144</w:t>
                  </w:r>
                </w:p>
              </w:tc>
              <w:tc>
                <w:tcPr>
                  <w:tcW w:w="491" w:type="pct"/>
                  <w:vMerge w:val="restart"/>
                  <w:vAlign w:val="center"/>
                </w:tcPr>
                <w:p w14:paraId="259F5D08">
                  <w:pPr>
                    <w:widowControl/>
                    <w:jc w:val="center"/>
                    <w:rPr>
                      <w:kern w:val="0"/>
                      <w:sz w:val="20"/>
                      <w:szCs w:val="20"/>
                    </w:rPr>
                  </w:pPr>
                  <w:r>
                    <w:rPr>
                      <w:color w:val="000000"/>
                      <w:kern w:val="0"/>
                      <w:sz w:val="20"/>
                      <w:szCs w:val="20"/>
                      <w:lang w:bidi="ar"/>
                    </w:rPr>
                    <w:t>进入金寨县开发区污水处理厂</w:t>
                  </w:r>
                </w:p>
              </w:tc>
              <w:tc>
                <w:tcPr>
                  <w:tcW w:w="611" w:type="pct"/>
                  <w:vMerge w:val="restart"/>
                  <w:vAlign w:val="center"/>
                </w:tcPr>
                <w:p w14:paraId="6DC0C196">
                  <w:pPr>
                    <w:widowControl/>
                    <w:jc w:val="center"/>
                    <w:rPr>
                      <w:kern w:val="0"/>
                      <w:sz w:val="20"/>
                      <w:szCs w:val="20"/>
                    </w:rPr>
                  </w:pPr>
                  <w:r>
                    <w:rPr>
                      <w:color w:val="000000"/>
                      <w:kern w:val="0"/>
                      <w:sz w:val="20"/>
                      <w:szCs w:val="20"/>
                      <w:lang w:bidi="ar"/>
                    </w:rPr>
                    <w:t>间断排放，排放期间流量不稳定且无规律，但不属于冲击型排放</w:t>
                  </w:r>
                </w:p>
              </w:tc>
              <w:tc>
                <w:tcPr>
                  <w:tcW w:w="550" w:type="pct"/>
                  <w:vMerge w:val="restart"/>
                  <w:vAlign w:val="center"/>
                </w:tcPr>
                <w:p w14:paraId="16CF94DA">
                  <w:pPr>
                    <w:widowControl/>
                    <w:jc w:val="center"/>
                    <w:rPr>
                      <w:kern w:val="0"/>
                      <w:sz w:val="20"/>
                      <w:szCs w:val="20"/>
                    </w:rPr>
                  </w:pPr>
                  <w:r>
                    <w:rPr>
                      <w:color w:val="000000"/>
                      <w:kern w:val="0"/>
                      <w:sz w:val="20"/>
                      <w:szCs w:val="20"/>
                      <w:lang w:bidi="ar"/>
                    </w:rPr>
                    <w:t>无固定时段</w:t>
                  </w:r>
                </w:p>
              </w:tc>
              <w:tc>
                <w:tcPr>
                  <w:tcW w:w="550" w:type="pct"/>
                  <w:vMerge w:val="restart"/>
                  <w:vAlign w:val="center"/>
                </w:tcPr>
                <w:p w14:paraId="348E1E54">
                  <w:pPr>
                    <w:widowControl/>
                    <w:jc w:val="center"/>
                    <w:rPr>
                      <w:kern w:val="0"/>
                      <w:sz w:val="20"/>
                      <w:szCs w:val="20"/>
                    </w:rPr>
                  </w:pPr>
                  <w:r>
                    <w:rPr>
                      <w:color w:val="000000"/>
                      <w:kern w:val="0"/>
                      <w:sz w:val="20"/>
                      <w:szCs w:val="20"/>
                      <w:lang w:bidi="ar"/>
                    </w:rPr>
                    <w:t>金寨县开发区污水处理厂</w:t>
                  </w:r>
                </w:p>
              </w:tc>
              <w:tc>
                <w:tcPr>
                  <w:tcW w:w="509" w:type="pct"/>
                  <w:vAlign w:val="center"/>
                </w:tcPr>
                <w:p w14:paraId="4B2E39A8">
                  <w:pPr>
                    <w:widowControl/>
                    <w:jc w:val="center"/>
                    <w:rPr>
                      <w:kern w:val="0"/>
                      <w:sz w:val="20"/>
                      <w:szCs w:val="20"/>
                    </w:rPr>
                  </w:pPr>
                  <w:r>
                    <w:rPr>
                      <w:color w:val="000000"/>
                      <w:kern w:val="0"/>
                      <w:sz w:val="20"/>
                      <w:szCs w:val="20"/>
                      <w:lang w:bidi="ar"/>
                    </w:rPr>
                    <w:t>COD</w:t>
                  </w:r>
                  <w:r>
                    <w:rPr>
                      <w:color w:val="000000"/>
                      <w:kern w:val="0"/>
                      <w:sz w:val="20"/>
                      <w:szCs w:val="20"/>
                      <w:vertAlign w:val="subscript"/>
                      <w:lang w:bidi="ar"/>
                    </w:rPr>
                    <w:t>Cr</w:t>
                  </w:r>
                </w:p>
              </w:tc>
              <w:tc>
                <w:tcPr>
                  <w:tcW w:w="635" w:type="pct"/>
                  <w:vAlign w:val="center"/>
                </w:tcPr>
                <w:p w14:paraId="4766C443">
                  <w:pPr>
                    <w:widowControl/>
                    <w:jc w:val="center"/>
                    <w:rPr>
                      <w:color w:val="000000"/>
                      <w:kern w:val="0"/>
                      <w:sz w:val="20"/>
                      <w:szCs w:val="20"/>
                      <w:lang w:bidi="ar"/>
                    </w:rPr>
                  </w:pPr>
                  <w:r>
                    <w:rPr>
                      <w:color w:val="000000"/>
                      <w:kern w:val="0"/>
                      <w:sz w:val="20"/>
                      <w:szCs w:val="20"/>
                      <w:lang w:bidi="ar"/>
                    </w:rPr>
                    <w:t>320</w:t>
                  </w:r>
                </w:p>
              </w:tc>
            </w:tr>
            <w:tr w14:paraId="3251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49" w:type="pct"/>
                  <w:vMerge w:val="continue"/>
                  <w:vAlign w:val="center"/>
                </w:tcPr>
                <w:p w14:paraId="036105B9">
                  <w:pPr>
                    <w:spacing w:line="500" w:lineRule="exact"/>
                    <w:jc w:val="center"/>
                    <w:rPr>
                      <w:sz w:val="20"/>
                      <w:szCs w:val="20"/>
                    </w:rPr>
                  </w:pPr>
                </w:p>
              </w:tc>
              <w:tc>
                <w:tcPr>
                  <w:tcW w:w="551" w:type="pct"/>
                  <w:vMerge w:val="continue"/>
                  <w:vAlign w:val="center"/>
                </w:tcPr>
                <w:p w14:paraId="3C2535AA">
                  <w:pPr>
                    <w:spacing w:line="500" w:lineRule="exact"/>
                    <w:jc w:val="center"/>
                    <w:rPr>
                      <w:sz w:val="20"/>
                      <w:szCs w:val="20"/>
                    </w:rPr>
                  </w:pPr>
                </w:p>
              </w:tc>
              <w:tc>
                <w:tcPr>
                  <w:tcW w:w="553" w:type="pct"/>
                  <w:vMerge w:val="continue"/>
                  <w:vAlign w:val="center"/>
                </w:tcPr>
                <w:p w14:paraId="7A88A215">
                  <w:pPr>
                    <w:spacing w:line="500" w:lineRule="exact"/>
                    <w:jc w:val="center"/>
                    <w:rPr>
                      <w:sz w:val="20"/>
                      <w:szCs w:val="20"/>
                    </w:rPr>
                  </w:pPr>
                </w:p>
              </w:tc>
              <w:tc>
                <w:tcPr>
                  <w:tcW w:w="491" w:type="pct"/>
                  <w:vMerge w:val="continue"/>
                  <w:vAlign w:val="center"/>
                </w:tcPr>
                <w:p w14:paraId="66BEEBF9">
                  <w:pPr>
                    <w:spacing w:line="500" w:lineRule="exact"/>
                    <w:jc w:val="center"/>
                    <w:rPr>
                      <w:sz w:val="20"/>
                      <w:szCs w:val="20"/>
                    </w:rPr>
                  </w:pPr>
                </w:p>
              </w:tc>
              <w:tc>
                <w:tcPr>
                  <w:tcW w:w="611" w:type="pct"/>
                  <w:vMerge w:val="continue"/>
                  <w:vAlign w:val="center"/>
                </w:tcPr>
                <w:p w14:paraId="456FA279">
                  <w:pPr>
                    <w:spacing w:line="500" w:lineRule="exact"/>
                    <w:jc w:val="center"/>
                    <w:rPr>
                      <w:sz w:val="20"/>
                      <w:szCs w:val="20"/>
                    </w:rPr>
                  </w:pPr>
                </w:p>
              </w:tc>
              <w:tc>
                <w:tcPr>
                  <w:tcW w:w="550" w:type="pct"/>
                  <w:vMerge w:val="continue"/>
                  <w:vAlign w:val="center"/>
                </w:tcPr>
                <w:p w14:paraId="66B8CED3">
                  <w:pPr>
                    <w:spacing w:line="500" w:lineRule="exact"/>
                    <w:jc w:val="center"/>
                    <w:rPr>
                      <w:sz w:val="20"/>
                      <w:szCs w:val="20"/>
                    </w:rPr>
                  </w:pPr>
                </w:p>
              </w:tc>
              <w:tc>
                <w:tcPr>
                  <w:tcW w:w="550" w:type="pct"/>
                  <w:vMerge w:val="continue"/>
                  <w:vAlign w:val="center"/>
                </w:tcPr>
                <w:p w14:paraId="5AE370CF">
                  <w:pPr>
                    <w:spacing w:line="500" w:lineRule="exact"/>
                    <w:jc w:val="center"/>
                    <w:rPr>
                      <w:sz w:val="20"/>
                      <w:szCs w:val="20"/>
                    </w:rPr>
                  </w:pPr>
                </w:p>
              </w:tc>
              <w:tc>
                <w:tcPr>
                  <w:tcW w:w="509" w:type="pct"/>
                  <w:vAlign w:val="center"/>
                </w:tcPr>
                <w:p w14:paraId="626B8E36">
                  <w:pPr>
                    <w:widowControl/>
                    <w:jc w:val="center"/>
                    <w:rPr>
                      <w:kern w:val="0"/>
                      <w:sz w:val="20"/>
                      <w:szCs w:val="20"/>
                    </w:rPr>
                  </w:pPr>
                  <w:r>
                    <w:rPr>
                      <w:color w:val="000000"/>
                      <w:kern w:val="0"/>
                      <w:sz w:val="20"/>
                      <w:szCs w:val="20"/>
                      <w:lang w:bidi="ar"/>
                    </w:rPr>
                    <w:t>BOD</w:t>
                  </w:r>
                  <w:r>
                    <w:rPr>
                      <w:color w:val="000000"/>
                      <w:kern w:val="0"/>
                      <w:sz w:val="20"/>
                      <w:szCs w:val="20"/>
                      <w:vertAlign w:val="subscript"/>
                      <w:lang w:bidi="ar"/>
                    </w:rPr>
                    <w:t>5</w:t>
                  </w:r>
                </w:p>
              </w:tc>
              <w:tc>
                <w:tcPr>
                  <w:tcW w:w="635" w:type="pct"/>
                  <w:vAlign w:val="center"/>
                </w:tcPr>
                <w:p w14:paraId="533BA5BA">
                  <w:pPr>
                    <w:widowControl/>
                    <w:jc w:val="center"/>
                    <w:rPr>
                      <w:color w:val="000000"/>
                      <w:kern w:val="0"/>
                      <w:sz w:val="20"/>
                      <w:szCs w:val="20"/>
                      <w:lang w:bidi="ar"/>
                    </w:rPr>
                  </w:pPr>
                  <w:r>
                    <w:rPr>
                      <w:color w:val="000000"/>
                      <w:kern w:val="0"/>
                      <w:sz w:val="20"/>
                      <w:szCs w:val="20"/>
                      <w:lang w:bidi="ar"/>
                    </w:rPr>
                    <w:t>165</w:t>
                  </w:r>
                </w:p>
              </w:tc>
            </w:tr>
            <w:tr w14:paraId="2E91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49" w:type="pct"/>
                  <w:vMerge w:val="continue"/>
                  <w:vAlign w:val="center"/>
                </w:tcPr>
                <w:p w14:paraId="02FD6492">
                  <w:pPr>
                    <w:spacing w:line="500" w:lineRule="exact"/>
                    <w:jc w:val="center"/>
                    <w:rPr>
                      <w:kern w:val="0"/>
                      <w:sz w:val="20"/>
                      <w:szCs w:val="20"/>
                    </w:rPr>
                  </w:pPr>
                </w:p>
              </w:tc>
              <w:tc>
                <w:tcPr>
                  <w:tcW w:w="551" w:type="pct"/>
                  <w:vMerge w:val="continue"/>
                  <w:vAlign w:val="center"/>
                </w:tcPr>
                <w:p w14:paraId="4E07DACD">
                  <w:pPr>
                    <w:spacing w:line="500" w:lineRule="exact"/>
                    <w:jc w:val="center"/>
                    <w:rPr>
                      <w:kern w:val="0"/>
                      <w:sz w:val="20"/>
                      <w:szCs w:val="20"/>
                    </w:rPr>
                  </w:pPr>
                </w:p>
              </w:tc>
              <w:tc>
                <w:tcPr>
                  <w:tcW w:w="553" w:type="pct"/>
                  <w:vMerge w:val="continue"/>
                  <w:vAlign w:val="center"/>
                </w:tcPr>
                <w:p w14:paraId="1E61D94C">
                  <w:pPr>
                    <w:spacing w:line="500" w:lineRule="exact"/>
                    <w:jc w:val="center"/>
                    <w:rPr>
                      <w:kern w:val="0"/>
                      <w:sz w:val="20"/>
                      <w:szCs w:val="20"/>
                    </w:rPr>
                  </w:pPr>
                </w:p>
              </w:tc>
              <w:tc>
                <w:tcPr>
                  <w:tcW w:w="491" w:type="pct"/>
                  <w:vMerge w:val="continue"/>
                  <w:vAlign w:val="center"/>
                </w:tcPr>
                <w:p w14:paraId="2AD9F587">
                  <w:pPr>
                    <w:spacing w:line="500" w:lineRule="exact"/>
                    <w:jc w:val="center"/>
                    <w:rPr>
                      <w:kern w:val="0"/>
                      <w:sz w:val="20"/>
                      <w:szCs w:val="20"/>
                    </w:rPr>
                  </w:pPr>
                </w:p>
              </w:tc>
              <w:tc>
                <w:tcPr>
                  <w:tcW w:w="611" w:type="pct"/>
                  <w:vMerge w:val="continue"/>
                  <w:vAlign w:val="center"/>
                </w:tcPr>
                <w:p w14:paraId="06AD095F">
                  <w:pPr>
                    <w:spacing w:line="500" w:lineRule="exact"/>
                    <w:jc w:val="center"/>
                    <w:rPr>
                      <w:kern w:val="0"/>
                      <w:sz w:val="20"/>
                      <w:szCs w:val="20"/>
                    </w:rPr>
                  </w:pPr>
                </w:p>
              </w:tc>
              <w:tc>
                <w:tcPr>
                  <w:tcW w:w="550" w:type="pct"/>
                  <w:vMerge w:val="continue"/>
                  <w:vAlign w:val="center"/>
                </w:tcPr>
                <w:p w14:paraId="374D465F">
                  <w:pPr>
                    <w:spacing w:line="500" w:lineRule="exact"/>
                    <w:jc w:val="center"/>
                    <w:rPr>
                      <w:kern w:val="0"/>
                      <w:sz w:val="20"/>
                      <w:szCs w:val="20"/>
                    </w:rPr>
                  </w:pPr>
                </w:p>
              </w:tc>
              <w:tc>
                <w:tcPr>
                  <w:tcW w:w="550" w:type="pct"/>
                  <w:vMerge w:val="continue"/>
                  <w:vAlign w:val="center"/>
                </w:tcPr>
                <w:p w14:paraId="2A918194">
                  <w:pPr>
                    <w:spacing w:line="500" w:lineRule="exact"/>
                    <w:jc w:val="center"/>
                    <w:rPr>
                      <w:kern w:val="0"/>
                      <w:sz w:val="20"/>
                      <w:szCs w:val="20"/>
                    </w:rPr>
                  </w:pPr>
                </w:p>
              </w:tc>
              <w:tc>
                <w:tcPr>
                  <w:tcW w:w="509" w:type="pct"/>
                  <w:vAlign w:val="center"/>
                </w:tcPr>
                <w:p w14:paraId="2B24E727">
                  <w:pPr>
                    <w:widowControl/>
                    <w:jc w:val="center"/>
                    <w:rPr>
                      <w:kern w:val="0"/>
                      <w:sz w:val="20"/>
                      <w:szCs w:val="20"/>
                    </w:rPr>
                  </w:pPr>
                  <w:r>
                    <w:rPr>
                      <w:color w:val="000000"/>
                      <w:kern w:val="0"/>
                      <w:sz w:val="20"/>
                      <w:szCs w:val="20"/>
                      <w:lang w:bidi="ar"/>
                    </w:rPr>
                    <w:t>SS</w:t>
                  </w:r>
                </w:p>
              </w:tc>
              <w:tc>
                <w:tcPr>
                  <w:tcW w:w="635" w:type="pct"/>
                  <w:vAlign w:val="center"/>
                </w:tcPr>
                <w:p w14:paraId="41C49B95">
                  <w:pPr>
                    <w:widowControl/>
                    <w:jc w:val="center"/>
                    <w:rPr>
                      <w:color w:val="000000"/>
                      <w:kern w:val="0"/>
                      <w:sz w:val="20"/>
                      <w:szCs w:val="20"/>
                      <w:lang w:bidi="ar"/>
                    </w:rPr>
                  </w:pPr>
                  <w:r>
                    <w:rPr>
                      <w:color w:val="000000"/>
                      <w:kern w:val="0"/>
                      <w:sz w:val="20"/>
                      <w:szCs w:val="20"/>
                      <w:lang w:bidi="ar"/>
                    </w:rPr>
                    <w:t>180</w:t>
                  </w:r>
                </w:p>
              </w:tc>
            </w:tr>
            <w:tr w14:paraId="6EF0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49" w:type="pct"/>
                  <w:vMerge w:val="continue"/>
                  <w:vAlign w:val="center"/>
                </w:tcPr>
                <w:p w14:paraId="20627186">
                  <w:pPr>
                    <w:spacing w:line="500" w:lineRule="exact"/>
                    <w:jc w:val="center"/>
                    <w:rPr>
                      <w:kern w:val="0"/>
                      <w:sz w:val="20"/>
                      <w:szCs w:val="20"/>
                    </w:rPr>
                  </w:pPr>
                </w:p>
              </w:tc>
              <w:tc>
                <w:tcPr>
                  <w:tcW w:w="551" w:type="pct"/>
                  <w:vMerge w:val="continue"/>
                  <w:vAlign w:val="center"/>
                </w:tcPr>
                <w:p w14:paraId="7BA9E8C9">
                  <w:pPr>
                    <w:spacing w:line="500" w:lineRule="exact"/>
                    <w:jc w:val="center"/>
                    <w:rPr>
                      <w:kern w:val="0"/>
                      <w:sz w:val="20"/>
                      <w:szCs w:val="20"/>
                    </w:rPr>
                  </w:pPr>
                </w:p>
              </w:tc>
              <w:tc>
                <w:tcPr>
                  <w:tcW w:w="553" w:type="pct"/>
                  <w:vMerge w:val="continue"/>
                  <w:vAlign w:val="center"/>
                </w:tcPr>
                <w:p w14:paraId="40544F52">
                  <w:pPr>
                    <w:spacing w:line="500" w:lineRule="exact"/>
                    <w:jc w:val="center"/>
                    <w:rPr>
                      <w:kern w:val="0"/>
                      <w:sz w:val="20"/>
                      <w:szCs w:val="20"/>
                    </w:rPr>
                  </w:pPr>
                </w:p>
              </w:tc>
              <w:tc>
                <w:tcPr>
                  <w:tcW w:w="491" w:type="pct"/>
                  <w:vMerge w:val="continue"/>
                  <w:vAlign w:val="center"/>
                </w:tcPr>
                <w:p w14:paraId="7D73D0A1">
                  <w:pPr>
                    <w:spacing w:line="500" w:lineRule="exact"/>
                    <w:jc w:val="center"/>
                    <w:rPr>
                      <w:kern w:val="0"/>
                      <w:sz w:val="20"/>
                      <w:szCs w:val="20"/>
                    </w:rPr>
                  </w:pPr>
                </w:p>
              </w:tc>
              <w:tc>
                <w:tcPr>
                  <w:tcW w:w="611" w:type="pct"/>
                  <w:vMerge w:val="continue"/>
                  <w:vAlign w:val="center"/>
                </w:tcPr>
                <w:p w14:paraId="5F17BA81">
                  <w:pPr>
                    <w:spacing w:line="500" w:lineRule="exact"/>
                    <w:jc w:val="center"/>
                    <w:rPr>
                      <w:kern w:val="0"/>
                      <w:sz w:val="20"/>
                      <w:szCs w:val="20"/>
                    </w:rPr>
                  </w:pPr>
                </w:p>
              </w:tc>
              <w:tc>
                <w:tcPr>
                  <w:tcW w:w="550" w:type="pct"/>
                  <w:vMerge w:val="continue"/>
                  <w:vAlign w:val="center"/>
                </w:tcPr>
                <w:p w14:paraId="2C5AD72F">
                  <w:pPr>
                    <w:spacing w:line="500" w:lineRule="exact"/>
                    <w:jc w:val="center"/>
                    <w:rPr>
                      <w:kern w:val="0"/>
                      <w:sz w:val="20"/>
                      <w:szCs w:val="20"/>
                    </w:rPr>
                  </w:pPr>
                </w:p>
              </w:tc>
              <w:tc>
                <w:tcPr>
                  <w:tcW w:w="550" w:type="pct"/>
                  <w:vMerge w:val="continue"/>
                  <w:vAlign w:val="center"/>
                </w:tcPr>
                <w:p w14:paraId="33FDE444">
                  <w:pPr>
                    <w:spacing w:line="500" w:lineRule="exact"/>
                    <w:jc w:val="center"/>
                    <w:rPr>
                      <w:kern w:val="0"/>
                      <w:sz w:val="20"/>
                      <w:szCs w:val="20"/>
                    </w:rPr>
                  </w:pPr>
                </w:p>
              </w:tc>
              <w:tc>
                <w:tcPr>
                  <w:tcW w:w="509" w:type="pct"/>
                  <w:vAlign w:val="center"/>
                </w:tcPr>
                <w:p w14:paraId="2E2AD567">
                  <w:pPr>
                    <w:widowControl/>
                    <w:jc w:val="center"/>
                    <w:rPr>
                      <w:kern w:val="0"/>
                      <w:sz w:val="20"/>
                      <w:szCs w:val="20"/>
                    </w:rPr>
                  </w:pPr>
                  <w:r>
                    <w:rPr>
                      <w:color w:val="000000"/>
                      <w:kern w:val="0"/>
                      <w:sz w:val="20"/>
                      <w:szCs w:val="20"/>
                      <w:lang w:bidi="ar"/>
                    </w:rPr>
                    <w:t>TN</w:t>
                  </w:r>
                </w:p>
              </w:tc>
              <w:tc>
                <w:tcPr>
                  <w:tcW w:w="635" w:type="pct"/>
                  <w:vAlign w:val="center"/>
                </w:tcPr>
                <w:p w14:paraId="3C499BF2">
                  <w:pPr>
                    <w:widowControl/>
                    <w:jc w:val="center"/>
                    <w:rPr>
                      <w:color w:val="000000"/>
                      <w:kern w:val="0"/>
                      <w:sz w:val="20"/>
                      <w:szCs w:val="20"/>
                      <w:lang w:bidi="ar"/>
                    </w:rPr>
                  </w:pPr>
                  <w:r>
                    <w:rPr>
                      <w:color w:val="000000"/>
                      <w:kern w:val="0"/>
                      <w:sz w:val="20"/>
                      <w:szCs w:val="20"/>
                      <w:lang w:bidi="ar"/>
                    </w:rPr>
                    <w:t>45</w:t>
                  </w:r>
                </w:p>
              </w:tc>
            </w:tr>
            <w:tr w14:paraId="286D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49" w:type="pct"/>
                  <w:vMerge w:val="continue"/>
                  <w:vAlign w:val="center"/>
                </w:tcPr>
                <w:p w14:paraId="1912F395">
                  <w:pPr>
                    <w:spacing w:line="500" w:lineRule="exact"/>
                    <w:jc w:val="center"/>
                    <w:rPr>
                      <w:kern w:val="0"/>
                      <w:sz w:val="20"/>
                      <w:szCs w:val="20"/>
                    </w:rPr>
                  </w:pPr>
                </w:p>
              </w:tc>
              <w:tc>
                <w:tcPr>
                  <w:tcW w:w="551" w:type="pct"/>
                  <w:vMerge w:val="continue"/>
                  <w:vAlign w:val="center"/>
                </w:tcPr>
                <w:p w14:paraId="07174851">
                  <w:pPr>
                    <w:spacing w:line="500" w:lineRule="exact"/>
                    <w:jc w:val="center"/>
                    <w:rPr>
                      <w:kern w:val="0"/>
                      <w:sz w:val="20"/>
                      <w:szCs w:val="20"/>
                    </w:rPr>
                  </w:pPr>
                </w:p>
              </w:tc>
              <w:tc>
                <w:tcPr>
                  <w:tcW w:w="553" w:type="pct"/>
                  <w:vMerge w:val="continue"/>
                  <w:vAlign w:val="center"/>
                </w:tcPr>
                <w:p w14:paraId="233DECD9">
                  <w:pPr>
                    <w:spacing w:line="500" w:lineRule="exact"/>
                    <w:jc w:val="center"/>
                    <w:rPr>
                      <w:kern w:val="0"/>
                      <w:sz w:val="20"/>
                      <w:szCs w:val="20"/>
                    </w:rPr>
                  </w:pPr>
                </w:p>
              </w:tc>
              <w:tc>
                <w:tcPr>
                  <w:tcW w:w="491" w:type="pct"/>
                  <w:vMerge w:val="continue"/>
                  <w:vAlign w:val="center"/>
                </w:tcPr>
                <w:p w14:paraId="19B3F4C3">
                  <w:pPr>
                    <w:spacing w:line="500" w:lineRule="exact"/>
                    <w:jc w:val="center"/>
                    <w:rPr>
                      <w:kern w:val="0"/>
                      <w:sz w:val="20"/>
                      <w:szCs w:val="20"/>
                    </w:rPr>
                  </w:pPr>
                </w:p>
              </w:tc>
              <w:tc>
                <w:tcPr>
                  <w:tcW w:w="611" w:type="pct"/>
                  <w:vMerge w:val="continue"/>
                  <w:vAlign w:val="center"/>
                </w:tcPr>
                <w:p w14:paraId="27C18B99">
                  <w:pPr>
                    <w:spacing w:line="500" w:lineRule="exact"/>
                    <w:jc w:val="center"/>
                    <w:rPr>
                      <w:kern w:val="0"/>
                      <w:sz w:val="20"/>
                      <w:szCs w:val="20"/>
                    </w:rPr>
                  </w:pPr>
                </w:p>
              </w:tc>
              <w:tc>
                <w:tcPr>
                  <w:tcW w:w="550" w:type="pct"/>
                  <w:vMerge w:val="continue"/>
                  <w:vAlign w:val="center"/>
                </w:tcPr>
                <w:p w14:paraId="47152D3F">
                  <w:pPr>
                    <w:spacing w:line="500" w:lineRule="exact"/>
                    <w:jc w:val="center"/>
                    <w:rPr>
                      <w:kern w:val="0"/>
                      <w:sz w:val="20"/>
                      <w:szCs w:val="20"/>
                    </w:rPr>
                  </w:pPr>
                </w:p>
              </w:tc>
              <w:tc>
                <w:tcPr>
                  <w:tcW w:w="550" w:type="pct"/>
                  <w:vMerge w:val="continue"/>
                  <w:vAlign w:val="center"/>
                </w:tcPr>
                <w:p w14:paraId="12759A5D">
                  <w:pPr>
                    <w:spacing w:line="500" w:lineRule="exact"/>
                    <w:jc w:val="center"/>
                    <w:rPr>
                      <w:kern w:val="0"/>
                      <w:sz w:val="20"/>
                      <w:szCs w:val="20"/>
                    </w:rPr>
                  </w:pPr>
                </w:p>
              </w:tc>
              <w:tc>
                <w:tcPr>
                  <w:tcW w:w="509" w:type="pct"/>
                  <w:vAlign w:val="center"/>
                </w:tcPr>
                <w:p w14:paraId="44AF9868">
                  <w:pPr>
                    <w:widowControl/>
                    <w:jc w:val="center"/>
                    <w:rPr>
                      <w:kern w:val="0"/>
                      <w:sz w:val="20"/>
                      <w:szCs w:val="20"/>
                    </w:rPr>
                  </w:pPr>
                  <w:r>
                    <w:rPr>
                      <w:color w:val="000000"/>
                      <w:kern w:val="0"/>
                      <w:sz w:val="20"/>
                      <w:szCs w:val="20"/>
                      <w:lang w:bidi="ar"/>
                    </w:rPr>
                    <w:t>TP</w:t>
                  </w:r>
                </w:p>
              </w:tc>
              <w:tc>
                <w:tcPr>
                  <w:tcW w:w="635" w:type="pct"/>
                  <w:vAlign w:val="center"/>
                </w:tcPr>
                <w:p w14:paraId="1F76B795">
                  <w:pPr>
                    <w:widowControl/>
                    <w:jc w:val="center"/>
                    <w:rPr>
                      <w:color w:val="000000"/>
                      <w:kern w:val="0"/>
                      <w:sz w:val="20"/>
                      <w:szCs w:val="20"/>
                      <w:lang w:bidi="ar"/>
                    </w:rPr>
                  </w:pPr>
                  <w:r>
                    <w:rPr>
                      <w:color w:val="000000"/>
                      <w:kern w:val="0"/>
                      <w:sz w:val="20"/>
                      <w:szCs w:val="20"/>
                      <w:lang w:bidi="ar"/>
                    </w:rPr>
                    <w:t>3</w:t>
                  </w:r>
                </w:p>
              </w:tc>
            </w:tr>
            <w:tr w14:paraId="5F9D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549" w:type="pct"/>
                  <w:vMerge w:val="continue"/>
                  <w:vAlign w:val="center"/>
                </w:tcPr>
                <w:p w14:paraId="0EF5A66E">
                  <w:pPr>
                    <w:spacing w:line="500" w:lineRule="exact"/>
                    <w:jc w:val="center"/>
                    <w:rPr>
                      <w:kern w:val="0"/>
                      <w:sz w:val="20"/>
                      <w:szCs w:val="20"/>
                    </w:rPr>
                  </w:pPr>
                </w:p>
              </w:tc>
              <w:tc>
                <w:tcPr>
                  <w:tcW w:w="551" w:type="pct"/>
                  <w:vMerge w:val="continue"/>
                  <w:vAlign w:val="center"/>
                </w:tcPr>
                <w:p w14:paraId="00FE74E6">
                  <w:pPr>
                    <w:spacing w:line="500" w:lineRule="exact"/>
                    <w:jc w:val="center"/>
                    <w:rPr>
                      <w:kern w:val="0"/>
                      <w:sz w:val="20"/>
                      <w:szCs w:val="20"/>
                    </w:rPr>
                  </w:pPr>
                </w:p>
              </w:tc>
              <w:tc>
                <w:tcPr>
                  <w:tcW w:w="553" w:type="pct"/>
                  <w:vMerge w:val="continue"/>
                  <w:vAlign w:val="center"/>
                </w:tcPr>
                <w:p w14:paraId="3CD7521A">
                  <w:pPr>
                    <w:spacing w:line="500" w:lineRule="exact"/>
                    <w:jc w:val="center"/>
                    <w:rPr>
                      <w:kern w:val="0"/>
                      <w:sz w:val="20"/>
                      <w:szCs w:val="20"/>
                    </w:rPr>
                  </w:pPr>
                </w:p>
              </w:tc>
              <w:tc>
                <w:tcPr>
                  <w:tcW w:w="491" w:type="pct"/>
                  <w:vMerge w:val="continue"/>
                  <w:vAlign w:val="center"/>
                </w:tcPr>
                <w:p w14:paraId="2B759247">
                  <w:pPr>
                    <w:spacing w:line="500" w:lineRule="exact"/>
                    <w:jc w:val="center"/>
                    <w:rPr>
                      <w:kern w:val="0"/>
                      <w:sz w:val="20"/>
                      <w:szCs w:val="20"/>
                    </w:rPr>
                  </w:pPr>
                </w:p>
              </w:tc>
              <w:tc>
                <w:tcPr>
                  <w:tcW w:w="611" w:type="pct"/>
                  <w:vMerge w:val="continue"/>
                  <w:vAlign w:val="center"/>
                </w:tcPr>
                <w:p w14:paraId="58798323">
                  <w:pPr>
                    <w:spacing w:line="500" w:lineRule="exact"/>
                    <w:jc w:val="center"/>
                    <w:rPr>
                      <w:kern w:val="0"/>
                      <w:sz w:val="20"/>
                      <w:szCs w:val="20"/>
                    </w:rPr>
                  </w:pPr>
                </w:p>
              </w:tc>
              <w:tc>
                <w:tcPr>
                  <w:tcW w:w="550" w:type="pct"/>
                  <w:vMerge w:val="continue"/>
                  <w:vAlign w:val="center"/>
                </w:tcPr>
                <w:p w14:paraId="48A8AB48">
                  <w:pPr>
                    <w:spacing w:line="500" w:lineRule="exact"/>
                    <w:jc w:val="center"/>
                    <w:rPr>
                      <w:kern w:val="0"/>
                      <w:sz w:val="20"/>
                      <w:szCs w:val="20"/>
                    </w:rPr>
                  </w:pPr>
                </w:p>
              </w:tc>
              <w:tc>
                <w:tcPr>
                  <w:tcW w:w="550" w:type="pct"/>
                  <w:vMerge w:val="continue"/>
                  <w:vAlign w:val="center"/>
                </w:tcPr>
                <w:p w14:paraId="09BFD3A2">
                  <w:pPr>
                    <w:spacing w:line="500" w:lineRule="exact"/>
                    <w:jc w:val="center"/>
                    <w:rPr>
                      <w:kern w:val="0"/>
                      <w:sz w:val="20"/>
                      <w:szCs w:val="20"/>
                    </w:rPr>
                  </w:pPr>
                </w:p>
              </w:tc>
              <w:tc>
                <w:tcPr>
                  <w:tcW w:w="509" w:type="pct"/>
                  <w:vAlign w:val="center"/>
                </w:tcPr>
                <w:p w14:paraId="1F26A59A">
                  <w:pPr>
                    <w:widowControl/>
                    <w:jc w:val="center"/>
                    <w:rPr>
                      <w:kern w:val="0"/>
                      <w:sz w:val="20"/>
                      <w:szCs w:val="20"/>
                    </w:rPr>
                  </w:pPr>
                  <w:r>
                    <w:rPr>
                      <w:color w:val="000000"/>
                      <w:kern w:val="0"/>
                      <w:sz w:val="20"/>
                      <w:szCs w:val="20"/>
                      <w:lang w:bidi="ar"/>
                    </w:rPr>
                    <w:t>NH</w:t>
                  </w:r>
                  <w:r>
                    <w:rPr>
                      <w:color w:val="000000"/>
                      <w:kern w:val="0"/>
                      <w:sz w:val="20"/>
                      <w:szCs w:val="20"/>
                      <w:vertAlign w:val="subscript"/>
                      <w:lang w:bidi="ar"/>
                    </w:rPr>
                    <w:t>3</w:t>
                  </w:r>
                  <w:r>
                    <w:rPr>
                      <w:color w:val="000000"/>
                      <w:kern w:val="0"/>
                      <w:sz w:val="20"/>
                      <w:szCs w:val="20"/>
                      <w:lang w:bidi="ar"/>
                    </w:rPr>
                    <w:t>-N</w:t>
                  </w:r>
                </w:p>
              </w:tc>
              <w:tc>
                <w:tcPr>
                  <w:tcW w:w="635" w:type="pct"/>
                  <w:vAlign w:val="center"/>
                </w:tcPr>
                <w:p w14:paraId="28ABBDD1">
                  <w:pPr>
                    <w:widowControl/>
                    <w:jc w:val="center"/>
                    <w:rPr>
                      <w:color w:val="000000"/>
                      <w:kern w:val="0"/>
                      <w:sz w:val="20"/>
                      <w:szCs w:val="20"/>
                      <w:lang w:bidi="ar"/>
                    </w:rPr>
                  </w:pPr>
                  <w:r>
                    <w:rPr>
                      <w:color w:val="000000"/>
                      <w:kern w:val="0"/>
                      <w:sz w:val="20"/>
                      <w:szCs w:val="20"/>
                      <w:lang w:bidi="ar"/>
                    </w:rPr>
                    <w:t>35</w:t>
                  </w:r>
                </w:p>
              </w:tc>
            </w:tr>
          </w:tbl>
          <w:p w14:paraId="4431DDCC">
            <w:pPr>
              <w:spacing w:line="500" w:lineRule="exact"/>
              <w:ind w:firstLine="480" w:firstLineChars="200"/>
              <w:rPr>
                <w:kern w:val="0"/>
                <w:sz w:val="24"/>
              </w:rPr>
            </w:pPr>
            <w:r>
              <w:rPr>
                <w:kern w:val="0"/>
                <w:sz w:val="24"/>
              </w:rPr>
              <w:t xml:space="preserve">（3）措施有效性分析 </w:t>
            </w:r>
          </w:p>
          <w:p w14:paraId="4816C44F">
            <w:pPr>
              <w:spacing w:line="500" w:lineRule="exact"/>
              <w:ind w:firstLine="480" w:firstLineChars="200"/>
              <w:rPr>
                <w:kern w:val="0"/>
                <w:sz w:val="24"/>
              </w:rPr>
            </w:pPr>
            <w:r>
              <w:rPr>
                <w:kern w:val="0"/>
                <w:sz w:val="24"/>
              </w:rPr>
              <w:t>项目生活污水来自厂区日常运行，属于典型的城市生活用水，主要污染物成分为SS、BOD</w:t>
            </w:r>
            <w:r>
              <w:rPr>
                <w:kern w:val="0"/>
                <w:sz w:val="24"/>
                <w:vertAlign w:val="subscript"/>
              </w:rPr>
              <w:t>5</w:t>
            </w:r>
            <w:r>
              <w:rPr>
                <w:kern w:val="0"/>
                <w:sz w:val="24"/>
              </w:rPr>
              <w:t>、COD</w:t>
            </w:r>
            <w:r>
              <w:rPr>
                <w:kern w:val="0"/>
                <w:sz w:val="24"/>
                <w:vertAlign w:val="subscript"/>
              </w:rPr>
              <w:t>Cr</w:t>
            </w:r>
            <w:r>
              <w:rPr>
                <w:kern w:val="0"/>
                <w:sz w:val="24"/>
              </w:rPr>
              <w:t>、氨氮等，参考其他类似污水的处理效果，普通生活污水经常规化粪池预处理后出水水质能满足</w:t>
            </w:r>
            <w:r>
              <w:rPr>
                <w:rFonts w:hint="eastAsia"/>
                <w:kern w:val="0"/>
                <w:sz w:val="24"/>
              </w:rPr>
              <w:t>金寨开发区</w:t>
            </w:r>
            <w:r>
              <w:rPr>
                <w:kern w:val="0"/>
                <w:sz w:val="24"/>
              </w:rPr>
              <w:t>污水处理厂的接管要求。根据</w:t>
            </w:r>
            <w:r>
              <w:rPr>
                <w:rFonts w:hint="eastAsia"/>
                <w:kern w:val="0"/>
                <w:sz w:val="24"/>
              </w:rPr>
              <w:t>《排污许可证申请与核发技术规范 纺织印染工业》(HJ 861-2017)</w:t>
            </w:r>
            <w:r>
              <w:rPr>
                <w:kern w:val="0"/>
                <w:sz w:val="24"/>
              </w:rPr>
              <w:t xml:space="preserve">排污单位废水防治可行技术参考表，本项目生活污水采用化粪池处理为可行技术。 </w:t>
            </w:r>
          </w:p>
          <w:p w14:paraId="2C75E570">
            <w:pPr>
              <w:spacing w:line="500" w:lineRule="exact"/>
              <w:ind w:firstLine="480" w:firstLineChars="200"/>
              <w:rPr>
                <w:kern w:val="0"/>
                <w:sz w:val="24"/>
              </w:rPr>
            </w:pPr>
            <w:r>
              <w:rPr>
                <w:kern w:val="0"/>
                <w:sz w:val="24"/>
              </w:rPr>
              <w:t xml:space="preserve">（4）依托可行性分析 </w:t>
            </w:r>
          </w:p>
          <w:p w14:paraId="37BD7D9B">
            <w:pPr>
              <w:spacing w:line="360" w:lineRule="auto"/>
              <w:ind w:firstLine="480" w:firstLineChars="200"/>
              <w:rPr>
                <w:sz w:val="24"/>
                <w:szCs w:val="32"/>
              </w:rPr>
            </w:pPr>
            <w:r>
              <w:rPr>
                <w:rFonts w:hint="eastAsia"/>
                <w:sz w:val="24"/>
                <w:szCs w:val="32"/>
              </w:rPr>
              <w:t>①金寨经济开发区污水处理厂简介</w:t>
            </w:r>
          </w:p>
          <w:p w14:paraId="7B886C36">
            <w:pPr>
              <w:spacing w:line="360" w:lineRule="auto"/>
              <w:ind w:firstLine="480" w:firstLineChars="200"/>
              <w:rPr>
                <w:sz w:val="24"/>
                <w:szCs w:val="32"/>
              </w:rPr>
            </w:pPr>
            <w:r>
              <w:rPr>
                <w:rFonts w:hint="eastAsia"/>
                <w:sz w:val="24"/>
              </w:rPr>
              <w:t>金寨经济开发区</w:t>
            </w:r>
            <w:r>
              <w:rPr>
                <w:rFonts w:hint="eastAsia"/>
                <w:sz w:val="24"/>
                <w:szCs w:val="32"/>
              </w:rPr>
              <w:t>污水处理厂座落在金寨现代产业园区北六路与金叶路交叉路口，采用A</w:t>
            </w:r>
            <w:r>
              <w:rPr>
                <w:rFonts w:hint="eastAsia"/>
                <w:sz w:val="24"/>
                <w:szCs w:val="32"/>
                <w:vertAlign w:val="superscript"/>
              </w:rPr>
              <w:t>2</w:t>
            </w:r>
            <w:r>
              <w:rPr>
                <w:rFonts w:hint="eastAsia"/>
                <w:sz w:val="24"/>
                <w:szCs w:val="32"/>
              </w:rPr>
              <w:t>/O改良型氧化沟处理工艺，设计日处理污水3.0万吨，以处理城区生活污水为主，兼顾县城新区及金寨现代产业园区。2010年，金寨县政府启动了污水处理厂升级达标项目建设，现污水处理厂升级达标项目已建设完成并投入使用，尾水满足《城镇污水处理厂污染物排放标准》（GB18918-2002）一级A标准要求，排入史河。</w:t>
            </w:r>
          </w:p>
          <w:p w14:paraId="3BAC49B4">
            <w:pPr>
              <w:spacing w:line="360" w:lineRule="auto"/>
              <w:ind w:firstLine="480" w:firstLineChars="200"/>
              <w:rPr>
                <w:sz w:val="24"/>
                <w:szCs w:val="32"/>
              </w:rPr>
            </w:pPr>
            <w:r>
              <w:rPr>
                <w:rFonts w:hint="eastAsia"/>
                <w:sz w:val="24"/>
                <w:szCs w:val="32"/>
              </w:rPr>
              <w:t>②接管可行性分析</w:t>
            </w:r>
          </w:p>
          <w:p w14:paraId="5B94626B">
            <w:pPr>
              <w:spacing w:line="360" w:lineRule="auto"/>
              <w:ind w:firstLine="480" w:firstLineChars="200"/>
              <w:rPr>
                <w:sz w:val="24"/>
                <w:szCs w:val="32"/>
              </w:rPr>
            </w:pPr>
            <w:r>
              <w:rPr>
                <w:rFonts w:hint="eastAsia"/>
                <w:sz w:val="24"/>
                <w:szCs w:val="32"/>
              </w:rPr>
              <w:t>本项目位于</w:t>
            </w:r>
            <w:r>
              <w:rPr>
                <w:rFonts w:hint="eastAsia"/>
                <w:sz w:val="24"/>
              </w:rPr>
              <w:t>金寨经济开发区</w:t>
            </w:r>
            <w:r>
              <w:rPr>
                <w:rFonts w:hint="eastAsia"/>
                <w:sz w:val="24"/>
                <w:szCs w:val="32"/>
              </w:rPr>
              <w:t>污水处理厂的收水范围之内，根据现场勘查，项目区域市政污水管网已建成，且能接入污水处理厂。</w:t>
            </w:r>
          </w:p>
          <w:p w14:paraId="66908F84">
            <w:pPr>
              <w:pStyle w:val="50"/>
              <w:numPr>
                <w:ilvl w:val="0"/>
                <w:numId w:val="6"/>
              </w:numPr>
              <w:spacing w:line="360" w:lineRule="auto"/>
              <w:rPr>
                <w:sz w:val="24"/>
                <w:szCs w:val="32"/>
              </w:rPr>
            </w:pPr>
            <w:r>
              <w:rPr>
                <w:rFonts w:hint="eastAsia"/>
                <w:sz w:val="24"/>
                <w:szCs w:val="32"/>
              </w:rPr>
              <w:t>水量、水质符合性</w:t>
            </w:r>
          </w:p>
          <w:p w14:paraId="52DEA354">
            <w:pPr>
              <w:spacing w:line="360" w:lineRule="auto"/>
              <w:ind w:firstLine="480" w:firstLineChars="200"/>
              <w:rPr>
                <w:sz w:val="24"/>
                <w:szCs w:val="32"/>
              </w:rPr>
            </w:pPr>
            <w:r>
              <w:rPr>
                <w:rFonts w:hint="eastAsia"/>
                <w:sz w:val="24"/>
                <w:szCs w:val="32"/>
              </w:rPr>
              <w:t>本项目生活污水排放能够满足</w:t>
            </w:r>
            <w:r>
              <w:rPr>
                <w:rFonts w:hint="eastAsia"/>
                <w:sz w:val="24"/>
              </w:rPr>
              <w:t>金寨经济开发区</w:t>
            </w:r>
            <w:r>
              <w:rPr>
                <w:rFonts w:hint="eastAsia"/>
                <w:sz w:val="24"/>
                <w:szCs w:val="32"/>
              </w:rPr>
              <w:t>污水处理厂接管标准；项目建成后外排污水处理厂废水总量6 m</w:t>
            </w:r>
            <w:r>
              <w:rPr>
                <w:rFonts w:hint="eastAsia"/>
                <w:sz w:val="24"/>
                <w:szCs w:val="32"/>
                <w:vertAlign w:val="superscript"/>
              </w:rPr>
              <w:t>3</w:t>
            </w:r>
            <w:r>
              <w:rPr>
                <w:rFonts w:hint="eastAsia"/>
                <w:sz w:val="24"/>
                <w:szCs w:val="32"/>
              </w:rPr>
              <w:t>/d，仅占该污水处理厂设计处理能力3.0万m</w:t>
            </w:r>
            <w:r>
              <w:rPr>
                <w:rFonts w:hint="eastAsia"/>
                <w:sz w:val="24"/>
                <w:szCs w:val="32"/>
                <w:vertAlign w:val="superscript"/>
              </w:rPr>
              <w:t>3</w:t>
            </w:r>
            <w:r>
              <w:rPr>
                <w:rFonts w:hint="eastAsia"/>
                <w:sz w:val="24"/>
                <w:szCs w:val="32"/>
              </w:rPr>
              <w:t>/d的0.02%，不会对</w:t>
            </w:r>
            <w:r>
              <w:rPr>
                <w:rFonts w:hint="eastAsia"/>
                <w:sz w:val="24"/>
              </w:rPr>
              <w:t>金寨经济开发区</w:t>
            </w:r>
            <w:r>
              <w:rPr>
                <w:rFonts w:hint="eastAsia"/>
                <w:sz w:val="24"/>
                <w:szCs w:val="32"/>
              </w:rPr>
              <w:t>污水处理厂产生冲击负荷。因此，产生的废水排入</w:t>
            </w:r>
            <w:r>
              <w:rPr>
                <w:rFonts w:hint="eastAsia"/>
                <w:sz w:val="24"/>
              </w:rPr>
              <w:t>金寨经济开发区</w:t>
            </w:r>
            <w:r>
              <w:rPr>
                <w:rFonts w:hint="eastAsia"/>
                <w:sz w:val="24"/>
                <w:szCs w:val="32"/>
              </w:rPr>
              <w:t>污水处理厂可行。</w:t>
            </w:r>
          </w:p>
          <w:p w14:paraId="422CA854">
            <w:pPr>
              <w:pStyle w:val="49"/>
              <w:tabs>
                <w:tab w:val="left" w:pos="431"/>
              </w:tabs>
              <w:spacing w:line="360" w:lineRule="auto"/>
              <w:ind w:firstLine="420"/>
              <w:rPr>
                <w:szCs w:val="24"/>
              </w:rPr>
            </w:pPr>
            <w:r>
              <w:rPr>
                <w:rFonts w:hint="eastAsia"/>
                <w:szCs w:val="24"/>
              </w:rPr>
              <w:t>综上所述，项目废水经过厂内化粪池处理后，各类污染物可以满足金寨经济开发区污水处理厂接管标准，经金寨经济开发区污水处理厂处理后可以满足《城镇污水处理厂污染物排放标准》（GB18918-2002）中的一级标准的A标准，最终排入史河，不会降低史河现有水环境功能。</w:t>
            </w:r>
          </w:p>
          <w:p w14:paraId="4C5844BA">
            <w:pPr>
              <w:spacing w:line="500" w:lineRule="exact"/>
              <w:ind w:firstLine="480" w:firstLineChars="200"/>
              <w:rPr>
                <w:kern w:val="0"/>
                <w:sz w:val="24"/>
              </w:rPr>
            </w:pPr>
            <w:r>
              <w:rPr>
                <w:kern w:val="0"/>
                <w:sz w:val="24"/>
              </w:rPr>
              <w:t xml:space="preserve">（5）监测计划 </w:t>
            </w:r>
          </w:p>
          <w:p w14:paraId="715181CA">
            <w:pPr>
              <w:spacing w:line="500" w:lineRule="exact"/>
              <w:ind w:firstLine="480" w:firstLineChars="200"/>
              <w:rPr>
                <w:kern w:val="0"/>
                <w:sz w:val="24"/>
              </w:rPr>
            </w:pPr>
            <w:r>
              <w:rPr>
                <w:kern w:val="0"/>
                <w:sz w:val="24"/>
              </w:rPr>
              <w:t>本项目无生产废水，外</w:t>
            </w:r>
            <w:r>
              <w:rPr>
                <w:rFonts w:hint="eastAsia"/>
                <w:kern w:val="0"/>
                <w:sz w:val="24"/>
              </w:rPr>
              <w:t>排</w:t>
            </w:r>
            <w:r>
              <w:rPr>
                <w:kern w:val="0"/>
                <w:sz w:val="24"/>
              </w:rPr>
              <w:t>废水主要为生活污水，根据</w:t>
            </w:r>
            <w:r>
              <w:rPr>
                <w:rFonts w:hint="eastAsia"/>
                <w:kern w:val="0"/>
                <w:sz w:val="24"/>
              </w:rPr>
              <w:t>《排污许可证申请与核发技术规范 纺织印染工业》(HJ 861-2017)</w:t>
            </w:r>
            <w:r>
              <w:rPr>
                <w:kern w:val="0"/>
                <w:sz w:val="24"/>
              </w:rPr>
              <w:t>的规定：单独排向市政污水处理厂的生活污水不要求开展自行监测。</w:t>
            </w:r>
          </w:p>
          <w:p w14:paraId="5EED03A3">
            <w:pPr>
              <w:spacing w:line="500" w:lineRule="exact"/>
              <w:ind w:firstLine="482" w:firstLineChars="200"/>
              <w:rPr>
                <w:b/>
                <w:bCs/>
                <w:kern w:val="0"/>
                <w:sz w:val="24"/>
              </w:rPr>
            </w:pPr>
            <w:r>
              <w:rPr>
                <w:rFonts w:hint="eastAsia"/>
                <w:b/>
                <w:bCs/>
                <w:kern w:val="0"/>
                <w:sz w:val="24"/>
              </w:rPr>
              <w:t>4.2.4营运期</w:t>
            </w:r>
            <w:r>
              <w:rPr>
                <w:b/>
                <w:bCs/>
                <w:kern w:val="0"/>
                <w:sz w:val="24"/>
              </w:rPr>
              <w:t>噪声</w:t>
            </w:r>
            <w:r>
              <w:rPr>
                <w:rFonts w:hint="eastAsia"/>
                <w:b/>
                <w:bCs/>
                <w:kern w:val="0"/>
                <w:sz w:val="24"/>
              </w:rPr>
              <w:t>污染分析</w:t>
            </w:r>
            <w:r>
              <w:rPr>
                <w:b/>
                <w:bCs/>
                <w:kern w:val="0"/>
                <w:sz w:val="24"/>
              </w:rPr>
              <w:t xml:space="preserve"> </w:t>
            </w:r>
          </w:p>
          <w:p w14:paraId="45B17BBA">
            <w:pPr>
              <w:spacing w:line="500" w:lineRule="exact"/>
              <w:ind w:firstLine="480" w:firstLineChars="200"/>
              <w:rPr>
                <w:kern w:val="0"/>
                <w:sz w:val="24"/>
              </w:rPr>
            </w:pPr>
            <w:r>
              <w:rPr>
                <w:kern w:val="0"/>
                <w:sz w:val="24"/>
              </w:rPr>
              <w:t xml:space="preserve">（1）噪声源强 </w:t>
            </w:r>
          </w:p>
          <w:p w14:paraId="44E45D8B">
            <w:pPr>
              <w:spacing w:line="500" w:lineRule="exact"/>
              <w:ind w:firstLine="480" w:firstLineChars="200"/>
              <w:rPr>
                <w:kern w:val="0"/>
                <w:sz w:val="24"/>
              </w:rPr>
            </w:pPr>
            <w:r>
              <w:rPr>
                <w:kern w:val="0"/>
                <w:sz w:val="24"/>
              </w:rPr>
              <w:t>项目噪声源主要为各种生产设备和辅助设备，噪声声级一般为 65~75dB(A)。项目主要噪声源特性及源强见下表。</w:t>
            </w:r>
          </w:p>
          <w:p w14:paraId="07E58893">
            <w:pPr>
              <w:widowControl/>
              <w:jc w:val="center"/>
            </w:pPr>
            <w:r>
              <w:rPr>
                <w:rFonts w:ascii="瀹嬩綋" w:hAnsi="瀹嬩綋" w:eastAsia="瀹嬩綋" w:cs="瀹嬩綋"/>
                <w:b/>
                <w:bCs/>
                <w:color w:val="000000"/>
                <w:kern w:val="0"/>
                <w:szCs w:val="21"/>
                <w:lang w:bidi="ar"/>
              </w:rPr>
              <w:t>表</w:t>
            </w:r>
            <w:r>
              <w:rPr>
                <w:rFonts w:hint="eastAsia"/>
                <w:b/>
                <w:bCs/>
                <w:color w:val="000000"/>
                <w:kern w:val="0"/>
                <w:szCs w:val="21"/>
                <w:lang w:bidi="ar"/>
              </w:rPr>
              <w:t xml:space="preserve">4-10 </w:t>
            </w:r>
            <w:r>
              <w:rPr>
                <w:rFonts w:ascii="瀹嬩綋" w:hAnsi="瀹嬩綋" w:eastAsia="瀹嬩綋" w:cs="瀹嬩綋"/>
                <w:b/>
                <w:bCs/>
                <w:color w:val="000000"/>
                <w:kern w:val="0"/>
                <w:szCs w:val="21"/>
                <w:lang w:bidi="ar"/>
              </w:rPr>
              <w:t>项目主要噪声源特性及源强一览表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23"/>
              <w:gridCol w:w="978"/>
              <w:gridCol w:w="863"/>
              <w:gridCol w:w="1921"/>
              <w:gridCol w:w="1516"/>
              <w:gridCol w:w="2478"/>
            </w:tblGrid>
            <w:tr w14:paraId="4C67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0" w:type="auto"/>
                  <w:vAlign w:val="center"/>
                </w:tcPr>
                <w:p w14:paraId="0BB5122C">
                  <w:pPr>
                    <w:widowControl/>
                    <w:jc w:val="center"/>
                    <w:rPr>
                      <w:kern w:val="0"/>
                      <w:sz w:val="20"/>
                      <w:szCs w:val="20"/>
                    </w:rPr>
                  </w:pPr>
                  <w:r>
                    <w:rPr>
                      <w:b/>
                      <w:bCs/>
                      <w:color w:val="000000"/>
                      <w:kern w:val="0"/>
                      <w:sz w:val="20"/>
                      <w:szCs w:val="20"/>
                      <w:lang w:bidi="ar"/>
                    </w:rPr>
                    <w:t>序号</w:t>
                  </w:r>
                </w:p>
              </w:tc>
              <w:tc>
                <w:tcPr>
                  <w:tcW w:w="0" w:type="auto"/>
                  <w:vAlign w:val="center"/>
                </w:tcPr>
                <w:p w14:paraId="3C86E040">
                  <w:pPr>
                    <w:widowControl/>
                    <w:jc w:val="center"/>
                    <w:rPr>
                      <w:kern w:val="0"/>
                      <w:sz w:val="20"/>
                      <w:szCs w:val="20"/>
                    </w:rPr>
                  </w:pPr>
                  <w:r>
                    <w:rPr>
                      <w:b/>
                      <w:bCs/>
                      <w:color w:val="000000"/>
                      <w:kern w:val="0"/>
                      <w:sz w:val="20"/>
                      <w:szCs w:val="20"/>
                      <w:lang w:bidi="ar"/>
                    </w:rPr>
                    <w:t>声源名称</w:t>
                  </w:r>
                </w:p>
              </w:tc>
              <w:tc>
                <w:tcPr>
                  <w:tcW w:w="978" w:type="dxa"/>
                  <w:vAlign w:val="center"/>
                </w:tcPr>
                <w:p w14:paraId="1D55CEEB">
                  <w:pPr>
                    <w:widowControl/>
                    <w:jc w:val="center"/>
                    <w:rPr>
                      <w:kern w:val="0"/>
                      <w:sz w:val="20"/>
                      <w:szCs w:val="20"/>
                    </w:rPr>
                  </w:pPr>
                  <w:r>
                    <w:rPr>
                      <w:b/>
                      <w:bCs/>
                      <w:color w:val="000000"/>
                      <w:kern w:val="0"/>
                      <w:sz w:val="20"/>
                      <w:szCs w:val="20"/>
                      <w:lang w:bidi="ar"/>
                    </w:rPr>
                    <w:t>数量</w:t>
                  </w:r>
                </w:p>
              </w:tc>
              <w:tc>
                <w:tcPr>
                  <w:tcW w:w="349" w:type="dxa"/>
                  <w:vAlign w:val="center"/>
                </w:tcPr>
                <w:p w14:paraId="5FEE4E04">
                  <w:pPr>
                    <w:widowControl/>
                    <w:jc w:val="center"/>
                    <w:rPr>
                      <w:sz w:val="20"/>
                      <w:szCs w:val="20"/>
                    </w:rPr>
                  </w:pPr>
                  <w:r>
                    <w:rPr>
                      <w:b/>
                      <w:bCs/>
                      <w:color w:val="000000"/>
                      <w:kern w:val="0"/>
                      <w:sz w:val="20"/>
                      <w:szCs w:val="20"/>
                      <w:lang w:bidi="ar"/>
                    </w:rPr>
                    <w:t>声压级</w:t>
                  </w:r>
                </w:p>
                <w:p w14:paraId="2EC2B41B">
                  <w:pPr>
                    <w:jc w:val="center"/>
                    <w:rPr>
                      <w:kern w:val="0"/>
                      <w:sz w:val="20"/>
                      <w:szCs w:val="20"/>
                    </w:rPr>
                  </w:pPr>
                  <w:r>
                    <w:rPr>
                      <w:b/>
                      <w:bCs/>
                      <w:color w:val="000000"/>
                      <w:kern w:val="0"/>
                      <w:sz w:val="20"/>
                      <w:szCs w:val="20"/>
                      <w:lang w:bidi="ar"/>
                    </w:rPr>
                    <w:t>（dB）</w:t>
                  </w:r>
                </w:p>
              </w:tc>
              <w:tc>
                <w:tcPr>
                  <w:tcW w:w="1921" w:type="dxa"/>
                  <w:vAlign w:val="center"/>
                </w:tcPr>
                <w:p w14:paraId="7E84332A">
                  <w:pPr>
                    <w:widowControl/>
                    <w:jc w:val="center"/>
                    <w:rPr>
                      <w:kern w:val="0"/>
                      <w:sz w:val="20"/>
                      <w:szCs w:val="20"/>
                    </w:rPr>
                  </w:pPr>
                  <w:r>
                    <w:rPr>
                      <w:b/>
                      <w:bCs/>
                      <w:color w:val="000000"/>
                      <w:kern w:val="0"/>
                      <w:sz w:val="20"/>
                      <w:szCs w:val="20"/>
                      <w:lang w:bidi="ar"/>
                    </w:rPr>
                    <w:t>声源控制措施</w:t>
                  </w:r>
                </w:p>
              </w:tc>
              <w:tc>
                <w:tcPr>
                  <w:tcW w:w="1516" w:type="dxa"/>
                  <w:vAlign w:val="center"/>
                </w:tcPr>
                <w:p w14:paraId="19567F44">
                  <w:pPr>
                    <w:widowControl/>
                    <w:jc w:val="center"/>
                    <w:rPr>
                      <w:kern w:val="0"/>
                      <w:sz w:val="20"/>
                      <w:szCs w:val="20"/>
                    </w:rPr>
                  </w:pPr>
                  <w:r>
                    <w:rPr>
                      <w:b/>
                      <w:bCs/>
                      <w:color w:val="000000"/>
                      <w:kern w:val="0"/>
                      <w:sz w:val="20"/>
                      <w:szCs w:val="20"/>
                      <w:lang w:bidi="ar"/>
                    </w:rPr>
                    <w:t>运行时段</w:t>
                  </w:r>
                </w:p>
              </w:tc>
              <w:tc>
                <w:tcPr>
                  <w:tcW w:w="0" w:type="auto"/>
                  <w:vAlign w:val="center"/>
                </w:tcPr>
                <w:p w14:paraId="30ABDDC7">
                  <w:pPr>
                    <w:widowControl/>
                    <w:jc w:val="center"/>
                    <w:rPr>
                      <w:kern w:val="0"/>
                      <w:sz w:val="20"/>
                      <w:szCs w:val="20"/>
                    </w:rPr>
                  </w:pPr>
                  <w:r>
                    <w:rPr>
                      <w:b/>
                      <w:bCs/>
                      <w:color w:val="000000"/>
                      <w:kern w:val="0"/>
                      <w:sz w:val="20"/>
                      <w:szCs w:val="20"/>
                      <w:lang w:bidi="ar"/>
                    </w:rPr>
                    <w:t>建筑物插入损失</w:t>
                  </w:r>
                </w:p>
              </w:tc>
            </w:tr>
            <w:tr w14:paraId="1094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C121D9C">
                  <w:pPr>
                    <w:spacing w:line="500" w:lineRule="exact"/>
                    <w:jc w:val="center"/>
                    <w:rPr>
                      <w:kern w:val="0"/>
                      <w:sz w:val="20"/>
                      <w:szCs w:val="20"/>
                    </w:rPr>
                  </w:pPr>
                  <w:r>
                    <w:rPr>
                      <w:kern w:val="0"/>
                      <w:sz w:val="20"/>
                      <w:szCs w:val="20"/>
                    </w:rPr>
                    <w:t>1</w:t>
                  </w:r>
                </w:p>
              </w:tc>
              <w:tc>
                <w:tcPr>
                  <w:tcW w:w="0" w:type="auto"/>
                  <w:vAlign w:val="center"/>
                </w:tcPr>
                <w:p w14:paraId="7E06B233">
                  <w:pPr>
                    <w:widowControl/>
                    <w:jc w:val="center"/>
                    <w:rPr>
                      <w:color w:val="000000"/>
                      <w:kern w:val="0"/>
                      <w:sz w:val="20"/>
                      <w:szCs w:val="20"/>
                      <w:lang w:bidi="ar"/>
                    </w:rPr>
                  </w:pPr>
                  <w:r>
                    <w:t>压条成型机</w:t>
                  </w:r>
                </w:p>
              </w:tc>
              <w:tc>
                <w:tcPr>
                  <w:tcW w:w="978" w:type="dxa"/>
                  <w:vAlign w:val="center"/>
                </w:tcPr>
                <w:p w14:paraId="61EF4822">
                  <w:pPr>
                    <w:widowControl/>
                    <w:jc w:val="center"/>
                    <w:rPr>
                      <w:color w:val="000000"/>
                      <w:kern w:val="0"/>
                      <w:sz w:val="20"/>
                      <w:szCs w:val="20"/>
                      <w:lang w:bidi="ar"/>
                    </w:rPr>
                  </w:pPr>
                  <w:r>
                    <w:t>15台</w:t>
                  </w:r>
                </w:p>
              </w:tc>
              <w:tc>
                <w:tcPr>
                  <w:tcW w:w="349" w:type="dxa"/>
                  <w:vAlign w:val="center"/>
                </w:tcPr>
                <w:p w14:paraId="33AF3910">
                  <w:pPr>
                    <w:widowControl/>
                    <w:jc w:val="center"/>
                    <w:rPr>
                      <w:color w:val="000000"/>
                      <w:kern w:val="0"/>
                      <w:sz w:val="20"/>
                      <w:szCs w:val="20"/>
                      <w:lang w:bidi="ar"/>
                    </w:rPr>
                  </w:pPr>
                  <w:r>
                    <w:rPr>
                      <w:color w:val="000000"/>
                      <w:kern w:val="0"/>
                      <w:sz w:val="20"/>
                      <w:szCs w:val="20"/>
                      <w:lang w:bidi="ar"/>
                    </w:rPr>
                    <w:t>65</w:t>
                  </w:r>
                </w:p>
              </w:tc>
              <w:tc>
                <w:tcPr>
                  <w:tcW w:w="1921" w:type="dxa"/>
                  <w:vMerge w:val="restart"/>
                  <w:vAlign w:val="center"/>
                </w:tcPr>
                <w:p w14:paraId="50F42EC7">
                  <w:pPr>
                    <w:widowControl/>
                    <w:jc w:val="center"/>
                    <w:rPr>
                      <w:sz w:val="20"/>
                      <w:szCs w:val="20"/>
                    </w:rPr>
                  </w:pPr>
                  <w:r>
                    <w:rPr>
                      <w:color w:val="000000"/>
                      <w:kern w:val="0"/>
                      <w:sz w:val="20"/>
                      <w:szCs w:val="20"/>
                      <w:lang w:bidi="ar"/>
                    </w:rPr>
                    <w:t>设备减震隔声、厂房隔声</w:t>
                  </w:r>
                </w:p>
                <w:p w14:paraId="2987B54D">
                  <w:pPr>
                    <w:spacing w:line="500" w:lineRule="exact"/>
                    <w:jc w:val="center"/>
                    <w:rPr>
                      <w:color w:val="000000"/>
                      <w:kern w:val="0"/>
                      <w:sz w:val="20"/>
                      <w:szCs w:val="20"/>
                      <w:lang w:bidi="ar"/>
                    </w:rPr>
                  </w:pPr>
                </w:p>
              </w:tc>
              <w:tc>
                <w:tcPr>
                  <w:tcW w:w="1516" w:type="dxa"/>
                  <w:vMerge w:val="restart"/>
                  <w:vAlign w:val="center"/>
                </w:tcPr>
                <w:p w14:paraId="323D30A5">
                  <w:pPr>
                    <w:widowControl/>
                    <w:jc w:val="center"/>
                    <w:rPr>
                      <w:sz w:val="20"/>
                      <w:szCs w:val="20"/>
                    </w:rPr>
                  </w:pPr>
                  <w:r>
                    <w:rPr>
                      <w:color w:val="000000"/>
                      <w:kern w:val="0"/>
                      <w:sz w:val="20"/>
                      <w:szCs w:val="20"/>
                      <w:lang w:bidi="ar"/>
                    </w:rPr>
                    <w:t>8:00~12:00，14:00~18:00，</w:t>
                  </w:r>
                </w:p>
                <w:p w14:paraId="708008A6">
                  <w:pPr>
                    <w:widowControl/>
                    <w:jc w:val="center"/>
                    <w:rPr>
                      <w:sz w:val="20"/>
                      <w:szCs w:val="20"/>
                    </w:rPr>
                  </w:pPr>
                  <w:r>
                    <w:rPr>
                      <w:color w:val="000000"/>
                      <w:kern w:val="0"/>
                      <w:sz w:val="20"/>
                      <w:szCs w:val="20"/>
                      <w:lang w:bidi="ar"/>
                    </w:rPr>
                    <w:t>年工作 300</w:t>
                  </w:r>
                </w:p>
                <w:p w14:paraId="7AD8B8EB">
                  <w:pPr>
                    <w:widowControl/>
                    <w:jc w:val="center"/>
                    <w:rPr>
                      <w:sz w:val="20"/>
                      <w:szCs w:val="20"/>
                    </w:rPr>
                  </w:pPr>
                  <w:r>
                    <w:rPr>
                      <w:color w:val="000000"/>
                      <w:kern w:val="0"/>
                      <w:sz w:val="20"/>
                      <w:szCs w:val="20"/>
                      <w:lang w:bidi="ar"/>
                    </w:rPr>
                    <w:t>天，每天工作8</w:t>
                  </w:r>
                </w:p>
                <w:p w14:paraId="673B0FDF">
                  <w:pPr>
                    <w:widowControl/>
                    <w:jc w:val="center"/>
                    <w:rPr>
                      <w:sz w:val="20"/>
                      <w:szCs w:val="20"/>
                    </w:rPr>
                  </w:pPr>
                  <w:r>
                    <w:rPr>
                      <w:color w:val="000000"/>
                      <w:kern w:val="0"/>
                      <w:sz w:val="20"/>
                      <w:szCs w:val="20"/>
                      <w:lang w:bidi="ar"/>
                    </w:rPr>
                    <w:t>小时</w:t>
                  </w:r>
                </w:p>
                <w:p w14:paraId="56431A19">
                  <w:pPr>
                    <w:spacing w:line="500" w:lineRule="exact"/>
                    <w:jc w:val="center"/>
                    <w:rPr>
                      <w:color w:val="000000"/>
                      <w:kern w:val="0"/>
                      <w:sz w:val="20"/>
                      <w:szCs w:val="20"/>
                      <w:lang w:bidi="ar"/>
                    </w:rPr>
                  </w:pPr>
                </w:p>
              </w:tc>
              <w:tc>
                <w:tcPr>
                  <w:tcW w:w="0" w:type="auto"/>
                  <w:vMerge w:val="restart"/>
                  <w:vAlign w:val="center"/>
                </w:tcPr>
                <w:p w14:paraId="669ACF9E">
                  <w:pPr>
                    <w:widowControl/>
                    <w:jc w:val="center"/>
                    <w:rPr>
                      <w:sz w:val="20"/>
                      <w:szCs w:val="20"/>
                    </w:rPr>
                  </w:pPr>
                  <w:r>
                    <w:rPr>
                      <w:color w:val="000000"/>
                      <w:kern w:val="0"/>
                      <w:sz w:val="20"/>
                      <w:szCs w:val="20"/>
                      <w:lang w:bidi="ar"/>
                    </w:rPr>
                    <w:t>根据刘惠玲主编的《噪声控制技</w:t>
                  </w:r>
                </w:p>
                <w:p w14:paraId="2EFE053F">
                  <w:pPr>
                    <w:widowControl/>
                    <w:jc w:val="center"/>
                    <w:rPr>
                      <w:sz w:val="20"/>
                      <w:szCs w:val="20"/>
                    </w:rPr>
                  </w:pPr>
                  <w:r>
                    <w:rPr>
                      <w:color w:val="000000"/>
                      <w:kern w:val="0"/>
                      <w:sz w:val="20"/>
                      <w:szCs w:val="20"/>
                      <w:lang w:bidi="ar"/>
                    </w:rPr>
                    <w:t>术》（2002 年 10 月第1版），采用隔声间（室）技术措施，降噪</w:t>
                  </w:r>
                </w:p>
                <w:p w14:paraId="1D96B8E2">
                  <w:pPr>
                    <w:widowControl/>
                    <w:jc w:val="center"/>
                    <w:rPr>
                      <w:sz w:val="20"/>
                      <w:szCs w:val="20"/>
                    </w:rPr>
                  </w:pPr>
                  <w:r>
                    <w:rPr>
                      <w:color w:val="000000"/>
                      <w:kern w:val="0"/>
                      <w:sz w:val="20"/>
                      <w:szCs w:val="20"/>
                      <w:lang w:bidi="ar"/>
                    </w:rPr>
                    <w:t>效果可达20~40dB（A）。本项目通过墙体隔音的方式，噪声效果降低15dB（A）</w:t>
                  </w:r>
                </w:p>
                <w:p w14:paraId="674D03BA">
                  <w:pPr>
                    <w:spacing w:line="500" w:lineRule="exact"/>
                    <w:jc w:val="center"/>
                    <w:rPr>
                      <w:color w:val="000000"/>
                      <w:kern w:val="0"/>
                      <w:sz w:val="20"/>
                      <w:szCs w:val="20"/>
                      <w:lang w:bidi="ar"/>
                    </w:rPr>
                  </w:pPr>
                </w:p>
              </w:tc>
            </w:tr>
            <w:tr w14:paraId="55A9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41AE21F">
                  <w:pPr>
                    <w:spacing w:line="500" w:lineRule="exact"/>
                    <w:jc w:val="center"/>
                    <w:rPr>
                      <w:kern w:val="0"/>
                      <w:sz w:val="20"/>
                      <w:szCs w:val="20"/>
                    </w:rPr>
                  </w:pPr>
                  <w:r>
                    <w:rPr>
                      <w:kern w:val="0"/>
                      <w:sz w:val="20"/>
                      <w:szCs w:val="20"/>
                    </w:rPr>
                    <w:t>2</w:t>
                  </w:r>
                </w:p>
              </w:tc>
              <w:tc>
                <w:tcPr>
                  <w:tcW w:w="0" w:type="auto"/>
                  <w:vAlign w:val="center"/>
                </w:tcPr>
                <w:p w14:paraId="66618205">
                  <w:pPr>
                    <w:widowControl/>
                    <w:jc w:val="center"/>
                    <w:rPr>
                      <w:kern w:val="0"/>
                      <w:sz w:val="20"/>
                      <w:szCs w:val="20"/>
                    </w:rPr>
                  </w:pPr>
                  <w:r>
                    <w:t>内框成型机</w:t>
                  </w:r>
                </w:p>
              </w:tc>
              <w:tc>
                <w:tcPr>
                  <w:tcW w:w="978" w:type="dxa"/>
                  <w:vAlign w:val="center"/>
                </w:tcPr>
                <w:p w14:paraId="45C5F3F3">
                  <w:pPr>
                    <w:widowControl/>
                    <w:jc w:val="center"/>
                    <w:rPr>
                      <w:color w:val="000000"/>
                      <w:kern w:val="0"/>
                      <w:sz w:val="20"/>
                      <w:szCs w:val="20"/>
                      <w:lang w:bidi="ar"/>
                    </w:rPr>
                  </w:pPr>
                  <w:r>
                    <w:t>15台</w:t>
                  </w:r>
                </w:p>
              </w:tc>
              <w:tc>
                <w:tcPr>
                  <w:tcW w:w="349" w:type="dxa"/>
                  <w:vAlign w:val="center"/>
                </w:tcPr>
                <w:p w14:paraId="562C8DF6">
                  <w:pPr>
                    <w:widowControl/>
                    <w:jc w:val="center"/>
                    <w:rPr>
                      <w:kern w:val="0"/>
                      <w:sz w:val="20"/>
                      <w:szCs w:val="20"/>
                    </w:rPr>
                  </w:pPr>
                  <w:r>
                    <w:rPr>
                      <w:color w:val="000000"/>
                      <w:kern w:val="0"/>
                      <w:sz w:val="20"/>
                      <w:szCs w:val="20"/>
                      <w:lang w:bidi="ar"/>
                    </w:rPr>
                    <w:t>73</w:t>
                  </w:r>
                </w:p>
              </w:tc>
              <w:tc>
                <w:tcPr>
                  <w:tcW w:w="1921" w:type="dxa"/>
                  <w:vMerge w:val="continue"/>
                  <w:vAlign w:val="center"/>
                </w:tcPr>
                <w:p w14:paraId="60C94AE4">
                  <w:pPr>
                    <w:spacing w:line="500" w:lineRule="exact"/>
                    <w:jc w:val="center"/>
                    <w:rPr>
                      <w:kern w:val="0"/>
                      <w:sz w:val="20"/>
                      <w:szCs w:val="20"/>
                    </w:rPr>
                  </w:pPr>
                </w:p>
              </w:tc>
              <w:tc>
                <w:tcPr>
                  <w:tcW w:w="1516" w:type="dxa"/>
                  <w:vMerge w:val="continue"/>
                  <w:vAlign w:val="center"/>
                </w:tcPr>
                <w:p w14:paraId="52A7AE9C">
                  <w:pPr>
                    <w:spacing w:line="500" w:lineRule="exact"/>
                    <w:jc w:val="center"/>
                    <w:rPr>
                      <w:kern w:val="0"/>
                      <w:sz w:val="20"/>
                      <w:szCs w:val="20"/>
                    </w:rPr>
                  </w:pPr>
                </w:p>
              </w:tc>
              <w:tc>
                <w:tcPr>
                  <w:tcW w:w="0" w:type="auto"/>
                  <w:vMerge w:val="continue"/>
                  <w:vAlign w:val="center"/>
                </w:tcPr>
                <w:p w14:paraId="0F3A9670">
                  <w:pPr>
                    <w:spacing w:line="500" w:lineRule="exact"/>
                    <w:jc w:val="center"/>
                    <w:rPr>
                      <w:kern w:val="0"/>
                      <w:sz w:val="20"/>
                      <w:szCs w:val="20"/>
                    </w:rPr>
                  </w:pPr>
                </w:p>
              </w:tc>
            </w:tr>
            <w:tr w14:paraId="6AAD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7598874C">
                  <w:pPr>
                    <w:spacing w:line="500" w:lineRule="exact"/>
                    <w:jc w:val="center"/>
                    <w:rPr>
                      <w:kern w:val="0"/>
                      <w:sz w:val="20"/>
                      <w:szCs w:val="20"/>
                    </w:rPr>
                  </w:pPr>
                  <w:r>
                    <w:rPr>
                      <w:kern w:val="0"/>
                      <w:sz w:val="20"/>
                      <w:szCs w:val="20"/>
                    </w:rPr>
                    <w:t>3</w:t>
                  </w:r>
                </w:p>
              </w:tc>
              <w:tc>
                <w:tcPr>
                  <w:tcW w:w="0" w:type="auto"/>
                  <w:vAlign w:val="center"/>
                </w:tcPr>
                <w:p w14:paraId="39246A62">
                  <w:pPr>
                    <w:widowControl/>
                    <w:jc w:val="center"/>
                    <w:rPr>
                      <w:kern w:val="0"/>
                      <w:sz w:val="20"/>
                      <w:szCs w:val="20"/>
                    </w:rPr>
                  </w:pPr>
                  <w:r>
                    <w:t>外框一体机</w:t>
                  </w:r>
                </w:p>
              </w:tc>
              <w:tc>
                <w:tcPr>
                  <w:tcW w:w="978" w:type="dxa"/>
                  <w:vAlign w:val="center"/>
                </w:tcPr>
                <w:p w14:paraId="451213D5">
                  <w:pPr>
                    <w:widowControl/>
                    <w:jc w:val="center"/>
                    <w:rPr>
                      <w:color w:val="000000"/>
                      <w:kern w:val="0"/>
                      <w:sz w:val="20"/>
                      <w:szCs w:val="20"/>
                      <w:lang w:bidi="ar"/>
                    </w:rPr>
                  </w:pPr>
                  <w:r>
                    <w:t>15台</w:t>
                  </w:r>
                </w:p>
              </w:tc>
              <w:tc>
                <w:tcPr>
                  <w:tcW w:w="349" w:type="dxa"/>
                  <w:vAlign w:val="center"/>
                </w:tcPr>
                <w:p w14:paraId="618FB13D">
                  <w:pPr>
                    <w:widowControl/>
                    <w:jc w:val="center"/>
                    <w:rPr>
                      <w:kern w:val="0"/>
                      <w:sz w:val="20"/>
                      <w:szCs w:val="20"/>
                    </w:rPr>
                  </w:pPr>
                  <w:r>
                    <w:rPr>
                      <w:color w:val="000000"/>
                      <w:kern w:val="0"/>
                      <w:sz w:val="20"/>
                      <w:szCs w:val="20"/>
                      <w:lang w:bidi="ar"/>
                    </w:rPr>
                    <w:t>65</w:t>
                  </w:r>
                </w:p>
              </w:tc>
              <w:tc>
                <w:tcPr>
                  <w:tcW w:w="1921" w:type="dxa"/>
                  <w:vMerge w:val="continue"/>
                  <w:vAlign w:val="center"/>
                </w:tcPr>
                <w:p w14:paraId="73FDD384">
                  <w:pPr>
                    <w:spacing w:line="500" w:lineRule="exact"/>
                    <w:jc w:val="center"/>
                    <w:rPr>
                      <w:kern w:val="0"/>
                      <w:sz w:val="20"/>
                      <w:szCs w:val="20"/>
                    </w:rPr>
                  </w:pPr>
                </w:p>
              </w:tc>
              <w:tc>
                <w:tcPr>
                  <w:tcW w:w="1516" w:type="dxa"/>
                  <w:vMerge w:val="continue"/>
                  <w:vAlign w:val="center"/>
                </w:tcPr>
                <w:p w14:paraId="6BA85647">
                  <w:pPr>
                    <w:spacing w:line="500" w:lineRule="exact"/>
                    <w:jc w:val="center"/>
                    <w:rPr>
                      <w:kern w:val="0"/>
                      <w:sz w:val="20"/>
                      <w:szCs w:val="20"/>
                    </w:rPr>
                  </w:pPr>
                </w:p>
              </w:tc>
              <w:tc>
                <w:tcPr>
                  <w:tcW w:w="0" w:type="auto"/>
                  <w:vMerge w:val="continue"/>
                  <w:vAlign w:val="center"/>
                </w:tcPr>
                <w:p w14:paraId="3402CE37">
                  <w:pPr>
                    <w:spacing w:line="500" w:lineRule="exact"/>
                    <w:jc w:val="center"/>
                    <w:rPr>
                      <w:kern w:val="0"/>
                      <w:sz w:val="20"/>
                      <w:szCs w:val="20"/>
                    </w:rPr>
                  </w:pPr>
                </w:p>
              </w:tc>
            </w:tr>
            <w:tr w14:paraId="2C8E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C97EDD3">
                  <w:pPr>
                    <w:spacing w:line="500" w:lineRule="exact"/>
                    <w:jc w:val="center"/>
                    <w:rPr>
                      <w:kern w:val="0"/>
                      <w:sz w:val="20"/>
                      <w:szCs w:val="20"/>
                    </w:rPr>
                  </w:pPr>
                  <w:r>
                    <w:rPr>
                      <w:kern w:val="0"/>
                      <w:sz w:val="20"/>
                      <w:szCs w:val="20"/>
                    </w:rPr>
                    <w:t>4</w:t>
                  </w:r>
                </w:p>
              </w:tc>
              <w:tc>
                <w:tcPr>
                  <w:tcW w:w="0" w:type="auto"/>
                  <w:vAlign w:val="center"/>
                </w:tcPr>
                <w:p w14:paraId="146A9FAC">
                  <w:pPr>
                    <w:widowControl/>
                    <w:jc w:val="center"/>
                    <w:rPr>
                      <w:kern w:val="0"/>
                      <w:sz w:val="20"/>
                      <w:szCs w:val="20"/>
                    </w:rPr>
                  </w:pPr>
                  <w:r>
                    <w:t>手动电焊机</w:t>
                  </w:r>
                </w:p>
              </w:tc>
              <w:tc>
                <w:tcPr>
                  <w:tcW w:w="978" w:type="dxa"/>
                  <w:vAlign w:val="center"/>
                </w:tcPr>
                <w:p w14:paraId="597C4A25">
                  <w:pPr>
                    <w:widowControl/>
                    <w:jc w:val="center"/>
                    <w:rPr>
                      <w:color w:val="000000"/>
                      <w:kern w:val="0"/>
                      <w:sz w:val="20"/>
                      <w:szCs w:val="20"/>
                      <w:lang w:bidi="ar"/>
                    </w:rPr>
                  </w:pPr>
                  <w:r>
                    <w:t>50台</w:t>
                  </w:r>
                </w:p>
              </w:tc>
              <w:tc>
                <w:tcPr>
                  <w:tcW w:w="349" w:type="dxa"/>
                  <w:vAlign w:val="center"/>
                </w:tcPr>
                <w:p w14:paraId="10356448">
                  <w:pPr>
                    <w:widowControl/>
                    <w:jc w:val="center"/>
                    <w:rPr>
                      <w:kern w:val="0"/>
                      <w:sz w:val="20"/>
                      <w:szCs w:val="20"/>
                    </w:rPr>
                  </w:pPr>
                  <w:r>
                    <w:rPr>
                      <w:color w:val="000000"/>
                      <w:kern w:val="0"/>
                      <w:sz w:val="20"/>
                      <w:szCs w:val="20"/>
                      <w:lang w:bidi="ar"/>
                    </w:rPr>
                    <w:t>65</w:t>
                  </w:r>
                </w:p>
              </w:tc>
              <w:tc>
                <w:tcPr>
                  <w:tcW w:w="1921" w:type="dxa"/>
                  <w:vMerge w:val="continue"/>
                  <w:vAlign w:val="center"/>
                </w:tcPr>
                <w:p w14:paraId="3073C018">
                  <w:pPr>
                    <w:spacing w:line="500" w:lineRule="exact"/>
                    <w:jc w:val="center"/>
                    <w:rPr>
                      <w:kern w:val="0"/>
                      <w:sz w:val="20"/>
                      <w:szCs w:val="20"/>
                    </w:rPr>
                  </w:pPr>
                </w:p>
              </w:tc>
              <w:tc>
                <w:tcPr>
                  <w:tcW w:w="1516" w:type="dxa"/>
                  <w:vMerge w:val="continue"/>
                  <w:vAlign w:val="center"/>
                </w:tcPr>
                <w:p w14:paraId="639D1E7A">
                  <w:pPr>
                    <w:spacing w:line="500" w:lineRule="exact"/>
                    <w:jc w:val="center"/>
                    <w:rPr>
                      <w:kern w:val="0"/>
                      <w:sz w:val="20"/>
                      <w:szCs w:val="20"/>
                    </w:rPr>
                  </w:pPr>
                </w:p>
              </w:tc>
              <w:tc>
                <w:tcPr>
                  <w:tcW w:w="0" w:type="auto"/>
                  <w:vMerge w:val="continue"/>
                  <w:vAlign w:val="center"/>
                </w:tcPr>
                <w:p w14:paraId="1DA70C48">
                  <w:pPr>
                    <w:spacing w:line="500" w:lineRule="exact"/>
                    <w:jc w:val="center"/>
                    <w:rPr>
                      <w:kern w:val="0"/>
                      <w:sz w:val="20"/>
                      <w:szCs w:val="20"/>
                    </w:rPr>
                  </w:pPr>
                </w:p>
              </w:tc>
            </w:tr>
            <w:tr w14:paraId="2644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3B7FA0E">
                  <w:pPr>
                    <w:spacing w:line="500" w:lineRule="exact"/>
                    <w:jc w:val="center"/>
                    <w:rPr>
                      <w:kern w:val="0"/>
                      <w:sz w:val="20"/>
                      <w:szCs w:val="20"/>
                    </w:rPr>
                  </w:pPr>
                  <w:r>
                    <w:rPr>
                      <w:kern w:val="0"/>
                      <w:sz w:val="20"/>
                      <w:szCs w:val="20"/>
                    </w:rPr>
                    <w:t>5</w:t>
                  </w:r>
                </w:p>
              </w:tc>
              <w:tc>
                <w:tcPr>
                  <w:tcW w:w="0" w:type="auto"/>
                  <w:vAlign w:val="center"/>
                </w:tcPr>
                <w:p w14:paraId="4400A78E">
                  <w:pPr>
                    <w:widowControl/>
                    <w:jc w:val="center"/>
                    <w:rPr>
                      <w:kern w:val="0"/>
                      <w:sz w:val="20"/>
                      <w:szCs w:val="20"/>
                    </w:rPr>
                  </w:pPr>
                  <w:r>
                    <w:t>超声复合机</w:t>
                  </w:r>
                </w:p>
              </w:tc>
              <w:tc>
                <w:tcPr>
                  <w:tcW w:w="978" w:type="dxa"/>
                  <w:vAlign w:val="center"/>
                </w:tcPr>
                <w:p w14:paraId="6828BC77">
                  <w:pPr>
                    <w:widowControl/>
                    <w:jc w:val="center"/>
                    <w:rPr>
                      <w:color w:val="000000"/>
                      <w:kern w:val="0"/>
                      <w:sz w:val="20"/>
                      <w:szCs w:val="20"/>
                      <w:lang w:bidi="ar"/>
                    </w:rPr>
                  </w:pPr>
                  <w:r>
                    <w:t>5套</w:t>
                  </w:r>
                </w:p>
              </w:tc>
              <w:tc>
                <w:tcPr>
                  <w:tcW w:w="349" w:type="dxa"/>
                  <w:vAlign w:val="center"/>
                </w:tcPr>
                <w:p w14:paraId="7DD2FED0">
                  <w:pPr>
                    <w:widowControl/>
                    <w:jc w:val="center"/>
                    <w:rPr>
                      <w:kern w:val="0"/>
                      <w:sz w:val="20"/>
                      <w:szCs w:val="20"/>
                    </w:rPr>
                  </w:pPr>
                  <w:r>
                    <w:rPr>
                      <w:color w:val="000000"/>
                      <w:kern w:val="0"/>
                      <w:sz w:val="20"/>
                      <w:szCs w:val="20"/>
                      <w:lang w:bidi="ar"/>
                    </w:rPr>
                    <w:t>68</w:t>
                  </w:r>
                </w:p>
              </w:tc>
              <w:tc>
                <w:tcPr>
                  <w:tcW w:w="1921" w:type="dxa"/>
                  <w:vMerge w:val="continue"/>
                  <w:vAlign w:val="center"/>
                </w:tcPr>
                <w:p w14:paraId="1A06A68B">
                  <w:pPr>
                    <w:spacing w:line="500" w:lineRule="exact"/>
                    <w:jc w:val="center"/>
                    <w:rPr>
                      <w:kern w:val="0"/>
                      <w:sz w:val="20"/>
                      <w:szCs w:val="20"/>
                    </w:rPr>
                  </w:pPr>
                </w:p>
              </w:tc>
              <w:tc>
                <w:tcPr>
                  <w:tcW w:w="1516" w:type="dxa"/>
                  <w:vMerge w:val="continue"/>
                  <w:vAlign w:val="center"/>
                </w:tcPr>
                <w:p w14:paraId="0C2FDD18">
                  <w:pPr>
                    <w:spacing w:line="500" w:lineRule="exact"/>
                    <w:jc w:val="center"/>
                    <w:rPr>
                      <w:kern w:val="0"/>
                      <w:sz w:val="20"/>
                      <w:szCs w:val="20"/>
                    </w:rPr>
                  </w:pPr>
                </w:p>
              </w:tc>
              <w:tc>
                <w:tcPr>
                  <w:tcW w:w="0" w:type="auto"/>
                  <w:vMerge w:val="continue"/>
                  <w:vAlign w:val="center"/>
                </w:tcPr>
                <w:p w14:paraId="234196D8">
                  <w:pPr>
                    <w:spacing w:line="500" w:lineRule="exact"/>
                    <w:jc w:val="center"/>
                    <w:rPr>
                      <w:kern w:val="0"/>
                      <w:sz w:val="20"/>
                      <w:szCs w:val="20"/>
                    </w:rPr>
                  </w:pPr>
                </w:p>
              </w:tc>
            </w:tr>
            <w:tr w14:paraId="488D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D3B4BA">
                  <w:pPr>
                    <w:spacing w:line="500" w:lineRule="exact"/>
                    <w:jc w:val="center"/>
                    <w:rPr>
                      <w:kern w:val="0"/>
                      <w:sz w:val="20"/>
                      <w:szCs w:val="20"/>
                    </w:rPr>
                  </w:pPr>
                  <w:r>
                    <w:rPr>
                      <w:kern w:val="0"/>
                      <w:sz w:val="20"/>
                      <w:szCs w:val="20"/>
                    </w:rPr>
                    <w:t>6</w:t>
                  </w:r>
                </w:p>
              </w:tc>
              <w:tc>
                <w:tcPr>
                  <w:tcW w:w="0" w:type="auto"/>
                  <w:vAlign w:val="center"/>
                </w:tcPr>
                <w:p w14:paraId="5BC91A09">
                  <w:pPr>
                    <w:widowControl/>
                    <w:jc w:val="center"/>
                    <w:rPr>
                      <w:kern w:val="0"/>
                      <w:sz w:val="20"/>
                      <w:szCs w:val="20"/>
                    </w:rPr>
                  </w:pPr>
                  <w:r>
                    <w:t>撒粉涂布烘干一体机</w:t>
                  </w:r>
                </w:p>
              </w:tc>
              <w:tc>
                <w:tcPr>
                  <w:tcW w:w="978" w:type="dxa"/>
                  <w:vAlign w:val="center"/>
                </w:tcPr>
                <w:p w14:paraId="4CF8BCA3">
                  <w:pPr>
                    <w:widowControl/>
                    <w:jc w:val="center"/>
                    <w:rPr>
                      <w:color w:val="000000"/>
                      <w:kern w:val="0"/>
                      <w:sz w:val="20"/>
                      <w:szCs w:val="20"/>
                      <w:lang w:bidi="ar"/>
                    </w:rPr>
                  </w:pPr>
                  <w:r>
                    <w:t>6台</w:t>
                  </w:r>
                </w:p>
              </w:tc>
              <w:tc>
                <w:tcPr>
                  <w:tcW w:w="349" w:type="dxa"/>
                  <w:vAlign w:val="center"/>
                </w:tcPr>
                <w:p w14:paraId="7D698C3B">
                  <w:pPr>
                    <w:widowControl/>
                    <w:jc w:val="center"/>
                    <w:rPr>
                      <w:kern w:val="0"/>
                      <w:sz w:val="20"/>
                      <w:szCs w:val="20"/>
                    </w:rPr>
                  </w:pPr>
                  <w:r>
                    <w:rPr>
                      <w:color w:val="000000"/>
                      <w:kern w:val="0"/>
                      <w:sz w:val="20"/>
                      <w:szCs w:val="20"/>
                      <w:lang w:bidi="ar"/>
                    </w:rPr>
                    <w:t>73</w:t>
                  </w:r>
                </w:p>
              </w:tc>
              <w:tc>
                <w:tcPr>
                  <w:tcW w:w="1921" w:type="dxa"/>
                  <w:vMerge w:val="continue"/>
                  <w:vAlign w:val="center"/>
                </w:tcPr>
                <w:p w14:paraId="09B4B4E5">
                  <w:pPr>
                    <w:spacing w:line="500" w:lineRule="exact"/>
                    <w:jc w:val="center"/>
                    <w:rPr>
                      <w:kern w:val="0"/>
                      <w:sz w:val="20"/>
                      <w:szCs w:val="20"/>
                    </w:rPr>
                  </w:pPr>
                </w:p>
              </w:tc>
              <w:tc>
                <w:tcPr>
                  <w:tcW w:w="1516" w:type="dxa"/>
                  <w:vMerge w:val="continue"/>
                  <w:vAlign w:val="center"/>
                </w:tcPr>
                <w:p w14:paraId="748C684A">
                  <w:pPr>
                    <w:spacing w:line="500" w:lineRule="exact"/>
                    <w:jc w:val="center"/>
                    <w:rPr>
                      <w:kern w:val="0"/>
                      <w:sz w:val="20"/>
                      <w:szCs w:val="20"/>
                    </w:rPr>
                  </w:pPr>
                </w:p>
              </w:tc>
              <w:tc>
                <w:tcPr>
                  <w:tcW w:w="0" w:type="auto"/>
                  <w:vMerge w:val="continue"/>
                  <w:vAlign w:val="center"/>
                </w:tcPr>
                <w:p w14:paraId="4989DA70">
                  <w:pPr>
                    <w:spacing w:line="500" w:lineRule="exact"/>
                    <w:jc w:val="center"/>
                    <w:rPr>
                      <w:kern w:val="0"/>
                      <w:sz w:val="20"/>
                      <w:szCs w:val="20"/>
                    </w:rPr>
                  </w:pPr>
                </w:p>
              </w:tc>
            </w:tr>
            <w:tr w14:paraId="396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272DCD">
                  <w:pPr>
                    <w:spacing w:line="500" w:lineRule="exact"/>
                    <w:jc w:val="center"/>
                    <w:rPr>
                      <w:kern w:val="0"/>
                      <w:sz w:val="20"/>
                      <w:szCs w:val="20"/>
                    </w:rPr>
                  </w:pPr>
                  <w:r>
                    <w:rPr>
                      <w:kern w:val="0"/>
                      <w:sz w:val="20"/>
                      <w:szCs w:val="20"/>
                    </w:rPr>
                    <w:t>7</w:t>
                  </w:r>
                </w:p>
              </w:tc>
              <w:tc>
                <w:tcPr>
                  <w:tcW w:w="0" w:type="auto"/>
                  <w:vAlign w:val="center"/>
                </w:tcPr>
                <w:p w14:paraId="0514C45A">
                  <w:pPr>
                    <w:widowControl/>
                    <w:jc w:val="center"/>
                    <w:rPr>
                      <w:kern w:val="0"/>
                      <w:sz w:val="20"/>
                      <w:szCs w:val="20"/>
                    </w:rPr>
                  </w:pPr>
                  <w:r>
                    <w:t>裁剪机</w:t>
                  </w:r>
                </w:p>
              </w:tc>
              <w:tc>
                <w:tcPr>
                  <w:tcW w:w="978" w:type="dxa"/>
                  <w:vAlign w:val="center"/>
                </w:tcPr>
                <w:p w14:paraId="08BD70FD">
                  <w:pPr>
                    <w:widowControl/>
                    <w:jc w:val="center"/>
                    <w:rPr>
                      <w:color w:val="000000"/>
                      <w:kern w:val="0"/>
                      <w:sz w:val="20"/>
                      <w:szCs w:val="20"/>
                      <w:lang w:bidi="ar"/>
                    </w:rPr>
                  </w:pPr>
                  <w:r>
                    <w:t>10台</w:t>
                  </w:r>
                </w:p>
              </w:tc>
              <w:tc>
                <w:tcPr>
                  <w:tcW w:w="349" w:type="dxa"/>
                  <w:vAlign w:val="center"/>
                </w:tcPr>
                <w:p w14:paraId="66A4478A">
                  <w:pPr>
                    <w:widowControl/>
                    <w:jc w:val="center"/>
                    <w:rPr>
                      <w:kern w:val="0"/>
                      <w:sz w:val="20"/>
                      <w:szCs w:val="20"/>
                    </w:rPr>
                  </w:pPr>
                  <w:r>
                    <w:rPr>
                      <w:color w:val="000000"/>
                      <w:kern w:val="0"/>
                      <w:sz w:val="20"/>
                      <w:szCs w:val="20"/>
                      <w:lang w:bidi="ar"/>
                    </w:rPr>
                    <w:t>70</w:t>
                  </w:r>
                </w:p>
              </w:tc>
              <w:tc>
                <w:tcPr>
                  <w:tcW w:w="1921" w:type="dxa"/>
                  <w:vMerge w:val="continue"/>
                  <w:vAlign w:val="center"/>
                </w:tcPr>
                <w:p w14:paraId="4C602322">
                  <w:pPr>
                    <w:spacing w:line="500" w:lineRule="exact"/>
                    <w:jc w:val="center"/>
                    <w:rPr>
                      <w:kern w:val="0"/>
                      <w:sz w:val="20"/>
                      <w:szCs w:val="20"/>
                    </w:rPr>
                  </w:pPr>
                </w:p>
              </w:tc>
              <w:tc>
                <w:tcPr>
                  <w:tcW w:w="1516" w:type="dxa"/>
                  <w:vMerge w:val="continue"/>
                  <w:vAlign w:val="center"/>
                </w:tcPr>
                <w:p w14:paraId="1F30A6B8">
                  <w:pPr>
                    <w:spacing w:line="500" w:lineRule="exact"/>
                    <w:jc w:val="center"/>
                    <w:rPr>
                      <w:kern w:val="0"/>
                      <w:sz w:val="20"/>
                      <w:szCs w:val="20"/>
                    </w:rPr>
                  </w:pPr>
                </w:p>
              </w:tc>
              <w:tc>
                <w:tcPr>
                  <w:tcW w:w="0" w:type="auto"/>
                  <w:vMerge w:val="continue"/>
                  <w:vAlign w:val="center"/>
                </w:tcPr>
                <w:p w14:paraId="2878B2BE">
                  <w:pPr>
                    <w:spacing w:line="500" w:lineRule="exact"/>
                    <w:jc w:val="center"/>
                    <w:rPr>
                      <w:kern w:val="0"/>
                      <w:sz w:val="20"/>
                      <w:szCs w:val="20"/>
                    </w:rPr>
                  </w:pPr>
                </w:p>
              </w:tc>
            </w:tr>
            <w:tr w14:paraId="4501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8DB7ADE">
                  <w:pPr>
                    <w:spacing w:line="500" w:lineRule="exact"/>
                    <w:jc w:val="center"/>
                    <w:rPr>
                      <w:kern w:val="0"/>
                      <w:sz w:val="20"/>
                      <w:szCs w:val="20"/>
                    </w:rPr>
                  </w:pPr>
                  <w:r>
                    <w:rPr>
                      <w:kern w:val="0"/>
                      <w:sz w:val="20"/>
                      <w:szCs w:val="20"/>
                    </w:rPr>
                    <w:t>8</w:t>
                  </w:r>
                </w:p>
              </w:tc>
              <w:tc>
                <w:tcPr>
                  <w:tcW w:w="0" w:type="auto"/>
                  <w:vAlign w:val="center"/>
                </w:tcPr>
                <w:p w14:paraId="27056387">
                  <w:pPr>
                    <w:widowControl/>
                    <w:jc w:val="center"/>
                    <w:rPr>
                      <w:kern w:val="0"/>
                      <w:sz w:val="20"/>
                      <w:szCs w:val="20"/>
                    </w:rPr>
                  </w:pPr>
                  <w:r>
                    <w:t>缝纫机</w:t>
                  </w:r>
                </w:p>
              </w:tc>
              <w:tc>
                <w:tcPr>
                  <w:tcW w:w="978" w:type="dxa"/>
                  <w:vAlign w:val="center"/>
                </w:tcPr>
                <w:p w14:paraId="14C7F375">
                  <w:pPr>
                    <w:widowControl/>
                    <w:jc w:val="center"/>
                    <w:rPr>
                      <w:kern w:val="0"/>
                      <w:sz w:val="20"/>
                      <w:szCs w:val="20"/>
                    </w:rPr>
                  </w:pPr>
                  <w:r>
                    <w:t>50台</w:t>
                  </w:r>
                </w:p>
              </w:tc>
              <w:tc>
                <w:tcPr>
                  <w:tcW w:w="349" w:type="dxa"/>
                  <w:vAlign w:val="center"/>
                </w:tcPr>
                <w:p w14:paraId="55D398EF">
                  <w:pPr>
                    <w:widowControl/>
                    <w:jc w:val="center"/>
                    <w:rPr>
                      <w:kern w:val="0"/>
                      <w:sz w:val="20"/>
                      <w:szCs w:val="20"/>
                    </w:rPr>
                  </w:pPr>
                  <w:r>
                    <w:rPr>
                      <w:color w:val="000000"/>
                      <w:kern w:val="0"/>
                      <w:sz w:val="20"/>
                      <w:szCs w:val="20"/>
                      <w:lang w:bidi="ar"/>
                    </w:rPr>
                    <w:t>75</w:t>
                  </w:r>
                </w:p>
              </w:tc>
              <w:tc>
                <w:tcPr>
                  <w:tcW w:w="1921" w:type="dxa"/>
                  <w:vMerge w:val="continue"/>
                  <w:vAlign w:val="center"/>
                </w:tcPr>
                <w:p w14:paraId="3775E4EA">
                  <w:pPr>
                    <w:spacing w:line="500" w:lineRule="exact"/>
                    <w:jc w:val="center"/>
                    <w:rPr>
                      <w:kern w:val="0"/>
                      <w:sz w:val="20"/>
                      <w:szCs w:val="20"/>
                    </w:rPr>
                  </w:pPr>
                </w:p>
              </w:tc>
              <w:tc>
                <w:tcPr>
                  <w:tcW w:w="1516" w:type="dxa"/>
                  <w:vMerge w:val="continue"/>
                  <w:vAlign w:val="center"/>
                </w:tcPr>
                <w:p w14:paraId="40DBADEA">
                  <w:pPr>
                    <w:spacing w:line="500" w:lineRule="exact"/>
                    <w:jc w:val="center"/>
                    <w:rPr>
                      <w:kern w:val="0"/>
                      <w:sz w:val="20"/>
                      <w:szCs w:val="20"/>
                    </w:rPr>
                  </w:pPr>
                </w:p>
              </w:tc>
              <w:tc>
                <w:tcPr>
                  <w:tcW w:w="0" w:type="auto"/>
                  <w:vMerge w:val="continue"/>
                  <w:vAlign w:val="center"/>
                </w:tcPr>
                <w:p w14:paraId="46ABB9BB">
                  <w:pPr>
                    <w:spacing w:line="500" w:lineRule="exact"/>
                    <w:jc w:val="center"/>
                    <w:rPr>
                      <w:kern w:val="0"/>
                      <w:sz w:val="20"/>
                      <w:szCs w:val="20"/>
                    </w:rPr>
                  </w:pPr>
                </w:p>
              </w:tc>
            </w:tr>
            <w:tr w14:paraId="0F34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118FC37E">
                  <w:pPr>
                    <w:spacing w:line="500" w:lineRule="exact"/>
                    <w:jc w:val="center"/>
                    <w:rPr>
                      <w:kern w:val="0"/>
                      <w:sz w:val="20"/>
                      <w:szCs w:val="20"/>
                    </w:rPr>
                  </w:pPr>
                  <w:r>
                    <w:rPr>
                      <w:kern w:val="0"/>
                      <w:sz w:val="20"/>
                      <w:szCs w:val="20"/>
                    </w:rPr>
                    <w:t>9</w:t>
                  </w:r>
                </w:p>
              </w:tc>
              <w:tc>
                <w:tcPr>
                  <w:tcW w:w="0" w:type="auto"/>
                  <w:vAlign w:val="center"/>
                </w:tcPr>
                <w:p w14:paraId="534B6D13">
                  <w:pPr>
                    <w:widowControl/>
                    <w:jc w:val="center"/>
                    <w:rPr>
                      <w:color w:val="000000"/>
                      <w:kern w:val="0"/>
                      <w:sz w:val="20"/>
                      <w:szCs w:val="20"/>
                      <w:lang w:bidi="ar"/>
                    </w:rPr>
                  </w:pPr>
                  <w:r>
                    <w:rPr>
                      <w:color w:val="000000"/>
                      <w:kern w:val="0"/>
                      <w:sz w:val="20"/>
                      <w:szCs w:val="20"/>
                      <w:lang w:bidi="ar"/>
                    </w:rPr>
                    <w:t>风机</w:t>
                  </w:r>
                </w:p>
              </w:tc>
              <w:tc>
                <w:tcPr>
                  <w:tcW w:w="978" w:type="dxa"/>
                  <w:vAlign w:val="center"/>
                </w:tcPr>
                <w:p w14:paraId="0FA44381">
                  <w:pPr>
                    <w:widowControl/>
                    <w:jc w:val="center"/>
                    <w:rPr>
                      <w:color w:val="000000"/>
                      <w:kern w:val="0"/>
                      <w:sz w:val="20"/>
                      <w:szCs w:val="20"/>
                      <w:lang w:bidi="ar"/>
                    </w:rPr>
                  </w:pPr>
                  <w:r>
                    <w:rPr>
                      <w:color w:val="000000"/>
                      <w:kern w:val="0"/>
                      <w:sz w:val="20"/>
                      <w:szCs w:val="20"/>
                      <w:lang w:bidi="ar"/>
                    </w:rPr>
                    <w:t>1台</w:t>
                  </w:r>
                </w:p>
              </w:tc>
              <w:tc>
                <w:tcPr>
                  <w:tcW w:w="349" w:type="dxa"/>
                  <w:vAlign w:val="center"/>
                </w:tcPr>
                <w:p w14:paraId="2BBE57EC">
                  <w:pPr>
                    <w:spacing w:line="500" w:lineRule="exact"/>
                    <w:jc w:val="center"/>
                    <w:rPr>
                      <w:color w:val="000000"/>
                      <w:kern w:val="0"/>
                      <w:sz w:val="20"/>
                      <w:szCs w:val="20"/>
                      <w:lang w:bidi="ar"/>
                    </w:rPr>
                  </w:pPr>
                  <w:r>
                    <w:rPr>
                      <w:color w:val="000000"/>
                      <w:kern w:val="0"/>
                      <w:sz w:val="20"/>
                      <w:szCs w:val="20"/>
                      <w:lang w:bidi="ar"/>
                    </w:rPr>
                    <w:t>75</w:t>
                  </w:r>
                </w:p>
              </w:tc>
              <w:tc>
                <w:tcPr>
                  <w:tcW w:w="1921" w:type="dxa"/>
                  <w:vMerge w:val="continue"/>
                  <w:vAlign w:val="center"/>
                </w:tcPr>
                <w:p w14:paraId="6A5EB001">
                  <w:pPr>
                    <w:spacing w:line="500" w:lineRule="exact"/>
                    <w:jc w:val="center"/>
                    <w:rPr>
                      <w:kern w:val="0"/>
                      <w:sz w:val="20"/>
                      <w:szCs w:val="20"/>
                    </w:rPr>
                  </w:pPr>
                </w:p>
              </w:tc>
              <w:tc>
                <w:tcPr>
                  <w:tcW w:w="1516" w:type="dxa"/>
                  <w:vMerge w:val="continue"/>
                  <w:vAlign w:val="center"/>
                </w:tcPr>
                <w:p w14:paraId="4D930C3A">
                  <w:pPr>
                    <w:spacing w:line="500" w:lineRule="exact"/>
                    <w:jc w:val="center"/>
                    <w:rPr>
                      <w:kern w:val="0"/>
                      <w:sz w:val="20"/>
                      <w:szCs w:val="20"/>
                    </w:rPr>
                  </w:pPr>
                </w:p>
              </w:tc>
              <w:tc>
                <w:tcPr>
                  <w:tcW w:w="0" w:type="auto"/>
                  <w:vMerge w:val="continue"/>
                  <w:vAlign w:val="center"/>
                </w:tcPr>
                <w:p w14:paraId="1D48DC32">
                  <w:pPr>
                    <w:spacing w:line="500" w:lineRule="exact"/>
                    <w:jc w:val="center"/>
                    <w:rPr>
                      <w:kern w:val="0"/>
                      <w:sz w:val="20"/>
                      <w:szCs w:val="20"/>
                    </w:rPr>
                  </w:pPr>
                </w:p>
              </w:tc>
            </w:tr>
          </w:tbl>
          <w:p w14:paraId="649D0105">
            <w:pPr>
              <w:spacing w:line="500" w:lineRule="exact"/>
              <w:ind w:firstLine="480" w:firstLineChars="200"/>
              <w:rPr>
                <w:kern w:val="0"/>
                <w:sz w:val="24"/>
              </w:rPr>
            </w:pPr>
            <w:r>
              <w:rPr>
                <w:kern w:val="0"/>
                <w:sz w:val="24"/>
              </w:rPr>
              <w:t xml:space="preserve">（2）达标性分析 </w:t>
            </w:r>
          </w:p>
          <w:p w14:paraId="763D0C75">
            <w:pPr>
              <w:spacing w:line="500" w:lineRule="exact"/>
              <w:ind w:firstLine="480" w:firstLineChars="200"/>
              <w:rPr>
                <w:kern w:val="0"/>
                <w:sz w:val="24"/>
              </w:rPr>
            </w:pPr>
            <w:r>
              <w:rPr>
                <w:kern w:val="0"/>
                <w:sz w:val="24"/>
              </w:rPr>
              <w:t xml:space="preserve">为了减少项目噪声对周围声环境的影响，建议建设单位采取下列措施： </w:t>
            </w:r>
          </w:p>
          <w:p w14:paraId="1F13D712">
            <w:pPr>
              <w:spacing w:line="500" w:lineRule="exact"/>
              <w:ind w:firstLine="480" w:firstLineChars="200"/>
              <w:rPr>
                <w:kern w:val="0"/>
                <w:sz w:val="24"/>
              </w:rPr>
            </w:pPr>
            <w:r>
              <w:rPr>
                <w:kern w:val="0"/>
                <w:sz w:val="24"/>
              </w:rPr>
              <w:t>①对车间进行合理布局，将高噪声的生产设备放置在远离居民点一侧，利用厂房墙来阻隔声波的传播。</w:t>
            </w:r>
          </w:p>
          <w:p w14:paraId="572E9D09">
            <w:pPr>
              <w:spacing w:line="500" w:lineRule="exact"/>
              <w:ind w:firstLine="480" w:firstLineChars="200"/>
              <w:rPr>
                <w:kern w:val="0"/>
                <w:sz w:val="24"/>
              </w:rPr>
            </w:pPr>
            <w:r>
              <w:rPr>
                <w:kern w:val="0"/>
                <w:sz w:val="24"/>
              </w:rPr>
              <w:t>②在设备选型方面，在满足工艺生产的前提下，选用噪声低的设备；对于某些设备运行时由振动产生的噪声，应对设备基础进行减振。</w:t>
            </w:r>
          </w:p>
          <w:p w14:paraId="324B57C2">
            <w:pPr>
              <w:spacing w:line="500" w:lineRule="exact"/>
              <w:ind w:firstLine="480" w:firstLineChars="200"/>
              <w:rPr>
                <w:kern w:val="0"/>
                <w:sz w:val="24"/>
              </w:rPr>
            </w:pPr>
            <w:r>
              <w:rPr>
                <w:kern w:val="0"/>
                <w:sz w:val="24"/>
              </w:rPr>
              <w:t>③对于高噪声设备必要时可加设减震底座和墙壁吸声材料。</w:t>
            </w:r>
          </w:p>
          <w:p w14:paraId="0F728020">
            <w:pPr>
              <w:spacing w:line="500" w:lineRule="exact"/>
              <w:ind w:firstLine="480" w:firstLineChars="200"/>
              <w:rPr>
                <w:kern w:val="0"/>
                <w:sz w:val="24"/>
              </w:rPr>
            </w:pPr>
            <w:r>
              <w:rPr>
                <w:kern w:val="0"/>
                <w:sz w:val="24"/>
              </w:rPr>
              <w:t>④加强管理建立设备定期维护、保养的管理制度，以防止设备故障形成的非生产噪声，同时确保环保措施发挥最有效的功能；加强职工环保意识教育，提倡文明生产，防止人为噪声。</w:t>
            </w:r>
          </w:p>
          <w:p w14:paraId="36AA0C84">
            <w:pPr>
              <w:spacing w:line="500" w:lineRule="exact"/>
              <w:ind w:firstLine="480" w:firstLineChars="200"/>
              <w:rPr>
                <w:kern w:val="0"/>
                <w:sz w:val="24"/>
              </w:rPr>
            </w:pPr>
            <w:r>
              <w:rPr>
                <w:kern w:val="0"/>
                <w:sz w:val="24"/>
              </w:rPr>
              <w:t>固定声源的噪声向周围传播过程中，会发生反射、折射、衍射、吸收等现象。因此，随传播距离的增加而产生的衰减量并不按简单的几何规律计算。根据《环境影响评价技术导则-声环境》（HJ2.4-20</w:t>
            </w:r>
            <w:r>
              <w:rPr>
                <w:rFonts w:hint="eastAsia"/>
                <w:kern w:val="0"/>
                <w:sz w:val="24"/>
              </w:rPr>
              <w:t>21</w:t>
            </w:r>
            <w:r>
              <w:rPr>
                <w:kern w:val="0"/>
                <w:sz w:val="24"/>
              </w:rPr>
              <w:t>）对室内声源的预测方法，声源位于室内，室内声源可采用等效室外声源声功率级法进行计算。</w:t>
            </w:r>
          </w:p>
          <w:p w14:paraId="34AEE2F8">
            <w:pPr>
              <w:spacing w:line="500" w:lineRule="exact"/>
              <w:rPr>
                <w:kern w:val="0"/>
                <w:sz w:val="24"/>
              </w:rPr>
            </w:pPr>
            <w:r>
              <w:rPr>
                <w:kern w:val="0"/>
                <w:sz w:val="24"/>
              </w:rPr>
              <w:t>（1）预测模型</w:t>
            </w:r>
          </w:p>
          <w:p w14:paraId="322B4079">
            <w:pPr>
              <w:spacing w:line="360" w:lineRule="auto"/>
              <w:ind w:firstLine="480" w:firstLineChars="200"/>
              <w:rPr>
                <w:sz w:val="24"/>
              </w:rPr>
            </w:pPr>
            <w:r>
              <w:rPr>
                <w:sz w:val="24"/>
              </w:rPr>
              <w:t>采用《环境影响评价技术导则声环境》（HJ2.4-2021）中的工业噪声预测模型，具体预测模式如下：</w:t>
            </w:r>
          </w:p>
          <w:p w14:paraId="40553474">
            <w:pPr>
              <w:pStyle w:val="51"/>
              <w:ind w:firstLine="480" w:firstLineChars="200"/>
              <w:rPr>
                <w:rFonts w:ascii="Times New Roman" w:hAnsi="Times New Roman"/>
                <w:b w:val="0"/>
                <w:bCs/>
              </w:rPr>
            </w:pPr>
            <w:r>
              <w:rPr>
                <w:rFonts w:ascii="Times New Roman" w:hAnsi="Times New Roman"/>
                <w:b w:val="0"/>
                <w:bCs/>
              </w:rPr>
              <w:t>（1）室内声源等效室外声源声功率级计算</w:t>
            </w:r>
          </w:p>
          <w:p w14:paraId="1FCA1F75">
            <w:pPr>
              <w:pStyle w:val="51"/>
              <w:jc w:val="center"/>
              <w:rPr>
                <w:rFonts w:ascii="Times New Roman" w:hAnsi="Times New Roman"/>
                <w:b w:val="0"/>
                <w:bCs/>
              </w:rPr>
            </w:pPr>
            <w:r>
              <w:rPr>
                <w:rFonts w:ascii="Times New Roman" w:hAnsi="Times New Roman"/>
                <w:b w:val="0"/>
                <w:bCs/>
              </w:rPr>
              <w:t>L</w:t>
            </w:r>
            <w:r>
              <w:rPr>
                <w:rFonts w:ascii="Times New Roman" w:hAnsi="Times New Roman"/>
                <w:b w:val="0"/>
                <w:bCs/>
                <w:vertAlign w:val="subscript"/>
              </w:rPr>
              <w:t>p2</w:t>
            </w:r>
            <w:r>
              <w:rPr>
                <w:rFonts w:ascii="Times New Roman" w:hAnsi="Times New Roman"/>
                <w:b w:val="0"/>
                <w:bCs/>
              </w:rPr>
              <w:t>=L</w:t>
            </w:r>
            <w:r>
              <w:rPr>
                <w:rFonts w:ascii="Times New Roman" w:hAnsi="Times New Roman"/>
                <w:b w:val="0"/>
                <w:bCs/>
                <w:vertAlign w:val="subscript"/>
              </w:rPr>
              <w:t>p1</w:t>
            </w:r>
            <w:r>
              <w:rPr>
                <w:rFonts w:ascii="Times New Roman" w:hAnsi="Times New Roman"/>
                <w:b w:val="0"/>
                <w:bCs/>
              </w:rPr>
              <w:t>-（TL+6）</w:t>
            </w:r>
          </w:p>
          <w:p w14:paraId="282592C3">
            <w:pPr>
              <w:pStyle w:val="51"/>
              <w:ind w:firstLine="480" w:firstLineChars="200"/>
              <w:rPr>
                <w:rFonts w:ascii="Times New Roman" w:hAnsi="Times New Roman"/>
                <w:b w:val="0"/>
                <w:bCs/>
              </w:rPr>
            </w:pPr>
            <w:r>
              <w:rPr>
                <w:rFonts w:ascii="Times New Roman" w:hAnsi="Times New Roman"/>
                <w:b w:val="0"/>
                <w:bCs/>
              </w:rPr>
              <w:t>式中：L</w:t>
            </w:r>
            <w:r>
              <w:rPr>
                <w:rFonts w:ascii="Times New Roman" w:hAnsi="Times New Roman"/>
                <w:b w:val="0"/>
                <w:bCs/>
                <w:vertAlign w:val="subscript"/>
              </w:rPr>
              <w:t>p1</w:t>
            </w:r>
            <w:r>
              <w:rPr>
                <w:rFonts w:ascii="Times New Roman" w:hAnsi="Times New Roman"/>
                <w:b w:val="0"/>
                <w:bCs/>
              </w:rPr>
              <w:t>——靠近开口处（或窗户）室内某倍频带的声压级或 A 声级，dB；</w:t>
            </w:r>
          </w:p>
          <w:p w14:paraId="447C12B7">
            <w:pPr>
              <w:pStyle w:val="51"/>
              <w:ind w:firstLine="480" w:firstLineChars="200"/>
              <w:rPr>
                <w:rFonts w:ascii="Times New Roman" w:hAnsi="Times New Roman"/>
                <w:b w:val="0"/>
                <w:bCs/>
              </w:rPr>
            </w:pPr>
            <w:r>
              <w:rPr>
                <w:rFonts w:ascii="Times New Roman" w:hAnsi="Times New Roman"/>
                <w:b w:val="0"/>
                <w:bCs/>
              </w:rPr>
              <w:t>L</w:t>
            </w:r>
            <w:r>
              <w:rPr>
                <w:rFonts w:ascii="Times New Roman" w:hAnsi="Times New Roman"/>
                <w:b w:val="0"/>
                <w:bCs/>
                <w:vertAlign w:val="subscript"/>
              </w:rPr>
              <w:t>p2</w:t>
            </w:r>
            <w:r>
              <w:rPr>
                <w:rFonts w:ascii="Times New Roman" w:hAnsi="Times New Roman"/>
                <w:b w:val="0"/>
                <w:bCs/>
              </w:rPr>
              <w:t>——靠近开口处（或窗户）室外某倍频带的声压级或 A 声级，dB；</w:t>
            </w:r>
          </w:p>
          <w:p w14:paraId="66E6C215">
            <w:pPr>
              <w:pStyle w:val="51"/>
              <w:ind w:firstLine="480" w:firstLineChars="200"/>
              <w:rPr>
                <w:rFonts w:ascii="Times New Roman" w:hAnsi="Times New Roman"/>
                <w:b w:val="0"/>
                <w:bCs/>
              </w:rPr>
            </w:pPr>
            <w:r>
              <w:rPr>
                <w:rFonts w:ascii="Times New Roman" w:hAnsi="Times New Roman"/>
                <w:b w:val="0"/>
                <w:bCs/>
              </w:rPr>
              <w:t>TL——隔墙（或窗户）倍频带或A 声级的隔声量，dB。</w:t>
            </w:r>
          </w:p>
          <w:p w14:paraId="3DB08409">
            <w:pPr>
              <w:pStyle w:val="51"/>
              <w:jc w:val="center"/>
              <w:rPr>
                <w:rFonts w:ascii="Times New Roman" w:hAnsi="Times New Roman"/>
              </w:rPr>
            </w:pPr>
            <w:r>
              <w:rPr>
                <w:rFonts w:ascii="Times New Roman" w:hAnsi="Times New Roman"/>
              </w:rPr>
              <w:drawing>
                <wp:inline distT="0" distB="0" distL="0" distR="0">
                  <wp:extent cx="2598420" cy="487680"/>
                  <wp:effectExtent l="0" t="0" r="0" b="7620"/>
                  <wp:docPr id="1406503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0388"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98420" cy="487680"/>
                          </a:xfrm>
                          <a:prstGeom prst="rect">
                            <a:avLst/>
                          </a:prstGeom>
                          <a:noFill/>
                          <a:ln>
                            <a:noFill/>
                          </a:ln>
                        </pic:spPr>
                      </pic:pic>
                    </a:graphicData>
                  </a:graphic>
                </wp:inline>
              </w:drawing>
            </w:r>
          </w:p>
          <w:p w14:paraId="37C61008">
            <w:pPr>
              <w:pStyle w:val="51"/>
              <w:ind w:firstLine="480" w:firstLineChars="200"/>
              <w:rPr>
                <w:rFonts w:ascii="Times New Roman" w:hAnsi="Times New Roman"/>
                <w:b w:val="0"/>
                <w:bCs/>
              </w:rPr>
            </w:pPr>
            <w:r>
              <w:rPr>
                <w:rFonts w:ascii="Times New Roman" w:hAnsi="Times New Roman"/>
                <w:b w:val="0"/>
                <w:bCs/>
              </w:rPr>
              <w:t>式中：L</w:t>
            </w:r>
            <w:r>
              <w:rPr>
                <w:rFonts w:ascii="Times New Roman" w:hAnsi="Times New Roman"/>
                <w:b w:val="0"/>
                <w:bCs/>
                <w:vertAlign w:val="subscript"/>
              </w:rPr>
              <w:t>p1</w:t>
            </w:r>
            <w:r>
              <w:rPr>
                <w:rFonts w:ascii="Times New Roman" w:hAnsi="Times New Roman"/>
                <w:b w:val="0"/>
                <w:bCs/>
              </w:rPr>
              <w:t>——靠近开口处（或窗户）室内某倍频带的声压级或 A 声级，dB；</w:t>
            </w:r>
          </w:p>
          <w:p w14:paraId="4461D6AD">
            <w:pPr>
              <w:pStyle w:val="17"/>
              <w:spacing w:line="360" w:lineRule="auto"/>
              <w:ind w:left="420" w:firstLine="480" w:firstLineChars="200"/>
              <w:jc w:val="left"/>
              <w:rPr>
                <w:bCs/>
                <w:sz w:val="24"/>
              </w:rPr>
            </w:pPr>
            <w:r>
              <w:rPr>
                <w:bCs/>
                <w:sz w:val="24"/>
              </w:rPr>
              <w:t>Lw——点声源声功率级（A 计权或倍频带），dB；</w:t>
            </w:r>
          </w:p>
          <w:p w14:paraId="78758788">
            <w:pPr>
              <w:pStyle w:val="17"/>
              <w:spacing w:line="360" w:lineRule="auto"/>
              <w:ind w:left="420" w:firstLine="480" w:firstLineChars="200"/>
              <w:jc w:val="left"/>
              <w:rPr>
                <w:sz w:val="24"/>
              </w:rPr>
            </w:pPr>
            <w:r>
              <w:rPr>
                <w:sz w:val="24"/>
              </w:rPr>
              <w:t>Q——指向性因数；通常对无指向性声源，当声源放在房间中心时，Q=1；当放在一面墙的中心时，Q=2；当放在两面墙夹角处时，Q=4；当放在三面墙夹角处时，Q=8；</w:t>
            </w:r>
          </w:p>
          <w:p w14:paraId="4FDD60B2">
            <w:pPr>
              <w:pStyle w:val="17"/>
              <w:spacing w:line="360" w:lineRule="auto"/>
              <w:ind w:left="420" w:firstLine="480" w:firstLineChars="200"/>
              <w:jc w:val="left"/>
              <w:rPr>
                <w:sz w:val="24"/>
              </w:rPr>
            </w:pPr>
            <w:r>
              <w:rPr>
                <w:sz w:val="24"/>
              </w:rPr>
              <w:t>R——房间常数；</w:t>
            </w:r>
          </w:p>
          <w:p w14:paraId="7AD362E7">
            <w:pPr>
              <w:pStyle w:val="17"/>
              <w:spacing w:line="360" w:lineRule="auto"/>
              <w:ind w:left="420" w:firstLine="480" w:firstLineChars="200"/>
              <w:jc w:val="left"/>
              <w:rPr>
                <w:sz w:val="24"/>
              </w:rPr>
            </w:pPr>
            <w:r>
              <w:rPr>
                <w:sz w:val="24"/>
              </w:rPr>
              <w:t>R=Sα/（1-α），S 为房间内表面面积，m</w:t>
            </w:r>
            <w:r>
              <w:rPr>
                <w:sz w:val="24"/>
                <w:vertAlign w:val="superscript"/>
              </w:rPr>
              <w:t>2</w:t>
            </w:r>
            <w:r>
              <w:rPr>
                <w:sz w:val="24"/>
              </w:rPr>
              <w:t>；α为平均吸声系数；</w:t>
            </w:r>
          </w:p>
          <w:p w14:paraId="1A863ABF">
            <w:pPr>
              <w:pStyle w:val="17"/>
              <w:spacing w:line="360" w:lineRule="auto"/>
              <w:ind w:left="420" w:firstLine="480" w:firstLineChars="200"/>
              <w:jc w:val="left"/>
              <w:rPr>
                <w:sz w:val="24"/>
              </w:rPr>
            </w:pPr>
            <w:r>
              <w:rPr>
                <w:sz w:val="24"/>
              </w:rPr>
              <w:t>r——声源到靠近围护结构某点处的距离，m。</w:t>
            </w:r>
          </w:p>
          <w:p w14:paraId="2A886A8F">
            <w:pPr>
              <w:pStyle w:val="17"/>
              <w:spacing w:line="360" w:lineRule="auto"/>
              <w:ind w:left="420" w:firstLine="480" w:firstLineChars="200"/>
              <w:jc w:val="left"/>
              <w:rPr>
                <w:sz w:val="24"/>
              </w:rPr>
            </w:pPr>
            <w:r>
              <w:rPr>
                <w:sz w:val="24"/>
              </w:rPr>
              <w:t>这里假设房间内吸声系数均为0.4，声源均放置在房间中央地面，即指向性因素Q=2。用下式计算出中心位置位于透声面积（S）处的等效室外声源的声功率级。</w:t>
            </w:r>
          </w:p>
          <w:p w14:paraId="4E6CBA21">
            <w:pPr>
              <w:pStyle w:val="17"/>
              <w:spacing w:line="360" w:lineRule="auto"/>
              <w:ind w:left="420"/>
              <w:jc w:val="center"/>
              <w:rPr>
                <w:sz w:val="24"/>
              </w:rPr>
            </w:pPr>
            <w:r>
              <w:rPr>
                <w:sz w:val="24"/>
              </w:rPr>
              <w:t>Lw=L</w:t>
            </w:r>
            <w:r>
              <w:rPr>
                <w:sz w:val="24"/>
                <w:vertAlign w:val="subscript"/>
              </w:rPr>
              <w:t>p2</w:t>
            </w:r>
            <w:r>
              <w:rPr>
                <w:sz w:val="24"/>
              </w:rPr>
              <w:t>（T）+10lgS</w:t>
            </w:r>
          </w:p>
          <w:p w14:paraId="3C2D5716">
            <w:pPr>
              <w:pStyle w:val="17"/>
              <w:spacing w:line="360" w:lineRule="auto"/>
              <w:ind w:left="420" w:firstLine="480" w:firstLineChars="200"/>
              <w:jc w:val="center"/>
              <w:rPr>
                <w:sz w:val="24"/>
              </w:rPr>
            </w:pPr>
            <w:r>
              <w:rPr>
                <w:sz w:val="24"/>
              </w:rPr>
              <w:t>（2）单个室外的点声源在预测点产生的声压级的预测（只考虑距离的衰减）Lp=Lw-As+Dc</w:t>
            </w:r>
          </w:p>
          <w:p w14:paraId="3272AB54">
            <w:pPr>
              <w:pStyle w:val="17"/>
              <w:spacing w:line="360" w:lineRule="auto"/>
              <w:ind w:left="420" w:firstLine="480" w:firstLineChars="200"/>
              <w:jc w:val="left"/>
              <w:rPr>
                <w:sz w:val="24"/>
              </w:rPr>
            </w:pPr>
            <w:r>
              <w:rPr>
                <w:sz w:val="24"/>
              </w:rPr>
              <w:t>式中：Dc——指向性指数，dB（A）；</w:t>
            </w:r>
          </w:p>
          <w:p w14:paraId="7423822A">
            <w:pPr>
              <w:pStyle w:val="17"/>
              <w:spacing w:line="360" w:lineRule="auto"/>
              <w:ind w:left="420" w:firstLine="480" w:firstLineChars="200"/>
              <w:jc w:val="left"/>
              <w:rPr>
                <w:sz w:val="24"/>
              </w:rPr>
            </w:pPr>
            <w:r>
              <w:rPr>
                <w:sz w:val="24"/>
              </w:rPr>
              <w:t>As——几何发散引起的衰减，dB（A）。</w:t>
            </w:r>
          </w:p>
          <w:p w14:paraId="11457E7F">
            <w:pPr>
              <w:pStyle w:val="17"/>
              <w:spacing w:line="360" w:lineRule="auto"/>
              <w:ind w:left="420" w:firstLine="480" w:firstLineChars="200"/>
              <w:jc w:val="left"/>
              <w:rPr>
                <w:sz w:val="24"/>
              </w:rPr>
            </w:pPr>
            <w:r>
              <w:rPr>
                <w:sz w:val="24"/>
              </w:rPr>
              <w:t>（3）声级的计算</w:t>
            </w:r>
          </w:p>
          <w:p w14:paraId="32127DB8">
            <w:pPr>
              <w:pStyle w:val="17"/>
              <w:spacing w:line="360" w:lineRule="auto"/>
              <w:ind w:left="420" w:firstLine="480" w:firstLineChars="200"/>
              <w:jc w:val="left"/>
              <w:rPr>
                <w:sz w:val="24"/>
              </w:rPr>
            </w:pPr>
            <w:r>
              <w:rPr>
                <w:sz w:val="24"/>
              </w:rPr>
              <w:t>a.建设项目声源在预测点产生的等效声级贡献值：</w:t>
            </w:r>
          </w:p>
          <w:p w14:paraId="0A6DBC6F">
            <w:pPr>
              <w:jc w:val="center"/>
              <w:rPr>
                <w:sz w:val="24"/>
              </w:rPr>
            </w:pPr>
            <w:r>
              <w:drawing>
                <wp:inline distT="0" distB="0" distL="0" distR="0">
                  <wp:extent cx="1569720" cy="617220"/>
                  <wp:effectExtent l="0" t="0" r="0" b="0"/>
                  <wp:docPr id="15270843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84376"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69720" cy="617220"/>
                          </a:xfrm>
                          <a:prstGeom prst="rect">
                            <a:avLst/>
                          </a:prstGeom>
                          <a:noFill/>
                          <a:ln>
                            <a:noFill/>
                          </a:ln>
                        </pic:spPr>
                      </pic:pic>
                    </a:graphicData>
                  </a:graphic>
                </wp:inline>
              </w:drawing>
            </w:r>
          </w:p>
          <w:p w14:paraId="2EE2B7D5">
            <w:pPr>
              <w:pStyle w:val="51"/>
              <w:ind w:firstLine="480" w:firstLineChars="200"/>
              <w:rPr>
                <w:rFonts w:ascii="Times New Roman" w:hAnsi="Times New Roman"/>
                <w:b w:val="0"/>
              </w:rPr>
            </w:pPr>
            <w:r>
              <w:rPr>
                <w:rFonts w:ascii="Times New Roman" w:hAnsi="Times New Roman"/>
                <w:b w:val="0"/>
              </w:rPr>
              <w:t>式中：Leg——建设项目声源在预测点的等效声级贡献值，dB（A）；</w:t>
            </w:r>
          </w:p>
          <w:p w14:paraId="4AB3211F">
            <w:pPr>
              <w:pStyle w:val="51"/>
              <w:ind w:firstLine="480" w:firstLineChars="200"/>
              <w:rPr>
                <w:rFonts w:ascii="Times New Roman" w:hAnsi="Times New Roman"/>
                <w:b w:val="0"/>
              </w:rPr>
            </w:pPr>
            <w:r>
              <w:rPr>
                <w:rFonts w:ascii="Times New Roman" w:hAnsi="Times New Roman"/>
                <w:b w:val="0"/>
              </w:rPr>
              <w:t>LAi——i 声源在预测点产生的 A 声级，dB（A）；</w:t>
            </w:r>
          </w:p>
          <w:p w14:paraId="550A8BAF">
            <w:pPr>
              <w:pStyle w:val="51"/>
              <w:ind w:firstLine="480" w:firstLineChars="200"/>
              <w:rPr>
                <w:rFonts w:ascii="Times New Roman" w:hAnsi="Times New Roman"/>
                <w:b w:val="0"/>
              </w:rPr>
            </w:pPr>
            <w:r>
              <w:rPr>
                <w:rFonts w:ascii="Times New Roman" w:hAnsi="Times New Roman"/>
                <w:b w:val="0"/>
              </w:rPr>
              <w:t>T——预测计算的时间段，S；</w:t>
            </w:r>
          </w:p>
          <w:p w14:paraId="109DA838">
            <w:pPr>
              <w:pStyle w:val="51"/>
              <w:ind w:firstLine="480" w:firstLineChars="200"/>
              <w:rPr>
                <w:rFonts w:ascii="Times New Roman" w:hAnsi="Times New Roman"/>
                <w:b w:val="0"/>
              </w:rPr>
            </w:pPr>
            <w:r>
              <w:rPr>
                <w:rFonts w:ascii="Times New Roman" w:hAnsi="Times New Roman"/>
                <w:b w:val="0"/>
              </w:rPr>
              <w:t>Tr——i声源在T时段内的运行时间。</w:t>
            </w:r>
          </w:p>
          <w:p w14:paraId="0B4B388D">
            <w:pPr>
              <w:pStyle w:val="51"/>
              <w:ind w:firstLine="480" w:firstLineChars="200"/>
              <w:rPr>
                <w:rFonts w:ascii="Times New Roman" w:hAnsi="Times New Roman"/>
                <w:b w:val="0"/>
              </w:rPr>
            </w:pPr>
            <w:r>
              <w:rPr>
                <w:rFonts w:ascii="Times New Roman" w:hAnsi="Times New Roman"/>
                <w:b w:val="0"/>
              </w:rPr>
              <w:t>b.预测点的预测等效声级计算</w:t>
            </w:r>
          </w:p>
          <w:p w14:paraId="5FC52248">
            <w:pPr>
              <w:pStyle w:val="17"/>
              <w:ind w:left="420"/>
              <w:jc w:val="center"/>
            </w:pPr>
            <w:r>
              <w:drawing>
                <wp:inline distT="0" distB="0" distL="0" distR="0">
                  <wp:extent cx="2461260" cy="518160"/>
                  <wp:effectExtent l="0" t="0" r="0" b="0"/>
                  <wp:docPr id="15669960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6099" name="Picture 10"/>
                          <pic:cNvPicPr>
                            <a:picLocks noChangeAspect="1" noChangeArrowheads="1"/>
                          </pic:cNvPicPr>
                        </pic:nvPicPr>
                        <pic:blipFill>
                          <a:blip r:embed="rId23">
                            <a:extLst>
                              <a:ext uri="{28A0092B-C50C-407E-A947-70E740481C1C}">
                                <a14:useLocalDpi xmlns:a14="http://schemas.microsoft.com/office/drawing/2010/main" val="0"/>
                              </a:ext>
                            </a:extLst>
                          </a:blip>
                          <a:srcRect b="11366"/>
                          <a:stretch>
                            <a:fillRect/>
                          </a:stretch>
                        </pic:blipFill>
                        <pic:spPr>
                          <a:xfrm>
                            <a:off x="0" y="0"/>
                            <a:ext cx="2461260" cy="518160"/>
                          </a:xfrm>
                          <a:prstGeom prst="rect">
                            <a:avLst/>
                          </a:prstGeom>
                          <a:noFill/>
                          <a:ln>
                            <a:noFill/>
                          </a:ln>
                          <a:effectLst/>
                        </pic:spPr>
                      </pic:pic>
                    </a:graphicData>
                  </a:graphic>
                </wp:inline>
              </w:drawing>
            </w:r>
          </w:p>
          <w:p w14:paraId="28C112AD">
            <w:pPr>
              <w:spacing w:line="360" w:lineRule="auto"/>
              <w:ind w:firstLine="480" w:firstLineChars="200"/>
              <w:rPr>
                <w:sz w:val="24"/>
              </w:rPr>
            </w:pPr>
            <w:r>
              <w:rPr>
                <w:sz w:val="24"/>
              </w:rPr>
              <w:t>式中：Leqg——建设项目声源在预测点的等效声级贡献值，dB（A）；</w:t>
            </w:r>
          </w:p>
          <w:p w14:paraId="11F64D9E">
            <w:pPr>
              <w:spacing w:line="360" w:lineRule="auto"/>
              <w:ind w:firstLine="480" w:firstLineChars="200"/>
            </w:pPr>
            <w:r>
              <w:rPr>
                <w:sz w:val="24"/>
              </w:rPr>
              <w:t>Legb——预测点的背景值，dB（A）。</w:t>
            </w:r>
          </w:p>
          <w:p w14:paraId="310C66EA">
            <w:pPr>
              <w:spacing w:line="360" w:lineRule="auto"/>
              <w:ind w:firstLine="480" w:firstLineChars="200"/>
              <w:rPr>
                <w:sz w:val="24"/>
              </w:rPr>
            </w:pPr>
            <w:r>
              <w:rPr>
                <w:sz w:val="24"/>
              </w:rPr>
              <w:t>将设备噪声源在厂区平面图上进行定位，利用上述的预测数字模型，将有关参数代入公式计算，预测拟建工程噪声源对各向厂界的影响。</w:t>
            </w:r>
          </w:p>
          <w:p w14:paraId="7F44DCEF">
            <w:pPr>
              <w:ind w:firstLine="516"/>
              <w:rPr>
                <w:sz w:val="24"/>
              </w:rPr>
            </w:pPr>
            <w:r>
              <w:rPr>
                <w:sz w:val="24"/>
              </w:rPr>
              <w:t>依据预测模式，经计算，建设项目厂界噪声影响预测结果见下表。</w:t>
            </w:r>
          </w:p>
          <w:p w14:paraId="1BBE3BE1"/>
          <w:p w14:paraId="344614B8">
            <w:pPr>
              <w:widowControl/>
              <w:jc w:val="center"/>
            </w:pPr>
            <w:r>
              <w:rPr>
                <w:rFonts w:hint="eastAsia" w:ascii="宋体" w:hAnsi="宋体" w:cs="宋体"/>
                <w:b/>
                <w:bCs/>
                <w:color w:val="000000"/>
                <w:kern w:val="0"/>
                <w:szCs w:val="21"/>
                <w:lang w:bidi="ar"/>
              </w:rPr>
              <w:t>表</w:t>
            </w:r>
            <w:r>
              <w:rPr>
                <w:rFonts w:hint="eastAsia"/>
                <w:b/>
                <w:bCs/>
                <w:color w:val="000000"/>
                <w:kern w:val="0"/>
                <w:szCs w:val="21"/>
                <w:lang w:bidi="ar"/>
              </w:rPr>
              <w:t>4-11</w:t>
            </w:r>
            <w:r>
              <w:rPr>
                <w:rFonts w:ascii="瀹嬩綋" w:hAnsi="瀹嬩綋" w:eastAsia="瀹嬩綋" w:cs="瀹嬩綋"/>
                <w:b/>
                <w:bCs/>
                <w:color w:val="000000"/>
                <w:kern w:val="0"/>
                <w:szCs w:val="21"/>
                <w:lang w:bidi="ar"/>
              </w:rPr>
              <w:t xml:space="preserve"> 在采取措施后本项目噪声在厂界处贡献值的预测结果</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1804"/>
              <w:gridCol w:w="1634"/>
              <w:gridCol w:w="1809"/>
              <w:gridCol w:w="1809"/>
            </w:tblGrid>
            <w:tr w14:paraId="5B1D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9" w:type="pct"/>
                  <w:vMerge w:val="restart"/>
                  <w:vAlign w:val="center"/>
                </w:tcPr>
                <w:p w14:paraId="7F959B66">
                  <w:pPr>
                    <w:widowControl/>
                    <w:jc w:val="center"/>
                    <w:rPr>
                      <w:kern w:val="0"/>
                      <w:sz w:val="24"/>
                    </w:rPr>
                  </w:pPr>
                  <w:r>
                    <w:rPr>
                      <w:rFonts w:ascii="瀹嬩綋" w:hAnsi="瀹嬩綋" w:eastAsia="瀹嬩綋" w:cs="瀹嬩綋"/>
                      <w:b/>
                      <w:bCs/>
                      <w:color w:val="000000"/>
                      <w:kern w:val="0"/>
                      <w:szCs w:val="21"/>
                      <w:lang w:bidi="ar"/>
                    </w:rPr>
                    <w:t>边界</w:t>
                  </w:r>
                </w:p>
              </w:tc>
              <w:tc>
                <w:tcPr>
                  <w:tcW w:w="997" w:type="pct"/>
                  <w:vMerge w:val="restart"/>
                  <w:vAlign w:val="center"/>
                </w:tcPr>
                <w:p w14:paraId="29779FFA">
                  <w:pPr>
                    <w:widowControl/>
                    <w:jc w:val="center"/>
                    <w:rPr>
                      <w:kern w:val="0"/>
                      <w:sz w:val="24"/>
                    </w:rPr>
                  </w:pPr>
                  <w:r>
                    <w:rPr>
                      <w:rFonts w:ascii="瀹嬩綋" w:hAnsi="瀹嬩綋" w:eastAsia="瀹嬩綋" w:cs="瀹嬩綋"/>
                      <w:b/>
                      <w:bCs/>
                      <w:color w:val="000000"/>
                      <w:kern w:val="0"/>
                      <w:szCs w:val="21"/>
                      <w:lang w:bidi="ar"/>
                    </w:rPr>
                    <w:t>与项目边界距离</w:t>
                  </w:r>
                  <w:r>
                    <w:rPr>
                      <w:b/>
                      <w:bCs/>
                      <w:color w:val="000000"/>
                      <w:kern w:val="0"/>
                      <w:szCs w:val="21"/>
                      <w:lang w:bidi="ar"/>
                    </w:rPr>
                    <w:t>/m</w:t>
                  </w:r>
                </w:p>
              </w:tc>
              <w:tc>
                <w:tcPr>
                  <w:tcW w:w="903" w:type="pct"/>
                  <w:vMerge w:val="restart"/>
                  <w:vAlign w:val="center"/>
                </w:tcPr>
                <w:p w14:paraId="6D41007A">
                  <w:pPr>
                    <w:widowControl/>
                    <w:jc w:val="center"/>
                    <w:rPr>
                      <w:kern w:val="0"/>
                      <w:sz w:val="24"/>
                    </w:rPr>
                  </w:pPr>
                  <w:r>
                    <w:rPr>
                      <w:rFonts w:ascii="瀹嬩綋" w:hAnsi="瀹嬩綋" w:eastAsia="瀹嬩綋" w:cs="瀹嬩綋"/>
                      <w:b/>
                      <w:bCs/>
                      <w:color w:val="000000"/>
                      <w:kern w:val="0"/>
                      <w:szCs w:val="21"/>
                      <w:lang w:bidi="ar"/>
                    </w:rPr>
                    <w:t>车间噪声贡献</w:t>
                  </w:r>
                  <w:r>
                    <w:rPr>
                      <w:b/>
                      <w:bCs/>
                      <w:color w:val="000000"/>
                      <w:kern w:val="0"/>
                      <w:szCs w:val="21"/>
                      <w:lang w:bidi="ar"/>
                    </w:rPr>
                    <w:t>/dB(A)</w:t>
                  </w:r>
                </w:p>
              </w:tc>
              <w:tc>
                <w:tcPr>
                  <w:tcW w:w="2000" w:type="pct"/>
                  <w:gridSpan w:val="2"/>
                  <w:vAlign w:val="center"/>
                </w:tcPr>
                <w:p w14:paraId="71BC2D2C">
                  <w:pPr>
                    <w:widowControl/>
                    <w:jc w:val="center"/>
                    <w:rPr>
                      <w:kern w:val="0"/>
                      <w:sz w:val="24"/>
                    </w:rPr>
                  </w:pPr>
                  <w:r>
                    <w:rPr>
                      <w:rFonts w:ascii="瀹嬩綋" w:hAnsi="瀹嬩綋" w:eastAsia="瀹嬩綋" w:cs="瀹嬩綋"/>
                      <w:b/>
                      <w:bCs/>
                      <w:color w:val="000000"/>
                      <w:kern w:val="0"/>
                      <w:szCs w:val="21"/>
                      <w:lang w:bidi="ar"/>
                    </w:rPr>
                    <w:t>执行标准</w:t>
                  </w:r>
                  <w:r>
                    <w:rPr>
                      <w:b/>
                      <w:bCs/>
                      <w:color w:val="000000"/>
                      <w:kern w:val="0"/>
                      <w:szCs w:val="21"/>
                      <w:lang w:bidi="ar"/>
                    </w:rPr>
                    <w:t>/dB(A)</w:t>
                  </w:r>
                </w:p>
              </w:tc>
            </w:tr>
            <w:tr w14:paraId="3AF9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9" w:type="pct"/>
                  <w:vMerge w:val="continue"/>
                  <w:vAlign w:val="center"/>
                </w:tcPr>
                <w:p w14:paraId="23CF31D0">
                  <w:pPr>
                    <w:spacing w:line="500" w:lineRule="exact"/>
                    <w:jc w:val="center"/>
                  </w:pPr>
                </w:p>
              </w:tc>
              <w:tc>
                <w:tcPr>
                  <w:tcW w:w="997" w:type="pct"/>
                  <w:vMerge w:val="continue"/>
                  <w:vAlign w:val="center"/>
                </w:tcPr>
                <w:p w14:paraId="5EB6AFDC">
                  <w:pPr>
                    <w:spacing w:line="500" w:lineRule="exact"/>
                    <w:jc w:val="center"/>
                  </w:pPr>
                </w:p>
              </w:tc>
              <w:tc>
                <w:tcPr>
                  <w:tcW w:w="903" w:type="pct"/>
                  <w:vMerge w:val="continue"/>
                  <w:vAlign w:val="center"/>
                </w:tcPr>
                <w:p w14:paraId="218566B6">
                  <w:pPr>
                    <w:spacing w:line="500" w:lineRule="exact"/>
                    <w:jc w:val="center"/>
                  </w:pPr>
                </w:p>
              </w:tc>
              <w:tc>
                <w:tcPr>
                  <w:tcW w:w="1000" w:type="pct"/>
                  <w:vAlign w:val="center"/>
                </w:tcPr>
                <w:p w14:paraId="15C21B27">
                  <w:pPr>
                    <w:widowControl/>
                    <w:jc w:val="center"/>
                    <w:rPr>
                      <w:kern w:val="0"/>
                      <w:sz w:val="24"/>
                    </w:rPr>
                  </w:pPr>
                  <w:r>
                    <w:rPr>
                      <w:rFonts w:ascii="瀹嬩綋" w:hAnsi="瀹嬩綋" w:eastAsia="瀹嬩綋" w:cs="瀹嬩綋"/>
                      <w:b/>
                      <w:bCs/>
                      <w:color w:val="000000"/>
                      <w:kern w:val="0"/>
                      <w:szCs w:val="21"/>
                      <w:lang w:bidi="ar"/>
                    </w:rPr>
                    <w:t>昼间</w:t>
                  </w:r>
                </w:p>
              </w:tc>
              <w:tc>
                <w:tcPr>
                  <w:tcW w:w="1000" w:type="pct"/>
                  <w:vAlign w:val="center"/>
                </w:tcPr>
                <w:p w14:paraId="52986223">
                  <w:pPr>
                    <w:widowControl/>
                    <w:jc w:val="center"/>
                    <w:rPr>
                      <w:kern w:val="0"/>
                      <w:sz w:val="24"/>
                    </w:rPr>
                  </w:pPr>
                  <w:r>
                    <w:rPr>
                      <w:rFonts w:ascii="瀹嬩綋" w:hAnsi="瀹嬩綋" w:eastAsia="瀹嬩綋" w:cs="瀹嬩綋"/>
                      <w:b/>
                      <w:bCs/>
                      <w:color w:val="000000"/>
                      <w:kern w:val="0"/>
                      <w:szCs w:val="21"/>
                      <w:lang w:bidi="ar"/>
                    </w:rPr>
                    <w:t>夜间</w:t>
                  </w:r>
                </w:p>
              </w:tc>
            </w:tr>
            <w:tr w14:paraId="3608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pct"/>
                  <w:vAlign w:val="center"/>
                </w:tcPr>
                <w:p w14:paraId="17FBE67E">
                  <w:pPr>
                    <w:widowControl/>
                    <w:jc w:val="center"/>
                    <w:rPr>
                      <w:kern w:val="0"/>
                      <w:sz w:val="24"/>
                    </w:rPr>
                  </w:pPr>
                  <w:r>
                    <w:rPr>
                      <w:rFonts w:ascii="瀹嬩綋" w:hAnsi="瀹嬩綋" w:eastAsia="瀹嬩綋" w:cs="瀹嬩綋"/>
                      <w:color w:val="000000"/>
                      <w:kern w:val="0"/>
                      <w:szCs w:val="21"/>
                      <w:lang w:bidi="ar"/>
                    </w:rPr>
                    <w:t>项目东南侧边界</w:t>
                  </w:r>
                </w:p>
              </w:tc>
              <w:tc>
                <w:tcPr>
                  <w:tcW w:w="997" w:type="pct"/>
                  <w:vAlign w:val="center"/>
                </w:tcPr>
                <w:p w14:paraId="35C63D1A">
                  <w:pPr>
                    <w:widowControl/>
                    <w:jc w:val="center"/>
                    <w:rPr>
                      <w:kern w:val="0"/>
                      <w:sz w:val="24"/>
                    </w:rPr>
                  </w:pPr>
                  <w:r>
                    <w:rPr>
                      <w:rFonts w:ascii="瀹嬩綋" w:hAnsi="瀹嬩綋" w:eastAsia="瀹嬩綋" w:cs="瀹嬩綋"/>
                      <w:color w:val="000000"/>
                      <w:kern w:val="0"/>
                      <w:szCs w:val="21"/>
                      <w:lang w:bidi="ar"/>
                    </w:rPr>
                    <w:t>项目边界外</w:t>
                  </w:r>
                  <w:r>
                    <w:rPr>
                      <w:rFonts w:hint="eastAsia"/>
                      <w:color w:val="000000"/>
                      <w:kern w:val="0"/>
                      <w:szCs w:val="21"/>
                      <w:lang w:bidi="ar"/>
                    </w:rPr>
                    <w:t>5</w:t>
                  </w:r>
                  <w:r>
                    <w:rPr>
                      <w:color w:val="000000"/>
                      <w:kern w:val="0"/>
                      <w:szCs w:val="21"/>
                      <w:lang w:bidi="ar"/>
                    </w:rPr>
                    <w:t>m</w:t>
                  </w:r>
                </w:p>
              </w:tc>
              <w:tc>
                <w:tcPr>
                  <w:tcW w:w="903" w:type="pct"/>
                  <w:vAlign w:val="center"/>
                </w:tcPr>
                <w:p w14:paraId="1122D34F">
                  <w:pPr>
                    <w:widowControl/>
                    <w:jc w:val="center"/>
                    <w:rPr>
                      <w:kern w:val="0"/>
                      <w:sz w:val="24"/>
                    </w:rPr>
                  </w:pPr>
                  <w:r>
                    <w:rPr>
                      <w:color w:val="000000"/>
                      <w:kern w:val="0"/>
                      <w:szCs w:val="21"/>
                      <w:lang w:bidi="ar"/>
                    </w:rPr>
                    <w:t>48.5</w:t>
                  </w:r>
                </w:p>
              </w:tc>
              <w:tc>
                <w:tcPr>
                  <w:tcW w:w="1000" w:type="pct"/>
                  <w:vAlign w:val="center"/>
                </w:tcPr>
                <w:p w14:paraId="00112E68">
                  <w:pPr>
                    <w:spacing w:line="500" w:lineRule="exact"/>
                    <w:jc w:val="center"/>
                    <w:rPr>
                      <w:kern w:val="0"/>
                      <w:sz w:val="24"/>
                    </w:rPr>
                  </w:pPr>
                  <w:r>
                    <w:rPr>
                      <w:rFonts w:hint="eastAsia"/>
                      <w:kern w:val="0"/>
                      <w:sz w:val="24"/>
                    </w:rPr>
                    <w:t>65</w:t>
                  </w:r>
                </w:p>
              </w:tc>
              <w:tc>
                <w:tcPr>
                  <w:tcW w:w="1000" w:type="pct"/>
                  <w:vAlign w:val="center"/>
                </w:tcPr>
                <w:p w14:paraId="2E2E01CE">
                  <w:pPr>
                    <w:spacing w:line="500" w:lineRule="exact"/>
                    <w:jc w:val="center"/>
                    <w:rPr>
                      <w:kern w:val="0"/>
                      <w:sz w:val="24"/>
                    </w:rPr>
                  </w:pPr>
                  <w:r>
                    <w:rPr>
                      <w:rFonts w:hint="eastAsia"/>
                      <w:kern w:val="0"/>
                      <w:sz w:val="24"/>
                    </w:rPr>
                    <w:t>55</w:t>
                  </w:r>
                </w:p>
              </w:tc>
            </w:tr>
            <w:tr w14:paraId="7944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pct"/>
                  <w:vAlign w:val="center"/>
                </w:tcPr>
                <w:p w14:paraId="6EFDCF9C">
                  <w:pPr>
                    <w:widowControl/>
                    <w:jc w:val="center"/>
                    <w:rPr>
                      <w:kern w:val="0"/>
                      <w:sz w:val="24"/>
                    </w:rPr>
                  </w:pPr>
                  <w:r>
                    <w:rPr>
                      <w:rFonts w:ascii="瀹嬩綋" w:hAnsi="瀹嬩綋" w:eastAsia="瀹嬩綋" w:cs="瀹嬩綋"/>
                      <w:color w:val="000000"/>
                      <w:kern w:val="0"/>
                      <w:szCs w:val="21"/>
                      <w:lang w:bidi="ar"/>
                    </w:rPr>
                    <w:t>项目东北侧边界</w:t>
                  </w:r>
                </w:p>
              </w:tc>
              <w:tc>
                <w:tcPr>
                  <w:tcW w:w="997" w:type="pct"/>
                  <w:vAlign w:val="center"/>
                </w:tcPr>
                <w:p w14:paraId="1A129740">
                  <w:pPr>
                    <w:widowControl/>
                    <w:jc w:val="center"/>
                    <w:rPr>
                      <w:kern w:val="0"/>
                      <w:sz w:val="24"/>
                    </w:rPr>
                  </w:pPr>
                  <w:r>
                    <w:rPr>
                      <w:rFonts w:ascii="瀹嬩綋" w:hAnsi="瀹嬩綋" w:eastAsia="瀹嬩綋" w:cs="瀹嬩綋"/>
                      <w:color w:val="000000"/>
                      <w:kern w:val="0"/>
                      <w:szCs w:val="21"/>
                      <w:lang w:bidi="ar"/>
                    </w:rPr>
                    <w:t>项目边界外</w:t>
                  </w:r>
                  <w:r>
                    <w:rPr>
                      <w:rFonts w:hint="eastAsia"/>
                      <w:color w:val="000000"/>
                      <w:kern w:val="0"/>
                      <w:szCs w:val="21"/>
                      <w:lang w:bidi="ar"/>
                    </w:rPr>
                    <w:t>5</w:t>
                  </w:r>
                  <w:r>
                    <w:rPr>
                      <w:color w:val="000000"/>
                      <w:kern w:val="0"/>
                      <w:szCs w:val="21"/>
                      <w:lang w:bidi="ar"/>
                    </w:rPr>
                    <w:t>m</w:t>
                  </w:r>
                </w:p>
              </w:tc>
              <w:tc>
                <w:tcPr>
                  <w:tcW w:w="903" w:type="pct"/>
                  <w:vAlign w:val="center"/>
                </w:tcPr>
                <w:p w14:paraId="5641243A">
                  <w:pPr>
                    <w:widowControl/>
                    <w:jc w:val="center"/>
                    <w:rPr>
                      <w:kern w:val="0"/>
                      <w:sz w:val="24"/>
                    </w:rPr>
                  </w:pPr>
                  <w:r>
                    <w:rPr>
                      <w:color w:val="000000"/>
                      <w:kern w:val="0"/>
                      <w:szCs w:val="21"/>
                      <w:lang w:bidi="ar"/>
                    </w:rPr>
                    <w:t>48.2</w:t>
                  </w:r>
                </w:p>
              </w:tc>
              <w:tc>
                <w:tcPr>
                  <w:tcW w:w="1000" w:type="pct"/>
                  <w:vAlign w:val="center"/>
                </w:tcPr>
                <w:p w14:paraId="1C17A4D5">
                  <w:pPr>
                    <w:spacing w:line="500" w:lineRule="exact"/>
                    <w:jc w:val="center"/>
                    <w:rPr>
                      <w:kern w:val="0"/>
                      <w:sz w:val="24"/>
                    </w:rPr>
                  </w:pPr>
                  <w:r>
                    <w:rPr>
                      <w:rFonts w:hint="eastAsia"/>
                      <w:kern w:val="0"/>
                      <w:sz w:val="24"/>
                    </w:rPr>
                    <w:t>65</w:t>
                  </w:r>
                </w:p>
              </w:tc>
              <w:tc>
                <w:tcPr>
                  <w:tcW w:w="1000" w:type="pct"/>
                  <w:vAlign w:val="center"/>
                </w:tcPr>
                <w:p w14:paraId="521B3819">
                  <w:pPr>
                    <w:spacing w:line="500" w:lineRule="exact"/>
                    <w:jc w:val="center"/>
                    <w:rPr>
                      <w:kern w:val="0"/>
                      <w:sz w:val="24"/>
                    </w:rPr>
                  </w:pPr>
                  <w:r>
                    <w:rPr>
                      <w:rFonts w:hint="eastAsia"/>
                      <w:kern w:val="0"/>
                      <w:sz w:val="24"/>
                    </w:rPr>
                    <w:t>55</w:t>
                  </w:r>
                </w:p>
              </w:tc>
            </w:tr>
            <w:tr w14:paraId="0847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pct"/>
                  <w:vAlign w:val="center"/>
                </w:tcPr>
                <w:p w14:paraId="41611E2B">
                  <w:pPr>
                    <w:widowControl/>
                    <w:jc w:val="center"/>
                    <w:rPr>
                      <w:kern w:val="0"/>
                      <w:sz w:val="24"/>
                    </w:rPr>
                  </w:pPr>
                  <w:r>
                    <w:rPr>
                      <w:rFonts w:ascii="瀹嬩綋" w:hAnsi="瀹嬩綋" w:eastAsia="瀹嬩綋" w:cs="瀹嬩綋"/>
                      <w:color w:val="000000"/>
                      <w:kern w:val="0"/>
                      <w:szCs w:val="21"/>
                      <w:lang w:bidi="ar"/>
                    </w:rPr>
                    <w:t>项目西北侧边界</w:t>
                  </w:r>
                </w:p>
              </w:tc>
              <w:tc>
                <w:tcPr>
                  <w:tcW w:w="997" w:type="pct"/>
                  <w:vAlign w:val="center"/>
                </w:tcPr>
                <w:p w14:paraId="45CF4025">
                  <w:pPr>
                    <w:widowControl/>
                    <w:jc w:val="center"/>
                    <w:rPr>
                      <w:kern w:val="0"/>
                      <w:sz w:val="24"/>
                    </w:rPr>
                  </w:pPr>
                  <w:r>
                    <w:rPr>
                      <w:rFonts w:ascii="瀹嬩綋" w:hAnsi="瀹嬩綋" w:eastAsia="瀹嬩綋" w:cs="瀹嬩綋"/>
                      <w:color w:val="000000"/>
                      <w:kern w:val="0"/>
                      <w:szCs w:val="21"/>
                      <w:lang w:bidi="ar"/>
                    </w:rPr>
                    <w:t>项目边界外</w:t>
                  </w:r>
                  <w:r>
                    <w:rPr>
                      <w:rFonts w:hint="eastAsia"/>
                      <w:color w:val="000000"/>
                      <w:kern w:val="0"/>
                      <w:szCs w:val="21"/>
                      <w:lang w:bidi="ar"/>
                    </w:rPr>
                    <w:t>5</w:t>
                  </w:r>
                  <w:r>
                    <w:rPr>
                      <w:color w:val="000000"/>
                      <w:kern w:val="0"/>
                      <w:szCs w:val="21"/>
                      <w:lang w:bidi="ar"/>
                    </w:rPr>
                    <w:t>m</w:t>
                  </w:r>
                </w:p>
              </w:tc>
              <w:tc>
                <w:tcPr>
                  <w:tcW w:w="903" w:type="pct"/>
                  <w:vAlign w:val="center"/>
                </w:tcPr>
                <w:p w14:paraId="3ADCB431">
                  <w:pPr>
                    <w:widowControl/>
                    <w:jc w:val="center"/>
                    <w:rPr>
                      <w:kern w:val="0"/>
                      <w:sz w:val="24"/>
                    </w:rPr>
                  </w:pPr>
                  <w:r>
                    <w:rPr>
                      <w:color w:val="000000"/>
                      <w:kern w:val="0"/>
                      <w:szCs w:val="21"/>
                      <w:lang w:bidi="ar"/>
                    </w:rPr>
                    <w:t>47.9</w:t>
                  </w:r>
                </w:p>
              </w:tc>
              <w:tc>
                <w:tcPr>
                  <w:tcW w:w="1000" w:type="pct"/>
                  <w:vAlign w:val="center"/>
                </w:tcPr>
                <w:p w14:paraId="3FF99318">
                  <w:pPr>
                    <w:spacing w:line="500" w:lineRule="exact"/>
                    <w:jc w:val="center"/>
                    <w:rPr>
                      <w:kern w:val="0"/>
                      <w:sz w:val="24"/>
                    </w:rPr>
                  </w:pPr>
                  <w:r>
                    <w:rPr>
                      <w:rFonts w:hint="eastAsia"/>
                      <w:kern w:val="0"/>
                      <w:sz w:val="24"/>
                    </w:rPr>
                    <w:t>65</w:t>
                  </w:r>
                </w:p>
              </w:tc>
              <w:tc>
                <w:tcPr>
                  <w:tcW w:w="1000" w:type="pct"/>
                  <w:vAlign w:val="center"/>
                </w:tcPr>
                <w:p w14:paraId="648CCAA5">
                  <w:pPr>
                    <w:spacing w:line="500" w:lineRule="exact"/>
                    <w:jc w:val="center"/>
                    <w:rPr>
                      <w:kern w:val="0"/>
                      <w:sz w:val="24"/>
                    </w:rPr>
                  </w:pPr>
                  <w:r>
                    <w:rPr>
                      <w:rFonts w:hint="eastAsia"/>
                      <w:kern w:val="0"/>
                      <w:sz w:val="24"/>
                    </w:rPr>
                    <w:t>55</w:t>
                  </w:r>
                </w:p>
              </w:tc>
            </w:tr>
            <w:tr w14:paraId="65F1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pct"/>
                  <w:vAlign w:val="center"/>
                </w:tcPr>
                <w:p w14:paraId="28FEA0E9">
                  <w:pPr>
                    <w:widowControl/>
                    <w:jc w:val="center"/>
                    <w:rPr>
                      <w:kern w:val="0"/>
                      <w:sz w:val="24"/>
                    </w:rPr>
                  </w:pPr>
                  <w:r>
                    <w:rPr>
                      <w:rFonts w:ascii="瀹嬩綋" w:hAnsi="瀹嬩綋" w:eastAsia="瀹嬩綋" w:cs="瀹嬩綋"/>
                      <w:color w:val="000000"/>
                      <w:kern w:val="0"/>
                      <w:szCs w:val="21"/>
                      <w:lang w:bidi="ar"/>
                    </w:rPr>
                    <w:t>项目西南侧边界</w:t>
                  </w:r>
                </w:p>
              </w:tc>
              <w:tc>
                <w:tcPr>
                  <w:tcW w:w="997" w:type="pct"/>
                  <w:vAlign w:val="center"/>
                </w:tcPr>
                <w:p w14:paraId="4B6FDB0B">
                  <w:pPr>
                    <w:widowControl/>
                    <w:jc w:val="center"/>
                    <w:rPr>
                      <w:kern w:val="0"/>
                      <w:sz w:val="24"/>
                    </w:rPr>
                  </w:pPr>
                  <w:r>
                    <w:rPr>
                      <w:rFonts w:ascii="瀹嬩綋" w:hAnsi="瀹嬩綋" w:eastAsia="瀹嬩綋" w:cs="瀹嬩綋"/>
                      <w:color w:val="000000"/>
                      <w:kern w:val="0"/>
                      <w:szCs w:val="21"/>
                      <w:lang w:bidi="ar"/>
                    </w:rPr>
                    <w:t>项目边界外</w:t>
                  </w:r>
                  <w:r>
                    <w:rPr>
                      <w:rFonts w:hint="eastAsia"/>
                      <w:color w:val="000000"/>
                      <w:kern w:val="0"/>
                      <w:szCs w:val="21"/>
                      <w:lang w:bidi="ar"/>
                    </w:rPr>
                    <w:t>5</w:t>
                  </w:r>
                  <w:r>
                    <w:rPr>
                      <w:color w:val="000000"/>
                      <w:kern w:val="0"/>
                      <w:szCs w:val="21"/>
                      <w:lang w:bidi="ar"/>
                    </w:rPr>
                    <w:t>m</w:t>
                  </w:r>
                </w:p>
              </w:tc>
              <w:tc>
                <w:tcPr>
                  <w:tcW w:w="903" w:type="pct"/>
                  <w:vAlign w:val="center"/>
                </w:tcPr>
                <w:p w14:paraId="1D330B04">
                  <w:pPr>
                    <w:widowControl/>
                    <w:jc w:val="center"/>
                    <w:rPr>
                      <w:kern w:val="0"/>
                      <w:sz w:val="24"/>
                    </w:rPr>
                  </w:pPr>
                  <w:r>
                    <w:rPr>
                      <w:color w:val="000000"/>
                      <w:kern w:val="0"/>
                      <w:szCs w:val="21"/>
                      <w:lang w:bidi="ar"/>
                    </w:rPr>
                    <w:t>47.4</w:t>
                  </w:r>
                </w:p>
              </w:tc>
              <w:tc>
                <w:tcPr>
                  <w:tcW w:w="1000" w:type="pct"/>
                  <w:vAlign w:val="center"/>
                </w:tcPr>
                <w:p w14:paraId="4A3A6002">
                  <w:pPr>
                    <w:spacing w:line="500" w:lineRule="exact"/>
                    <w:jc w:val="center"/>
                    <w:rPr>
                      <w:kern w:val="0"/>
                      <w:sz w:val="24"/>
                    </w:rPr>
                  </w:pPr>
                  <w:r>
                    <w:rPr>
                      <w:rFonts w:hint="eastAsia"/>
                      <w:kern w:val="0"/>
                      <w:sz w:val="24"/>
                    </w:rPr>
                    <w:t>65</w:t>
                  </w:r>
                </w:p>
              </w:tc>
              <w:tc>
                <w:tcPr>
                  <w:tcW w:w="1000" w:type="pct"/>
                  <w:vAlign w:val="center"/>
                </w:tcPr>
                <w:p w14:paraId="3C821879">
                  <w:pPr>
                    <w:spacing w:line="500" w:lineRule="exact"/>
                    <w:jc w:val="center"/>
                    <w:rPr>
                      <w:kern w:val="0"/>
                      <w:sz w:val="24"/>
                    </w:rPr>
                  </w:pPr>
                  <w:r>
                    <w:rPr>
                      <w:rFonts w:hint="eastAsia"/>
                      <w:kern w:val="0"/>
                      <w:sz w:val="24"/>
                    </w:rPr>
                    <w:t>55</w:t>
                  </w:r>
                </w:p>
              </w:tc>
            </w:tr>
          </w:tbl>
          <w:p w14:paraId="05B09D98">
            <w:pPr>
              <w:spacing w:line="500" w:lineRule="exact"/>
              <w:ind w:firstLine="480" w:firstLineChars="200"/>
            </w:pPr>
            <w:r>
              <w:rPr>
                <w:kern w:val="0"/>
                <w:sz w:val="24"/>
              </w:rPr>
              <w:t>根据上表预测结果可知，项目生产设备在采取噪声防治措施后，项目边界处噪声贡献值低于《工业企业厂界环境噪声排放标准》（GB12348-2008）的 3 类标准，项目夜间不生产，且项目周边 50 米范围内无声环境敏感点，因此项目车间噪声在采取了噪声防治措施后对周围声环境及环境敏感点影响较小。</w:t>
            </w:r>
          </w:p>
          <w:p w14:paraId="639A84E4">
            <w:pPr>
              <w:spacing w:line="500" w:lineRule="exact"/>
              <w:ind w:firstLine="420" w:firstLineChars="200"/>
              <w:rPr>
                <w:kern w:val="0"/>
                <w:sz w:val="24"/>
              </w:rPr>
            </w:pPr>
            <w:r>
              <w:rPr>
                <w:rFonts w:ascii="瀹嬩綋" w:hAnsi="瀹嬩綋" w:eastAsia="瀹嬩綋" w:cs="瀹嬩綋"/>
                <w:color w:val="000000"/>
                <w:kern w:val="0"/>
                <w:szCs w:val="21"/>
                <w:lang w:bidi="ar"/>
              </w:rPr>
              <w:t xml:space="preserve"> </w:t>
            </w:r>
            <w:r>
              <w:rPr>
                <w:kern w:val="0"/>
                <w:sz w:val="24"/>
              </w:rPr>
              <w:t xml:space="preserve">（3）监测要求 </w:t>
            </w:r>
          </w:p>
          <w:p w14:paraId="39E91344">
            <w:pPr>
              <w:spacing w:line="500" w:lineRule="exact"/>
              <w:ind w:firstLine="480" w:firstLineChars="200"/>
            </w:pPr>
            <w:r>
              <w:rPr>
                <w:kern w:val="0"/>
                <w:sz w:val="24"/>
              </w:rPr>
              <w:t>根据《排污单位自行监测技术指南 总则》（HJ 819-2017），项目运营期噪声监测要求如下。</w:t>
            </w:r>
          </w:p>
          <w:p w14:paraId="3D94FBE2">
            <w:pPr>
              <w:widowControl/>
              <w:jc w:val="center"/>
            </w:pPr>
            <w:r>
              <w:rPr>
                <w:rFonts w:ascii="瀹嬩綋" w:hAnsi="瀹嬩綋" w:eastAsia="瀹嬩綋" w:cs="瀹嬩綋"/>
                <w:b/>
                <w:bCs/>
                <w:color w:val="000000"/>
                <w:kern w:val="0"/>
                <w:szCs w:val="21"/>
                <w:lang w:bidi="ar"/>
              </w:rPr>
              <w:t>表</w:t>
            </w:r>
            <w:r>
              <w:rPr>
                <w:rFonts w:hint="eastAsia"/>
                <w:b/>
                <w:bCs/>
                <w:color w:val="000000"/>
                <w:kern w:val="0"/>
                <w:szCs w:val="21"/>
                <w:lang w:bidi="ar"/>
              </w:rPr>
              <w:t>4-12</w:t>
            </w:r>
            <w:r>
              <w:rPr>
                <w:rFonts w:ascii="瀹嬩綋" w:hAnsi="瀹嬩綋" w:eastAsia="瀹嬩綋" w:cs="瀹嬩綋"/>
                <w:b/>
                <w:bCs/>
                <w:color w:val="000000"/>
                <w:kern w:val="0"/>
                <w:szCs w:val="21"/>
                <w:lang w:bidi="ar"/>
              </w:rPr>
              <w:t xml:space="preserve"> 噪声监测汇总表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029"/>
              <w:gridCol w:w="2247"/>
              <w:gridCol w:w="1420"/>
              <w:gridCol w:w="2453"/>
            </w:tblGrid>
            <w:tr w14:paraId="4E06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14:paraId="178FE153">
                  <w:pPr>
                    <w:widowControl/>
                    <w:jc w:val="center"/>
                    <w:rPr>
                      <w:kern w:val="0"/>
                      <w:sz w:val="24"/>
                    </w:rPr>
                  </w:pPr>
                  <w:r>
                    <w:rPr>
                      <w:rFonts w:ascii="瀹嬩綋" w:hAnsi="瀹嬩綋" w:eastAsia="瀹嬩綋" w:cs="瀹嬩綋"/>
                      <w:b/>
                      <w:bCs/>
                      <w:color w:val="000000"/>
                      <w:kern w:val="0"/>
                      <w:szCs w:val="21"/>
                      <w:lang w:bidi="ar"/>
                    </w:rPr>
                    <w:t>类别</w:t>
                  </w:r>
                </w:p>
              </w:tc>
              <w:tc>
                <w:tcPr>
                  <w:tcW w:w="1122" w:type="pct"/>
                  <w:vAlign w:val="center"/>
                </w:tcPr>
                <w:p w14:paraId="05C3E6ED">
                  <w:pPr>
                    <w:widowControl/>
                    <w:jc w:val="center"/>
                    <w:rPr>
                      <w:kern w:val="0"/>
                      <w:sz w:val="24"/>
                    </w:rPr>
                  </w:pPr>
                  <w:r>
                    <w:rPr>
                      <w:rFonts w:ascii="瀹嬩綋" w:hAnsi="瀹嬩綋" w:eastAsia="瀹嬩綋" w:cs="瀹嬩綋"/>
                      <w:b/>
                      <w:bCs/>
                      <w:color w:val="000000"/>
                      <w:kern w:val="0"/>
                      <w:szCs w:val="21"/>
                      <w:lang w:bidi="ar"/>
                    </w:rPr>
                    <w:t>监测项目</w:t>
                  </w:r>
                </w:p>
              </w:tc>
              <w:tc>
                <w:tcPr>
                  <w:tcW w:w="1242" w:type="pct"/>
                  <w:vAlign w:val="center"/>
                </w:tcPr>
                <w:p w14:paraId="477EC74C">
                  <w:pPr>
                    <w:widowControl/>
                    <w:jc w:val="center"/>
                    <w:rPr>
                      <w:kern w:val="0"/>
                      <w:sz w:val="24"/>
                    </w:rPr>
                  </w:pPr>
                  <w:r>
                    <w:rPr>
                      <w:rFonts w:ascii="瀹嬩綋" w:hAnsi="瀹嬩綋" w:eastAsia="瀹嬩綋" w:cs="瀹嬩綋"/>
                      <w:b/>
                      <w:bCs/>
                      <w:color w:val="000000"/>
                      <w:kern w:val="0"/>
                      <w:szCs w:val="21"/>
                      <w:lang w:bidi="ar"/>
                    </w:rPr>
                    <w:t>监测点位</w:t>
                  </w:r>
                </w:p>
              </w:tc>
              <w:tc>
                <w:tcPr>
                  <w:tcW w:w="785" w:type="pct"/>
                  <w:vAlign w:val="center"/>
                </w:tcPr>
                <w:p w14:paraId="65B08719">
                  <w:pPr>
                    <w:widowControl/>
                    <w:jc w:val="center"/>
                    <w:rPr>
                      <w:kern w:val="0"/>
                      <w:sz w:val="24"/>
                    </w:rPr>
                  </w:pPr>
                  <w:r>
                    <w:rPr>
                      <w:rFonts w:ascii="瀹嬩綋" w:hAnsi="瀹嬩綋" w:eastAsia="瀹嬩綋" w:cs="瀹嬩綋"/>
                      <w:b/>
                      <w:bCs/>
                      <w:color w:val="000000"/>
                      <w:kern w:val="0"/>
                      <w:szCs w:val="21"/>
                      <w:lang w:bidi="ar"/>
                    </w:rPr>
                    <w:t>监测频率</w:t>
                  </w:r>
                </w:p>
              </w:tc>
              <w:tc>
                <w:tcPr>
                  <w:tcW w:w="1357" w:type="pct"/>
                  <w:vAlign w:val="center"/>
                </w:tcPr>
                <w:p w14:paraId="403BB7C7">
                  <w:pPr>
                    <w:widowControl/>
                    <w:jc w:val="center"/>
                    <w:rPr>
                      <w:kern w:val="0"/>
                      <w:sz w:val="24"/>
                    </w:rPr>
                  </w:pPr>
                  <w:r>
                    <w:rPr>
                      <w:rFonts w:ascii="瀹嬩綋" w:hAnsi="瀹嬩綋" w:eastAsia="瀹嬩綋" w:cs="瀹嬩綋"/>
                      <w:b/>
                      <w:bCs/>
                      <w:color w:val="000000"/>
                      <w:kern w:val="0"/>
                      <w:szCs w:val="21"/>
                      <w:lang w:bidi="ar"/>
                    </w:rPr>
                    <w:t>执行标准</w:t>
                  </w:r>
                </w:p>
              </w:tc>
            </w:tr>
            <w:tr w14:paraId="7BA7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495" w:type="pct"/>
                  <w:vAlign w:val="center"/>
                </w:tcPr>
                <w:p w14:paraId="5CA51A32">
                  <w:pPr>
                    <w:widowControl/>
                    <w:jc w:val="center"/>
                    <w:rPr>
                      <w:kern w:val="0"/>
                      <w:sz w:val="24"/>
                    </w:rPr>
                  </w:pPr>
                  <w:r>
                    <w:rPr>
                      <w:rFonts w:ascii="瀹嬩綋" w:hAnsi="瀹嬩綋" w:eastAsia="瀹嬩綋" w:cs="瀹嬩綋"/>
                      <w:color w:val="000000"/>
                      <w:kern w:val="0"/>
                      <w:szCs w:val="21"/>
                      <w:lang w:bidi="ar"/>
                    </w:rPr>
                    <w:t>噪声监测</w:t>
                  </w:r>
                </w:p>
              </w:tc>
              <w:tc>
                <w:tcPr>
                  <w:tcW w:w="1122" w:type="pct"/>
                  <w:vAlign w:val="center"/>
                </w:tcPr>
                <w:p w14:paraId="44EAD4F1">
                  <w:pPr>
                    <w:widowControl/>
                    <w:jc w:val="center"/>
                    <w:rPr>
                      <w:kern w:val="0"/>
                      <w:sz w:val="24"/>
                    </w:rPr>
                  </w:pPr>
                  <w:r>
                    <w:rPr>
                      <w:rFonts w:ascii="瀹嬩綋" w:hAnsi="瀹嬩綋" w:eastAsia="瀹嬩綋" w:cs="瀹嬩綋"/>
                      <w:color w:val="000000"/>
                      <w:kern w:val="0"/>
                      <w:szCs w:val="21"/>
                      <w:lang w:bidi="ar"/>
                    </w:rPr>
                    <w:t xml:space="preserve">连续等效 </w:t>
                  </w:r>
                  <w:r>
                    <w:rPr>
                      <w:color w:val="000000"/>
                      <w:kern w:val="0"/>
                      <w:szCs w:val="21"/>
                      <w:lang w:bidi="ar"/>
                    </w:rPr>
                    <w:t>A</w:t>
                  </w:r>
                  <w:r>
                    <w:rPr>
                      <w:rFonts w:ascii="瀹嬩綋" w:hAnsi="瀹嬩綋" w:eastAsia="瀹嬩綋" w:cs="瀹嬩綋"/>
                      <w:color w:val="000000"/>
                      <w:kern w:val="0"/>
                      <w:szCs w:val="21"/>
                      <w:lang w:bidi="ar"/>
                    </w:rPr>
                    <w:t>声级</w:t>
                  </w:r>
                </w:p>
              </w:tc>
              <w:tc>
                <w:tcPr>
                  <w:tcW w:w="1242" w:type="pct"/>
                  <w:vAlign w:val="center"/>
                </w:tcPr>
                <w:p w14:paraId="7FF80726">
                  <w:pPr>
                    <w:widowControl/>
                    <w:jc w:val="center"/>
                    <w:rPr>
                      <w:kern w:val="0"/>
                      <w:sz w:val="24"/>
                    </w:rPr>
                  </w:pPr>
                  <w:r>
                    <w:rPr>
                      <w:rFonts w:ascii="瀹嬩綋" w:hAnsi="瀹嬩綋" w:eastAsia="瀹嬩綋" w:cs="瀹嬩綋"/>
                      <w:color w:val="000000"/>
                      <w:kern w:val="0"/>
                      <w:szCs w:val="21"/>
                      <w:lang w:bidi="ar"/>
                    </w:rPr>
                    <w:t xml:space="preserve">东南、西南、西北、东北面厂界外 </w:t>
                  </w:r>
                  <w:r>
                    <w:rPr>
                      <w:color w:val="000000"/>
                      <w:kern w:val="0"/>
                      <w:szCs w:val="21"/>
                      <w:lang w:bidi="ar"/>
                    </w:rPr>
                    <w:t xml:space="preserve">1 </w:t>
                  </w:r>
                  <w:r>
                    <w:rPr>
                      <w:rFonts w:ascii="瀹嬩綋" w:hAnsi="瀹嬩綋" w:eastAsia="瀹嬩綋" w:cs="瀹嬩綋"/>
                      <w:color w:val="000000"/>
                      <w:kern w:val="0"/>
                      <w:szCs w:val="21"/>
                      <w:lang w:bidi="ar"/>
                    </w:rPr>
                    <w:t>米处</w:t>
                  </w:r>
                </w:p>
              </w:tc>
              <w:tc>
                <w:tcPr>
                  <w:tcW w:w="785" w:type="pct"/>
                  <w:vAlign w:val="center"/>
                </w:tcPr>
                <w:p w14:paraId="693748B2">
                  <w:pPr>
                    <w:widowControl/>
                    <w:jc w:val="center"/>
                    <w:rPr>
                      <w:kern w:val="0"/>
                      <w:sz w:val="24"/>
                    </w:rPr>
                  </w:pPr>
                  <w:r>
                    <w:rPr>
                      <w:rFonts w:ascii="瀹嬩綋" w:hAnsi="瀹嬩綋" w:eastAsia="瀹嬩綋" w:cs="瀹嬩綋"/>
                      <w:color w:val="000000"/>
                      <w:kern w:val="0"/>
                      <w:szCs w:val="21"/>
                      <w:lang w:bidi="ar"/>
                    </w:rPr>
                    <w:t>每季度一次</w:t>
                  </w:r>
                </w:p>
              </w:tc>
              <w:tc>
                <w:tcPr>
                  <w:tcW w:w="1357" w:type="pct"/>
                  <w:vAlign w:val="center"/>
                </w:tcPr>
                <w:p w14:paraId="08ECB34D">
                  <w:pPr>
                    <w:widowControl/>
                    <w:jc w:val="center"/>
                    <w:rPr>
                      <w:kern w:val="0"/>
                      <w:sz w:val="24"/>
                    </w:rPr>
                  </w:pPr>
                  <w:r>
                    <w:rPr>
                      <w:rFonts w:ascii="瀹嬩綋" w:hAnsi="瀹嬩綋" w:eastAsia="瀹嬩綋" w:cs="瀹嬩綋"/>
                      <w:color w:val="000000"/>
                      <w:kern w:val="0"/>
                      <w:szCs w:val="21"/>
                      <w:lang w:bidi="ar"/>
                    </w:rPr>
                    <w:t>《工业企业厂界环境噪声排放标准》（</w:t>
                  </w:r>
                  <w:r>
                    <w:rPr>
                      <w:color w:val="000000"/>
                      <w:kern w:val="0"/>
                      <w:szCs w:val="21"/>
                      <w:lang w:bidi="ar"/>
                    </w:rPr>
                    <w:t>GB12348-2008</w:t>
                  </w:r>
                  <w:r>
                    <w:rPr>
                      <w:rFonts w:ascii="瀹嬩綋" w:hAnsi="瀹嬩綋" w:eastAsia="瀹嬩綋" w:cs="瀹嬩綋"/>
                      <w:color w:val="000000"/>
                      <w:kern w:val="0"/>
                      <w:szCs w:val="21"/>
                      <w:lang w:bidi="ar"/>
                    </w:rPr>
                    <w:t>）</w:t>
                  </w:r>
                  <w:r>
                    <w:rPr>
                      <w:color w:val="000000"/>
                      <w:kern w:val="0"/>
                      <w:szCs w:val="21"/>
                      <w:lang w:bidi="ar"/>
                    </w:rPr>
                    <w:t xml:space="preserve">3 </w:t>
                  </w:r>
                  <w:r>
                    <w:rPr>
                      <w:rFonts w:ascii="瀹嬩綋" w:hAnsi="瀹嬩綋" w:eastAsia="瀹嬩綋" w:cs="瀹嬩綋"/>
                      <w:color w:val="000000"/>
                      <w:kern w:val="0"/>
                      <w:szCs w:val="21"/>
                      <w:lang w:bidi="ar"/>
                    </w:rPr>
                    <w:t>类标准</w:t>
                  </w:r>
                </w:p>
              </w:tc>
            </w:tr>
          </w:tbl>
          <w:p w14:paraId="5D584629">
            <w:pPr>
              <w:spacing w:line="500" w:lineRule="exact"/>
              <w:ind w:firstLine="482" w:firstLineChars="200"/>
              <w:rPr>
                <w:b/>
                <w:bCs/>
                <w:kern w:val="0"/>
                <w:sz w:val="24"/>
              </w:rPr>
            </w:pPr>
            <w:r>
              <w:rPr>
                <w:b/>
                <w:bCs/>
                <w:kern w:val="0"/>
                <w:sz w:val="24"/>
              </w:rPr>
              <w:t>4</w:t>
            </w:r>
            <w:r>
              <w:rPr>
                <w:rFonts w:hint="eastAsia"/>
                <w:b/>
                <w:bCs/>
                <w:kern w:val="0"/>
                <w:sz w:val="24"/>
              </w:rPr>
              <w:t>.2.5营运期</w:t>
            </w:r>
            <w:r>
              <w:rPr>
                <w:b/>
                <w:bCs/>
                <w:kern w:val="0"/>
                <w:sz w:val="24"/>
              </w:rPr>
              <w:t>固废</w:t>
            </w:r>
            <w:r>
              <w:rPr>
                <w:rFonts w:hint="eastAsia"/>
                <w:b/>
                <w:bCs/>
                <w:kern w:val="0"/>
                <w:sz w:val="24"/>
              </w:rPr>
              <w:t>污染分析</w:t>
            </w:r>
            <w:r>
              <w:rPr>
                <w:b/>
                <w:bCs/>
                <w:kern w:val="0"/>
                <w:sz w:val="24"/>
              </w:rPr>
              <w:t xml:space="preserve"> </w:t>
            </w:r>
          </w:p>
          <w:p w14:paraId="1E88792D">
            <w:pPr>
              <w:spacing w:line="500" w:lineRule="exact"/>
              <w:ind w:firstLine="480" w:firstLineChars="200"/>
              <w:rPr>
                <w:kern w:val="0"/>
                <w:sz w:val="24"/>
              </w:rPr>
            </w:pPr>
            <w:r>
              <w:rPr>
                <w:kern w:val="0"/>
                <w:sz w:val="24"/>
              </w:rPr>
              <w:t xml:space="preserve">（1）产生和处置情况 </w:t>
            </w:r>
          </w:p>
          <w:p w14:paraId="749D647F">
            <w:pPr>
              <w:spacing w:line="500" w:lineRule="exact"/>
              <w:ind w:firstLine="480" w:firstLineChars="200"/>
              <w:rPr>
                <w:kern w:val="0"/>
                <w:sz w:val="24"/>
              </w:rPr>
            </w:pPr>
            <w:r>
              <w:rPr>
                <w:kern w:val="0"/>
                <w:sz w:val="24"/>
              </w:rPr>
              <w:t xml:space="preserve">项目固体废物主要为生活垃圾、一般工业固体废物和危险废物。 </w:t>
            </w:r>
          </w:p>
          <w:p w14:paraId="55256255">
            <w:pPr>
              <w:spacing w:line="500" w:lineRule="exact"/>
              <w:ind w:firstLine="482" w:firstLineChars="200"/>
              <w:rPr>
                <w:kern w:val="0"/>
                <w:sz w:val="24"/>
              </w:rPr>
            </w:pPr>
            <w:r>
              <w:rPr>
                <w:b/>
                <w:bCs/>
                <w:kern w:val="0"/>
                <w:sz w:val="24"/>
              </w:rPr>
              <w:t>生活垃圾</w:t>
            </w:r>
          </w:p>
          <w:p w14:paraId="163A3D02">
            <w:pPr>
              <w:spacing w:line="500" w:lineRule="exact"/>
              <w:ind w:firstLine="480" w:firstLineChars="200"/>
              <w:rPr>
                <w:kern w:val="0"/>
                <w:sz w:val="24"/>
              </w:rPr>
            </w:pPr>
            <w:r>
              <w:rPr>
                <w:kern w:val="0"/>
                <w:sz w:val="24"/>
              </w:rPr>
              <w:t>项目员工人数</w:t>
            </w:r>
            <w:r>
              <w:rPr>
                <w:rFonts w:hint="eastAsia"/>
                <w:kern w:val="0"/>
                <w:sz w:val="24"/>
              </w:rPr>
              <w:t>100</w:t>
            </w:r>
            <w:r>
              <w:rPr>
                <w:kern w:val="0"/>
                <w:sz w:val="24"/>
              </w:rPr>
              <w:t xml:space="preserve">人，均不在项目内食宿，生活垃圾产生系数按0.5kg/人•日计，则项目生活垃圾产生量为 </w:t>
            </w:r>
            <w:r>
              <w:rPr>
                <w:rFonts w:hint="eastAsia"/>
                <w:kern w:val="0"/>
                <w:sz w:val="24"/>
              </w:rPr>
              <w:t xml:space="preserve">15 </w:t>
            </w:r>
            <w:r>
              <w:rPr>
                <w:kern w:val="0"/>
                <w:sz w:val="24"/>
              </w:rPr>
              <w:t xml:space="preserve">t/a（以300天计算）。生活垃圾分类收集后交由环卫部门统一清运。 </w:t>
            </w:r>
          </w:p>
          <w:p w14:paraId="53433F4E">
            <w:pPr>
              <w:spacing w:line="500" w:lineRule="exact"/>
              <w:ind w:firstLine="482" w:firstLineChars="200"/>
              <w:rPr>
                <w:kern w:val="0"/>
                <w:sz w:val="24"/>
              </w:rPr>
            </w:pPr>
            <w:r>
              <w:rPr>
                <w:b/>
                <w:bCs/>
                <w:kern w:val="0"/>
                <w:sz w:val="24"/>
              </w:rPr>
              <w:t>一般工业固体废物</w:t>
            </w:r>
          </w:p>
          <w:p w14:paraId="55E07B69">
            <w:pPr>
              <w:spacing w:line="500" w:lineRule="exact"/>
              <w:ind w:firstLine="480" w:firstLineChars="200"/>
              <w:rPr>
                <w:kern w:val="0"/>
                <w:sz w:val="24"/>
              </w:rPr>
            </w:pPr>
            <w:r>
              <w:rPr>
                <w:kern w:val="0"/>
                <w:sz w:val="24"/>
              </w:rPr>
              <w:t>①废包装材料：项目生产过程中会产生一定量的废包装材料，约0.8t/a，收集后交由专业公司回收处理。</w:t>
            </w:r>
          </w:p>
          <w:p w14:paraId="1FEB5073">
            <w:pPr>
              <w:spacing w:line="500" w:lineRule="exact"/>
              <w:ind w:firstLine="480" w:firstLineChars="200"/>
              <w:rPr>
                <w:kern w:val="0"/>
                <w:sz w:val="24"/>
              </w:rPr>
            </w:pPr>
            <w:r>
              <w:rPr>
                <w:kern w:val="0"/>
                <w:sz w:val="24"/>
              </w:rPr>
              <w:t>②边角料：项目</w:t>
            </w:r>
            <w:r>
              <w:rPr>
                <w:rFonts w:hint="eastAsia"/>
                <w:kern w:val="0"/>
                <w:sz w:val="24"/>
              </w:rPr>
              <w:t>裁剪</w:t>
            </w:r>
            <w:r>
              <w:rPr>
                <w:kern w:val="0"/>
                <w:sz w:val="24"/>
              </w:rPr>
              <w:t>过程会产生少量边角料，产生量约</w:t>
            </w:r>
            <w:r>
              <w:rPr>
                <w:rFonts w:hint="eastAsia"/>
                <w:kern w:val="0"/>
                <w:sz w:val="24"/>
              </w:rPr>
              <w:t>4.5</w:t>
            </w:r>
            <w:r>
              <w:rPr>
                <w:kern w:val="0"/>
                <w:sz w:val="24"/>
              </w:rPr>
              <w:t>t/a，收集后</w:t>
            </w:r>
            <w:r>
              <w:rPr>
                <w:rFonts w:hint="eastAsia"/>
                <w:kern w:val="0"/>
                <w:sz w:val="24"/>
              </w:rPr>
              <w:t>回用于生产</w:t>
            </w:r>
            <w:r>
              <w:rPr>
                <w:kern w:val="0"/>
                <w:sz w:val="24"/>
              </w:rPr>
              <w:t>。</w:t>
            </w:r>
          </w:p>
          <w:p w14:paraId="67FA638B">
            <w:pPr>
              <w:spacing w:line="500" w:lineRule="exact"/>
              <w:ind w:firstLine="482" w:firstLineChars="200"/>
              <w:rPr>
                <w:kern w:val="0"/>
                <w:sz w:val="24"/>
              </w:rPr>
            </w:pPr>
            <w:r>
              <w:rPr>
                <w:b/>
                <w:bCs/>
                <w:kern w:val="0"/>
                <w:sz w:val="24"/>
              </w:rPr>
              <w:t>危险废物</w:t>
            </w:r>
            <w:r>
              <w:rPr>
                <w:kern w:val="0"/>
                <w:sz w:val="24"/>
              </w:rPr>
              <w:t xml:space="preserve"> </w:t>
            </w:r>
          </w:p>
          <w:p w14:paraId="56D95F28">
            <w:pPr>
              <w:spacing w:line="500" w:lineRule="exact"/>
              <w:ind w:firstLine="480" w:firstLineChars="200"/>
              <w:rPr>
                <w:kern w:val="0"/>
                <w:sz w:val="24"/>
              </w:rPr>
            </w:pPr>
            <w:r>
              <w:rPr>
                <w:kern w:val="0"/>
                <w:sz w:val="24"/>
              </w:rPr>
              <w:t>①废活性炭：项目有机废气采用活性炭处理，活性炭需定期更换，因此废气治理过程会产生废活性炭，根据前文分析，项目共设置</w:t>
            </w:r>
            <w:r>
              <w:rPr>
                <w:rFonts w:hint="eastAsia"/>
                <w:kern w:val="0"/>
                <w:sz w:val="24"/>
              </w:rPr>
              <w:t>1</w:t>
            </w:r>
            <w:r>
              <w:rPr>
                <w:kern w:val="0"/>
                <w:sz w:val="24"/>
              </w:rPr>
              <w:t>套“</w:t>
            </w:r>
            <w:r>
              <w:rPr>
                <w:rFonts w:hint="eastAsia"/>
                <w:kern w:val="0"/>
                <w:sz w:val="24"/>
              </w:rPr>
              <w:t>二级静电油雾器+</w:t>
            </w:r>
            <w:r>
              <w:rPr>
                <w:kern w:val="0"/>
                <w:sz w:val="24"/>
              </w:rPr>
              <w:t>活性炭吸附</w:t>
            </w:r>
            <w:r>
              <w:rPr>
                <w:rFonts w:hint="eastAsia"/>
                <w:kern w:val="0"/>
                <w:sz w:val="24"/>
              </w:rPr>
              <w:t>+催化燃烧</w:t>
            </w:r>
            <w:r>
              <w:rPr>
                <w:kern w:val="0"/>
                <w:sz w:val="24"/>
              </w:rPr>
              <w:t>装置”</w:t>
            </w:r>
            <w:r>
              <w:rPr>
                <w:rFonts w:hint="eastAsia"/>
                <w:kern w:val="0"/>
                <w:sz w:val="24"/>
              </w:rPr>
              <w:t>。</w:t>
            </w:r>
          </w:p>
          <w:p w14:paraId="2F9A321C">
            <w:pPr>
              <w:spacing w:line="500" w:lineRule="exact"/>
              <w:ind w:firstLine="480" w:firstLineChars="200"/>
              <w:rPr>
                <w:kern w:val="0"/>
                <w:sz w:val="24"/>
              </w:rPr>
            </w:pPr>
            <w:r>
              <w:rPr>
                <w:rFonts w:hint="eastAsia"/>
                <w:kern w:val="0"/>
                <w:sz w:val="24"/>
              </w:rPr>
              <w:t>活性炭吸附+催化燃烧：先将有机废气利用蜂窝活性炭吸附，当快到达饱和时停止吸附操作，然后用热气流将有机物从活性炭上脱附下来使活性炭再生；并送入催化燃烧室进行催化燃烧，预热到220℃，在催化剂上于250~350℃左右进行催化氧化，使其转化为无害的二氧化碳和水等物质。燃烧后的气体由排气口排出，产物无二次污染。活性炭吸附+催化燃烧工艺对有机废气的去除率可达90%以上。</w:t>
            </w:r>
          </w:p>
          <w:p w14:paraId="20F0FAFA">
            <w:pPr>
              <w:spacing w:line="500" w:lineRule="exact"/>
              <w:ind w:firstLine="480" w:firstLineChars="200"/>
              <w:rPr>
                <w:kern w:val="0"/>
                <w:sz w:val="24"/>
              </w:rPr>
            </w:pPr>
            <w:r>
              <w:rPr>
                <w:kern w:val="0"/>
                <w:sz w:val="24"/>
              </w:rPr>
              <w:t>催化燃烧(CO)的工艺原理：催化燃烧是典型的气-固相催化反应，其实质是活性氧参与的深度氧化作用。在催化燃烧过程中，催化剂的作用是降低活化能，同时催化剂表面具有吸附作用，使反应物分子富集于表面提高了反应速率，加快了反应的进行。借助催化剂可使有机废气在较低的起燃温度条件下，发生无焰燃烧，并氧化分解为CO</w:t>
            </w:r>
            <w:r>
              <w:rPr>
                <w:kern w:val="0"/>
                <w:sz w:val="24"/>
                <w:vertAlign w:val="subscript"/>
              </w:rPr>
              <w:t>2</w:t>
            </w:r>
            <w:r>
              <w:rPr>
                <w:kern w:val="0"/>
                <w:sz w:val="24"/>
              </w:rPr>
              <w:t>和H</w:t>
            </w:r>
            <w:r>
              <w:rPr>
                <w:kern w:val="0"/>
                <w:sz w:val="24"/>
                <w:vertAlign w:val="subscript"/>
              </w:rPr>
              <w:t>2</w:t>
            </w:r>
            <w:r>
              <w:rPr>
                <w:kern w:val="0"/>
                <w:sz w:val="24"/>
              </w:rPr>
              <w:t>O，同时放出大量热能，从而达到去除废气中的有害物的方法。其反应过程为：</w:t>
            </w:r>
          </w:p>
          <w:p w14:paraId="57D911F3">
            <w:pPr>
              <w:ind w:firstLine="422" w:firstLineChars="200"/>
              <w:jc w:val="center"/>
            </w:pPr>
            <w:r>
              <w:rPr>
                <w:b/>
              </w:rPr>
              <w:fldChar w:fldCharType="begin"/>
            </w:r>
            <w:r>
              <w:rPr>
                <w:b/>
              </w:rPr>
              <w:instrText xml:space="preserve"> INCLUDEPICTURE  "C:\\Documents\\WeChat%20Files\\wxid_tht3bf8np7ci22\\ADMINI~1\\AppData\\Local\\Temp\\ksohtml2428\\wps2.png" \* MERGEFORMATINET </w:instrText>
            </w:r>
            <w:r>
              <w:rPr>
                <w:b/>
              </w:rPr>
              <w:fldChar w:fldCharType="separate"/>
            </w:r>
            <w:r>
              <w:rPr>
                <w:b/>
              </w:rPr>
              <w:fldChar w:fldCharType="begin"/>
            </w:r>
            <w:r>
              <w:rPr>
                <w:b/>
              </w:rPr>
              <w:instrText xml:space="preserve"> INCLUDEPICTURE  "C:\\Documents\\WeChat%20Files\\wxid_tht3bf8np7ci22\\ADMINI~1\\AppData\\Local\\Temp\\ksohtml2428\\wps2.png" \* MERGEFORMATINET </w:instrText>
            </w:r>
            <w:r>
              <w:rPr>
                <w:b/>
              </w:rPr>
              <w:fldChar w:fldCharType="separate"/>
            </w:r>
            <w:r>
              <w:rPr>
                <w:b/>
              </w:rPr>
              <w:fldChar w:fldCharType="begin"/>
            </w:r>
            <w:r>
              <w:rPr>
                <w:b/>
              </w:rPr>
              <w:instrText xml:space="preserve"> INCLUDEPICTURE  "C:\\Documents\\WeChat%20Files\\wxid_tht3bf8np7ci22\\ADMINI~1\\AppData\\Local\\Temp\\ksohtml2428\\wps2.png" \* MERGEFORMATINET </w:instrText>
            </w:r>
            <w:r>
              <w:rPr>
                <w:b/>
              </w:rPr>
              <w:fldChar w:fldCharType="separate"/>
            </w:r>
            <w:r>
              <w:rPr>
                <w:b/>
              </w:rPr>
              <w:fldChar w:fldCharType="begin"/>
            </w:r>
            <w:r>
              <w:rPr>
                <w:b/>
              </w:rPr>
              <w:instrText xml:space="preserve"> INCLUDEPICTURE  "C:\\Documents\\WeChat%20Files\\wxid_tht3bf8np7ci22\\ADMINI~1\\AppData\\Local\\Temp\\ksohtml2428\\wps2.png" \* MERGEFORMATINET </w:instrText>
            </w:r>
            <w:r>
              <w:rPr>
                <w:b/>
              </w:rPr>
              <w:fldChar w:fldCharType="separate"/>
            </w:r>
            <w:r>
              <w:rPr>
                <w:b/>
              </w:rPr>
              <w:fldChar w:fldCharType="begin"/>
            </w:r>
            <w:r>
              <w:rPr>
                <w:b/>
              </w:rPr>
              <w:instrText xml:space="preserve"> INCLUDEPICTURE  "C:\\Documents\\WeChat%20Files\\wxid_tht3bf8np7ci22\\ADMINI~1\\AppData\\Local\\Temp\\ksohtml2428\\wps2.png" \* MERGEFORMATINET </w:instrText>
            </w:r>
            <w:r>
              <w:rPr>
                <w:b/>
              </w:rPr>
              <w:fldChar w:fldCharType="separate"/>
            </w:r>
            <w:r>
              <w:rPr>
                <w:b/>
              </w:rPr>
              <w:fldChar w:fldCharType="begin"/>
            </w:r>
            <w:r>
              <w:rPr>
                <w:b/>
              </w:rPr>
              <w:instrText xml:space="preserve"> INCLUDEPICTURE  "C:\\Documents\\WeChat%20Files\\wxid_tht3bf8np7ci22\\ADMINI~1\\AppData\\Local\\Temp\\ksohtml2428\\wps2.png" \* MERGEFORMATINET </w:instrText>
            </w:r>
            <w:r>
              <w:rPr>
                <w:b/>
              </w:rPr>
              <w:fldChar w:fldCharType="separate"/>
            </w:r>
            <w:r>
              <w:rPr>
                <w:b/>
              </w:rPr>
              <w:fldChar w:fldCharType="begin"/>
            </w:r>
            <w:r>
              <w:rPr>
                <w:b/>
              </w:rPr>
              <w:instrText xml:space="preserve"> INCLUDEPICTURE  "C:\\Documents\\WeChat%20Files\\wxid_tht3bf8np7ci22\\ADMINI~1\\AppData\\Local\\Temp\\ksohtml2428\\wps2.png" \* MERGEFORMATINET </w:instrText>
            </w:r>
            <w:r>
              <w:rPr>
                <w:b/>
              </w:rPr>
              <w:fldChar w:fldCharType="separate"/>
            </w:r>
            <w:r>
              <w:rPr>
                <w:b/>
              </w:rPr>
              <w:fldChar w:fldCharType="begin"/>
            </w:r>
            <w:r>
              <w:rPr>
                <w:b/>
              </w:rPr>
              <w:instrText xml:space="preserve"> INCLUDEPICTURE  "C:\\Documents\\WeChat%20Files\\wxid_tht3bf8np7ci22\\ADMINI~1\\AppData\\Local\\Temp\\ksohtml2428\\wps2.png" \* MERGEFORMATINET </w:instrText>
            </w:r>
            <w:r>
              <w:rPr>
                <w:b/>
              </w:rPr>
              <w:fldChar w:fldCharType="separate"/>
            </w:r>
            <w:r>
              <w:rPr>
                <w:b/>
              </w:rPr>
              <w:pict>
                <v:shape id="_x0000_i1027" o:spt="75" type="#_x0000_t75" style="height:31.8pt;width:349.15pt;" filled="f" o:preferrelative="t" stroked="f" coordsize="21600,21600">
                  <v:path/>
                  <v:fill on="f" focussize="0,0"/>
                  <v:stroke on="f" joinstyle="miter"/>
                  <v:imagedata r:id="rId24" r:href="rId25" o:title=""/>
                  <o:lock v:ext="edit" aspectratio="t"/>
                  <w10:wrap type="none"/>
                  <w10:anchorlock/>
                </v:shape>
              </w:pict>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p>
          <w:p w14:paraId="3D927BE8">
            <w:pPr>
              <w:spacing w:line="500" w:lineRule="exact"/>
              <w:ind w:firstLine="480" w:firstLineChars="200"/>
              <w:rPr>
                <w:kern w:val="0"/>
                <w:sz w:val="24"/>
              </w:rPr>
            </w:pPr>
            <w:r>
              <w:rPr>
                <w:kern w:val="0"/>
                <w:sz w:val="24"/>
              </w:rPr>
              <w:t>在将废气进行催化燃烧的过程中，废气经管道由风机送入热交换器进行一次升温，再进加热室将废气加热到催化燃烧所需要的起始温度。经过加热的废气通过催化剂层使之燃烧。由于催化剂的作用，催化燃烧法废气燃烧的起始温度约为200-300</w:t>
            </w:r>
            <w:r>
              <w:rPr>
                <w:rFonts w:hint="eastAsia"/>
                <w:kern w:val="0"/>
                <w:sz w:val="24"/>
              </w:rPr>
              <w:t>℃</w:t>
            </w:r>
            <w:r>
              <w:rPr>
                <w:kern w:val="0"/>
                <w:sz w:val="24"/>
              </w:rPr>
              <w:t>，大大低于直接燃烧法的燃烧温度670-800</w:t>
            </w:r>
            <w:r>
              <w:rPr>
                <w:rFonts w:hint="eastAsia"/>
                <w:kern w:val="0"/>
                <w:sz w:val="24"/>
              </w:rPr>
              <w:t>℃</w:t>
            </w:r>
            <w:r>
              <w:rPr>
                <w:kern w:val="0"/>
                <w:sz w:val="24"/>
              </w:rPr>
              <w:t>，因此能耗远比直接燃烧法低。同时在催化剂的活性作用下，反应后的气体产生一定的热量，高温气体再次进入热交换器，经换热冷却，最终以较低的温度经风机排入大气。催化燃烧装置装有温度探头及补冷阀，当炉体催化室反应温度超过设定上限时，开启补冷阀对进气源进行稀释，保护设备延长使用寿命，防止意外发生。</w:t>
            </w:r>
          </w:p>
          <w:p w14:paraId="37A84AF3">
            <w:pPr>
              <w:jc w:val="center"/>
            </w:pPr>
            <w:r>
              <w:rPr>
                <w:b/>
              </w:rPr>
              <w:fldChar w:fldCharType="begin"/>
            </w:r>
            <w:r>
              <w:rPr>
                <w:b/>
              </w:rPr>
              <w:instrText xml:space="preserve"> INCLUDEPICTURE  "C:\\Documents\\WeChat%20Files\\wxid_tht3bf8np7ci22\\ADMINI~1\\AppData\\Local\\Temp\\ksohtml2428\\wps1.png" \* MERGEFORMATINET </w:instrText>
            </w:r>
            <w:r>
              <w:rPr>
                <w:b/>
              </w:rPr>
              <w:fldChar w:fldCharType="separate"/>
            </w:r>
            <w:r>
              <w:rPr>
                <w:b/>
              </w:rPr>
              <w:fldChar w:fldCharType="begin"/>
            </w:r>
            <w:r>
              <w:rPr>
                <w:b/>
              </w:rPr>
              <w:instrText xml:space="preserve"> INCLUDEPICTURE  "C:\\Documents\\WeChat%20Files\\wxid_tht3bf8np7ci22\\ADMINI~1\\AppData\\Local\\Temp\\ksohtml2428\\wps1.png" \* MERGEFORMATINET </w:instrText>
            </w:r>
            <w:r>
              <w:rPr>
                <w:b/>
              </w:rPr>
              <w:fldChar w:fldCharType="separate"/>
            </w:r>
            <w:r>
              <w:rPr>
                <w:b/>
              </w:rPr>
              <w:fldChar w:fldCharType="begin"/>
            </w:r>
            <w:r>
              <w:rPr>
                <w:b/>
              </w:rPr>
              <w:instrText xml:space="preserve"> INCLUDEPICTURE  "C:\\Documents\\WeChat%20Files\\wxid_tht3bf8np7ci22\\ADMINI~1\\AppData\\Local\\Temp\\ksohtml2428\\wps1.png" \* MERGEFORMATINET </w:instrText>
            </w:r>
            <w:r>
              <w:rPr>
                <w:b/>
              </w:rPr>
              <w:fldChar w:fldCharType="separate"/>
            </w:r>
            <w:r>
              <w:rPr>
                <w:b/>
              </w:rPr>
              <w:fldChar w:fldCharType="begin"/>
            </w:r>
            <w:r>
              <w:rPr>
                <w:b/>
              </w:rPr>
              <w:instrText xml:space="preserve"> INCLUDEPICTURE  "C:\\Documents\\WeChat%20Files\\wxid_tht3bf8np7ci22\\ADMINI~1\\AppData\\Local\\Temp\\ksohtml2428\\wps1.png" \* MERGEFORMATINET </w:instrText>
            </w:r>
            <w:r>
              <w:rPr>
                <w:b/>
              </w:rPr>
              <w:fldChar w:fldCharType="separate"/>
            </w:r>
            <w:r>
              <w:rPr>
                <w:b/>
              </w:rPr>
              <w:fldChar w:fldCharType="begin"/>
            </w:r>
            <w:r>
              <w:rPr>
                <w:b/>
              </w:rPr>
              <w:instrText xml:space="preserve"> INCLUDEPICTURE  "C:\\Documents\\WeChat%20Files\\wxid_tht3bf8np7ci22\\ADMINI~1\\AppData\\Local\\Temp\\ksohtml2428\\wps1.png" \* MERGEFORMATINET </w:instrText>
            </w:r>
            <w:r>
              <w:rPr>
                <w:b/>
              </w:rPr>
              <w:fldChar w:fldCharType="separate"/>
            </w:r>
            <w:r>
              <w:rPr>
                <w:b/>
              </w:rPr>
              <w:fldChar w:fldCharType="begin"/>
            </w:r>
            <w:r>
              <w:rPr>
                <w:b/>
              </w:rPr>
              <w:instrText xml:space="preserve"> INCLUDEPICTURE  "C:\\Documents\\WeChat%20Files\\wxid_tht3bf8np7ci22\\ADMINI~1\\AppData\\Local\\Temp\\ksohtml2428\\wps1.png" \* MERGEFORMATINET </w:instrText>
            </w:r>
            <w:r>
              <w:rPr>
                <w:b/>
              </w:rPr>
              <w:fldChar w:fldCharType="separate"/>
            </w:r>
            <w:r>
              <w:rPr>
                <w:b/>
              </w:rPr>
              <w:fldChar w:fldCharType="begin"/>
            </w:r>
            <w:r>
              <w:rPr>
                <w:b/>
              </w:rPr>
              <w:instrText xml:space="preserve"> INCLUDEPICTURE  "C:\\Documents\\WeChat%20Files\\wxid_tht3bf8np7ci22\\ADMINI~1\\AppData\\Local\\Temp\\ksohtml2428\\wps1.png" \* MERGEFORMATINET </w:instrText>
            </w:r>
            <w:r>
              <w:rPr>
                <w:b/>
              </w:rPr>
              <w:fldChar w:fldCharType="separate"/>
            </w:r>
            <w:r>
              <w:rPr>
                <w:b/>
              </w:rPr>
              <w:fldChar w:fldCharType="begin"/>
            </w:r>
            <w:r>
              <w:rPr>
                <w:b/>
              </w:rPr>
              <w:instrText xml:space="preserve"> INCLUDEPICTURE  "C:\\Documents\\WeChat%20Files\\wxid_tht3bf8np7ci22\\ADMINI~1\\AppData\\Local\\Temp\\ksohtml2428\\wps1.png" \* MERGEFORMATINET </w:instrText>
            </w:r>
            <w:r>
              <w:rPr>
                <w:b/>
              </w:rPr>
              <w:fldChar w:fldCharType="separate"/>
            </w:r>
            <w:r>
              <w:rPr>
                <w:b/>
              </w:rPr>
              <w:pict>
                <v:shape id="_x0000_i1028" o:spt="75" type="#_x0000_t75" style="height:127.25pt;width:318.05pt;" filled="f" o:preferrelative="t" stroked="f" coordsize="21600,21600">
                  <v:path/>
                  <v:fill on="f" focussize="0,0"/>
                  <v:stroke on="f" joinstyle="miter"/>
                  <v:imagedata r:id="rId26" r:href="rId27" o:title=""/>
                  <o:lock v:ext="edit" aspectratio="t"/>
                  <w10:wrap type="none"/>
                  <w10:anchorlock/>
                </v:shape>
              </w:pict>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p>
          <w:p w14:paraId="4E5013AF">
            <w:pPr>
              <w:ind w:firstLine="482"/>
              <w:jc w:val="center"/>
              <w:rPr>
                <w:b/>
              </w:rPr>
            </w:pPr>
            <w:r>
              <w:rPr>
                <w:b/>
              </w:rPr>
              <w:t>图</w:t>
            </w:r>
            <w:r>
              <w:rPr>
                <w:rFonts w:hint="eastAsia"/>
                <w:b/>
              </w:rPr>
              <w:t>6</w:t>
            </w:r>
            <w:r>
              <w:rPr>
                <w:b/>
              </w:rPr>
              <w:t>.1-4  催化燃烧(CO)工艺流程图</w:t>
            </w:r>
          </w:p>
          <w:p w14:paraId="49D4FD0E">
            <w:pPr>
              <w:spacing w:line="500" w:lineRule="exact"/>
              <w:ind w:firstLine="480" w:firstLineChars="200"/>
              <w:rPr>
                <w:kern w:val="0"/>
                <w:sz w:val="24"/>
              </w:rPr>
            </w:pPr>
            <w:r>
              <w:rPr>
                <w:rFonts w:hint="eastAsia"/>
                <w:kern w:val="0"/>
                <w:sz w:val="24"/>
              </w:rPr>
              <w:t>吸附脱附的工艺原理：吸附箱采用炭钢折边成型制作，内壁设有保温层，确保在脱附过程中热量的损失，内部装有一定量的蜂窝活性炭，并留有一定的空间，保证均匀布风，该活性炭比表面积和孔隙率大，吸附能力强，具有较好的机械强度、化学稳定性和热稳定性，净化效率可达90%。有机废气通过吸附装置与活性炭接触，废气中的有机污染物被吸附在活性炭表面，从而从气流中脱离，达到净化效果。</w:t>
            </w:r>
          </w:p>
          <w:p w14:paraId="30AE007F">
            <w:pPr>
              <w:spacing w:line="500" w:lineRule="exact"/>
              <w:ind w:firstLine="480" w:firstLineChars="200"/>
              <w:rPr>
                <w:kern w:val="0"/>
                <w:sz w:val="24"/>
              </w:rPr>
            </w:pPr>
            <w:r>
              <w:rPr>
                <w:rFonts w:hint="eastAsia"/>
                <w:kern w:val="0"/>
                <w:sz w:val="24"/>
              </w:rPr>
              <w:t>按项目废气产生量计算活性炭用量（活性炭用量：废气产生量=1：0.3），有组织排放VOCs速率为1.24375*0.9=1.119kg/h，每天运行8h，每月运行200h，则活性炭需求量为200*1.119/0.3=746kg，取整为800kg，活性炭每月再生一次，活性炭再生12次后，吸附能力大幅下降，需更换活性炭，即每年需更换活性炭一次，则每年产生更换活性炭800 kg/a，而活性炭吸附的非甲烷总烃为最后一次再生后的吸附量（一个月）1.119*200/1000=0.224t/a，故废活性炭重量为0.224+0.8=1.024t/a。</w:t>
            </w:r>
          </w:p>
          <w:p w14:paraId="0BC9BBE4">
            <w:pPr>
              <w:spacing w:line="500" w:lineRule="exact"/>
              <w:ind w:firstLine="480" w:firstLineChars="200"/>
              <w:rPr>
                <w:kern w:val="0"/>
                <w:sz w:val="24"/>
              </w:rPr>
            </w:pPr>
            <w:r>
              <w:rPr>
                <w:kern w:val="0"/>
                <w:sz w:val="24"/>
              </w:rPr>
              <w:t>主要技术参数如下表所示。</w:t>
            </w:r>
          </w:p>
          <w:p w14:paraId="5539DEFC">
            <w:pPr>
              <w:widowControl/>
              <w:jc w:val="center"/>
            </w:pPr>
            <w:r>
              <w:rPr>
                <w:rFonts w:ascii="瀹嬩綋" w:hAnsi="瀹嬩綋" w:eastAsia="瀹嬩綋" w:cs="瀹嬩綋"/>
                <w:b/>
                <w:bCs/>
                <w:color w:val="000000"/>
                <w:kern w:val="0"/>
                <w:szCs w:val="21"/>
                <w:lang w:bidi="ar"/>
              </w:rPr>
              <w:t>表</w:t>
            </w:r>
            <w:r>
              <w:rPr>
                <w:rFonts w:hint="eastAsia"/>
                <w:b/>
                <w:bCs/>
                <w:color w:val="000000"/>
                <w:kern w:val="0"/>
                <w:szCs w:val="21"/>
                <w:lang w:bidi="ar"/>
              </w:rPr>
              <w:t>4-13</w:t>
            </w:r>
            <w:r>
              <w:rPr>
                <w:rFonts w:ascii="瀹嬩綋" w:hAnsi="瀹嬩綋" w:eastAsia="瀹嬩綋" w:cs="瀹嬩綋"/>
                <w:b/>
                <w:bCs/>
                <w:color w:val="000000"/>
                <w:kern w:val="0"/>
                <w:szCs w:val="21"/>
                <w:lang w:bidi="ar"/>
              </w:rPr>
              <w:t xml:space="preserve"> 项目有机废气治理设施主要技术参数</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4873"/>
              <w:gridCol w:w="3270"/>
            </w:tblGrid>
            <w:tr w14:paraId="7ADF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3DEE9951">
                  <w:pPr>
                    <w:spacing w:line="500" w:lineRule="exact"/>
                    <w:jc w:val="center"/>
                    <w:rPr>
                      <w:b/>
                      <w:bCs/>
                      <w:kern w:val="0"/>
                      <w:sz w:val="24"/>
                    </w:rPr>
                  </w:pPr>
                  <w:r>
                    <w:rPr>
                      <w:rFonts w:hint="eastAsia"/>
                      <w:b/>
                      <w:bCs/>
                      <w:kern w:val="0"/>
                      <w:sz w:val="24"/>
                    </w:rPr>
                    <w:t>序号</w:t>
                  </w:r>
                </w:p>
              </w:tc>
              <w:tc>
                <w:tcPr>
                  <w:tcW w:w="2694" w:type="pct"/>
                  <w:vAlign w:val="center"/>
                </w:tcPr>
                <w:p w14:paraId="057C80A9">
                  <w:pPr>
                    <w:spacing w:line="500" w:lineRule="exact"/>
                    <w:jc w:val="center"/>
                    <w:rPr>
                      <w:b/>
                      <w:bCs/>
                      <w:kern w:val="0"/>
                      <w:sz w:val="24"/>
                    </w:rPr>
                  </w:pPr>
                  <w:r>
                    <w:rPr>
                      <w:rFonts w:hint="eastAsia"/>
                      <w:b/>
                      <w:bCs/>
                      <w:kern w:val="0"/>
                      <w:sz w:val="24"/>
                    </w:rPr>
                    <w:t>项目</w:t>
                  </w:r>
                </w:p>
              </w:tc>
              <w:tc>
                <w:tcPr>
                  <w:tcW w:w="1808" w:type="pct"/>
                  <w:vAlign w:val="center"/>
                </w:tcPr>
                <w:p w14:paraId="14608AC5">
                  <w:pPr>
                    <w:spacing w:line="500" w:lineRule="exact"/>
                    <w:jc w:val="center"/>
                    <w:rPr>
                      <w:b/>
                      <w:bCs/>
                      <w:kern w:val="0"/>
                      <w:sz w:val="24"/>
                    </w:rPr>
                  </w:pPr>
                  <w:r>
                    <w:rPr>
                      <w:b/>
                      <w:bCs/>
                      <w:kern w:val="0"/>
                      <w:sz w:val="24"/>
                    </w:rPr>
                    <w:t>废气活性炭吸附设施</w:t>
                  </w:r>
                </w:p>
              </w:tc>
            </w:tr>
            <w:tr w14:paraId="147C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6EBB607F">
                  <w:pPr>
                    <w:spacing w:line="500" w:lineRule="exact"/>
                    <w:jc w:val="center"/>
                    <w:rPr>
                      <w:kern w:val="0"/>
                      <w:sz w:val="24"/>
                    </w:rPr>
                  </w:pPr>
                  <w:r>
                    <w:rPr>
                      <w:rFonts w:hint="eastAsia"/>
                      <w:kern w:val="0"/>
                      <w:sz w:val="24"/>
                    </w:rPr>
                    <w:t>1</w:t>
                  </w:r>
                </w:p>
              </w:tc>
              <w:tc>
                <w:tcPr>
                  <w:tcW w:w="2694" w:type="pct"/>
                  <w:vAlign w:val="center"/>
                </w:tcPr>
                <w:p w14:paraId="1D1C2CAB">
                  <w:pPr>
                    <w:widowControl/>
                    <w:jc w:val="center"/>
                    <w:rPr>
                      <w:kern w:val="0"/>
                      <w:sz w:val="24"/>
                    </w:rPr>
                  </w:pPr>
                  <w:r>
                    <w:rPr>
                      <w:rFonts w:hint="eastAsia" w:ascii="宋体" w:hAnsi="宋体" w:cs="宋体"/>
                      <w:color w:val="000000"/>
                      <w:kern w:val="0"/>
                      <w:szCs w:val="21"/>
                      <w:lang w:bidi="ar"/>
                    </w:rPr>
                    <w:t>风量（</w:t>
                  </w:r>
                  <w:r>
                    <w:rPr>
                      <w:color w:val="000000"/>
                      <w:kern w:val="0"/>
                      <w:szCs w:val="21"/>
                      <w:lang w:bidi="ar"/>
                    </w:rPr>
                    <w:t>m³/h</w:t>
                  </w:r>
                  <w:r>
                    <w:rPr>
                      <w:rFonts w:hint="eastAsia" w:ascii="PMingLiU" w:hAnsi="PMingLiU" w:eastAsia="PMingLiU" w:cs="PMingLiU"/>
                      <w:color w:val="000000"/>
                      <w:kern w:val="0"/>
                      <w:szCs w:val="21"/>
                      <w:lang w:bidi="ar"/>
                    </w:rPr>
                    <w:t>）</w:t>
                  </w:r>
                </w:p>
              </w:tc>
              <w:tc>
                <w:tcPr>
                  <w:tcW w:w="1808" w:type="pct"/>
                  <w:vAlign w:val="center"/>
                </w:tcPr>
                <w:p w14:paraId="236F9898">
                  <w:pPr>
                    <w:widowControl/>
                    <w:jc w:val="center"/>
                    <w:rPr>
                      <w:kern w:val="0"/>
                      <w:sz w:val="24"/>
                    </w:rPr>
                  </w:pPr>
                  <w:r>
                    <w:rPr>
                      <w:rFonts w:hint="eastAsia"/>
                      <w:color w:val="000000"/>
                      <w:kern w:val="0"/>
                      <w:szCs w:val="21"/>
                      <w:lang w:bidi="ar"/>
                    </w:rPr>
                    <w:t>20000</w:t>
                  </w:r>
                </w:p>
              </w:tc>
            </w:tr>
            <w:tr w14:paraId="4FE8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0C27333D">
                  <w:pPr>
                    <w:spacing w:line="500" w:lineRule="exact"/>
                    <w:jc w:val="center"/>
                    <w:rPr>
                      <w:kern w:val="0"/>
                      <w:sz w:val="24"/>
                    </w:rPr>
                  </w:pPr>
                  <w:r>
                    <w:rPr>
                      <w:rFonts w:hint="eastAsia"/>
                      <w:kern w:val="0"/>
                      <w:sz w:val="24"/>
                    </w:rPr>
                    <w:t>2</w:t>
                  </w:r>
                </w:p>
              </w:tc>
              <w:tc>
                <w:tcPr>
                  <w:tcW w:w="2694" w:type="pct"/>
                  <w:vAlign w:val="center"/>
                </w:tcPr>
                <w:p w14:paraId="56E5569E">
                  <w:pPr>
                    <w:widowControl/>
                    <w:jc w:val="center"/>
                  </w:pPr>
                  <w:r>
                    <w:rPr>
                      <w:rFonts w:ascii="瀹嬩綋" w:hAnsi="瀹嬩綋" w:eastAsia="瀹嬩綋" w:cs="瀹嬩綋"/>
                      <w:color w:val="000000"/>
                      <w:kern w:val="0"/>
                      <w:szCs w:val="21"/>
                      <w:lang w:bidi="ar"/>
                    </w:rPr>
                    <w:t>单个活性炭箱主体规格（</w:t>
                  </w:r>
                  <w:r>
                    <w:rPr>
                      <w:color w:val="000000"/>
                      <w:kern w:val="0"/>
                      <w:szCs w:val="21"/>
                      <w:lang w:bidi="ar"/>
                    </w:rPr>
                    <w:t>L×W×H</w:t>
                  </w:r>
                  <w:r>
                    <w:rPr>
                      <w:rFonts w:ascii="瀹嬩綋" w:hAnsi="瀹嬩綋" w:eastAsia="瀹嬩綋" w:cs="瀹嬩綋"/>
                      <w:color w:val="000000"/>
                      <w:kern w:val="0"/>
                      <w:szCs w:val="21"/>
                      <w:lang w:bidi="ar"/>
                    </w:rPr>
                    <w:t>）</w:t>
                  </w:r>
                </w:p>
                <w:p w14:paraId="19F8EF8E">
                  <w:pPr>
                    <w:widowControl/>
                    <w:jc w:val="center"/>
                    <w:rPr>
                      <w:kern w:val="0"/>
                      <w:sz w:val="24"/>
                    </w:rPr>
                  </w:pPr>
                  <w:r>
                    <w:rPr>
                      <w:color w:val="000000"/>
                      <w:kern w:val="0"/>
                      <w:szCs w:val="21"/>
                      <w:lang w:bidi="ar"/>
                    </w:rPr>
                    <w:t>(m)</w:t>
                  </w:r>
                </w:p>
              </w:tc>
              <w:tc>
                <w:tcPr>
                  <w:tcW w:w="1808" w:type="pct"/>
                  <w:vAlign w:val="center"/>
                </w:tcPr>
                <w:p w14:paraId="0350224B">
                  <w:pPr>
                    <w:widowControl/>
                    <w:jc w:val="center"/>
                    <w:rPr>
                      <w:kern w:val="0"/>
                      <w:sz w:val="24"/>
                    </w:rPr>
                  </w:pPr>
                  <w:r>
                    <w:rPr>
                      <w:rFonts w:hint="eastAsia"/>
                      <w:color w:val="000000"/>
                      <w:kern w:val="0"/>
                      <w:szCs w:val="21"/>
                      <w:lang w:bidi="ar"/>
                    </w:rPr>
                    <w:t>3</w:t>
                  </w:r>
                  <w:r>
                    <w:rPr>
                      <w:color w:val="000000"/>
                      <w:kern w:val="0"/>
                      <w:szCs w:val="21"/>
                      <w:lang w:bidi="ar"/>
                    </w:rPr>
                    <w:t>.0×1.</w:t>
                  </w:r>
                  <w:r>
                    <w:rPr>
                      <w:rFonts w:hint="eastAsia"/>
                      <w:color w:val="000000"/>
                      <w:kern w:val="0"/>
                      <w:szCs w:val="21"/>
                      <w:lang w:bidi="ar"/>
                    </w:rPr>
                    <w:t>7</w:t>
                  </w:r>
                  <w:r>
                    <w:rPr>
                      <w:color w:val="000000"/>
                      <w:kern w:val="0"/>
                      <w:szCs w:val="21"/>
                      <w:lang w:bidi="ar"/>
                    </w:rPr>
                    <w:t>×1.</w:t>
                  </w:r>
                  <w:r>
                    <w:rPr>
                      <w:rFonts w:hint="eastAsia"/>
                      <w:color w:val="000000"/>
                      <w:kern w:val="0"/>
                      <w:szCs w:val="21"/>
                      <w:lang w:bidi="ar"/>
                    </w:rPr>
                    <w:t>5</w:t>
                  </w:r>
                </w:p>
              </w:tc>
            </w:tr>
            <w:tr w14:paraId="58A1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146E3CDE">
                  <w:pPr>
                    <w:spacing w:line="500" w:lineRule="exact"/>
                    <w:jc w:val="center"/>
                    <w:rPr>
                      <w:kern w:val="0"/>
                      <w:sz w:val="24"/>
                    </w:rPr>
                  </w:pPr>
                  <w:r>
                    <w:rPr>
                      <w:rFonts w:hint="eastAsia"/>
                      <w:kern w:val="0"/>
                      <w:sz w:val="24"/>
                    </w:rPr>
                    <w:t>3</w:t>
                  </w:r>
                </w:p>
              </w:tc>
              <w:tc>
                <w:tcPr>
                  <w:tcW w:w="2694" w:type="pct"/>
                  <w:vAlign w:val="center"/>
                </w:tcPr>
                <w:p w14:paraId="0161CF4A">
                  <w:pPr>
                    <w:widowControl/>
                    <w:jc w:val="center"/>
                    <w:rPr>
                      <w:kern w:val="0"/>
                      <w:sz w:val="24"/>
                    </w:rPr>
                  </w:pPr>
                  <w:r>
                    <w:rPr>
                      <w:rFonts w:hint="eastAsia" w:ascii="PMingLiU" w:hAnsi="PMingLiU" w:eastAsia="PMingLiU" w:cs="PMingLiU"/>
                      <w:color w:val="000000"/>
                      <w:kern w:val="0"/>
                      <w:szCs w:val="21"/>
                      <w:lang w:bidi="ar"/>
                    </w:rPr>
                    <w:t>空箱</w:t>
                  </w:r>
                  <w:r>
                    <w:rPr>
                      <w:rFonts w:hint="eastAsia" w:ascii="宋体" w:hAnsi="宋体" w:cs="宋体"/>
                      <w:color w:val="000000"/>
                      <w:kern w:val="0"/>
                      <w:szCs w:val="21"/>
                      <w:lang w:bidi="ar"/>
                    </w:rPr>
                    <w:t>风速（</w:t>
                  </w:r>
                  <w:r>
                    <w:rPr>
                      <w:color w:val="000000"/>
                      <w:kern w:val="0"/>
                      <w:szCs w:val="21"/>
                      <w:lang w:bidi="ar"/>
                    </w:rPr>
                    <w:t>m/s</w:t>
                  </w:r>
                  <w:r>
                    <w:rPr>
                      <w:rFonts w:hint="eastAsia" w:ascii="PMingLiU" w:hAnsi="PMingLiU" w:eastAsia="PMingLiU" w:cs="PMingLiU"/>
                      <w:color w:val="000000"/>
                      <w:kern w:val="0"/>
                      <w:szCs w:val="21"/>
                      <w:lang w:bidi="ar"/>
                    </w:rPr>
                    <w:t>）</w:t>
                  </w:r>
                </w:p>
              </w:tc>
              <w:tc>
                <w:tcPr>
                  <w:tcW w:w="1808" w:type="pct"/>
                  <w:vAlign w:val="center"/>
                </w:tcPr>
                <w:p w14:paraId="35D5758E">
                  <w:pPr>
                    <w:widowControl/>
                    <w:jc w:val="center"/>
                    <w:rPr>
                      <w:kern w:val="0"/>
                      <w:sz w:val="24"/>
                    </w:rPr>
                  </w:pPr>
                  <w:r>
                    <w:rPr>
                      <w:color w:val="000000"/>
                      <w:kern w:val="0"/>
                      <w:szCs w:val="21"/>
                      <w:lang w:bidi="ar"/>
                    </w:rPr>
                    <w:t>1.</w:t>
                  </w:r>
                  <w:r>
                    <w:rPr>
                      <w:rFonts w:hint="eastAsia"/>
                      <w:color w:val="000000"/>
                      <w:kern w:val="0"/>
                      <w:szCs w:val="21"/>
                      <w:lang w:bidi="ar"/>
                    </w:rPr>
                    <w:t>09</w:t>
                  </w:r>
                </w:p>
              </w:tc>
            </w:tr>
            <w:tr w14:paraId="6965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4C74ACFC">
                  <w:pPr>
                    <w:spacing w:line="500" w:lineRule="exact"/>
                    <w:jc w:val="center"/>
                    <w:rPr>
                      <w:kern w:val="0"/>
                      <w:sz w:val="24"/>
                    </w:rPr>
                  </w:pPr>
                  <w:r>
                    <w:rPr>
                      <w:rFonts w:hint="eastAsia"/>
                      <w:kern w:val="0"/>
                      <w:sz w:val="24"/>
                    </w:rPr>
                    <w:t>4</w:t>
                  </w:r>
                </w:p>
              </w:tc>
              <w:tc>
                <w:tcPr>
                  <w:tcW w:w="2694" w:type="pct"/>
                  <w:vAlign w:val="center"/>
                </w:tcPr>
                <w:p w14:paraId="013DDBCB">
                  <w:pPr>
                    <w:widowControl/>
                    <w:jc w:val="center"/>
                    <w:rPr>
                      <w:kern w:val="0"/>
                      <w:sz w:val="24"/>
                    </w:rPr>
                  </w:pPr>
                  <w:r>
                    <w:rPr>
                      <w:rFonts w:hint="eastAsia" w:ascii="PMingLiU" w:hAnsi="PMingLiU" w:eastAsia="PMingLiU" w:cs="PMingLiU"/>
                      <w:color w:val="000000"/>
                      <w:kern w:val="0"/>
                      <w:szCs w:val="21"/>
                      <w:lang w:bidi="ar"/>
                    </w:rPr>
                    <w:t>炭</w:t>
                  </w:r>
                  <w:r>
                    <w:rPr>
                      <w:rFonts w:hint="eastAsia" w:ascii="宋体" w:hAnsi="宋体" w:cs="宋体"/>
                      <w:color w:val="000000"/>
                      <w:kern w:val="0"/>
                      <w:szCs w:val="21"/>
                      <w:lang w:bidi="ar"/>
                    </w:rPr>
                    <w:t>层实际厚度</w:t>
                  </w:r>
                  <w:r>
                    <w:rPr>
                      <w:color w:val="000000"/>
                      <w:kern w:val="0"/>
                      <w:szCs w:val="21"/>
                      <w:lang w:bidi="ar"/>
                    </w:rPr>
                    <w:t>(m)</w:t>
                  </w:r>
                </w:p>
              </w:tc>
              <w:tc>
                <w:tcPr>
                  <w:tcW w:w="1808" w:type="pct"/>
                  <w:vAlign w:val="center"/>
                </w:tcPr>
                <w:p w14:paraId="67E4A609">
                  <w:pPr>
                    <w:widowControl/>
                    <w:jc w:val="center"/>
                    <w:rPr>
                      <w:kern w:val="0"/>
                      <w:sz w:val="24"/>
                    </w:rPr>
                  </w:pPr>
                  <w:r>
                    <w:rPr>
                      <w:color w:val="000000"/>
                      <w:kern w:val="0"/>
                      <w:szCs w:val="21"/>
                      <w:lang w:bidi="ar"/>
                    </w:rPr>
                    <w:t>0.</w:t>
                  </w:r>
                  <w:r>
                    <w:rPr>
                      <w:rFonts w:hint="eastAsia"/>
                      <w:color w:val="000000"/>
                      <w:kern w:val="0"/>
                      <w:szCs w:val="21"/>
                      <w:lang w:bidi="ar"/>
                    </w:rPr>
                    <w:t>12</w:t>
                  </w:r>
                </w:p>
              </w:tc>
            </w:tr>
            <w:tr w14:paraId="26C6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04D25106">
                  <w:pPr>
                    <w:spacing w:line="500" w:lineRule="exact"/>
                    <w:jc w:val="center"/>
                    <w:rPr>
                      <w:kern w:val="0"/>
                      <w:sz w:val="24"/>
                    </w:rPr>
                  </w:pPr>
                  <w:r>
                    <w:rPr>
                      <w:rFonts w:hint="eastAsia"/>
                      <w:kern w:val="0"/>
                      <w:sz w:val="24"/>
                    </w:rPr>
                    <w:t>5</w:t>
                  </w:r>
                </w:p>
              </w:tc>
              <w:tc>
                <w:tcPr>
                  <w:tcW w:w="2694" w:type="pct"/>
                  <w:vAlign w:val="center"/>
                </w:tcPr>
                <w:p w14:paraId="701A5F74">
                  <w:pPr>
                    <w:widowControl/>
                    <w:jc w:val="center"/>
                    <w:rPr>
                      <w:kern w:val="0"/>
                      <w:sz w:val="24"/>
                    </w:rPr>
                  </w:pPr>
                  <w:r>
                    <w:rPr>
                      <w:rFonts w:hint="eastAsia" w:ascii="宋体" w:hAnsi="宋体" w:cs="宋体"/>
                      <w:color w:val="000000"/>
                      <w:kern w:val="0"/>
                      <w:szCs w:val="21"/>
                      <w:lang w:bidi="ar"/>
                    </w:rPr>
                    <w:t>过滤风速（</w:t>
                  </w:r>
                  <w:r>
                    <w:rPr>
                      <w:color w:val="000000"/>
                      <w:kern w:val="0"/>
                      <w:szCs w:val="21"/>
                      <w:lang w:bidi="ar"/>
                    </w:rPr>
                    <w:t>m/s</w:t>
                  </w:r>
                  <w:r>
                    <w:rPr>
                      <w:rFonts w:hint="eastAsia" w:ascii="PMingLiU" w:hAnsi="PMingLiU" w:eastAsia="PMingLiU" w:cs="PMingLiU"/>
                      <w:color w:val="000000"/>
                      <w:kern w:val="0"/>
                      <w:szCs w:val="21"/>
                      <w:lang w:bidi="ar"/>
                    </w:rPr>
                    <w:t>）</w:t>
                  </w:r>
                </w:p>
              </w:tc>
              <w:tc>
                <w:tcPr>
                  <w:tcW w:w="1808" w:type="pct"/>
                  <w:vAlign w:val="center"/>
                </w:tcPr>
                <w:p w14:paraId="53062F7B">
                  <w:pPr>
                    <w:widowControl/>
                    <w:jc w:val="center"/>
                    <w:rPr>
                      <w:kern w:val="0"/>
                      <w:sz w:val="24"/>
                    </w:rPr>
                  </w:pPr>
                  <w:r>
                    <w:rPr>
                      <w:color w:val="000000"/>
                      <w:kern w:val="0"/>
                      <w:szCs w:val="21"/>
                      <w:lang w:bidi="ar"/>
                    </w:rPr>
                    <w:t>0.81</w:t>
                  </w:r>
                </w:p>
              </w:tc>
            </w:tr>
            <w:tr w14:paraId="45C6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22349F57">
                  <w:pPr>
                    <w:spacing w:line="500" w:lineRule="exact"/>
                    <w:jc w:val="center"/>
                    <w:rPr>
                      <w:kern w:val="0"/>
                      <w:sz w:val="24"/>
                    </w:rPr>
                  </w:pPr>
                  <w:r>
                    <w:rPr>
                      <w:rFonts w:hint="eastAsia"/>
                      <w:kern w:val="0"/>
                      <w:sz w:val="24"/>
                    </w:rPr>
                    <w:t>6</w:t>
                  </w:r>
                </w:p>
              </w:tc>
              <w:tc>
                <w:tcPr>
                  <w:tcW w:w="2694" w:type="pct"/>
                  <w:vAlign w:val="center"/>
                </w:tcPr>
                <w:p w14:paraId="1CDD83C6">
                  <w:pPr>
                    <w:widowControl/>
                    <w:jc w:val="center"/>
                    <w:rPr>
                      <w:kern w:val="0"/>
                      <w:sz w:val="24"/>
                    </w:rPr>
                  </w:pPr>
                  <w:r>
                    <w:rPr>
                      <w:rFonts w:hint="eastAsia" w:ascii="宋体" w:hAnsi="宋体" w:cs="宋体"/>
                      <w:color w:val="000000"/>
                      <w:kern w:val="0"/>
                      <w:szCs w:val="21"/>
                      <w:lang w:bidi="ar"/>
                    </w:rPr>
                    <w:t>单个活性炭箱体停留时间（</w:t>
                  </w:r>
                  <w:r>
                    <w:rPr>
                      <w:color w:val="000000"/>
                      <w:kern w:val="0"/>
                      <w:szCs w:val="21"/>
                      <w:lang w:bidi="ar"/>
                    </w:rPr>
                    <w:t>s</w:t>
                  </w:r>
                  <w:r>
                    <w:rPr>
                      <w:rFonts w:hint="eastAsia" w:ascii="PMingLiU" w:hAnsi="PMingLiU" w:eastAsia="PMingLiU" w:cs="PMingLiU"/>
                      <w:color w:val="000000"/>
                      <w:kern w:val="0"/>
                      <w:szCs w:val="21"/>
                      <w:lang w:bidi="ar"/>
                    </w:rPr>
                    <w:t>）</w:t>
                  </w:r>
                </w:p>
              </w:tc>
              <w:tc>
                <w:tcPr>
                  <w:tcW w:w="1808" w:type="pct"/>
                  <w:vAlign w:val="center"/>
                </w:tcPr>
                <w:p w14:paraId="38A772A1">
                  <w:pPr>
                    <w:widowControl/>
                    <w:jc w:val="center"/>
                    <w:rPr>
                      <w:kern w:val="0"/>
                      <w:sz w:val="24"/>
                    </w:rPr>
                  </w:pPr>
                  <w:r>
                    <w:rPr>
                      <w:rFonts w:hint="eastAsia" w:ascii="PMingLiU" w:hAnsi="PMingLiU" w:eastAsia="PMingLiU" w:cs="PMingLiU"/>
                      <w:color w:val="000000"/>
                      <w:kern w:val="0"/>
                      <w:szCs w:val="21"/>
                      <w:lang w:bidi="ar"/>
                    </w:rPr>
                    <w:t>蜂</w:t>
                  </w:r>
                  <w:r>
                    <w:rPr>
                      <w:rFonts w:hint="eastAsia" w:ascii="宋体" w:hAnsi="宋体" w:cs="宋体"/>
                      <w:color w:val="000000"/>
                      <w:kern w:val="0"/>
                      <w:szCs w:val="21"/>
                      <w:lang w:bidi="ar"/>
                    </w:rPr>
                    <w:t>窝状</w:t>
                  </w:r>
                </w:p>
              </w:tc>
            </w:tr>
            <w:tr w14:paraId="6D90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65B179B8">
                  <w:pPr>
                    <w:spacing w:line="500" w:lineRule="exact"/>
                    <w:jc w:val="center"/>
                    <w:rPr>
                      <w:kern w:val="0"/>
                      <w:sz w:val="24"/>
                    </w:rPr>
                  </w:pPr>
                  <w:r>
                    <w:rPr>
                      <w:rFonts w:hint="eastAsia"/>
                      <w:kern w:val="0"/>
                      <w:sz w:val="24"/>
                    </w:rPr>
                    <w:t>7</w:t>
                  </w:r>
                </w:p>
              </w:tc>
              <w:tc>
                <w:tcPr>
                  <w:tcW w:w="2694" w:type="pct"/>
                  <w:vAlign w:val="center"/>
                </w:tcPr>
                <w:p w14:paraId="202935A0">
                  <w:pPr>
                    <w:widowControl/>
                    <w:jc w:val="center"/>
                    <w:rPr>
                      <w:kern w:val="0"/>
                      <w:sz w:val="24"/>
                    </w:rPr>
                  </w:pPr>
                  <w:r>
                    <w:rPr>
                      <w:rFonts w:hint="eastAsia" w:ascii="宋体" w:hAnsi="宋体" w:cs="宋体"/>
                      <w:color w:val="000000"/>
                      <w:kern w:val="0"/>
                      <w:szCs w:val="21"/>
                      <w:lang w:bidi="ar"/>
                    </w:rPr>
                    <w:t>单个活性炭箱体炭层实际体积</w:t>
                  </w:r>
                  <w:r>
                    <w:rPr>
                      <w:color w:val="000000"/>
                      <w:kern w:val="0"/>
                      <w:szCs w:val="21"/>
                      <w:lang w:bidi="ar"/>
                    </w:rPr>
                    <w:t>(m</w:t>
                  </w:r>
                  <w:r>
                    <w:rPr>
                      <w:rFonts w:hint="eastAsia"/>
                      <w:color w:val="000000"/>
                      <w:kern w:val="0"/>
                      <w:szCs w:val="21"/>
                      <w:vertAlign w:val="superscript"/>
                      <w:lang w:bidi="ar"/>
                    </w:rPr>
                    <w:t>3</w:t>
                  </w:r>
                  <w:r>
                    <w:rPr>
                      <w:color w:val="000000"/>
                      <w:kern w:val="0"/>
                      <w:szCs w:val="21"/>
                      <w:lang w:bidi="ar"/>
                    </w:rPr>
                    <w:t>)</w:t>
                  </w:r>
                </w:p>
              </w:tc>
              <w:tc>
                <w:tcPr>
                  <w:tcW w:w="1808" w:type="pct"/>
                  <w:vAlign w:val="center"/>
                </w:tcPr>
                <w:p w14:paraId="239CF938">
                  <w:pPr>
                    <w:widowControl/>
                    <w:jc w:val="center"/>
                    <w:rPr>
                      <w:kern w:val="0"/>
                      <w:sz w:val="24"/>
                    </w:rPr>
                  </w:pPr>
                  <w:r>
                    <w:rPr>
                      <w:rFonts w:hint="eastAsia"/>
                      <w:color w:val="000000"/>
                      <w:kern w:val="0"/>
                      <w:szCs w:val="21"/>
                      <w:lang w:bidi="ar"/>
                    </w:rPr>
                    <w:t>0.615</w:t>
                  </w:r>
                </w:p>
              </w:tc>
            </w:tr>
            <w:tr w14:paraId="55B7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68D176B0">
                  <w:pPr>
                    <w:spacing w:line="500" w:lineRule="exact"/>
                    <w:jc w:val="center"/>
                    <w:rPr>
                      <w:kern w:val="0"/>
                      <w:sz w:val="24"/>
                    </w:rPr>
                  </w:pPr>
                  <w:r>
                    <w:rPr>
                      <w:rFonts w:hint="eastAsia"/>
                      <w:kern w:val="0"/>
                      <w:sz w:val="24"/>
                    </w:rPr>
                    <w:t>8</w:t>
                  </w:r>
                </w:p>
              </w:tc>
              <w:tc>
                <w:tcPr>
                  <w:tcW w:w="2694" w:type="pct"/>
                  <w:vAlign w:val="center"/>
                </w:tcPr>
                <w:p w14:paraId="4670F396">
                  <w:pPr>
                    <w:widowControl/>
                    <w:jc w:val="center"/>
                    <w:rPr>
                      <w:kern w:val="0"/>
                      <w:sz w:val="24"/>
                    </w:rPr>
                  </w:pPr>
                  <w:r>
                    <w:rPr>
                      <w:rFonts w:hint="eastAsia" w:ascii="PMingLiU" w:hAnsi="PMingLiU" w:eastAsia="PMingLiU" w:cs="PMingLiU"/>
                      <w:color w:val="000000"/>
                      <w:kern w:val="0"/>
                      <w:szCs w:val="21"/>
                      <w:lang w:bidi="ar"/>
                    </w:rPr>
                    <w:t>炭</w:t>
                  </w:r>
                  <w:r>
                    <w:rPr>
                      <w:rFonts w:hint="eastAsia" w:ascii="宋体" w:hAnsi="宋体" w:cs="宋体"/>
                      <w:color w:val="000000"/>
                      <w:kern w:val="0"/>
                      <w:szCs w:val="21"/>
                      <w:lang w:bidi="ar"/>
                    </w:rPr>
                    <w:t>层密度（</w:t>
                  </w:r>
                  <w:r>
                    <w:rPr>
                      <w:color w:val="000000"/>
                      <w:kern w:val="0"/>
                      <w:szCs w:val="21"/>
                      <w:lang w:bidi="ar"/>
                    </w:rPr>
                    <w:t>g/cm</w:t>
                  </w:r>
                  <w:r>
                    <w:rPr>
                      <w:color w:val="000000"/>
                      <w:kern w:val="0"/>
                      <w:sz w:val="13"/>
                      <w:szCs w:val="13"/>
                      <w:lang w:bidi="ar"/>
                    </w:rPr>
                    <w:t>3</w:t>
                  </w:r>
                  <w:r>
                    <w:rPr>
                      <w:rFonts w:hint="eastAsia" w:ascii="PMingLiU" w:hAnsi="PMingLiU" w:eastAsia="PMingLiU" w:cs="PMingLiU"/>
                      <w:color w:val="000000"/>
                      <w:kern w:val="0"/>
                      <w:szCs w:val="21"/>
                      <w:lang w:bidi="ar"/>
                    </w:rPr>
                    <w:t>）</w:t>
                  </w:r>
                </w:p>
              </w:tc>
              <w:tc>
                <w:tcPr>
                  <w:tcW w:w="1808" w:type="pct"/>
                  <w:vAlign w:val="center"/>
                </w:tcPr>
                <w:p w14:paraId="31D0BC55">
                  <w:pPr>
                    <w:widowControl/>
                    <w:jc w:val="center"/>
                    <w:rPr>
                      <w:kern w:val="0"/>
                      <w:sz w:val="24"/>
                    </w:rPr>
                  </w:pPr>
                  <w:r>
                    <w:rPr>
                      <w:color w:val="000000"/>
                      <w:kern w:val="0"/>
                      <w:szCs w:val="21"/>
                      <w:lang w:bidi="ar"/>
                    </w:rPr>
                    <w:t>0.4</w:t>
                  </w:r>
                </w:p>
              </w:tc>
            </w:tr>
            <w:tr w14:paraId="73C3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6C2AFAF6">
                  <w:pPr>
                    <w:spacing w:line="500" w:lineRule="exact"/>
                    <w:jc w:val="center"/>
                    <w:rPr>
                      <w:kern w:val="0"/>
                      <w:sz w:val="24"/>
                    </w:rPr>
                  </w:pPr>
                  <w:r>
                    <w:rPr>
                      <w:rFonts w:hint="eastAsia"/>
                      <w:kern w:val="0"/>
                      <w:sz w:val="24"/>
                    </w:rPr>
                    <w:t>9</w:t>
                  </w:r>
                </w:p>
              </w:tc>
              <w:tc>
                <w:tcPr>
                  <w:tcW w:w="2694" w:type="pct"/>
                  <w:vAlign w:val="center"/>
                </w:tcPr>
                <w:p w14:paraId="0EDA62C2">
                  <w:pPr>
                    <w:widowControl/>
                    <w:jc w:val="center"/>
                    <w:rPr>
                      <w:kern w:val="0"/>
                      <w:sz w:val="24"/>
                    </w:rPr>
                  </w:pPr>
                  <w:r>
                    <w:rPr>
                      <w:rFonts w:hint="eastAsia" w:ascii="宋体" w:hAnsi="宋体" w:cs="宋体"/>
                      <w:color w:val="000000"/>
                      <w:kern w:val="0"/>
                      <w:szCs w:val="21"/>
                      <w:lang w:bidi="ar"/>
                    </w:rPr>
                    <w:t>单个活性炭箱体填装活性炭量（</w:t>
                  </w:r>
                  <w:r>
                    <w:rPr>
                      <w:color w:val="000000"/>
                      <w:kern w:val="0"/>
                      <w:szCs w:val="21"/>
                      <w:lang w:bidi="ar"/>
                    </w:rPr>
                    <w:t>t</w:t>
                  </w:r>
                  <w:r>
                    <w:rPr>
                      <w:rFonts w:hint="eastAsia" w:ascii="PMingLiU" w:hAnsi="PMingLiU" w:eastAsia="PMingLiU" w:cs="PMingLiU"/>
                      <w:color w:val="000000"/>
                      <w:kern w:val="0"/>
                      <w:szCs w:val="21"/>
                      <w:lang w:bidi="ar"/>
                    </w:rPr>
                    <w:t>）</w:t>
                  </w:r>
                </w:p>
              </w:tc>
              <w:tc>
                <w:tcPr>
                  <w:tcW w:w="1808" w:type="pct"/>
                  <w:vAlign w:val="center"/>
                </w:tcPr>
                <w:p w14:paraId="2FC2F5ED">
                  <w:pPr>
                    <w:widowControl/>
                    <w:jc w:val="center"/>
                    <w:rPr>
                      <w:kern w:val="0"/>
                      <w:sz w:val="24"/>
                    </w:rPr>
                  </w:pPr>
                  <w:r>
                    <w:rPr>
                      <w:rFonts w:hint="eastAsia"/>
                      <w:color w:val="000000"/>
                      <w:kern w:val="0"/>
                      <w:szCs w:val="21"/>
                      <w:lang w:bidi="ar"/>
                    </w:rPr>
                    <w:t>0.4</w:t>
                  </w:r>
                </w:p>
              </w:tc>
            </w:tr>
            <w:tr w14:paraId="17EB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280863F7">
                  <w:pPr>
                    <w:spacing w:line="500" w:lineRule="exact"/>
                    <w:jc w:val="center"/>
                    <w:rPr>
                      <w:kern w:val="0"/>
                      <w:sz w:val="24"/>
                    </w:rPr>
                  </w:pPr>
                  <w:r>
                    <w:rPr>
                      <w:rFonts w:hint="eastAsia"/>
                      <w:kern w:val="0"/>
                      <w:sz w:val="24"/>
                    </w:rPr>
                    <w:t>10</w:t>
                  </w:r>
                </w:p>
              </w:tc>
              <w:tc>
                <w:tcPr>
                  <w:tcW w:w="2694" w:type="pct"/>
                  <w:vAlign w:val="center"/>
                </w:tcPr>
                <w:p w14:paraId="5F30BCEB">
                  <w:pPr>
                    <w:widowControl/>
                    <w:jc w:val="center"/>
                    <w:rPr>
                      <w:kern w:val="0"/>
                      <w:sz w:val="24"/>
                    </w:rPr>
                  </w:pPr>
                  <w:r>
                    <w:rPr>
                      <w:rFonts w:hint="eastAsia" w:ascii="宋体" w:hAnsi="宋体" w:cs="宋体"/>
                      <w:color w:val="000000"/>
                      <w:kern w:val="0"/>
                      <w:szCs w:val="21"/>
                      <w:lang w:bidi="ar"/>
                    </w:rPr>
                    <w:t>两台活性炭箱体填装活性炭量（</w:t>
                  </w:r>
                  <w:r>
                    <w:rPr>
                      <w:color w:val="000000"/>
                      <w:kern w:val="0"/>
                      <w:szCs w:val="21"/>
                      <w:lang w:bidi="ar"/>
                    </w:rPr>
                    <w:t>t</w:t>
                  </w:r>
                  <w:r>
                    <w:rPr>
                      <w:rFonts w:hint="eastAsia" w:ascii="PMingLiU" w:hAnsi="PMingLiU" w:eastAsia="PMingLiU" w:cs="PMingLiU"/>
                      <w:color w:val="000000"/>
                      <w:kern w:val="0"/>
                      <w:szCs w:val="21"/>
                      <w:lang w:bidi="ar"/>
                    </w:rPr>
                    <w:t>）</w:t>
                  </w:r>
                </w:p>
              </w:tc>
              <w:tc>
                <w:tcPr>
                  <w:tcW w:w="1808" w:type="pct"/>
                  <w:vAlign w:val="center"/>
                </w:tcPr>
                <w:p w14:paraId="1AF568B9">
                  <w:pPr>
                    <w:widowControl/>
                    <w:jc w:val="center"/>
                    <w:rPr>
                      <w:kern w:val="0"/>
                      <w:sz w:val="24"/>
                    </w:rPr>
                  </w:pPr>
                  <w:r>
                    <w:rPr>
                      <w:rFonts w:hint="eastAsia"/>
                      <w:color w:val="000000"/>
                      <w:kern w:val="0"/>
                      <w:szCs w:val="21"/>
                      <w:lang w:bidi="ar"/>
                    </w:rPr>
                    <w:t>0.8</w:t>
                  </w:r>
                </w:p>
              </w:tc>
            </w:tr>
            <w:tr w14:paraId="25FF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3C453F13">
                  <w:pPr>
                    <w:spacing w:line="500" w:lineRule="exact"/>
                    <w:jc w:val="center"/>
                    <w:rPr>
                      <w:kern w:val="0"/>
                      <w:sz w:val="24"/>
                    </w:rPr>
                  </w:pPr>
                  <w:r>
                    <w:rPr>
                      <w:rFonts w:hint="eastAsia"/>
                      <w:kern w:val="0"/>
                      <w:sz w:val="24"/>
                    </w:rPr>
                    <w:t>11</w:t>
                  </w:r>
                </w:p>
              </w:tc>
              <w:tc>
                <w:tcPr>
                  <w:tcW w:w="2694" w:type="pct"/>
                  <w:vAlign w:val="center"/>
                </w:tcPr>
                <w:p w14:paraId="35FF7925">
                  <w:pPr>
                    <w:widowControl/>
                    <w:jc w:val="center"/>
                    <w:rPr>
                      <w:kern w:val="0"/>
                      <w:sz w:val="24"/>
                    </w:rPr>
                  </w:pPr>
                  <w:r>
                    <w:rPr>
                      <w:rFonts w:hint="eastAsia" w:ascii="PMingLiU" w:hAnsi="PMingLiU" w:eastAsia="PMingLiU" w:cs="PMingLiU"/>
                      <w:color w:val="000000"/>
                      <w:kern w:val="0"/>
                      <w:szCs w:val="21"/>
                      <w:lang w:bidi="ar"/>
                    </w:rPr>
                    <w:t>每年更</w:t>
                  </w:r>
                  <w:r>
                    <w:rPr>
                      <w:rFonts w:hint="eastAsia" w:ascii="宋体" w:hAnsi="宋体" w:cs="宋体"/>
                      <w:color w:val="000000"/>
                      <w:kern w:val="0"/>
                      <w:szCs w:val="21"/>
                      <w:lang w:bidi="ar"/>
                    </w:rPr>
                    <w:t>换次数（次</w:t>
                  </w:r>
                  <w:r>
                    <w:rPr>
                      <w:rFonts w:hint="eastAsia" w:ascii="PMingLiU" w:hAnsi="PMingLiU" w:eastAsia="PMingLiU" w:cs="PMingLiU"/>
                      <w:color w:val="000000"/>
                      <w:kern w:val="0"/>
                      <w:szCs w:val="21"/>
                      <w:lang w:bidi="ar"/>
                    </w:rPr>
                    <w:t>）</w:t>
                  </w:r>
                </w:p>
              </w:tc>
              <w:tc>
                <w:tcPr>
                  <w:tcW w:w="1808" w:type="pct"/>
                  <w:vAlign w:val="center"/>
                </w:tcPr>
                <w:p w14:paraId="759B0338">
                  <w:pPr>
                    <w:widowControl/>
                    <w:jc w:val="center"/>
                    <w:rPr>
                      <w:kern w:val="0"/>
                      <w:sz w:val="24"/>
                    </w:rPr>
                  </w:pPr>
                  <w:r>
                    <w:rPr>
                      <w:rFonts w:hint="eastAsia"/>
                      <w:color w:val="000000"/>
                      <w:kern w:val="0"/>
                      <w:szCs w:val="21"/>
                      <w:lang w:bidi="ar"/>
                    </w:rPr>
                    <w:t>1次/a</w:t>
                  </w:r>
                </w:p>
              </w:tc>
            </w:tr>
            <w:tr w14:paraId="11E8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14:paraId="62FF41E1">
                  <w:pPr>
                    <w:spacing w:line="500" w:lineRule="exact"/>
                    <w:jc w:val="center"/>
                    <w:rPr>
                      <w:kern w:val="0"/>
                      <w:sz w:val="24"/>
                    </w:rPr>
                  </w:pPr>
                  <w:r>
                    <w:rPr>
                      <w:rFonts w:hint="eastAsia"/>
                      <w:kern w:val="0"/>
                      <w:sz w:val="24"/>
                    </w:rPr>
                    <w:t>12</w:t>
                  </w:r>
                </w:p>
              </w:tc>
              <w:tc>
                <w:tcPr>
                  <w:tcW w:w="2694" w:type="pct"/>
                  <w:vAlign w:val="center"/>
                </w:tcPr>
                <w:p w14:paraId="121D0861">
                  <w:pPr>
                    <w:widowControl/>
                    <w:jc w:val="center"/>
                    <w:rPr>
                      <w:kern w:val="0"/>
                      <w:sz w:val="24"/>
                    </w:rPr>
                  </w:pPr>
                  <w:r>
                    <w:rPr>
                      <w:rFonts w:hint="eastAsia" w:ascii="PMingLiU" w:hAnsi="PMingLiU" w:eastAsia="PMingLiU" w:cs="PMingLiU"/>
                      <w:color w:val="000000"/>
                      <w:kern w:val="0"/>
                      <w:szCs w:val="21"/>
                      <w:lang w:bidi="ar"/>
                    </w:rPr>
                    <w:t>活性炭的更</w:t>
                  </w:r>
                  <w:r>
                    <w:rPr>
                      <w:rFonts w:hint="eastAsia" w:ascii="宋体" w:hAnsi="宋体" w:cs="宋体"/>
                      <w:color w:val="000000"/>
                      <w:kern w:val="0"/>
                      <w:szCs w:val="21"/>
                      <w:lang w:bidi="ar"/>
                    </w:rPr>
                    <w:t>换量（</w:t>
                  </w:r>
                  <w:r>
                    <w:rPr>
                      <w:color w:val="000000"/>
                      <w:kern w:val="0"/>
                      <w:szCs w:val="21"/>
                      <w:lang w:bidi="ar"/>
                    </w:rPr>
                    <w:t>t</w:t>
                  </w:r>
                  <w:r>
                    <w:rPr>
                      <w:rFonts w:hint="eastAsia" w:ascii="PMingLiU" w:hAnsi="PMingLiU" w:eastAsia="PMingLiU" w:cs="PMingLiU"/>
                      <w:color w:val="000000"/>
                      <w:kern w:val="0"/>
                      <w:szCs w:val="21"/>
                      <w:lang w:bidi="ar"/>
                    </w:rPr>
                    <w:t>）</w:t>
                  </w:r>
                </w:p>
              </w:tc>
              <w:tc>
                <w:tcPr>
                  <w:tcW w:w="1808" w:type="pct"/>
                  <w:vAlign w:val="center"/>
                </w:tcPr>
                <w:p w14:paraId="1F7748D8">
                  <w:pPr>
                    <w:widowControl/>
                    <w:jc w:val="center"/>
                    <w:rPr>
                      <w:kern w:val="0"/>
                      <w:sz w:val="24"/>
                    </w:rPr>
                  </w:pPr>
                  <w:r>
                    <w:rPr>
                      <w:rFonts w:hint="eastAsia"/>
                      <w:color w:val="000000"/>
                      <w:kern w:val="0"/>
                      <w:szCs w:val="21"/>
                      <w:lang w:bidi="ar"/>
                    </w:rPr>
                    <w:t>0.8</w:t>
                  </w:r>
                </w:p>
              </w:tc>
            </w:tr>
          </w:tbl>
          <w:p w14:paraId="2629A8C3">
            <w:pPr>
              <w:spacing w:line="500" w:lineRule="exact"/>
              <w:ind w:firstLine="480" w:firstLineChars="200"/>
              <w:rPr>
                <w:kern w:val="0"/>
                <w:sz w:val="24"/>
              </w:rPr>
            </w:pPr>
            <w:r>
              <w:rPr>
                <w:kern w:val="0"/>
                <w:sz w:val="24"/>
              </w:rPr>
              <w:t>废活性炭属于危险废物，危废编号（HW49 其他废物，900-039-49），需交由有危险废物处理资质的单位处理。</w:t>
            </w:r>
          </w:p>
          <w:p w14:paraId="46A7A497">
            <w:pPr>
              <w:spacing w:line="500" w:lineRule="exact"/>
              <w:ind w:firstLine="480" w:firstLineChars="200"/>
              <w:rPr>
                <w:kern w:val="0"/>
                <w:sz w:val="24"/>
              </w:rPr>
            </w:pPr>
            <w:r>
              <w:rPr>
                <w:rFonts w:ascii="Cambria Math" w:hAnsi="Cambria Math" w:cs="Cambria Math"/>
                <w:kern w:val="0"/>
                <w:sz w:val="24"/>
              </w:rPr>
              <w:t>②</w:t>
            </w:r>
            <w:r>
              <w:rPr>
                <w:kern w:val="0"/>
                <w:sz w:val="24"/>
              </w:rPr>
              <w:t>废化学品包装桶：本项目胶黏剂等化学品在使用过程中会产生一定量的废包装桶，根据建设单位提供的资料，废化学品包装桶产生量约0.2t/a，属于危险废物，危废编号（HW49 其他废物，900-041-49），收集后交由有危险废物处理资质的单位处理。</w:t>
            </w:r>
          </w:p>
          <w:p w14:paraId="027029E8">
            <w:pPr>
              <w:pStyle w:val="50"/>
              <w:spacing w:line="500" w:lineRule="exact"/>
              <w:ind w:left="-24" w:firstLine="630"/>
              <w:rPr>
                <w:kern w:val="0"/>
                <w:sz w:val="24"/>
              </w:rPr>
            </w:pPr>
            <w:r>
              <w:rPr>
                <w:rFonts w:ascii="Cambria Math" w:hAnsi="Cambria Math" w:cs="Cambria Math"/>
                <w:kern w:val="0"/>
                <w:sz w:val="24"/>
              </w:rPr>
              <w:t>③</w:t>
            </w:r>
            <w:r>
              <w:rPr>
                <w:rFonts w:hint="eastAsia"/>
                <w:kern w:val="0"/>
                <w:sz w:val="24"/>
              </w:rPr>
              <w:t>废污油：静电油雾器吸附量，约0.1t/a，暂存厂区危废间，定期委托有资质的单位处置。</w:t>
            </w:r>
          </w:p>
          <w:p w14:paraId="55865269">
            <w:pPr>
              <w:pStyle w:val="50"/>
              <w:spacing w:line="500" w:lineRule="exact"/>
              <w:ind w:left="0" w:firstLine="606"/>
              <w:rPr>
                <w:rFonts w:ascii="Cambria Math" w:hAnsi="Cambria Math" w:cs="Cambria Math"/>
                <w:kern w:val="0"/>
                <w:sz w:val="24"/>
              </w:rPr>
            </w:pPr>
            <w:r>
              <w:rPr>
                <w:rFonts w:hint="eastAsia" w:ascii="Cambria Math" w:hAnsi="Cambria Math" w:cs="Cambria Math"/>
                <w:kern w:val="0"/>
                <w:sz w:val="24"/>
              </w:rPr>
              <w:t>④废催化剂：本项目催化剂用量为0.3t，催化剂使用寿命为8000h，按每次再生10h计，每年催化剂使用为120h，则催化剂使用期为8000/120=66.66年，催化剂与装置同寿命，装置拆除时，废催化剂作为危废处理，</w:t>
            </w:r>
            <w:r>
              <w:rPr>
                <w:rFonts w:hint="eastAsia"/>
                <w:kern w:val="0"/>
                <w:sz w:val="24"/>
              </w:rPr>
              <w:t>委托有资质的单位处置。</w:t>
            </w:r>
          </w:p>
          <w:p w14:paraId="28621D15">
            <w:pPr>
              <w:spacing w:line="500" w:lineRule="exact"/>
              <w:ind w:firstLine="480" w:firstLineChars="200"/>
              <w:rPr>
                <w:kern w:val="0"/>
                <w:sz w:val="24"/>
              </w:rPr>
            </w:pPr>
          </w:p>
          <w:p w14:paraId="57027B81">
            <w:pPr>
              <w:spacing w:line="500" w:lineRule="exact"/>
              <w:ind w:firstLine="480" w:firstLineChars="200"/>
            </w:pPr>
            <w:r>
              <w:rPr>
                <w:kern w:val="0"/>
                <w:sz w:val="24"/>
              </w:rPr>
              <w:t>根据《国家危险废物名录》（202</w:t>
            </w:r>
            <w:r>
              <w:rPr>
                <w:rFonts w:hint="eastAsia"/>
                <w:kern w:val="0"/>
                <w:sz w:val="24"/>
              </w:rPr>
              <w:t>5</w:t>
            </w:r>
            <w:r>
              <w:rPr>
                <w:kern w:val="0"/>
                <w:sz w:val="24"/>
              </w:rPr>
              <w:t>年版）和《一般固体废物分类与代码》（GB/T 39198-2020），项目固体废物产生和处置情况汇总如下表所。</w:t>
            </w:r>
          </w:p>
          <w:p w14:paraId="1548EBA4">
            <w:pPr>
              <w:widowControl/>
              <w:jc w:val="center"/>
            </w:pPr>
            <w:r>
              <w:rPr>
                <w:rFonts w:ascii="瀹嬩綋" w:hAnsi="瀹嬩綋" w:eastAsia="瀹嬩綋" w:cs="瀹嬩綋"/>
                <w:b/>
                <w:bCs/>
                <w:color w:val="000000"/>
                <w:kern w:val="0"/>
                <w:szCs w:val="21"/>
                <w:lang w:bidi="ar"/>
              </w:rPr>
              <w:t>表</w:t>
            </w:r>
            <w:r>
              <w:rPr>
                <w:rFonts w:hint="eastAsia"/>
                <w:b/>
                <w:bCs/>
                <w:color w:val="000000"/>
                <w:kern w:val="0"/>
                <w:szCs w:val="21"/>
                <w:lang w:bidi="ar"/>
              </w:rPr>
              <w:t>4-14</w:t>
            </w:r>
            <w:r>
              <w:rPr>
                <w:rFonts w:ascii="瀹嬩綋" w:hAnsi="瀹嬩綋" w:eastAsia="瀹嬩綋" w:cs="瀹嬩綋"/>
                <w:b/>
                <w:bCs/>
                <w:color w:val="000000"/>
                <w:kern w:val="0"/>
                <w:szCs w:val="21"/>
                <w:lang w:bidi="ar"/>
              </w:rPr>
              <w:t xml:space="preserve"> 项目固体废物汇总表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639"/>
              <w:gridCol w:w="639"/>
              <w:gridCol w:w="750"/>
              <w:gridCol w:w="1150"/>
              <w:gridCol w:w="639"/>
              <w:gridCol w:w="639"/>
              <w:gridCol w:w="695"/>
              <w:gridCol w:w="990"/>
              <w:gridCol w:w="639"/>
              <w:gridCol w:w="639"/>
              <w:gridCol w:w="991"/>
            </w:tblGrid>
            <w:tr w14:paraId="432C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trPr>
              <w:tc>
                <w:tcPr>
                  <w:tcW w:w="375" w:type="pct"/>
                  <w:vAlign w:val="center"/>
                </w:tcPr>
                <w:p w14:paraId="2984BC02">
                  <w:pPr>
                    <w:widowControl/>
                    <w:jc w:val="center"/>
                    <w:rPr>
                      <w:sz w:val="20"/>
                      <w:szCs w:val="20"/>
                    </w:rPr>
                  </w:pPr>
                  <w:r>
                    <w:rPr>
                      <w:b/>
                      <w:bCs/>
                      <w:color w:val="000000"/>
                      <w:kern w:val="0"/>
                      <w:sz w:val="20"/>
                      <w:szCs w:val="20"/>
                      <w:lang w:bidi="ar"/>
                    </w:rPr>
                    <w:t>产生</w:t>
                  </w:r>
                </w:p>
                <w:p w14:paraId="642D72DD">
                  <w:pPr>
                    <w:widowControl/>
                    <w:jc w:val="center"/>
                    <w:rPr>
                      <w:kern w:val="0"/>
                      <w:sz w:val="20"/>
                      <w:szCs w:val="20"/>
                    </w:rPr>
                  </w:pPr>
                  <w:r>
                    <w:rPr>
                      <w:b/>
                      <w:bCs/>
                      <w:color w:val="000000"/>
                      <w:kern w:val="0"/>
                      <w:sz w:val="20"/>
                      <w:szCs w:val="20"/>
                      <w:lang w:bidi="ar"/>
                    </w:rPr>
                    <w:t>环节</w:t>
                  </w:r>
                </w:p>
              </w:tc>
              <w:tc>
                <w:tcPr>
                  <w:tcW w:w="378" w:type="pct"/>
                  <w:vAlign w:val="center"/>
                </w:tcPr>
                <w:p w14:paraId="3E9C75D5">
                  <w:pPr>
                    <w:widowControl/>
                    <w:jc w:val="center"/>
                    <w:rPr>
                      <w:kern w:val="0"/>
                      <w:sz w:val="20"/>
                      <w:szCs w:val="20"/>
                    </w:rPr>
                  </w:pPr>
                  <w:r>
                    <w:rPr>
                      <w:b/>
                      <w:bCs/>
                      <w:color w:val="000000"/>
                      <w:kern w:val="0"/>
                      <w:sz w:val="20"/>
                      <w:szCs w:val="20"/>
                      <w:lang w:bidi="ar"/>
                    </w:rPr>
                    <w:t>名称</w:t>
                  </w:r>
                </w:p>
              </w:tc>
              <w:tc>
                <w:tcPr>
                  <w:tcW w:w="378" w:type="pct"/>
                  <w:vAlign w:val="center"/>
                </w:tcPr>
                <w:p w14:paraId="1361354A">
                  <w:pPr>
                    <w:widowControl/>
                    <w:jc w:val="center"/>
                    <w:rPr>
                      <w:sz w:val="20"/>
                      <w:szCs w:val="20"/>
                    </w:rPr>
                  </w:pPr>
                  <w:r>
                    <w:rPr>
                      <w:b/>
                      <w:bCs/>
                      <w:color w:val="000000"/>
                      <w:kern w:val="0"/>
                      <w:sz w:val="20"/>
                      <w:szCs w:val="20"/>
                      <w:lang w:bidi="ar"/>
                    </w:rPr>
                    <w:t>属</w:t>
                  </w:r>
                </w:p>
                <w:p w14:paraId="1346013F">
                  <w:pPr>
                    <w:widowControl/>
                    <w:jc w:val="center"/>
                    <w:rPr>
                      <w:kern w:val="0"/>
                      <w:sz w:val="20"/>
                      <w:szCs w:val="20"/>
                    </w:rPr>
                  </w:pPr>
                  <w:r>
                    <w:rPr>
                      <w:b/>
                      <w:bCs/>
                      <w:color w:val="000000"/>
                      <w:kern w:val="0"/>
                      <w:sz w:val="20"/>
                      <w:szCs w:val="20"/>
                      <w:lang w:bidi="ar"/>
                    </w:rPr>
                    <w:t>性</w:t>
                  </w:r>
                </w:p>
              </w:tc>
              <w:tc>
                <w:tcPr>
                  <w:tcW w:w="393" w:type="pct"/>
                  <w:vAlign w:val="center"/>
                </w:tcPr>
                <w:p w14:paraId="7FAA8B8D">
                  <w:pPr>
                    <w:widowControl/>
                    <w:jc w:val="center"/>
                    <w:rPr>
                      <w:sz w:val="20"/>
                      <w:szCs w:val="20"/>
                    </w:rPr>
                  </w:pPr>
                  <w:r>
                    <w:rPr>
                      <w:b/>
                      <w:bCs/>
                      <w:color w:val="000000"/>
                      <w:kern w:val="0"/>
                      <w:sz w:val="20"/>
                      <w:szCs w:val="20"/>
                      <w:lang w:bidi="ar"/>
                    </w:rPr>
                    <w:t>废物</w:t>
                  </w:r>
                </w:p>
                <w:p w14:paraId="4CB88CDE">
                  <w:pPr>
                    <w:widowControl/>
                    <w:jc w:val="center"/>
                    <w:rPr>
                      <w:kern w:val="0"/>
                      <w:sz w:val="20"/>
                      <w:szCs w:val="20"/>
                    </w:rPr>
                  </w:pPr>
                  <w:r>
                    <w:rPr>
                      <w:b/>
                      <w:bCs/>
                      <w:color w:val="000000"/>
                      <w:kern w:val="0"/>
                      <w:sz w:val="20"/>
                      <w:szCs w:val="20"/>
                      <w:lang w:bidi="ar"/>
                    </w:rPr>
                    <w:t>类别</w:t>
                  </w:r>
                </w:p>
              </w:tc>
              <w:tc>
                <w:tcPr>
                  <w:tcW w:w="409" w:type="pct"/>
                  <w:vAlign w:val="center"/>
                </w:tcPr>
                <w:p w14:paraId="5F01092C">
                  <w:pPr>
                    <w:widowControl/>
                    <w:jc w:val="center"/>
                    <w:rPr>
                      <w:sz w:val="20"/>
                      <w:szCs w:val="20"/>
                    </w:rPr>
                  </w:pPr>
                  <w:r>
                    <w:rPr>
                      <w:b/>
                      <w:bCs/>
                      <w:color w:val="000000"/>
                      <w:kern w:val="0"/>
                      <w:sz w:val="20"/>
                      <w:szCs w:val="20"/>
                      <w:lang w:bidi="ar"/>
                    </w:rPr>
                    <w:t>废物</w:t>
                  </w:r>
                </w:p>
                <w:p w14:paraId="45C9C5BC">
                  <w:pPr>
                    <w:widowControl/>
                    <w:jc w:val="center"/>
                    <w:rPr>
                      <w:kern w:val="0"/>
                      <w:sz w:val="20"/>
                      <w:szCs w:val="20"/>
                    </w:rPr>
                  </w:pPr>
                  <w:r>
                    <w:rPr>
                      <w:b/>
                      <w:bCs/>
                      <w:color w:val="000000"/>
                      <w:kern w:val="0"/>
                      <w:sz w:val="20"/>
                      <w:szCs w:val="20"/>
                      <w:lang w:bidi="ar"/>
                    </w:rPr>
                    <w:t>代码</w:t>
                  </w:r>
                </w:p>
              </w:tc>
              <w:tc>
                <w:tcPr>
                  <w:tcW w:w="378" w:type="pct"/>
                  <w:vAlign w:val="center"/>
                </w:tcPr>
                <w:p w14:paraId="68B39496">
                  <w:pPr>
                    <w:widowControl/>
                    <w:jc w:val="center"/>
                    <w:rPr>
                      <w:sz w:val="20"/>
                      <w:szCs w:val="20"/>
                    </w:rPr>
                  </w:pPr>
                  <w:r>
                    <w:rPr>
                      <w:b/>
                      <w:bCs/>
                      <w:color w:val="000000"/>
                      <w:kern w:val="0"/>
                      <w:sz w:val="20"/>
                      <w:szCs w:val="20"/>
                      <w:lang w:bidi="ar"/>
                    </w:rPr>
                    <w:t>主</w:t>
                  </w:r>
                </w:p>
                <w:p w14:paraId="4C582FC9">
                  <w:pPr>
                    <w:widowControl/>
                    <w:jc w:val="center"/>
                    <w:rPr>
                      <w:sz w:val="20"/>
                      <w:szCs w:val="20"/>
                    </w:rPr>
                  </w:pPr>
                  <w:r>
                    <w:rPr>
                      <w:b/>
                      <w:bCs/>
                      <w:color w:val="000000"/>
                      <w:kern w:val="0"/>
                      <w:sz w:val="20"/>
                      <w:szCs w:val="20"/>
                      <w:lang w:bidi="ar"/>
                    </w:rPr>
                    <w:t>要</w:t>
                  </w:r>
                </w:p>
                <w:p w14:paraId="6E2DFE12">
                  <w:pPr>
                    <w:widowControl/>
                    <w:jc w:val="center"/>
                    <w:rPr>
                      <w:sz w:val="20"/>
                      <w:szCs w:val="20"/>
                    </w:rPr>
                  </w:pPr>
                  <w:r>
                    <w:rPr>
                      <w:b/>
                      <w:bCs/>
                      <w:color w:val="000000"/>
                      <w:kern w:val="0"/>
                      <w:sz w:val="20"/>
                      <w:szCs w:val="20"/>
                      <w:lang w:bidi="ar"/>
                    </w:rPr>
                    <w:t>有</w:t>
                  </w:r>
                </w:p>
                <w:p w14:paraId="7578E063">
                  <w:pPr>
                    <w:widowControl/>
                    <w:jc w:val="center"/>
                    <w:rPr>
                      <w:sz w:val="20"/>
                      <w:szCs w:val="20"/>
                    </w:rPr>
                  </w:pPr>
                  <w:r>
                    <w:rPr>
                      <w:b/>
                      <w:bCs/>
                      <w:color w:val="000000"/>
                      <w:kern w:val="0"/>
                      <w:sz w:val="20"/>
                      <w:szCs w:val="20"/>
                      <w:lang w:bidi="ar"/>
                    </w:rPr>
                    <w:t>毒</w:t>
                  </w:r>
                </w:p>
                <w:p w14:paraId="39452CE0">
                  <w:pPr>
                    <w:widowControl/>
                    <w:jc w:val="center"/>
                    <w:rPr>
                      <w:sz w:val="20"/>
                      <w:szCs w:val="20"/>
                    </w:rPr>
                  </w:pPr>
                  <w:r>
                    <w:rPr>
                      <w:b/>
                      <w:bCs/>
                      <w:color w:val="000000"/>
                      <w:kern w:val="0"/>
                      <w:sz w:val="20"/>
                      <w:szCs w:val="20"/>
                      <w:lang w:bidi="ar"/>
                    </w:rPr>
                    <w:t>有</w:t>
                  </w:r>
                </w:p>
                <w:p w14:paraId="2DD77168">
                  <w:pPr>
                    <w:widowControl/>
                    <w:jc w:val="center"/>
                    <w:rPr>
                      <w:sz w:val="20"/>
                      <w:szCs w:val="20"/>
                    </w:rPr>
                  </w:pPr>
                  <w:r>
                    <w:rPr>
                      <w:b/>
                      <w:bCs/>
                      <w:color w:val="000000"/>
                      <w:kern w:val="0"/>
                      <w:sz w:val="20"/>
                      <w:szCs w:val="20"/>
                      <w:lang w:bidi="ar"/>
                    </w:rPr>
                    <w:t>害</w:t>
                  </w:r>
                </w:p>
                <w:p w14:paraId="3D266911">
                  <w:pPr>
                    <w:widowControl/>
                    <w:jc w:val="center"/>
                    <w:rPr>
                      <w:sz w:val="20"/>
                      <w:szCs w:val="20"/>
                    </w:rPr>
                  </w:pPr>
                  <w:r>
                    <w:rPr>
                      <w:b/>
                      <w:bCs/>
                      <w:color w:val="000000"/>
                      <w:kern w:val="0"/>
                      <w:sz w:val="20"/>
                      <w:szCs w:val="20"/>
                      <w:lang w:bidi="ar"/>
                    </w:rPr>
                    <w:t>物</w:t>
                  </w:r>
                </w:p>
                <w:p w14:paraId="05997331">
                  <w:pPr>
                    <w:widowControl/>
                    <w:jc w:val="center"/>
                    <w:rPr>
                      <w:kern w:val="0"/>
                      <w:sz w:val="20"/>
                      <w:szCs w:val="20"/>
                    </w:rPr>
                  </w:pPr>
                  <w:r>
                    <w:rPr>
                      <w:b/>
                      <w:bCs/>
                      <w:color w:val="000000"/>
                      <w:kern w:val="0"/>
                      <w:sz w:val="20"/>
                      <w:szCs w:val="20"/>
                      <w:lang w:bidi="ar"/>
                    </w:rPr>
                    <w:t>质</w:t>
                  </w:r>
                </w:p>
              </w:tc>
              <w:tc>
                <w:tcPr>
                  <w:tcW w:w="378" w:type="pct"/>
                  <w:vAlign w:val="center"/>
                </w:tcPr>
                <w:p w14:paraId="6AE4D340">
                  <w:pPr>
                    <w:widowControl/>
                    <w:jc w:val="center"/>
                    <w:rPr>
                      <w:sz w:val="20"/>
                      <w:szCs w:val="20"/>
                    </w:rPr>
                  </w:pPr>
                  <w:r>
                    <w:rPr>
                      <w:b/>
                      <w:bCs/>
                      <w:color w:val="000000"/>
                      <w:kern w:val="0"/>
                      <w:sz w:val="20"/>
                      <w:szCs w:val="20"/>
                      <w:lang w:bidi="ar"/>
                    </w:rPr>
                    <w:t>物</w:t>
                  </w:r>
                </w:p>
                <w:p w14:paraId="67891DC8">
                  <w:pPr>
                    <w:widowControl/>
                    <w:jc w:val="center"/>
                    <w:rPr>
                      <w:sz w:val="20"/>
                      <w:szCs w:val="20"/>
                    </w:rPr>
                  </w:pPr>
                  <w:r>
                    <w:rPr>
                      <w:b/>
                      <w:bCs/>
                      <w:color w:val="000000"/>
                      <w:kern w:val="0"/>
                      <w:sz w:val="20"/>
                      <w:szCs w:val="20"/>
                      <w:lang w:bidi="ar"/>
                    </w:rPr>
                    <w:t>理</w:t>
                  </w:r>
                </w:p>
                <w:p w14:paraId="12487247">
                  <w:pPr>
                    <w:widowControl/>
                    <w:jc w:val="center"/>
                    <w:rPr>
                      <w:sz w:val="20"/>
                      <w:szCs w:val="20"/>
                    </w:rPr>
                  </w:pPr>
                  <w:r>
                    <w:rPr>
                      <w:b/>
                      <w:bCs/>
                      <w:color w:val="000000"/>
                      <w:kern w:val="0"/>
                      <w:sz w:val="20"/>
                      <w:szCs w:val="20"/>
                      <w:lang w:bidi="ar"/>
                    </w:rPr>
                    <w:t>性</w:t>
                  </w:r>
                </w:p>
                <w:p w14:paraId="0054C17F">
                  <w:pPr>
                    <w:widowControl/>
                    <w:jc w:val="center"/>
                    <w:rPr>
                      <w:kern w:val="0"/>
                      <w:sz w:val="20"/>
                      <w:szCs w:val="20"/>
                    </w:rPr>
                  </w:pPr>
                  <w:r>
                    <w:rPr>
                      <w:b/>
                      <w:bCs/>
                      <w:color w:val="000000"/>
                      <w:kern w:val="0"/>
                      <w:sz w:val="20"/>
                      <w:szCs w:val="20"/>
                      <w:lang w:bidi="ar"/>
                    </w:rPr>
                    <w:t>状</w:t>
                  </w:r>
                </w:p>
              </w:tc>
              <w:tc>
                <w:tcPr>
                  <w:tcW w:w="409" w:type="pct"/>
                  <w:vAlign w:val="center"/>
                </w:tcPr>
                <w:p w14:paraId="4E8FE55A">
                  <w:pPr>
                    <w:widowControl/>
                    <w:jc w:val="center"/>
                    <w:rPr>
                      <w:sz w:val="20"/>
                      <w:szCs w:val="20"/>
                    </w:rPr>
                  </w:pPr>
                  <w:r>
                    <w:rPr>
                      <w:b/>
                      <w:bCs/>
                      <w:color w:val="000000"/>
                      <w:kern w:val="0"/>
                      <w:sz w:val="20"/>
                      <w:szCs w:val="20"/>
                      <w:lang w:bidi="ar"/>
                    </w:rPr>
                    <w:t>环</w:t>
                  </w:r>
                </w:p>
                <w:p w14:paraId="015E7ABA">
                  <w:pPr>
                    <w:widowControl/>
                    <w:jc w:val="center"/>
                    <w:rPr>
                      <w:sz w:val="20"/>
                      <w:szCs w:val="20"/>
                    </w:rPr>
                  </w:pPr>
                  <w:r>
                    <w:rPr>
                      <w:b/>
                      <w:bCs/>
                      <w:color w:val="000000"/>
                      <w:kern w:val="0"/>
                      <w:sz w:val="20"/>
                      <w:szCs w:val="20"/>
                      <w:lang w:bidi="ar"/>
                    </w:rPr>
                    <w:t>境</w:t>
                  </w:r>
                </w:p>
                <w:p w14:paraId="2096E8F2">
                  <w:pPr>
                    <w:widowControl/>
                    <w:jc w:val="center"/>
                    <w:rPr>
                      <w:sz w:val="20"/>
                      <w:szCs w:val="20"/>
                    </w:rPr>
                  </w:pPr>
                  <w:r>
                    <w:rPr>
                      <w:b/>
                      <w:bCs/>
                      <w:color w:val="000000"/>
                      <w:kern w:val="0"/>
                      <w:sz w:val="20"/>
                      <w:szCs w:val="20"/>
                      <w:lang w:bidi="ar"/>
                    </w:rPr>
                    <w:t>危</w:t>
                  </w:r>
                </w:p>
                <w:p w14:paraId="5873484E">
                  <w:pPr>
                    <w:widowControl/>
                    <w:jc w:val="center"/>
                    <w:rPr>
                      <w:sz w:val="20"/>
                      <w:szCs w:val="20"/>
                    </w:rPr>
                  </w:pPr>
                  <w:r>
                    <w:rPr>
                      <w:b/>
                      <w:bCs/>
                      <w:color w:val="000000"/>
                      <w:kern w:val="0"/>
                      <w:sz w:val="20"/>
                      <w:szCs w:val="20"/>
                      <w:lang w:bidi="ar"/>
                    </w:rPr>
                    <w:t>险</w:t>
                  </w:r>
                </w:p>
                <w:p w14:paraId="59A9CD1C">
                  <w:pPr>
                    <w:widowControl/>
                    <w:jc w:val="center"/>
                    <w:rPr>
                      <w:sz w:val="20"/>
                      <w:szCs w:val="20"/>
                    </w:rPr>
                  </w:pPr>
                  <w:r>
                    <w:rPr>
                      <w:b/>
                      <w:bCs/>
                      <w:color w:val="000000"/>
                      <w:kern w:val="0"/>
                      <w:sz w:val="20"/>
                      <w:szCs w:val="20"/>
                      <w:lang w:bidi="ar"/>
                    </w:rPr>
                    <w:t>特</w:t>
                  </w:r>
                </w:p>
                <w:p w14:paraId="622E9B90">
                  <w:pPr>
                    <w:widowControl/>
                    <w:jc w:val="center"/>
                    <w:rPr>
                      <w:kern w:val="0"/>
                      <w:sz w:val="20"/>
                      <w:szCs w:val="20"/>
                    </w:rPr>
                  </w:pPr>
                  <w:r>
                    <w:rPr>
                      <w:b/>
                      <w:bCs/>
                      <w:color w:val="000000"/>
                      <w:kern w:val="0"/>
                      <w:sz w:val="20"/>
                      <w:szCs w:val="20"/>
                      <w:lang w:bidi="ar"/>
                    </w:rPr>
                    <w:t>性</w:t>
                  </w:r>
                </w:p>
              </w:tc>
              <w:tc>
                <w:tcPr>
                  <w:tcW w:w="572" w:type="pct"/>
                  <w:vAlign w:val="center"/>
                </w:tcPr>
                <w:p w14:paraId="3112CED6">
                  <w:pPr>
                    <w:widowControl/>
                    <w:jc w:val="center"/>
                    <w:rPr>
                      <w:sz w:val="20"/>
                      <w:szCs w:val="20"/>
                    </w:rPr>
                  </w:pPr>
                  <w:r>
                    <w:rPr>
                      <w:b/>
                      <w:bCs/>
                      <w:color w:val="000000"/>
                      <w:kern w:val="0"/>
                      <w:sz w:val="20"/>
                      <w:szCs w:val="20"/>
                      <w:lang w:bidi="ar"/>
                    </w:rPr>
                    <w:t>产生量</w:t>
                  </w:r>
                </w:p>
                <w:p w14:paraId="3995B452">
                  <w:pPr>
                    <w:widowControl/>
                    <w:jc w:val="center"/>
                    <w:rPr>
                      <w:kern w:val="0"/>
                      <w:sz w:val="20"/>
                      <w:szCs w:val="20"/>
                    </w:rPr>
                  </w:pPr>
                  <w:r>
                    <w:rPr>
                      <w:b/>
                      <w:bCs/>
                      <w:color w:val="000000"/>
                      <w:kern w:val="0"/>
                      <w:sz w:val="20"/>
                      <w:szCs w:val="20"/>
                      <w:lang w:bidi="ar"/>
                    </w:rPr>
                    <w:t>（t/a）</w:t>
                  </w:r>
                </w:p>
              </w:tc>
              <w:tc>
                <w:tcPr>
                  <w:tcW w:w="378" w:type="pct"/>
                  <w:vAlign w:val="center"/>
                </w:tcPr>
                <w:p w14:paraId="3F3379B1">
                  <w:pPr>
                    <w:widowControl/>
                    <w:jc w:val="center"/>
                    <w:rPr>
                      <w:sz w:val="20"/>
                      <w:szCs w:val="20"/>
                    </w:rPr>
                  </w:pPr>
                  <w:r>
                    <w:rPr>
                      <w:b/>
                      <w:bCs/>
                      <w:color w:val="000000"/>
                      <w:kern w:val="0"/>
                      <w:sz w:val="20"/>
                      <w:szCs w:val="20"/>
                      <w:lang w:bidi="ar"/>
                    </w:rPr>
                    <w:t>贮</w:t>
                  </w:r>
                </w:p>
                <w:p w14:paraId="34D05537">
                  <w:pPr>
                    <w:widowControl/>
                    <w:jc w:val="center"/>
                    <w:rPr>
                      <w:sz w:val="20"/>
                      <w:szCs w:val="20"/>
                    </w:rPr>
                  </w:pPr>
                  <w:r>
                    <w:rPr>
                      <w:b/>
                      <w:bCs/>
                      <w:color w:val="000000"/>
                      <w:kern w:val="0"/>
                      <w:sz w:val="20"/>
                      <w:szCs w:val="20"/>
                      <w:lang w:bidi="ar"/>
                    </w:rPr>
                    <w:t>存</w:t>
                  </w:r>
                </w:p>
                <w:p w14:paraId="3761F79F">
                  <w:pPr>
                    <w:widowControl/>
                    <w:jc w:val="center"/>
                    <w:rPr>
                      <w:sz w:val="20"/>
                      <w:szCs w:val="20"/>
                    </w:rPr>
                  </w:pPr>
                  <w:r>
                    <w:rPr>
                      <w:b/>
                      <w:bCs/>
                      <w:color w:val="000000"/>
                      <w:kern w:val="0"/>
                      <w:sz w:val="20"/>
                      <w:szCs w:val="20"/>
                      <w:lang w:bidi="ar"/>
                    </w:rPr>
                    <w:t>方</w:t>
                  </w:r>
                </w:p>
                <w:p w14:paraId="44656408">
                  <w:pPr>
                    <w:widowControl/>
                    <w:jc w:val="center"/>
                    <w:rPr>
                      <w:kern w:val="0"/>
                      <w:sz w:val="20"/>
                      <w:szCs w:val="20"/>
                    </w:rPr>
                  </w:pPr>
                </w:p>
              </w:tc>
              <w:tc>
                <w:tcPr>
                  <w:tcW w:w="378" w:type="pct"/>
                  <w:vAlign w:val="center"/>
                </w:tcPr>
                <w:p w14:paraId="00BB5583">
                  <w:pPr>
                    <w:widowControl/>
                    <w:jc w:val="center"/>
                    <w:rPr>
                      <w:sz w:val="20"/>
                      <w:szCs w:val="20"/>
                    </w:rPr>
                  </w:pPr>
                  <w:r>
                    <w:rPr>
                      <w:b/>
                      <w:bCs/>
                      <w:color w:val="000000"/>
                      <w:kern w:val="0"/>
                      <w:sz w:val="20"/>
                      <w:szCs w:val="20"/>
                      <w:lang w:bidi="ar"/>
                    </w:rPr>
                    <w:t>利</w:t>
                  </w:r>
                </w:p>
                <w:p w14:paraId="2DCC2475">
                  <w:pPr>
                    <w:widowControl/>
                    <w:jc w:val="center"/>
                    <w:rPr>
                      <w:sz w:val="20"/>
                      <w:szCs w:val="20"/>
                    </w:rPr>
                  </w:pPr>
                  <w:r>
                    <w:rPr>
                      <w:b/>
                      <w:bCs/>
                      <w:color w:val="000000"/>
                      <w:kern w:val="0"/>
                      <w:sz w:val="20"/>
                      <w:szCs w:val="20"/>
                      <w:lang w:bidi="ar"/>
                    </w:rPr>
                    <w:t>用</w:t>
                  </w:r>
                </w:p>
                <w:p w14:paraId="0B9F7A3E">
                  <w:pPr>
                    <w:widowControl/>
                    <w:jc w:val="center"/>
                    <w:rPr>
                      <w:sz w:val="20"/>
                      <w:szCs w:val="20"/>
                    </w:rPr>
                  </w:pPr>
                  <w:r>
                    <w:rPr>
                      <w:b/>
                      <w:bCs/>
                      <w:color w:val="000000"/>
                      <w:kern w:val="0"/>
                      <w:sz w:val="20"/>
                      <w:szCs w:val="20"/>
                      <w:lang w:bidi="ar"/>
                    </w:rPr>
                    <w:t>处</w:t>
                  </w:r>
                </w:p>
                <w:p w14:paraId="0021646C">
                  <w:pPr>
                    <w:widowControl/>
                    <w:jc w:val="center"/>
                    <w:rPr>
                      <w:sz w:val="20"/>
                      <w:szCs w:val="20"/>
                    </w:rPr>
                  </w:pPr>
                  <w:r>
                    <w:rPr>
                      <w:b/>
                      <w:bCs/>
                      <w:color w:val="000000"/>
                      <w:kern w:val="0"/>
                      <w:sz w:val="20"/>
                      <w:szCs w:val="20"/>
                      <w:lang w:bidi="ar"/>
                    </w:rPr>
                    <w:t>置</w:t>
                  </w:r>
                </w:p>
                <w:p w14:paraId="1C162E6F">
                  <w:pPr>
                    <w:widowControl/>
                    <w:jc w:val="center"/>
                    <w:rPr>
                      <w:sz w:val="20"/>
                      <w:szCs w:val="20"/>
                    </w:rPr>
                  </w:pPr>
                  <w:r>
                    <w:rPr>
                      <w:b/>
                      <w:bCs/>
                      <w:color w:val="000000"/>
                      <w:kern w:val="0"/>
                      <w:sz w:val="20"/>
                      <w:szCs w:val="20"/>
                      <w:lang w:bidi="ar"/>
                    </w:rPr>
                    <w:t>方</w:t>
                  </w:r>
                </w:p>
                <w:p w14:paraId="1A001415">
                  <w:pPr>
                    <w:widowControl/>
                    <w:jc w:val="center"/>
                    <w:rPr>
                      <w:sz w:val="20"/>
                      <w:szCs w:val="20"/>
                    </w:rPr>
                  </w:pPr>
                  <w:r>
                    <w:rPr>
                      <w:b/>
                      <w:bCs/>
                      <w:color w:val="000000"/>
                      <w:kern w:val="0"/>
                      <w:sz w:val="20"/>
                      <w:szCs w:val="20"/>
                      <w:lang w:bidi="ar"/>
                    </w:rPr>
                    <w:t>式</w:t>
                  </w:r>
                </w:p>
                <w:p w14:paraId="100F393E">
                  <w:pPr>
                    <w:widowControl/>
                    <w:jc w:val="center"/>
                    <w:rPr>
                      <w:sz w:val="20"/>
                      <w:szCs w:val="20"/>
                    </w:rPr>
                  </w:pPr>
                  <w:r>
                    <w:rPr>
                      <w:b/>
                      <w:bCs/>
                      <w:color w:val="000000"/>
                      <w:kern w:val="0"/>
                      <w:sz w:val="20"/>
                      <w:szCs w:val="20"/>
                      <w:lang w:bidi="ar"/>
                    </w:rPr>
                    <w:t>和</w:t>
                  </w:r>
                </w:p>
                <w:p w14:paraId="3313C5EB">
                  <w:pPr>
                    <w:widowControl/>
                    <w:jc w:val="center"/>
                    <w:rPr>
                      <w:b/>
                      <w:bCs/>
                      <w:color w:val="000000"/>
                      <w:kern w:val="0"/>
                      <w:sz w:val="20"/>
                      <w:szCs w:val="20"/>
                      <w:lang w:bidi="ar"/>
                    </w:rPr>
                  </w:pPr>
                  <w:r>
                    <w:rPr>
                      <w:b/>
                      <w:bCs/>
                      <w:color w:val="000000"/>
                      <w:kern w:val="0"/>
                      <w:sz w:val="20"/>
                      <w:szCs w:val="20"/>
                      <w:lang w:bidi="ar"/>
                    </w:rPr>
                    <w:t>去</w:t>
                  </w:r>
                </w:p>
                <w:p w14:paraId="189CA805">
                  <w:pPr>
                    <w:widowControl/>
                    <w:jc w:val="center"/>
                    <w:rPr>
                      <w:kern w:val="0"/>
                      <w:sz w:val="20"/>
                      <w:szCs w:val="20"/>
                    </w:rPr>
                  </w:pPr>
                  <w:r>
                    <w:rPr>
                      <w:b/>
                      <w:bCs/>
                      <w:color w:val="000000"/>
                      <w:kern w:val="0"/>
                      <w:sz w:val="20"/>
                      <w:szCs w:val="20"/>
                      <w:lang w:bidi="ar"/>
                    </w:rPr>
                    <w:t>向</w:t>
                  </w:r>
                </w:p>
              </w:tc>
              <w:tc>
                <w:tcPr>
                  <w:tcW w:w="572" w:type="pct"/>
                  <w:vAlign w:val="center"/>
                </w:tcPr>
                <w:p w14:paraId="4CE68944">
                  <w:pPr>
                    <w:widowControl/>
                    <w:jc w:val="center"/>
                    <w:rPr>
                      <w:kern w:val="0"/>
                      <w:sz w:val="20"/>
                      <w:szCs w:val="20"/>
                    </w:rPr>
                  </w:pPr>
                  <w:r>
                    <w:rPr>
                      <w:b/>
                      <w:bCs/>
                      <w:color w:val="000000"/>
                      <w:kern w:val="0"/>
                      <w:sz w:val="20"/>
                      <w:szCs w:val="20"/>
                      <w:lang w:bidi="ar"/>
                    </w:rPr>
                    <w:t>利用/处置量（t/a）</w:t>
                  </w:r>
                </w:p>
              </w:tc>
            </w:tr>
            <w:tr w14:paraId="57E8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14:paraId="2A12DE69">
                  <w:pPr>
                    <w:widowControl/>
                    <w:jc w:val="center"/>
                    <w:rPr>
                      <w:kern w:val="0"/>
                      <w:sz w:val="20"/>
                      <w:szCs w:val="20"/>
                    </w:rPr>
                  </w:pPr>
                  <w:r>
                    <w:rPr>
                      <w:color w:val="000000"/>
                      <w:kern w:val="0"/>
                      <w:sz w:val="20"/>
                      <w:szCs w:val="20"/>
                      <w:lang w:bidi="ar"/>
                    </w:rPr>
                    <w:t>布袋制造</w:t>
                  </w:r>
                </w:p>
              </w:tc>
              <w:tc>
                <w:tcPr>
                  <w:tcW w:w="378" w:type="pct"/>
                  <w:vAlign w:val="center"/>
                </w:tcPr>
                <w:p w14:paraId="30EB19D1">
                  <w:pPr>
                    <w:widowControl/>
                    <w:jc w:val="center"/>
                    <w:rPr>
                      <w:kern w:val="0"/>
                      <w:sz w:val="20"/>
                      <w:szCs w:val="20"/>
                    </w:rPr>
                  </w:pPr>
                  <w:r>
                    <w:rPr>
                      <w:color w:val="000000"/>
                      <w:kern w:val="0"/>
                      <w:sz w:val="20"/>
                      <w:szCs w:val="20"/>
                      <w:lang w:bidi="ar"/>
                    </w:rPr>
                    <w:t>废边角料</w:t>
                  </w:r>
                </w:p>
              </w:tc>
              <w:tc>
                <w:tcPr>
                  <w:tcW w:w="378" w:type="pct"/>
                  <w:vMerge w:val="restart"/>
                  <w:vAlign w:val="center"/>
                </w:tcPr>
                <w:p w14:paraId="464A3F31">
                  <w:pPr>
                    <w:widowControl/>
                    <w:jc w:val="center"/>
                    <w:rPr>
                      <w:sz w:val="20"/>
                      <w:szCs w:val="20"/>
                    </w:rPr>
                  </w:pPr>
                  <w:r>
                    <w:rPr>
                      <w:color w:val="000000"/>
                      <w:kern w:val="0"/>
                      <w:sz w:val="20"/>
                      <w:szCs w:val="20"/>
                      <w:lang w:bidi="ar"/>
                    </w:rPr>
                    <w:t>一</w:t>
                  </w:r>
                </w:p>
                <w:p w14:paraId="29671398">
                  <w:pPr>
                    <w:widowControl/>
                    <w:jc w:val="center"/>
                    <w:rPr>
                      <w:sz w:val="20"/>
                      <w:szCs w:val="20"/>
                    </w:rPr>
                  </w:pPr>
                  <w:r>
                    <w:rPr>
                      <w:color w:val="000000"/>
                      <w:kern w:val="0"/>
                      <w:sz w:val="20"/>
                      <w:szCs w:val="20"/>
                      <w:lang w:bidi="ar"/>
                    </w:rPr>
                    <w:t>般</w:t>
                  </w:r>
                </w:p>
                <w:p w14:paraId="72676B0F">
                  <w:pPr>
                    <w:widowControl/>
                    <w:jc w:val="center"/>
                    <w:rPr>
                      <w:sz w:val="20"/>
                      <w:szCs w:val="20"/>
                    </w:rPr>
                  </w:pPr>
                  <w:r>
                    <w:rPr>
                      <w:color w:val="000000"/>
                      <w:kern w:val="0"/>
                      <w:sz w:val="20"/>
                      <w:szCs w:val="20"/>
                      <w:lang w:bidi="ar"/>
                    </w:rPr>
                    <w:t>工</w:t>
                  </w:r>
                </w:p>
                <w:p w14:paraId="04830B2D">
                  <w:pPr>
                    <w:widowControl/>
                    <w:jc w:val="center"/>
                    <w:rPr>
                      <w:sz w:val="20"/>
                      <w:szCs w:val="20"/>
                    </w:rPr>
                  </w:pPr>
                  <w:r>
                    <w:rPr>
                      <w:color w:val="000000"/>
                      <w:kern w:val="0"/>
                      <w:sz w:val="20"/>
                      <w:szCs w:val="20"/>
                      <w:lang w:bidi="ar"/>
                    </w:rPr>
                    <w:t>业</w:t>
                  </w:r>
                </w:p>
                <w:p w14:paraId="3250600A">
                  <w:pPr>
                    <w:widowControl/>
                    <w:jc w:val="center"/>
                    <w:rPr>
                      <w:sz w:val="20"/>
                      <w:szCs w:val="20"/>
                    </w:rPr>
                  </w:pPr>
                  <w:r>
                    <w:rPr>
                      <w:color w:val="000000"/>
                      <w:kern w:val="0"/>
                      <w:sz w:val="20"/>
                      <w:szCs w:val="20"/>
                      <w:lang w:bidi="ar"/>
                    </w:rPr>
                    <w:t>固</w:t>
                  </w:r>
                </w:p>
                <w:p w14:paraId="50813D4B">
                  <w:pPr>
                    <w:widowControl/>
                    <w:jc w:val="center"/>
                    <w:rPr>
                      <w:sz w:val="20"/>
                      <w:szCs w:val="20"/>
                    </w:rPr>
                  </w:pPr>
                  <w:r>
                    <w:rPr>
                      <w:color w:val="000000"/>
                      <w:kern w:val="0"/>
                      <w:sz w:val="20"/>
                      <w:szCs w:val="20"/>
                      <w:lang w:bidi="ar"/>
                    </w:rPr>
                    <w:t>体</w:t>
                  </w:r>
                </w:p>
                <w:p w14:paraId="09194209">
                  <w:pPr>
                    <w:widowControl/>
                    <w:jc w:val="center"/>
                    <w:rPr>
                      <w:sz w:val="20"/>
                      <w:szCs w:val="20"/>
                    </w:rPr>
                  </w:pPr>
                  <w:r>
                    <w:rPr>
                      <w:color w:val="000000"/>
                      <w:kern w:val="0"/>
                      <w:sz w:val="20"/>
                      <w:szCs w:val="20"/>
                      <w:lang w:bidi="ar"/>
                    </w:rPr>
                    <w:t>废</w:t>
                  </w:r>
                </w:p>
                <w:p w14:paraId="29071A4E">
                  <w:pPr>
                    <w:widowControl/>
                    <w:jc w:val="center"/>
                    <w:rPr>
                      <w:sz w:val="20"/>
                      <w:szCs w:val="20"/>
                    </w:rPr>
                  </w:pPr>
                  <w:r>
                    <w:rPr>
                      <w:color w:val="000000"/>
                      <w:kern w:val="0"/>
                      <w:sz w:val="20"/>
                      <w:szCs w:val="20"/>
                      <w:lang w:bidi="ar"/>
                    </w:rPr>
                    <w:t>物</w:t>
                  </w:r>
                </w:p>
                <w:p w14:paraId="1088DD4F">
                  <w:pPr>
                    <w:spacing w:line="500" w:lineRule="exact"/>
                    <w:jc w:val="center"/>
                    <w:rPr>
                      <w:kern w:val="0"/>
                      <w:sz w:val="20"/>
                      <w:szCs w:val="20"/>
                    </w:rPr>
                  </w:pPr>
                </w:p>
              </w:tc>
              <w:tc>
                <w:tcPr>
                  <w:tcW w:w="393" w:type="pct"/>
                  <w:vMerge w:val="restart"/>
                  <w:vAlign w:val="center"/>
                </w:tcPr>
                <w:p w14:paraId="6D9ED14D">
                  <w:pPr>
                    <w:widowControl/>
                    <w:jc w:val="center"/>
                    <w:rPr>
                      <w:kern w:val="0"/>
                      <w:sz w:val="20"/>
                      <w:szCs w:val="20"/>
                    </w:rPr>
                  </w:pPr>
                  <w:r>
                    <w:rPr>
                      <w:color w:val="000000"/>
                      <w:kern w:val="0"/>
                      <w:sz w:val="20"/>
                      <w:szCs w:val="20"/>
                      <w:lang w:bidi="ar"/>
                    </w:rPr>
                    <w:t>一般固体废物</w:t>
                  </w:r>
                </w:p>
                <w:p w14:paraId="66E88E48">
                  <w:pPr>
                    <w:widowControl/>
                    <w:jc w:val="center"/>
                    <w:rPr>
                      <w:kern w:val="0"/>
                      <w:sz w:val="20"/>
                      <w:szCs w:val="20"/>
                    </w:rPr>
                  </w:pPr>
                </w:p>
              </w:tc>
              <w:tc>
                <w:tcPr>
                  <w:tcW w:w="409" w:type="pct"/>
                  <w:vAlign w:val="center"/>
                </w:tcPr>
                <w:p w14:paraId="02A73E92">
                  <w:pPr>
                    <w:widowControl/>
                    <w:jc w:val="center"/>
                    <w:rPr>
                      <w:kern w:val="0"/>
                      <w:sz w:val="20"/>
                      <w:szCs w:val="20"/>
                    </w:rPr>
                  </w:pPr>
                  <w:r>
                    <w:rPr>
                      <w:color w:val="000000"/>
                      <w:kern w:val="0"/>
                      <w:sz w:val="20"/>
                      <w:szCs w:val="20"/>
                      <w:lang w:bidi="ar"/>
                    </w:rPr>
                    <w:t>/</w:t>
                  </w:r>
                </w:p>
              </w:tc>
              <w:tc>
                <w:tcPr>
                  <w:tcW w:w="378" w:type="pct"/>
                  <w:vAlign w:val="center"/>
                </w:tcPr>
                <w:p w14:paraId="6518156B">
                  <w:pPr>
                    <w:spacing w:line="500" w:lineRule="exact"/>
                    <w:jc w:val="center"/>
                    <w:rPr>
                      <w:kern w:val="0"/>
                      <w:sz w:val="20"/>
                      <w:szCs w:val="20"/>
                    </w:rPr>
                  </w:pPr>
                  <w:r>
                    <w:rPr>
                      <w:kern w:val="0"/>
                      <w:sz w:val="20"/>
                      <w:szCs w:val="20"/>
                    </w:rPr>
                    <w:t>/</w:t>
                  </w:r>
                </w:p>
              </w:tc>
              <w:tc>
                <w:tcPr>
                  <w:tcW w:w="378" w:type="pct"/>
                  <w:vAlign w:val="center"/>
                </w:tcPr>
                <w:p w14:paraId="67FA946B">
                  <w:pPr>
                    <w:widowControl/>
                    <w:jc w:val="center"/>
                    <w:rPr>
                      <w:sz w:val="20"/>
                      <w:szCs w:val="20"/>
                    </w:rPr>
                  </w:pPr>
                  <w:r>
                    <w:rPr>
                      <w:color w:val="000000"/>
                      <w:kern w:val="0"/>
                      <w:sz w:val="20"/>
                      <w:szCs w:val="20"/>
                      <w:lang w:bidi="ar"/>
                    </w:rPr>
                    <w:t>固</w:t>
                  </w:r>
                </w:p>
                <w:p w14:paraId="131CC8F5">
                  <w:pPr>
                    <w:widowControl/>
                    <w:jc w:val="center"/>
                    <w:rPr>
                      <w:kern w:val="0"/>
                      <w:sz w:val="20"/>
                      <w:szCs w:val="20"/>
                    </w:rPr>
                  </w:pPr>
                  <w:r>
                    <w:rPr>
                      <w:color w:val="000000"/>
                      <w:kern w:val="0"/>
                      <w:sz w:val="20"/>
                      <w:szCs w:val="20"/>
                      <w:lang w:bidi="ar"/>
                    </w:rPr>
                    <w:t>态</w:t>
                  </w:r>
                </w:p>
              </w:tc>
              <w:tc>
                <w:tcPr>
                  <w:tcW w:w="409" w:type="pct"/>
                  <w:vAlign w:val="center"/>
                </w:tcPr>
                <w:p w14:paraId="52560AB0">
                  <w:pPr>
                    <w:spacing w:line="500" w:lineRule="exact"/>
                    <w:jc w:val="center"/>
                    <w:rPr>
                      <w:kern w:val="0"/>
                      <w:sz w:val="20"/>
                      <w:szCs w:val="20"/>
                    </w:rPr>
                  </w:pPr>
                  <w:r>
                    <w:rPr>
                      <w:kern w:val="0"/>
                      <w:sz w:val="20"/>
                      <w:szCs w:val="20"/>
                    </w:rPr>
                    <w:t>/</w:t>
                  </w:r>
                </w:p>
              </w:tc>
              <w:tc>
                <w:tcPr>
                  <w:tcW w:w="572" w:type="pct"/>
                  <w:vAlign w:val="center"/>
                </w:tcPr>
                <w:p w14:paraId="49E4D7CE">
                  <w:pPr>
                    <w:spacing w:line="500" w:lineRule="exact"/>
                    <w:jc w:val="center"/>
                    <w:rPr>
                      <w:kern w:val="0"/>
                      <w:sz w:val="20"/>
                      <w:szCs w:val="20"/>
                    </w:rPr>
                  </w:pPr>
                  <w:r>
                    <w:rPr>
                      <w:kern w:val="0"/>
                      <w:sz w:val="20"/>
                      <w:szCs w:val="20"/>
                    </w:rPr>
                    <w:t>4.5</w:t>
                  </w:r>
                </w:p>
              </w:tc>
              <w:tc>
                <w:tcPr>
                  <w:tcW w:w="378" w:type="pct"/>
                  <w:vMerge w:val="restart"/>
                  <w:vAlign w:val="center"/>
                </w:tcPr>
                <w:p w14:paraId="6B37D9D1">
                  <w:pPr>
                    <w:widowControl/>
                    <w:jc w:val="center"/>
                    <w:rPr>
                      <w:sz w:val="20"/>
                      <w:szCs w:val="20"/>
                    </w:rPr>
                  </w:pPr>
                  <w:r>
                    <w:rPr>
                      <w:color w:val="000000"/>
                      <w:kern w:val="0"/>
                      <w:sz w:val="20"/>
                      <w:szCs w:val="20"/>
                      <w:lang w:bidi="ar"/>
                    </w:rPr>
                    <w:t>袋</w:t>
                  </w:r>
                </w:p>
                <w:p w14:paraId="58AC1AEA">
                  <w:pPr>
                    <w:widowControl/>
                    <w:jc w:val="center"/>
                    <w:rPr>
                      <w:sz w:val="20"/>
                      <w:szCs w:val="20"/>
                    </w:rPr>
                  </w:pPr>
                  <w:r>
                    <w:rPr>
                      <w:color w:val="000000"/>
                      <w:kern w:val="0"/>
                      <w:sz w:val="20"/>
                      <w:szCs w:val="20"/>
                      <w:lang w:bidi="ar"/>
                    </w:rPr>
                    <w:t>装</w:t>
                  </w:r>
                </w:p>
                <w:p w14:paraId="5D9163BD">
                  <w:pPr>
                    <w:widowControl/>
                    <w:jc w:val="center"/>
                    <w:rPr>
                      <w:sz w:val="20"/>
                      <w:szCs w:val="20"/>
                    </w:rPr>
                  </w:pPr>
                  <w:r>
                    <w:rPr>
                      <w:color w:val="000000"/>
                      <w:kern w:val="0"/>
                      <w:sz w:val="20"/>
                      <w:szCs w:val="20"/>
                      <w:lang w:bidi="ar"/>
                    </w:rPr>
                    <w:t>贮</w:t>
                  </w:r>
                </w:p>
                <w:p w14:paraId="2DAC369B">
                  <w:pPr>
                    <w:widowControl/>
                    <w:jc w:val="center"/>
                    <w:rPr>
                      <w:sz w:val="20"/>
                      <w:szCs w:val="20"/>
                    </w:rPr>
                  </w:pPr>
                  <w:r>
                    <w:rPr>
                      <w:color w:val="000000"/>
                      <w:kern w:val="0"/>
                      <w:sz w:val="20"/>
                      <w:szCs w:val="20"/>
                      <w:lang w:bidi="ar"/>
                    </w:rPr>
                    <w:t>存</w:t>
                  </w:r>
                </w:p>
                <w:p w14:paraId="42B7B632">
                  <w:pPr>
                    <w:spacing w:line="500" w:lineRule="exact"/>
                    <w:jc w:val="center"/>
                    <w:rPr>
                      <w:kern w:val="0"/>
                      <w:sz w:val="20"/>
                      <w:szCs w:val="20"/>
                    </w:rPr>
                  </w:pPr>
                </w:p>
              </w:tc>
              <w:tc>
                <w:tcPr>
                  <w:tcW w:w="378" w:type="pct"/>
                  <w:vAlign w:val="center"/>
                </w:tcPr>
                <w:p w14:paraId="15E63768">
                  <w:pPr>
                    <w:widowControl/>
                    <w:jc w:val="center"/>
                    <w:rPr>
                      <w:kern w:val="0"/>
                      <w:sz w:val="20"/>
                      <w:szCs w:val="20"/>
                    </w:rPr>
                  </w:pPr>
                  <w:r>
                    <w:rPr>
                      <w:color w:val="000000"/>
                      <w:kern w:val="0"/>
                      <w:sz w:val="20"/>
                      <w:szCs w:val="20"/>
                      <w:lang w:bidi="ar"/>
                    </w:rPr>
                    <w:t>回用于生产</w:t>
                  </w:r>
                </w:p>
              </w:tc>
              <w:tc>
                <w:tcPr>
                  <w:tcW w:w="572" w:type="pct"/>
                  <w:vAlign w:val="center"/>
                </w:tcPr>
                <w:p w14:paraId="3BE83FE9">
                  <w:pPr>
                    <w:spacing w:line="500" w:lineRule="exact"/>
                    <w:jc w:val="center"/>
                    <w:rPr>
                      <w:kern w:val="0"/>
                      <w:sz w:val="20"/>
                      <w:szCs w:val="20"/>
                    </w:rPr>
                  </w:pPr>
                  <w:r>
                    <w:rPr>
                      <w:kern w:val="0"/>
                      <w:sz w:val="20"/>
                      <w:szCs w:val="20"/>
                    </w:rPr>
                    <w:t>4.5</w:t>
                  </w:r>
                </w:p>
              </w:tc>
            </w:tr>
            <w:tr w14:paraId="631B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Align w:val="center"/>
                </w:tcPr>
                <w:p w14:paraId="0E5FC77F">
                  <w:pPr>
                    <w:widowControl/>
                    <w:jc w:val="center"/>
                    <w:rPr>
                      <w:color w:val="000000"/>
                      <w:kern w:val="0"/>
                      <w:sz w:val="20"/>
                      <w:szCs w:val="20"/>
                      <w:lang w:bidi="ar"/>
                    </w:rPr>
                  </w:pPr>
                  <w:r>
                    <w:rPr>
                      <w:color w:val="000000"/>
                      <w:kern w:val="0"/>
                      <w:sz w:val="20"/>
                      <w:szCs w:val="20"/>
                      <w:lang w:bidi="ar"/>
                    </w:rPr>
                    <w:t>原料</w:t>
                  </w:r>
                </w:p>
              </w:tc>
              <w:tc>
                <w:tcPr>
                  <w:tcW w:w="378" w:type="pct"/>
                  <w:vAlign w:val="center"/>
                </w:tcPr>
                <w:p w14:paraId="0B751B85">
                  <w:pPr>
                    <w:widowControl/>
                    <w:jc w:val="center"/>
                    <w:rPr>
                      <w:color w:val="000000"/>
                      <w:kern w:val="0"/>
                      <w:sz w:val="20"/>
                      <w:szCs w:val="20"/>
                      <w:lang w:bidi="ar"/>
                    </w:rPr>
                  </w:pPr>
                  <w:r>
                    <w:rPr>
                      <w:color w:val="000000"/>
                      <w:kern w:val="0"/>
                      <w:sz w:val="20"/>
                      <w:szCs w:val="20"/>
                      <w:lang w:bidi="ar"/>
                    </w:rPr>
                    <w:t>废包装材料</w:t>
                  </w:r>
                </w:p>
              </w:tc>
              <w:tc>
                <w:tcPr>
                  <w:tcW w:w="378" w:type="pct"/>
                  <w:vMerge w:val="continue"/>
                  <w:vAlign w:val="center"/>
                </w:tcPr>
                <w:p w14:paraId="26AD82A0">
                  <w:pPr>
                    <w:widowControl/>
                    <w:jc w:val="center"/>
                    <w:rPr>
                      <w:color w:val="000000"/>
                      <w:kern w:val="0"/>
                      <w:sz w:val="20"/>
                      <w:szCs w:val="20"/>
                      <w:lang w:bidi="ar"/>
                    </w:rPr>
                  </w:pPr>
                </w:p>
              </w:tc>
              <w:tc>
                <w:tcPr>
                  <w:tcW w:w="393" w:type="pct"/>
                  <w:vMerge w:val="continue"/>
                  <w:vAlign w:val="center"/>
                </w:tcPr>
                <w:p w14:paraId="69790EA3">
                  <w:pPr>
                    <w:widowControl/>
                    <w:jc w:val="center"/>
                    <w:rPr>
                      <w:color w:val="000000"/>
                      <w:kern w:val="0"/>
                      <w:sz w:val="20"/>
                      <w:szCs w:val="20"/>
                      <w:lang w:bidi="ar"/>
                    </w:rPr>
                  </w:pPr>
                </w:p>
              </w:tc>
              <w:tc>
                <w:tcPr>
                  <w:tcW w:w="409" w:type="pct"/>
                  <w:vAlign w:val="center"/>
                </w:tcPr>
                <w:p w14:paraId="64336D3D">
                  <w:pPr>
                    <w:widowControl/>
                    <w:jc w:val="center"/>
                    <w:rPr>
                      <w:color w:val="000000"/>
                      <w:kern w:val="0"/>
                      <w:sz w:val="20"/>
                      <w:szCs w:val="20"/>
                      <w:lang w:bidi="ar"/>
                    </w:rPr>
                  </w:pPr>
                  <w:r>
                    <w:rPr>
                      <w:color w:val="000000"/>
                      <w:kern w:val="0"/>
                      <w:sz w:val="20"/>
                      <w:szCs w:val="20"/>
                      <w:lang w:bidi="ar"/>
                    </w:rPr>
                    <w:t>/</w:t>
                  </w:r>
                </w:p>
              </w:tc>
              <w:tc>
                <w:tcPr>
                  <w:tcW w:w="378" w:type="pct"/>
                  <w:vAlign w:val="center"/>
                </w:tcPr>
                <w:p w14:paraId="23F297D3">
                  <w:pPr>
                    <w:spacing w:line="500" w:lineRule="exact"/>
                    <w:jc w:val="center"/>
                    <w:rPr>
                      <w:kern w:val="0"/>
                      <w:sz w:val="20"/>
                      <w:szCs w:val="20"/>
                    </w:rPr>
                  </w:pPr>
                  <w:r>
                    <w:rPr>
                      <w:kern w:val="0"/>
                      <w:sz w:val="20"/>
                      <w:szCs w:val="20"/>
                    </w:rPr>
                    <w:t>/</w:t>
                  </w:r>
                </w:p>
              </w:tc>
              <w:tc>
                <w:tcPr>
                  <w:tcW w:w="378" w:type="pct"/>
                  <w:vAlign w:val="center"/>
                </w:tcPr>
                <w:p w14:paraId="0788F7EA">
                  <w:pPr>
                    <w:widowControl/>
                    <w:jc w:val="center"/>
                    <w:rPr>
                      <w:sz w:val="20"/>
                      <w:szCs w:val="20"/>
                    </w:rPr>
                  </w:pPr>
                  <w:r>
                    <w:rPr>
                      <w:color w:val="000000"/>
                      <w:kern w:val="0"/>
                      <w:sz w:val="20"/>
                      <w:szCs w:val="20"/>
                      <w:lang w:bidi="ar"/>
                    </w:rPr>
                    <w:t>固</w:t>
                  </w:r>
                </w:p>
                <w:p w14:paraId="2CB74B40">
                  <w:pPr>
                    <w:widowControl/>
                    <w:jc w:val="center"/>
                    <w:rPr>
                      <w:color w:val="000000"/>
                      <w:kern w:val="0"/>
                      <w:sz w:val="20"/>
                      <w:szCs w:val="20"/>
                      <w:lang w:bidi="ar"/>
                    </w:rPr>
                  </w:pPr>
                  <w:r>
                    <w:rPr>
                      <w:color w:val="000000"/>
                      <w:kern w:val="0"/>
                      <w:sz w:val="20"/>
                      <w:szCs w:val="20"/>
                      <w:lang w:bidi="ar"/>
                    </w:rPr>
                    <w:t>态</w:t>
                  </w:r>
                </w:p>
              </w:tc>
              <w:tc>
                <w:tcPr>
                  <w:tcW w:w="409" w:type="pct"/>
                  <w:vAlign w:val="center"/>
                </w:tcPr>
                <w:p w14:paraId="0ECEA8AD">
                  <w:pPr>
                    <w:spacing w:line="500" w:lineRule="exact"/>
                    <w:jc w:val="center"/>
                    <w:rPr>
                      <w:kern w:val="0"/>
                      <w:sz w:val="20"/>
                      <w:szCs w:val="20"/>
                    </w:rPr>
                  </w:pPr>
                  <w:r>
                    <w:rPr>
                      <w:kern w:val="0"/>
                      <w:sz w:val="20"/>
                      <w:szCs w:val="20"/>
                    </w:rPr>
                    <w:t>/</w:t>
                  </w:r>
                </w:p>
              </w:tc>
              <w:tc>
                <w:tcPr>
                  <w:tcW w:w="572" w:type="pct"/>
                  <w:vAlign w:val="center"/>
                </w:tcPr>
                <w:p w14:paraId="2929A0D5">
                  <w:pPr>
                    <w:spacing w:line="500" w:lineRule="exact"/>
                    <w:jc w:val="center"/>
                    <w:rPr>
                      <w:kern w:val="0"/>
                      <w:sz w:val="20"/>
                      <w:szCs w:val="20"/>
                    </w:rPr>
                  </w:pPr>
                  <w:r>
                    <w:rPr>
                      <w:kern w:val="0"/>
                      <w:sz w:val="20"/>
                      <w:szCs w:val="20"/>
                    </w:rPr>
                    <w:t>0.8</w:t>
                  </w:r>
                </w:p>
              </w:tc>
              <w:tc>
                <w:tcPr>
                  <w:tcW w:w="378" w:type="pct"/>
                  <w:vMerge w:val="continue"/>
                  <w:vAlign w:val="center"/>
                </w:tcPr>
                <w:p w14:paraId="3D0BD6C2">
                  <w:pPr>
                    <w:widowControl/>
                    <w:jc w:val="center"/>
                    <w:rPr>
                      <w:color w:val="000000"/>
                      <w:kern w:val="0"/>
                      <w:sz w:val="20"/>
                      <w:szCs w:val="20"/>
                      <w:lang w:bidi="ar"/>
                    </w:rPr>
                  </w:pPr>
                </w:p>
              </w:tc>
              <w:tc>
                <w:tcPr>
                  <w:tcW w:w="378" w:type="pct"/>
                  <w:vAlign w:val="center"/>
                </w:tcPr>
                <w:p w14:paraId="0A3A9FFB">
                  <w:pPr>
                    <w:widowControl/>
                    <w:jc w:val="center"/>
                    <w:rPr>
                      <w:color w:val="000000"/>
                      <w:kern w:val="0"/>
                      <w:sz w:val="20"/>
                      <w:szCs w:val="20"/>
                      <w:lang w:bidi="ar"/>
                    </w:rPr>
                  </w:pPr>
                  <w:r>
                    <w:rPr>
                      <w:color w:val="000000"/>
                      <w:kern w:val="0"/>
                      <w:sz w:val="20"/>
                      <w:szCs w:val="20"/>
                      <w:lang w:bidi="ar"/>
                    </w:rPr>
                    <w:t>专业公司回收</w:t>
                  </w:r>
                </w:p>
              </w:tc>
              <w:tc>
                <w:tcPr>
                  <w:tcW w:w="572" w:type="pct"/>
                  <w:vAlign w:val="center"/>
                </w:tcPr>
                <w:p w14:paraId="061808F3">
                  <w:pPr>
                    <w:spacing w:line="500" w:lineRule="exact"/>
                    <w:jc w:val="center"/>
                    <w:rPr>
                      <w:kern w:val="0"/>
                      <w:sz w:val="20"/>
                      <w:szCs w:val="20"/>
                    </w:rPr>
                  </w:pPr>
                  <w:r>
                    <w:rPr>
                      <w:kern w:val="0"/>
                      <w:sz w:val="20"/>
                      <w:szCs w:val="20"/>
                    </w:rPr>
                    <w:t>0.8</w:t>
                  </w:r>
                </w:p>
              </w:tc>
            </w:tr>
            <w:tr w14:paraId="4249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75" w:type="pct"/>
                  <w:vMerge w:val="restart"/>
                  <w:vAlign w:val="center"/>
                </w:tcPr>
                <w:p w14:paraId="303FB5C7">
                  <w:pPr>
                    <w:widowControl/>
                    <w:jc w:val="center"/>
                    <w:rPr>
                      <w:sz w:val="20"/>
                      <w:szCs w:val="20"/>
                    </w:rPr>
                  </w:pPr>
                  <w:r>
                    <w:rPr>
                      <w:color w:val="000000"/>
                      <w:kern w:val="0"/>
                      <w:sz w:val="20"/>
                      <w:szCs w:val="20"/>
                      <w:lang w:bidi="ar"/>
                    </w:rPr>
                    <w:t>废气</w:t>
                  </w:r>
                </w:p>
                <w:p w14:paraId="172D6F3C">
                  <w:pPr>
                    <w:widowControl/>
                    <w:jc w:val="center"/>
                    <w:rPr>
                      <w:kern w:val="0"/>
                      <w:sz w:val="20"/>
                      <w:szCs w:val="20"/>
                    </w:rPr>
                  </w:pPr>
                  <w:r>
                    <w:rPr>
                      <w:color w:val="000000"/>
                      <w:kern w:val="0"/>
                      <w:sz w:val="20"/>
                      <w:szCs w:val="20"/>
                      <w:lang w:bidi="ar"/>
                    </w:rPr>
                    <w:t>治理</w:t>
                  </w:r>
                </w:p>
              </w:tc>
              <w:tc>
                <w:tcPr>
                  <w:tcW w:w="378" w:type="pct"/>
                  <w:vAlign w:val="center"/>
                </w:tcPr>
                <w:p w14:paraId="4510FF67">
                  <w:pPr>
                    <w:widowControl/>
                    <w:jc w:val="center"/>
                    <w:rPr>
                      <w:kern w:val="0"/>
                      <w:sz w:val="20"/>
                      <w:szCs w:val="20"/>
                    </w:rPr>
                  </w:pPr>
                  <w:r>
                    <w:rPr>
                      <w:color w:val="000000"/>
                      <w:kern w:val="0"/>
                      <w:sz w:val="20"/>
                      <w:szCs w:val="20"/>
                      <w:lang w:bidi="ar"/>
                    </w:rPr>
                    <w:t>废活性炭</w:t>
                  </w:r>
                </w:p>
              </w:tc>
              <w:tc>
                <w:tcPr>
                  <w:tcW w:w="378" w:type="pct"/>
                  <w:vMerge w:val="restart"/>
                  <w:vAlign w:val="center"/>
                </w:tcPr>
                <w:p w14:paraId="3822EB82">
                  <w:pPr>
                    <w:widowControl/>
                    <w:jc w:val="center"/>
                    <w:rPr>
                      <w:sz w:val="20"/>
                      <w:szCs w:val="20"/>
                    </w:rPr>
                  </w:pPr>
                </w:p>
                <w:p w14:paraId="2EB1B2F1">
                  <w:pPr>
                    <w:widowControl/>
                    <w:jc w:val="center"/>
                    <w:rPr>
                      <w:sz w:val="20"/>
                      <w:szCs w:val="20"/>
                    </w:rPr>
                  </w:pPr>
                  <w:r>
                    <w:rPr>
                      <w:color w:val="000000"/>
                      <w:kern w:val="0"/>
                      <w:sz w:val="20"/>
                      <w:szCs w:val="20"/>
                      <w:lang w:bidi="ar"/>
                    </w:rPr>
                    <w:t>危</w:t>
                  </w:r>
                </w:p>
                <w:p w14:paraId="722AA3C9">
                  <w:pPr>
                    <w:widowControl/>
                    <w:jc w:val="center"/>
                    <w:rPr>
                      <w:sz w:val="20"/>
                      <w:szCs w:val="20"/>
                    </w:rPr>
                  </w:pPr>
                  <w:r>
                    <w:rPr>
                      <w:color w:val="000000"/>
                      <w:kern w:val="0"/>
                      <w:sz w:val="20"/>
                      <w:szCs w:val="20"/>
                      <w:lang w:bidi="ar"/>
                    </w:rPr>
                    <w:t>险</w:t>
                  </w:r>
                </w:p>
                <w:p w14:paraId="68DA46DC">
                  <w:pPr>
                    <w:widowControl/>
                    <w:jc w:val="center"/>
                    <w:rPr>
                      <w:sz w:val="20"/>
                      <w:szCs w:val="20"/>
                    </w:rPr>
                  </w:pPr>
                  <w:r>
                    <w:rPr>
                      <w:color w:val="000000"/>
                      <w:kern w:val="0"/>
                      <w:sz w:val="20"/>
                      <w:szCs w:val="20"/>
                      <w:lang w:bidi="ar"/>
                    </w:rPr>
                    <w:t>废</w:t>
                  </w:r>
                </w:p>
                <w:p w14:paraId="18DD550B">
                  <w:pPr>
                    <w:widowControl/>
                    <w:jc w:val="center"/>
                    <w:rPr>
                      <w:kern w:val="0"/>
                      <w:sz w:val="20"/>
                      <w:szCs w:val="20"/>
                    </w:rPr>
                  </w:pPr>
                  <w:r>
                    <w:rPr>
                      <w:color w:val="000000"/>
                      <w:kern w:val="0"/>
                      <w:sz w:val="20"/>
                      <w:szCs w:val="20"/>
                      <w:lang w:bidi="ar"/>
                    </w:rPr>
                    <w:t>物</w:t>
                  </w:r>
                </w:p>
              </w:tc>
              <w:tc>
                <w:tcPr>
                  <w:tcW w:w="393" w:type="pct"/>
                  <w:vAlign w:val="center"/>
                </w:tcPr>
                <w:p w14:paraId="7E1448C8">
                  <w:pPr>
                    <w:widowControl/>
                    <w:jc w:val="center"/>
                    <w:rPr>
                      <w:sz w:val="20"/>
                      <w:szCs w:val="20"/>
                    </w:rPr>
                  </w:pPr>
                  <w:r>
                    <w:rPr>
                      <w:color w:val="000000"/>
                      <w:kern w:val="0"/>
                      <w:sz w:val="20"/>
                      <w:szCs w:val="20"/>
                      <w:lang w:bidi="ar"/>
                    </w:rPr>
                    <w:t>HW49</w:t>
                  </w:r>
                </w:p>
                <w:p w14:paraId="6B390CED">
                  <w:pPr>
                    <w:widowControl/>
                    <w:jc w:val="center"/>
                    <w:rPr>
                      <w:sz w:val="20"/>
                      <w:szCs w:val="20"/>
                    </w:rPr>
                  </w:pPr>
                  <w:r>
                    <w:rPr>
                      <w:color w:val="000000"/>
                      <w:kern w:val="0"/>
                      <w:sz w:val="20"/>
                      <w:szCs w:val="20"/>
                      <w:lang w:bidi="ar"/>
                    </w:rPr>
                    <w:t>其他</w:t>
                  </w:r>
                </w:p>
                <w:p w14:paraId="06B1CC13">
                  <w:pPr>
                    <w:widowControl/>
                    <w:jc w:val="center"/>
                    <w:rPr>
                      <w:sz w:val="20"/>
                      <w:szCs w:val="20"/>
                    </w:rPr>
                  </w:pPr>
                  <w:r>
                    <w:rPr>
                      <w:color w:val="000000"/>
                      <w:kern w:val="0"/>
                      <w:sz w:val="20"/>
                      <w:szCs w:val="20"/>
                      <w:lang w:bidi="ar"/>
                    </w:rPr>
                    <w:t>危险</w:t>
                  </w:r>
                </w:p>
                <w:p w14:paraId="5AABC845">
                  <w:pPr>
                    <w:widowControl/>
                    <w:jc w:val="center"/>
                    <w:rPr>
                      <w:kern w:val="0"/>
                      <w:sz w:val="20"/>
                      <w:szCs w:val="20"/>
                    </w:rPr>
                  </w:pPr>
                  <w:r>
                    <w:rPr>
                      <w:color w:val="000000"/>
                      <w:kern w:val="0"/>
                      <w:sz w:val="20"/>
                      <w:szCs w:val="20"/>
                      <w:lang w:bidi="ar"/>
                    </w:rPr>
                    <w:t>废物</w:t>
                  </w:r>
                </w:p>
                <w:p w14:paraId="6DEE9EA3">
                  <w:pPr>
                    <w:widowControl/>
                    <w:jc w:val="center"/>
                    <w:rPr>
                      <w:kern w:val="0"/>
                      <w:sz w:val="20"/>
                      <w:szCs w:val="20"/>
                    </w:rPr>
                  </w:pPr>
                </w:p>
              </w:tc>
              <w:tc>
                <w:tcPr>
                  <w:tcW w:w="409" w:type="pct"/>
                  <w:vAlign w:val="center"/>
                </w:tcPr>
                <w:p w14:paraId="7648B3B8">
                  <w:pPr>
                    <w:widowControl/>
                    <w:jc w:val="center"/>
                    <w:rPr>
                      <w:color w:val="000000"/>
                      <w:kern w:val="0"/>
                      <w:sz w:val="20"/>
                      <w:szCs w:val="20"/>
                      <w:lang w:bidi="ar"/>
                    </w:rPr>
                  </w:pPr>
                  <w:r>
                    <w:rPr>
                      <w:color w:val="000000"/>
                      <w:kern w:val="0"/>
                      <w:sz w:val="20"/>
                      <w:szCs w:val="20"/>
                      <w:lang w:bidi="ar"/>
                    </w:rPr>
                    <w:t>900-039-49</w:t>
                  </w:r>
                </w:p>
              </w:tc>
              <w:tc>
                <w:tcPr>
                  <w:tcW w:w="378" w:type="pct"/>
                  <w:vMerge w:val="restart"/>
                  <w:vAlign w:val="center"/>
                </w:tcPr>
                <w:p w14:paraId="5E23983F">
                  <w:pPr>
                    <w:widowControl/>
                    <w:jc w:val="center"/>
                    <w:rPr>
                      <w:color w:val="000000"/>
                      <w:kern w:val="0"/>
                      <w:sz w:val="20"/>
                      <w:szCs w:val="20"/>
                      <w:lang w:bidi="ar"/>
                    </w:rPr>
                  </w:pPr>
                  <w:r>
                    <w:rPr>
                      <w:color w:val="000000"/>
                      <w:kern w:val="0"/>
                      <w:sz w:val="20"/>
                      <w:szCs w:val="20"/>
                      <w:lang w:bidi="ar"/>
                    </w:rPr>
                    <w:t>有机</w:t>
                  </w:r>
                </w:p>
                <w:p w14:paraId="16949336">
                  <w:pPr>
                    <w:widowControl/>
                    <w:jc w:val="center"/>
                    <w:rPr>
                      <w:color w:val="000000"/>
                      <w:kern w:val="0"/>
                      <w:sz w:val="20"/>
                      <w:szCs w:val="20"/>
                      <w:lang w:bidi="ar"/>
                    </w:rPr>
                  </w:pPr>
                  <w:r>
                    <w:rPr>
                      <w:color w:val="000000"/>
                      <w:kern w:val="0"/>
                      <w:sz w:val="20"/>
                      <w:szCs w:val="20"/>
                      <w:lang w:bidi="ar"/>
                    </w:rPr>
                    <w:t>废气</w:t>
                  </w:r>
                </w:p>
              </w:tc>
              <w:tc>
                <w:tcPr>
                  <w:tcW w:w="378" w:type="pct"/>
                  <w:vAlign w:val="center"/>
                </w:tcPr>
                <w:p w14:paraId="243B82DC">
                  <w:pPr>
                    <w:widowControl/>
                    <w:jc w:val="center"/>
                    <w:rPr>
                      <w:kern w:val="0"/>
                      <w:sz w:val="20"/>
                      <w:szCs w:val="20"/>
                    </w:rPr>
                  </w:pPr>
                  <w:r>
                    <w:rPr>
                      <w:color w:val="000000"/>
                      <w:kern w:val="0"/>
                      <w:sz w:val="20"/>
                      <w:szCs w:val="20"/>
                      <w:lang w:bidi="ar"/>
                    </w:rPr>
                    <w:t>固态</w:t>
                  </w:r>
                </w:p>
              </w:tc>
              <w:tc>
                <w:tcPr>
                  <w:tcW w:w="409" w:type="pct"/>
                  <w:vAlign w:val="center"/>
                </w:tcPr>
                <w:p w14:paraId="1A1805D8">
                  <w:pPr>
                    <w:widowControl/>
                    <w:jc w:val="center"/>
                    <w:rPr>
                      <w:kern w:val="0"/>
                      <w:sz w:val="20"/>
                      <w:szCs w:val="20"/>
                    </w:rPr>
                  </w:pPr>
                  <w:r>
                    <w:rPr>
                      <w:color w:val="000000"/>
                      <w:kern w:val="0"/>
                      <w:sz w:val="20"/>
                      <w:szCs w:val="20"/>
                      <w:lang w:bidi="ar"/>
                    </w:rPr>
                    <w:t>T</w:t>
                  </w:r>
                </w:p>
              </w:tc>
              <w:tc>
                <w:tcPr>
                  <w:tcW w:w="572" w:type="pct"/>
                  <w:vAlign w:val="center"/>
                </w:tcPr>
                <w:p w14:paraId="26A4F3BB">
                  <w:pPr>
                    <w:widowControl/>
                    <w:jc w:val="center"/>
                    <w:rPr>
                      <w:kern w:val="0"/>
                      <w:sz w:val="20"/>
                      <w:szCs w:val="20"/>
                    </w:rPr>
                  </w:pPr>
                  <w:r>
                    <w:rPr>
                      <w:color w:val="000000"/>
                      <w:kern w:val="0"/>
                      <w:sz w:val="20"/>
                      <w:szCs w:val="20"/>
                      <w:lang w:bidi="ar"/>
                    </w:rPr>
                    <w:t>1.024</w:t>
                  </w:r>
                </w:p>
              </w:tc>
              <w:tc>
                <w:tcPr>
                  <w:tcW w:w="378" w:type="pct"/>
                  <w:vMerge w:val="restart"/>
                  <w:vAlign w:val="center"/>
                </w:tcPr>
                <w:p w14:paraId="2127129E">
                  <w:pPr>
                    <w:widowControl/>
                    <w:jc w:val="center"/>
                    <w:rPr>
                      <w:sz w:val="20"/>
                      <w:szCs w:val="20"/>
                    </w:rPr>
                  </w:pPr>
                  <w:r>
                    <w:rPr>
                      <w:color w:val="000000"/>
                      <w:kern w:val="0"/>
                      <w:sz w:val="20"/>
                      <w:szCs w:val="20"/>
                      <w:lang w:bidi="ar"/>
                    </w:rPr>
                    <w:t>胶</w:t>
                  </w:r>
                </w:p>
                <w:p w14:paraId="73020E63">
                  <w:pPr>
                    <w:widowControl/>
                    <w:jc w:val="center"/>
                    <w:rPr>
                      <w:sz w:val="20"/>
                      <w:szCs w:val="20"/>
                    </w:rPr>
                  </w:pPr>
                  <w:r>
                    <w:rPr>
                      <w:color w:val="000000"/>
                      <w:kern w:val="0"/>
                      <w:sz w:val="20"/>
                      <w:szCs w:val="20"/>
                      <w:lang w:bidi="ar"/>
                    </w:rPr>
                    <w:t>桶</w:t>
                  </w:r>
                </w:p>
                <w:p w14:paraId="30EEE7BF">
                  <w:pPr>
                    <w:widowControl/>
                    <w:jc w:val="center"/>
                    <w:rPr>
                      <w:sz w:val="20"/>
                      <w:szCs w:val="20"/>
                    </w:rPr>
                  </w:pPr>
                  <w:r>
                    <w:rPr>
                      <w:color w:val="000000"/>
                      <w:kern w:val="0"/>
                      <w:sz w:val="20"/>
                      <w:szCs w:val="20"/>
                      <w:lang w:bidi="ar"/>
                    </w:rPr>
                    <w:t>贮</w:t>
                  </w:r>
                </w:p>
                <w:p w14:paraId="583D66EC">
                  <w:pPr>
                    <w:widowControl/>
                    <w:jc w:val="center"/>
                    <w:rPr>
                      <w:kern w:val="0"/>
                      <w:sz w:val="20"/>
                      <w:szCs w:val="20"/>
                    </w:rPr>
                  </w:pPr>
                  <w:r>
                    <w:rPr>
                      <w:color w:val="000000"/>
                      <w:kern w:val="0"/>
                      <w:sz w:val="20"/>
                      <w:szCs w:val="20"/>
                      <w:lang w:bidi="ar"/>
                    </w:rPr>
                    <w:t>存、袋装</w:t>
                  </w:r>
                </w:p>
              </w:tc>
              <w:tc>
                <w:tcPr>
                  <w:tcW w:w="378" w:type="pct"/>
                  <w:vMerge w:val="restart"/>
                  <w:vAlign w:val="center"/>
                </w:tcPr>
                <w:p w14:paraId="46A25216">
                  <w:pPr>
                    <w:widowControl/>
                    <w:jc w:val="center"/>
                    <w:rPr>
                      <w:sz w:val="20"/>
                      <w:szCs w:val="20"/>
                    </w:rPr>
                  </w:pPr>
                  <w:r>
                    <w:rPr>
                      <w:color w:val="000000"/>
                      <w:kern w:val="0"/>
                      <w:sz w:val="20"/>
                      <w:szCs w:val="20"/>
                      <w:lang w:bidi="ar"/>
                    </w:rPr>
                    <w:t>委</w:t>
                  </w:r>
                </w:p>
                <w:p w14:paraId="5C33F47A">
                  <w:pPr>
                    <w:widowControl/>
                    <w:jc w:val="center"/>
                    <w:rPr>
                      <w:sz w:val="20"/>
                      <w:szCs w:val="20"/>
                    </w:rPr>
                  </w:pPr>
                  <w:r>
                    <w:rPr>
                      <w:color w:val="000000"/>
                      <w:kern w:val="0"/>
                      <w:sz w:val="20"/>
                      <w:szCs w:val="20"/>
                      <w:lang w:bidi="ar"/>
                    </w:rPr>
                    <w:t>托</w:t>
                  </w:r>
                </w:p>
                <w:p w14:paraId="5036C808">
                  <w:pPr>
                    <w:widowControl/>
                    <w:jc w:val="center"/>
                    <w:rPr>
                      <w:sz w:val="20"/>
                      <w:szCs w:val="20"/>
                    </w:rPr>
                  </w:pPr>
                  <w:r>
                    <w:rPr>
                      <w:color w:val="000000"/>
                      <w:kern w:val="0"/>
                      <w:sz w:val="20"/>
                      <w:szCs w:val="20"/>
                      <w:lang w:bidi="ar"/>
                    </w:rPr>
                    <w:t>有</w:t>
                  </w:r>
                </w:p>
                <w:p w14:paraId="60A4C155">
                  <w:pPr>
                    <w:widowControl/>
                    <w:jc w:val="center"/>
                    <w:rPr>
                      <w:sz w:val="20"/>
                      <w:szCs w:val="20"/>
                    </w:rPr>
                  </w:pPr>
                  <w:r>
                    <w:rPr>
                      <w:color w:val="000000"/>
                      <w:kern w:val="0"/>
                      <w:sz w:val="20"/>
                      <w:szCs w:val="20"/>
                      <w:lang w:bidi="ar"/>
                    </w:rPr>
                    <w:t>资</w:t>
                  </w:r>
                </w:p>
                <w:p w14:paraId="2B99BF55">
                  <w:pPr>
                    <w:widowControl/>
                    <w:jc w:val="center"/>
                    <w:rPr>
                      <w:sz w:val="20"/>
                      <w:szCs w:val="20"/>
                    </w:rPr>
                  </w:pPr>
                  <w:r>
                    <w:rPr>
                      <w:color w:val="000000"/>
                      <w:kern w:val="0"/>
                      <w:sz w:val="20"/>
                      <w:szCs w:val="20"/>
                      <w:lang w:bidi="ar"/>
                    </w:rPr>
                    <w:t>质</w:t>
                  </w:r>
                </w:p>
                <w:p w14:paraId="444DF778">
                  <w:pPr>
                    <w:widowControl/>
                    <w:jc w:val="center"/>
                    <w:rPr>
                      <w:sz w:val="20"/>
                      <w:szCs w:val="20"/>
                    </w:rPr>
                  </w:pPr>
                  <w:r>
                    <w:rPr>
                      <w:color w:val="000000"/>
                      <w:kern w:val="0"/>
                      <w:sz w:val="20"/>
                      <w:szCs w:val="20"/>
                      <w:lang w:bidi="ar"/>
                    </w:rPr>
                    <w:t>单</w:t>
                  </w:r>
                </w:p>
                <w:p w14:paraId="7E1B9D64">
                  <w:pPr>
                    <w:widowControl/>
                    <w:jc w:val="center"/>
                    <w:rPr>
                      <w:sz w:val="20"/>
                      <w:szCs w:val="20"/>
                    </w:rPr>
                  </w:pPr>
                  <w:r>
                    <w:rPr>
                      <w:color w:val="000000"/>
                      <w:kern w:val="0"/>
                      <w:sz w:val="20"/>
                      <w:szCs w:val="20"/>
                      <w:lang w:bidi="ar"/>
                    </w:rPr>
                    <w:t>位</w:t>
                  </w:r>
                </w:p>
                <w:p w14:paraId="04720DA0">
                  <w:pPr>
                    <w:widowControl/>
                    <w:jc w:val="center"/>
                    <w:rPr>
                      <w:sz w:val="20"/>
                      <w:szCs w:val="20"/>
                    </w:rPr>
                  </w:pPr>
                  <w:r>
                    <w:rPr>
                      <w:color w:val="000000"/>
                      <w:kern w:val="0"/>
                      <w:sz w:val="20"/>
                      <w:szCs w:val="20"/>
                      <w:lang w:bidi="ar"/>
                    </w:rPr>
                    <w:t>处</w:t>
                  </w:r>
                </w:p>
                <w:p w14:paraId="26817630">
                  <w:pPr>
                    <w:widowControl/>
                    <w:jc w:val="center"/>
                    <w:rPr>
                      <w:kern w:val="0"/>
                      <w:sz w:val="20"/>
                      <w:szCs w:val="20"/>
                    </w:rPr>
                  </w:pPr>
                  <w:r>
                    <w:rPr>
                      <w:color w:val="000000"/>
                      <w:kern w:val="0"/>
                      <w:sz w:val="20"/>
                      <w:szCs w:val="20"/>
                      <w:lang w:bidi="ar"/>
                    </w:rPr>
                    <w:t>理</w:t>
                  </w:r>
                </w:p>
              </w:tc>
              <w:tc>
                <w:tcPr>
                  <w:tcW w:w="572" w:type="pct"/>
                  <w:vAlign w:val="center"/>
                </w:tcPr>
                <w:p w14:paraId="4F9FD8B7">
                  <w:pPr>
                    <w:widowControl/>
                    <w:jc w:val="center"/>
                    <w:rPr>
                      <w:kern w:val="0"/>
                      <w:sz w:val="20"/>
                      <w:szCs w:val="20"/>
                    </w:rPr>
                  </w:pPr>
                  <w:r>
                    <w:rPr>
                      <w:color w:val="000000"/>
                      <w:kern w:val="0"/>
                      <w:sz w:val="20"/>
                      <w:szCs w:val="20"/>
                      <w:lang w:bidi="ar"/>
                    </w:rPr>
                    <w:t>1.024</w:t>
                  </w:r>
                </w:p>
              </w:tc>
            </w:tr>
            <w:tr w14:paraId="3B00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trPr>
              <w:tc>
                <w:tcPr>
                  <w:tcW w:w="375" w:type="pct"/>
                  <w:vMerge w:val="continue"/>
                  <w:vAlign w:val="center"/>
                </w:tcPr>
                <w:p w14:paraId="0BDCC06C">
                  <w:pPr>
                    <w:spacing w:line="500" w:lineRule="exact"/>
                    <w:jc w:val="center"/>
                    <w:rPr>
                      <w:sz w:val="20"/>
                      <w:szCs w:val="20"/>
                    </w:rPr>
                  </w:pPr>
                </w:p>
              </w:tc>
              <w:tc>
                <w:tcPr>
                  <w:tcW w:w="378" w:type="pct"/>
                  <w:vAlign w:val="center"/>
                </w:tcPr>
                <w:p w14:paraId="2ECE9DD7">
                  <w:pPr>
                    <w:widowControl/>
                    <w:jc w:val="center"/>
                    <w:rPr>
                      <w:color w:val="000000"/>
                      <w:kern w:val="0"/>
                      <w:sz w:val="20"/>
                      <w:szCs w:val="20"/>
                      <w:lang w:bidi="ar"/>
                    </w:rPr>
                  </w:pPr>
                  <w:r>
                    <w:rPr>
                      <w:color w:val="000000"/>
                      <w:kern w:val="0"/>
                      <w:sz w:val="20"/>
                      <w:szCs w:val="20"/>
                      <w:lang w:bidi="ar"/>
                    </w:rPr>
                    <w:t>废污油</w:t>
                  </w:r>
                </w:p>
              </w:tc>
              <w:tc>
                <w:tcPr>
                  <w:tcW w:w="378" w:type="pct"/>
                  <w:vMerge w:val="continue"/>
                  <w:vAlign w:val="center"/>
                </w:tcPr>
                <w:p w14:paraId="478A1A32">
                  <w:pPr>
                    <w:spacing w:line="500" w:lineRule="exact"/>
                    <w:jc w:val="center"/>
                    <w:rPr>
                      <w:kern w:val="0"/>
                      <w:sz w:val="20"/>
                      <w:szCs w:val="20"/>
                    </w:rPr>
                  </w:pPr>
                </w:p>
              </w:tc>
              <w:tc>
                <w:tcPr>
                  <w:tcW w:w="393" w:type="pct"/>
                  <w:vAlign w:val="center"/>
                </w:tcPr>
                <w:p w14:paraId="181BC8E2">
                  <w:pPr>
                    <w:widowControl/>
                    <w:jc w:val="center"/>
                    <w:rPr>
                      <w:kern w:val="0"/>
                      <w:sz w:val="20"/>
                      <w:szCs w:val="20"/>
                    </w:rPr>
                  </w:pPr>
                  <w:r>
                    <w:rPr>
                      <w:color w:val="000000"/>
                      <w:kern w:val="0"/>
                      <w:sz w:val="20"/>
                      <w:szCs w:val="20"/>
                      <w:lang w:bidi="ar"/>
                    </w:rPr>
                    <w:t>HW09油/水、烃/水混合物或者乳化</w:t>
                  </w:r>
                </w:p>
              </w:tc>
              <w:tc>
                <w:tcPr>
                  <w:tcW w:w="409" w:type="pct"/>
                  <w:vAlign w:val="center"/>
                </w:tcPr>
                <w:p w14:paraId="7CF63BF9">
                  <w:pPr>
                    <w:widowControl/>
                    <w:jc w:val="center"/>
                    <w:rPr>
                      <w:color w:val="000000"/>
                      <w:kern w:val="0"/>
                      <w:sz w:val="20"/>
                      <w:szCs w:val="20"/>
                      <w:lang w:bidi="ar"/>
                    </w:rPr>
                  </w:pPr>
                  <w:r>
                    <w:rPr>
                      <w:color w:val="000000"/>
                      <w:kern w:val="0"/>
                      <w:sz w:val="20"/>
                      <w:szCs w:val="20"/>
                      <w:lang w:bidi="ar"/>
                    </w:rPr>
                    <w:t>900-007-09</w:t>
                  </w:r>
                </w:p>
              </w:tc>
              <w:tc>
                <w:tcPr>
                  <w:tcW w:w="378" w:type="pct"/>
                  <w:vMerge w:val="continue"/>
                  <w:vAlign w:val="center"/>
                </w:tcPr>
                <w:p w14:paraId="0D67B04D">
                  <w:pPr>
                    <w:widowControl/>
                    <w:jc w:val="center"/>
                    <w:rPr>
                      <w:color w:val="000000"/>
                      <w:kern w:val="0"/>
                      <w:sz w:val="20"/>
                      <w:szCs w:val="20"/>
                      <w:lang w:bidi="ar"/>
                    </w:rPr>
                  </w:pPr>
                </w:p>
              </w:tc>
              <w:tc>
                <w:tcPr>
                  <w:tcW w:w="378" w:type="pct"/>
                  <w:vAlign w:val="center"/>
                </w:tcPr>
                <w:p w14:paraId="5DE342BA">
                  <w:pPr>
                    <w:spacing w:line="500" w:lineRule="exact"/>
                    <w:jc w:val="center"/>
                    <w:rPr>
                      <w:kern w:val="0"/>
                      <w:sz w:val="20"/>
                      <w:szCs w:val="20"/>
                    </w:rPr>
                  </w:pPr>
                  <w:r>
                    <w:rPr>
                      <w:kern w:val="0"/>
                      <w:sz w:val="20"/>
                      <w:szCs w:val="20"/>
                    </w:rPr>
                    <w:t>液态</w:t>
                  </w:r>
                </w:p>
              </w:tc>
              <w:tc>
                <w:tcPr>
                  <w:tcW w:w="409" w:type="pct"/>
                  <w:vAlign w:val="center"/>
                </w:tcPr>
                <w:p w14:paraId="7283C1B8">
                  <w:pPr>
                    <w:widowControl/>
                    <w:jc w:val="center"/>
                    <w:rPr>
                      <w:color w:val="000000"/>
                      <w:kern w:val="0"/>
                      <w:sz w:val="20"/>
                      <w:szCs w:val="20"/>
                      <w:lang w:bidi="ar"/>
                    </w:rPr>
                  </w:pPr>
                  <w:r>
                    <w:rPr>
                      <w:color w:val="000000"/>
                      <w:kern w:val="0"/>
                      <w:sz w:val="20"/>
                      <w:szCs w:val="20"/>
                      <w:lang w:bidi="ar"/>
                    </w:rPr>
                    <w:t>T/In</w:t>
                  </w:r>
                </w:p>
              </w:tc>
              <w:tc>
                <w:tcPr>
                  <w:tcW w:w="572" w:type="pct"/>
                  <w:vAlign w:val="center"/>
                </w:tcPr>
                <w:p w14:paraId="43AB9C1E">
                  <w:pPr>
                    <w:widowControl/>
                    <w:jc w:val="center"/>
                    <w:rPr>
                      <w:color w:val="000000"/>
                      <w:kern w:val="0"/>
                      <w:sz w:val="20"/>
                      <w:szCs w:val="20"/>
                      <w:lang w:bidi="ar"/>
                    </w:rPr>
                  </w:pPr>
                  <w:r>
                    <w:rPr>
                      <w:color w:val="000000"/>
                      <w:kern w:val="0"/>
                      <w:sz w:val="20"/>
                      <w:szCs w:val="20"/>
                      <w:lang w:bidi="ar"/>
                    </w:rPr>
                    <w:t>0.1</w:t>
                  </w:r>
                </w:p>
              </w:tc>
              <w:tc>
                <w:tcPr>
                  <w:tcW w:w="378" w:type="pct"/>
                  <w:vMerge w:val="continue"/>
                  <w:vAlign w:val="center"/>
                </w:tcPr>
                <w:p w14:paraId="2990F082">
                  <w:pPr>
                    <w:spacing w:line="500" w:lineRule="exact"/>
                    <w:jc w:val="center"/>
                    <w:rPr>
                      <w:kern w:val="0"/>
                      <w:sz w:val="20"/>
                      <w:szCs w:val="20"/>
                    </w:rPr>
                  </w:pPr>
                </w:p>
              </w:tc>
              <w:tc>
                <w:tcPr>
                  <w:tcW w:w="378" w:type="pct"/>
                  <w:vMerge w:val="continue"/>
                  <w:vAlign w:val="center"/>
                </w:tcPr>
                <w:p w14:paraId="38677B40">
                  <w:pPr>
                    <w:spacing w:line="500" w:lineRule="exact"/>
                    <w:jc w:val="center"/>
                    <w:rPr>
                      <w:kern w:val="0"/>
                      <w:sz w:val="20"/>
                      <w:szCs w:val="20"/>
                    </w:rPr>
                  </w:pPr>
                </w:p>
              </w:tc>
              <w:tc>
                <w:tcPr>
                  <w:tcW w:w="572" w:type="pct"/>
                  <w:vAlign w:val="center"/>
                </w:tcPr>
                <w:p w14:paraId="74F01FC9">
                  <w:pPr>
                    <w:widowControl/>
                    <w:jc w:val="center"/>
                    <w:rPr>
                      <w:color w:val="000000"/>
                      <w:kern w:val="0"/>
                      <w:sz w:val="20"/>
                      <w:szCs w:val="20"/>
                      <w:lang w:bidi="ar"/>
                    </w:rPr>
                  </w:pPr>
                  <w:r>
                    <w:rPr>
                      <w:color w:val="000000"/>
                      <w:kern w:val="0"/>
                      <w:sz w:val="20"/>
                      <w:szCs w:val="20"/>
                      <w:lang w:bidi="ar"/>
                    </w:rPr>
                    <w:t>0.1</w:t>
                  </w:r>
                </w:p>
              </w:tc>
            </w:tr>
            <w:tr w14:paraId="51C7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trPr>
              <w:tc>
                <w:tcPr>
                  <w:tcW w:w="375" w:type="pct"/>
                  <w:vMerge w:val="continue"/>
                  <w:vAlign w:val="center"/>
                </w:tcPr>
                <w:p w14:paraId="2603EB26">
                  <w:pPr>
                    <w:spacing w:line="500" w:lineRule="exact"/>
                    <w:jc w:val="center"/>
                    <w:rPr>
                      <w:sz w:val="20"/>
                      <w:szCs w:val="20"/>
                    </w:rPr>
                  </w:pPr>
                </w:p>
              </w:tc>
              <w:tc>
                <w:tcPr>
                  <w:tcW w:w="378" w:type="pct"/>
                  <w:vAlign w:val="center"/>
                </w:tcPr>
                <w:p w14:paraId="7F60DE0E">
                  <w:pPr>
                    <w:widowControl/>
                    <w:jc w:val="center"/>
                    <w:rPr>
                      <w:color w:val="000000"/>
                      <w:kern w:val="0"/>
                      <w:sz w:val="20"/>
                      <w:szCs w:val="20"/>
                      <w:lang w:bidi="ar"/>
                    </w:rPr>
                  </w:pPr>
                  <w:r>
                    <w:rPr>
                      <w:color w:val="000000"/>
                      <w:kern w:val="0"/>
                      <w:sz w:val="20"/>
                      <w:szCs w:val="20"/>
                      <w:lang w:bidi="ar"/>
                    </w:rPr>
                    <w:t>废催化剂</w:t>
                  </w:r>
                </w:p>
              </w:tc>
              <w:tc>
                <w:tcPr>
                  <w:tcW w:w="378" w:type="pct"/>
                  <w:vMerge w:val="continue"/>
                  <w:vAlign w:val="center"/>
                </w:tcPr>
                <w:p w14:paraId="4233AED7">
                  <w:pPr>
                    <w:spacing w:line="500" w:lineRule="exact"/>
                    <w:jc w:val="center"/>
                    <w:rPr>
                      <w:kern w:val="0"/>
                      <w:sz w:val="20"/>
                      <w:szCs w:val="20"/>
                    </w:rPr>
                  </w:pPr>
                </w:p>
              </w:tc>
              <w:tc>
                <w:tcPr>
                  <w:tcW w:w="393" w:type="pct"/>
                  <w:vAlign w:val="center"/>
                </w:tcPr>
                <w:p w14:paraId="53C757FA">
                  <w:pPr>
                    <w:widowControl/>
                    <w:jc w:val="center"/>
                    <w:rPr>
                      <w:color w:val="000000"/>
                      <w:kern w:val="0"/>
                      <w:sz w:val="20"/>
                      <w:szCs w:val="20"/>
                      <w:lang w:bidi="ar"/>
                    </w:rPr>
                  </w:pPr>
                  <w:r>
                    <w:rPr>
                      <w:color w:val="000000"/>
                      <w:kern w:val="0"/>
                      <w:sz w:val="20"/>
                      <w:szCs w:val="20"/>
                      <w:lang w:bidi="ar"/>
                    </w:rPr>
                    <w:t>HW50</w:t>
                  </w:r>
                  <w:r>
                    <w:rPr>
                      <w:color w:val="000000"/>
                      <w:kern w:val="0"/>
                      <w:sz w:val="20"/>
                      <w:szCs w:val="20"/>
                      <w:lang w:bidi="ar"/>
                    </w:rPr>
                    <w:cr/>
                  </w:r>
                  <w:r>
                    <w:rPr>
                      <w:color w:val="000000"/>
                      <w:kern w:val="0"/>
                      <w:sz w:val="20"/>
                      <w:szCs w:val="20"/>
                      <w:lang w:bidi="ar"/>
                    </w:rPr>
                    <w:t>废催化剂</w:t>
                  </w:r>
                </w:p>
              </w:tc>
              <w:tc>
                <w:tcPr>
                  <w:tcW w:w="409" w:type="pct"/>
                  <w:vAlign w:val="center"/>
                </w:tcPr>
                <w:p w14:paraId="218704EA">
                  <w:pPr>
                    <w:widowControl/>
                    <w:jc w:val="center"/>
                    <w:rPr>
                      <w:color w:val="000000"/>
                      <w:kern w:val="0"/>
                      <w:sz w:val="20"/>
                      <w:szCs w:val="20"/>
                      <w:lang w:bidi="ar"/>
                    </w:rPr>
                  </w:pPr>
                  <w:r>
                    <w:rPr>
                      <w:color w:val="000000"/>
                      <w:kern w:val="0"/>
                      <w:sz w:val="20"/>
                      <w:szCs w:val="20"/>
                      <w:lang w:bidi="ar"/>
                    </w:rPr>
                    <w:t>772-007-50</w:t>
                  </w:r>
                </w:p>
              </w:tc>
              <w:tc>
                <w:tcPr>
                  <w:tcW w:w="378" w:type="pct"/>
                  <w:vAlign w:val="center"/>
                </w:tcPr>
                <w:p w14:paraId="53D4387C">
                  <w:pPr>
                    <w:widowControl/>
                    <w:jc w:val="center"/>
                    <w:rPr>
                      <w:color w:val="000000"/>
                      <w:kern w:val="0"/>
                      <w:sz w:val="20"/>
                      <w:szCs w:val="20"/>
                      <w:lang w:bidi="ar"/>
                    </w:rPr>
                  </w:pPr>
                  <w:r>
                    <w:rPr>
                      <w:color w:val="000000"/>
                      <w:kern w:val="0"/>
                      <w:sz w:val="20"/>
                      <w:szCs w:val="20"/>
                      <w:lang w:bidi="ar"/>
                    </w:rPr>
                    <w:t>重金属</w:t>
                  </w:r>
                </w:p>
              </w:tc>
              <w:tc>
                <w:tcPr>
                  <w:tcW w:w="378" w:type="pct"/>
                  <w:vAlign w:val="center"/>
                </w:tcPr>
                <w:p w14:paraId="0F87BEB9">
                  <w:pPr>
                    <w:spacing w:line="500" w:lineRule="exact"/>
                    <w:jc w:val="center"/>
                    <w:rPr>
                      <w:kern w:val="0"/>
                      <w:sz w:val="20"/>
                      <w:szCs w:val="20"/>
                    </w:rPr>
                  </w:pPr>
                  <w:r>
                    <w:rPr>
                      <w:kern w:val="0"/>
                      <w:sz w:val="20"/>
                      <w:szCs w:val="20"/>
                    </w:rPr>
                    <w:t>固态</w:t>
                  </w:r>
                </w:p>
              </w:tc>
              <w:tc>
                <w:tcPr>
                  <w:tcW w:w="409" w:type="pct"/>
                  <w:vAlign w:val="center"/>
                </w:tcPr>
                <w:p w14:paraId="65AC723B">
                  <w:pPr>
                    <w:widowControl/>
                    <w:jc w:val="center"/>
                    <w:rPr>
                      <w:color w:val="000000"/>
                      <w:kern w:val="0"/>
                      <w:sz w:val="20"/>
                      <w:szCs w:val="20"/>
                      <w:lang w:bidi="ar"/>
                    </w:rPr>
                  </w:pPr>
                  <w:r>
                    <w:rPr>
                      <w:color w:val="000000"/>
                      <w:kern w:val="0"/>
                      <w:sz w:val="20"/>
                      <w:szCs w:val="20"/>
                      <w:lang w:bidi="ar"/>
                    </w:rPr>
                    <w:t>T</w:t>
                  </w:r>
                </w:p>
              </w:tc>
              <w:tc>
                <w:tcPr>
                  <w:tcW w:w="572" w:type="pct"/>
                  <w:vAlign w:val="center"/>
                </w:tcPr>
                <w:p w14:paraId="23A73606">
                  <w:pPr>
                    <w:widowControl/>
                    <w:jc w:val="center"/>
                    <w:rPr>
                      <w:color w:val="000000"/>
                      <w:kern w:val="0"/>
                      <w:sz w:val="20"/>
                      <w:szCs w:val="20"/>
                      <w:lang w:bidi="ar"/>
                    </w:rPr>
                  </w:pPr>
                  <w:r>
                    <w:rPr>
                      <w:color w:val="000000"/>
                      <w:kern w:val="0"/>
                      <w:sz w:val="20"/>
                      <w:szCs w:val="20"/>
                      <w:lang w:bidi="ar"/>
                    </w:rPr>
                    <w:t>0.3</w:t>
                  </w:r>
                </w:p>
              </w:tc>
              <w:tc>
                <w:tcPr>
                  <w:tcW w:w="378" w:type="pct"/>
                  <w:vMerge w:val="continue"/>
                  <w:vAlign w:val="center"/>
                </w:tcPr>
                <w:p w14:paraId="60D04FEE">
                  <w:pPr>
                    <w:spacing w:line="500" w:lineRule="exact"/>
                    <w:jc w:val="center"/>
                    <w:rPr>
                      <w:kern w:val="0"/>
                      <w:sz w:val="20"/>
                      <w:szCs w:val="20"/>
                    </w:rPr>
                  </w:pPr>
                </w:p>
              </w:tc>
              <w:tc>
                <w:tcPr>
                  <w:tcW w:w="378" w:type="pct"/>
                  <w:vMerge w:val="continue"/>
                  <w:vAlign w:val="center"/>
                </w:tcPr>
                <w:p w14:paraId="32974FCD">
                  <w:pPr>
                    <w:spacing w:line="500" w:lineRule="exact"/>
                    <w:jc w:val="center"/>
                    <w:rPr>
                      <w:kern w:val="0"/>
                      <w:sz w:val="20"/>
                      <w:szCs w:val="20"/>
                    </w:rPr>
                  </w:pPr>
                </w:p>
              </w:tc>
              <w:tc>
                <w:tcPr>
                  <w:tcW w:w="572" w:type="pct"/>
                  <w:vAlign w:val="center"/>
                </w:tcPr>
                <w:p w14:paraId="71DD4C5A">
                  <w:pPr>
                    <w:widowControl/>
                    <w:jc w:val="center"/>
                    <w:rPr>
                      <w:color w:val="000000"/>
                      <w:kern w:val="0"/>
                      <w:sz w:val="20"/>
                      <w:szCs w:val="20"/>
                      <w:lang w:bidi="ar"/>
                    </w:rPr>
                  </w:pPr>
                  <w:r>
                    <w:rPr>
                      <w:color w:val="000000"/>
                      <w:kern w:val="0"/>
                      <w:sz w:val="20"/>
                      <w:szCs w:val="20"/>
                      <w:lang w:bidi="ar"/>
                    </w:rPr>
                    <w:t>0.3</w:t>
                  </w:r>
                </w:p>
              </w:tc>
            </w:tr>
            <w:tr w14:paraId="3AC3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trPr>
              <w:tc>
                <w:tcPr>
                  <w:tcW w:w="375" w:type="pct"/>
                  <w:vMerge w:val="continue"/>
                  <w:vAlign w:val="center"/>
                </w:tcPr>
                <w:p w14:paraId="6B63B6BB">
                  <w:pPr>
                    <w:spacing w:line="500" w:lineRule="exact"/>
                    <w:jc w:val="center"/>
                    <w:rPr>
                      <w:sz w:val="20"/>
                      <w:szCs w:val="20"/>
                    </w:rPr>
                  </w:pPr>
                </w:p>
              </w:tc>
              <w:tc>
                <w:tcPr>
                  <w:tcW w:w="378" w:type="pct"/>
                  <w:vAlign w:val="center"/>
                </w:tcPr>
                <w:p w14:paraId="6B6608EF">
                  <w:pPr>
                    <w:widowControl/>
                    <w:jc w:val="center"/>
                    <w:rPr>
                      <w:color w:val="000000"/>
                      <w:kern w:val="0"/>
                      <w:sz w:val="20"/>
                      <w:szCs w:val="20"/>
                      <w:lang w:bidi="ar"/>
                    </w:rPr>
                  </w:pPr>
                  <w:r>
                    <w:rPr>
                      <w:color w:val="000000"/>
                      <w:kern w:val="0"/>
                      <w:sz w:val="20"/>
                      <w:szCs w:val="20"/>
                      <w:lang w:bidi="ar"/>
                    </w:rPr>
                    <w:t>废化学品包装桶</w:t>
                  </w:r>
                </w:p>
              </w:tc>
              <w:tc>
                <w:tcPr>
                  <w:tcW w:w="378" w:type="pct"/>
                  <w:vMerge w:val="continue"/>
                  <w:vAlign w:val="center"/>
                </w:tcPr>
                <w:p w14:paraId="4471B355">
                  <w:pPr>
                    <w:spacing w:line="500" w:lineRule="exact"/>
                    <w:jc w:val="center"/>
                    <w:rPr>
                      <w:kern w:val="0"/>
                      <w:sz w:val="20"/>
                      <w:szCs w:val="20"/>
                    </w:rPr>
                  </w:pPr>
                </w:p>
              </w:tc>
              <w:tc>
                <w:tcPr>
                  <w:tcW w:w="393" w:type="pct"/>
                  <w:vAlign w:val="center"/>
                </w:tcPr>
                <w:p w14:paraId="7345834E">
                  <w:pPr>
                    <w:widowControl/>
                    <w:jc w:val="center"/>
                    <w:rPr>
                      <w:color w:val="000000"/>
                      <w:kern w:val="0"/>
                      <w:sz w:val="20"/>
                      <w:szCs w:val="20"/>
                      <w:lang w:bidi="ar"/>
                    </w:rPr>
                  </w:pPr>
                  <w:r>
                    <w:rPr>
                      <w:color w:val="000000"/>
                      <w:kern w:val="0"/>
                      <w:sz w:val="20"/>
                      <w:szCs w:val="20"/>
                      <w:lang w:bidi="ar"/>
                    </w:rPr>
                    <w:t>HW49</w:t>
                  </w:r>
                </w:p>
                <w:p w14:paraId="58F99D1E">
                  <w:pPr>
                    <w:widowControl/>
                    <w:jc w:val="center"/>
                    <w:rPr>
                      <w:color w:val="000000"/>
                      <w:kern w:val="0"/>
                      <w:sz w:val="20"/>
                      <w:szCs w:val="20"/>
                      <w:lang w:bidi="ar"/>
                    </w:rPr>
                  </w:pPr>
                  <w:r>
                    <w:rPr>
                      <w:color w:val="000000"/>
                      <w:kern w:val="0"/>
                      <w:sz w:val="20"/>
                      <w:szCs w:val="20"/>
                      <w:lang w:bidi="ar"/>
                    </w:rPr>
                    <w:t>其他废物</w:t>
                  </w:r>
                </w:p>
              </w:tc>
              <w:tc>
                <w:tcPr>
                  <w:tcW w:w="409" w:type="pct"/>
                  <w:vAlign w:val="center"/>
                </w:tcPr>
                <w:p w14:paraId="7B0D6E8C">
                  <w:pPr>
                    <w:widowControl/>
                    <w:jc w:val="center"/>
                    <w:rPr>
                      <w:color w:val="000000"/>
                      <w:kern w:val="0"/>
                      <w:sz w:val="20"/>
                      <w:szCs w:val="20"/>
                      <w:lang w:bidi="ar"/>
                    </w:rPr>
                  </w:pPr>
                  <w:r>
                    <w:rPr>
                      <w:color w:val="000000"/>
                      <w:kern w:val="0"/>
                      <w:sz w:val="20"/>
                      <w:szCs w:val="20"/>
                      <w:lang w:bidi="ar"/>
                    </w:rPr>
                    <w:t>900-041-49</w:t>
                  </w:r>
                </w:p>
              </w:tc>
              <w:tc>
                <w:tcPr>
                  <w:tcW w:w="378" w:type="pct"/>
                  <w:vAlign w:val="center"/>
                </w:tcPr>
                <w:p w14:paraId="4D56EB37">
                  <w:pPr>
                    <w:widowControl/>
                    <w:jc w:val="center"/>
                    <w:rPr>
                      <w:color w:val="000000"/>
                      <w:kern w:val="0"/>
                      <w:sz w:val="20"/>
                      <w:szCs w:val="20"/>
                      <w:lang w:bidi="ar"/>
                    </w:rPr>
                  </w:pPr>
                  <w:r>
                    <w:rPr>
                      <w:color w:val="000000"/>
                      <w:kern w:val="0"/>
                      <w:sz w:val="20"/>
                      <w:szCs w:val="20"/>
                      <w:lang w:bidi="ar"/>
                    </w:rPr>
                    <w:t>化学品</w:t>
                  </w:r>
                </w:p>
              </w:tc>
              <w:tc>
                <w:tcPr>
                  <w:tcW w:w="378" w:type="pct"/>
                  <w:vAlign w:val="center"/>
                </w:tcPr>
                <w:p w14:paraId="1A8A8EA6">
                  <w:pPr>
                    <w:spacing w:line="500" w:lineRule="exact"/>
                    <w:jc w:val="center"/>
                    <w:rPr>
                      <w:kern w:val="0"/>
                      <w:sz w:val="20"/>
                      <w:szCs w:val="20"/>
                    </w:rPr>
                  </w:pPr>
                  <w:r>
                    <w:rPr>
                      <w:kern w:val="0"/>
                      <w:sz w:val="20"/>
                      <w:szCs w:val="20"/>
                    </w:rPr>
                    <w:t>固态</w:t>
                  </w:r>
                </w:p>
              </w:tc>
              <w:tc>
                <w:tcPr>
                  <w:tcW w:w="409" w:type="pct"/>
                  <w:vAlign w:val="center"/>
                </w:tcPr>
                <w:p w14:paraId="508F3ED6">
                  <w:pPr>
                    <w:widowControl/>
                    <w:jc w:val="center"/>
                    <w:rPr>
                      <w:color w:val="000000"/>
                      <w:kern w:val="0"/>
                      <w:sz w:val="20"/>
                      <w:szCs w:val="20"/>
                      <w:lang w:bidi="ar"/>
                    </w:rPr>
                  </w:pPr>
                  <w:r>
                    <w:rPr>
                      <w:color w:val="000000"/>
                      <w:kern w:val="0"/>
                      <w:sz w:val="20"/>
                      <w:szCs w:val="20"/>
                      <w:lang w:bidi="ar"/>
                    </w:rPr>
                    <w:t>T</w:t>
                  </w:r>
                </w:p>
              </w:tc>
              <w:tc>
                <w:tcPr>
                  <w:tcW w:w="572" w:type="pct"/>
                  <w:vAlign w:val="center"/>
                </w:tcPr>
                <w:p w14:paraId="226A6AFD">
                  <w:pPr>
                    <w:widowControl/>
                    <w:jc w:val="center"/>
                    <w:rPr>
                      <w:color w:val="000000"/>
                      <w:kern w:val="0"/>
                      <w:sz w:val="20"/>
                      <w:szCs w:val="20"/>
                      <w:lang w:bidi="ar"/>
                    </w:rPr>
                  </w:pPr>
                  <w:r>
                    <w:rPr>
                      <w:color w:val="000000"/>
                      <w:kern w:val="0"/>
                      <w:sz w:val="20"/>
                      <w:szCs w:val="20"/>
                      <w:lang w:bidi="ar"/>
                    </w:rPr>
                    <w:t>0.2</w:t>
                  </w:r>
                </w:p>
              </w:tc>
              <w:tc>
                <w:tcPr>
                  <w:tcW w:w="378" w:type="pct"/>
                  <w:vMerge w:val="continue"/>
                  <w:vAlign w:val="center"/>
                </w:tcPr>
                <w:p w14:paraId="67973E2E">
                  <w:pPr>
                    <w:spacing w:line="500" w:lineRule="exact"/>
                    <w:jc w:val="center"/>
                    <w:rPr>
                      <w:kern w:val="0"/>
                      <w:sz w:val="20"/>
                      <w:szCs w:val="20"/>
                    </w:rPr>
                  </w:pPr>
                </w:p>
              </w:tc>
              <w:tc>
                <w:tcPr>
                  <w:tcW w:w="378" w:type="pct"/>
                  <w:vMerge w:val="continue"/>
                  <w:vAlign w:val="center"/>
                </w:tcPr>
                <w:p w14:paraId="3039557C">
                  <w:pPr>
                    <w:spacing w:line="500" w:lineRule="exact"/>
                    <w:jc w:val="center"/>
                    <w:rPr>
                      <w:kern w:val="0"/>
                      <w:sz w:val="20"/>
                      <w:szCs w:val="20"/>
                    </w:rPr>
                  </w:pPr>
                </w:p>
              </w:tc>
              <w:tc>
                <w:tcPr>
                  <w:tcW w:w="572" w:type="pct"/>
                  <w:vAlign w:val="center"/>
                </w:tcPr>
                <w:p w14:paraId="229149AB">
                  <w:pPr>
                    <w:widowControl/>
                    <w:jc w:val="center"/>
                    <w:rPr>
                      <w:color w:val="000000"/>
                      <w:kern w:val="0"/>
                      <w:sz w:val="20"/>
                      <w:szCs w:val="20"/>
                      <w:lang w:bidi="ar"/>
                    </w:rPr>
                  </w:pPr>
                  <w:r>
                    <w:rPr>
                      <w:color w:val="000000"/>
                      <w:kern w:val="0"/>
                      <w:sz w:val="20"/>
                      <w:szCs w:val="20"/>
                      <w:lang w:bidi="ar"/>
                    </w:rPr>
                    <w:t>0.2</w:t>
                  </w:r>
                </w:p>
              </w:tc>
            </w:tr>
            <w:tr w14:paraId="4796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trPr>
              <w:tc>
                <w:tcPr>
                  <w:tcW w:w="375" w:type="pct"/>
                  <w:vAlign w:val="center"/>
                </w:tcPr>
                <w:p w14:paraId="4415DF57">
                  <w:pPr>
                    <w:widowControl/>
                    <w:jc w:val="center"/>
                    <w:rPr>
                      <w:sz w:val="20"/>
                      <w:szCs w:val="20"/>
                    </w:rPr>
                  </w:pPr>
                  <w:r>
                    <w:rPr>
                      <w:color w:val="000000"/>
                      <w:kern w:val="0"/>
                      <w:sz w:val="20"/>
                      <w:szCs w:val="20"/>
                      <w:lang w:bidi="ar"/>
                    </w:rPr>
                    <w:t>员工</w:t>
                  </w:r>
                </w:p>
                <w:p w14:paraId="1625E58C">
                  <w:pPr>
                    <w:widowControl/>
                    <w:jc w:val="center"/>
                    <w:rPr>
                      <w:kern w:val="0"/>
                      <w:sz w:val="20"/>
                      <w:szCs w:val="20"/>
                    </w:rPr>
                  </w:pPr>
                  <w:r>
                    <w:rPr>
                      <w:color w:val="000000"/>
                      <w:kern w:val="0"/>
                      <w:sz w:val="20"/>
                      <w:szCs w:val="20"/>
                      <w:lang w:bidi="ar"/>
                    </w:rPr>
                    <w:t>生活</w:t>
                  </w:r>
                </w:p>
              </w:tc>
              <w:tc>
                <w:tcPr>
                  <w:tcW w:w="378" w:type="pct"/>
                  <w:vAlign w:val="center"/>
                </w:tcPr>
                <w:p w14:paraId="46E3F6A3">
                  <w:pPr>
                    <w:widowControl/>
                    <w:jc w:val="center"/>
                    <w:rPr>
                      <w:kern w:val="0"/>
                      <w:sz w:val="20"/>
                      <w:szCs w:val="20"/>
                    </w:rPr>
                  </w:pPr>
                  <w:r>
                    <w:rPr>
                      <w:color w:val="000000"/>
                      <w:kern w:val="0"/>
                      <w:sz w:val="20"/>
                      <w:szCs w:val="20"/>
                      <w:lang w:bidi="ar"/>
                    </w:rPr>
                    <w:t>生活垃圾</w:t>
                  </w:r>
                </w:p>
              </w:tc>
              <w:tc>
                <w:tcPr>
                  <w:tcW w:w="378" w:type="pct"/>
                  <w:vAlign w:val="center"/>
                </w:tcPr>
                <w:p w14:paraId="3279AFB2">
                  <w:pPr>
                    <w:widowControl/>
                    <w:jc w:val="center"/>
                    <w:rPr>
                      <w:sz w:val="20"/>
                      <w:szCs w:val="20"/>
                    </w:rPr>
                  </w:pPr>
                  <w:r>
                    <w:rPr>
                      <w:color w:val="000000"/>
                      <w:kern w:val="0"/>
                      <w:sz w:val="20"/>
                      <w:szCs w:val="20"/>
                      <w:lang w:bidi="ar"/>
                    </w:rPr>
                    <w:t>生活</w:t>
                  </w:r>
                </w:p>
                <w:p w14:paraId="01560966">
                  <w:pPr>
                    <w:widowControl/>
                    <w:jc w:val="center"/>
                    <w:rPr>
                      <w:kern w:val="0"/>
                      <w:sz w:val="20"/>
                      <w:szCs w:val="20"/>
                    </w:rPr>
                  </w:pPr>
                  <w:r>
                    <w:rPr>
                      <w:color w:val="000000"/>
                      <w:kern w:val="0"/>
                      <w:sz w:val="20"/>
                      <w:szCs w:val="20"/>
                      <w:lang w:bidi="ar"/>
                    </w:rPr>
                    <w:t>废物</w:t>
                  </w:r>
                </w:p>
              </w:tc>
              <w:tc>
                <w:tcPr>
                  <w:tcW w:w="393" w:type="pct"/>
                  <w:vAlign w:val="center"/>
                </w:tcPr>
                <w:p w14:paraId="5CB33757">
                  <w:pPr>
                    <w:spacing w:line="500" w:lineRule="exact"/>
                    <w:jc w:val="center"/>
                    <w:rPr>
                      <w:kern w:val="0"/>
                      <w:sz w:val="20"/>
                      <w:szCs w:val="20"/>
                    </w:rPr>
                  </w:pPr>
                  <w:r>
                    <w:rPr>
                      <w:kern w:val="0"/>
                      <w:sz w:val="20"/>
                      <w:szCs w:val="20"/>
                    </w:rPr>
                    <w:t>/</w:t>
                  </w:r>
                </w:p>
              </w:tc>
              <w:tc>
                <w:tcPr>
                  <w:tcW w:w="409" w:type="pct"/>
                  <w:vAlign w:val="center"/>
                </w:tcPr>
                <w:p w14:paraId="625EE1AA">
                  <w:pPr>
                    <w:spacing w:line="500" w:lineRule="exact"/>
                    <w:jc w:val="center"/>
                    <w:rPr>
                      <w:kern w:val="0"/>
                      <w:sz w:val="20"/>
                      <w:szCs w:val="20"/>
                    </w:rPr>
                  </w:pPr>
                  <w:r>
                    <w:rPr>
                      <w:kern w:val="0"/>
                      <w:sz w:val="20"/>
                      <w:szCs w:val="20"/>
                    </w:rPr>
                    <w:t>/</w:t>
                  </w:r>
                </w:p>
              </w:tc>
              <w:tc>
                <w:tcPr>
                  <w:tcW w:w="378" w:type="pct"/>
                  <w:vAlign w:val="center"/>
                </w:tcPr>
                <w:p w14:paraId="6D0432FD">
                  <w:pPr>
                    <w:spacing w:line="500" w:lineRule="exact"/>
                    <w:jc w:val="center"/>
                    <w:rPr>
                      <w:kern w:val="0"/>
                      <w:sz w:val="20"/>
                      <w:szCs w:val="20"/>
                    </w:rPr>
                  </w:pPr>
                  <w:r>
                    <w:rPr>
                      <w:kern w:val="0"/>
                      <w:sz w:val="20"/>
                      <w:szCs w:val="20"/>
                    </w:rPr>
                    <w:t>/</w:t>
                  </w:r>
                </w:p>
              </w:tc>
              <w:tc>
                <w:tcPr>
                  <w:tcW w:w="378" w:type="pct"/>
                  <w:vAlign w:val="center"/>
                </w:tcPr>
                <w:p w14:paraId="5524F3E4">
                  <w:pPr>
                    <w:widowControl/>
                    <w:jc w:val="center"/>
                    <w:rPr>
                      <w:sz w:val="20"/>
                      <w:szCs w:val="20"/>
                    </w:rPr>
                  </w:pPr>
                  <w:r>
                    <w:rPr>
                      <w:color w:val="000000"/>
                      <w:kern w:val="0"/>
                      <w:sz w:val="20"/>
                      <w:szCs w:val="20"/>
                      <w:lang w:bidi="ar"/>
                    </w:rPr>
                    <w:t>固</w:t>
                  </w:r>
                </w:p>
                <w:p w14:paraId="05AD65E5">
                  <w:pPr>
                    <w:spacing w:line="500" w:lineRule="exact"/>
                    <w:jc w:val="center"/>
                    <w:rPr>
                      <w:kern w:val="0"/>
                      <w:sz w:val="20"/>
                      <w:szCs w:val="20"/>
                    </w:rPr>
                  </w:pPr>
                  <w:r>
                    <w:rPr>
                      <w:color w:val="000000"/>
                      <w:kern w:val="0"/>
                      <w:sz w:val="20"/>
                      <w:szCs w:val="20"/>
                      <w:lang w:bidi="ar"/>
                    </w:rPr>
                    <w:t>态</w:t>
                  </w:r>
                </w:p>
              </w:tc>
              <w:tc>
                <w:tcPr>
                  <w:tcW w:w="409" w:type="pct"/>
                  <w:vAlign w:val="center"/>
                </w:tcPr>
                <w:p w14:paraId="682AC387">
                  <w:pPr>
                    <w:spacing w:line="500" w:lineRule="exact"/>
                    <w:jc w:val="center"/>
                    <w:rPr>
                      <w:kern w:val="0"/>
                      <w:sz w:val="20"/>
                      <w:szCs w:val="20"/>
                    </w:rPr>
                  </w:pPr>
                  <w:r>
                    <w:rPr>
                      <w:kern w:val="0"/>
                      <w:sz w:val="20"/>
                      <w:szCs w:val="20"/>
                    </w:rPr>
                    <w:t>/</w:t>
                  </w:r>
                </w:p>
              </w:tc>
              <w:tc>
                <w:tcPr>
                  <w:tcW w:w="572" w:type="pct"/>
                  <w:vAlign w:val="center"/>
                </w:tcPr>
                <w:p w14:paraId="4B9BFADE">
                  <w:pPr>
                    <w:widowControl/>
                    <w:jc w:val="center"/>
                    <w:rPr>
                      <w:kern w:val="0"/>
                      <w:sz w:val="20"/>
                      <w:szCs w:val="20"/>
                    </w:rPr>
                  </w:pPr>
                  <w:r>
                    <w:rPr>
                      <w:color w:val="000000"/>
                      <w:kern w:val="0"/>
                      <w:sz w:val="20"/>
                      <w:szCs w:val="20"/>
                      <w:lang w:bidi="ar"/>
                    </w:rPr>
                    <w:t>45</w:t>
                  </w:r>
                </w:p>
              </w:tc>
              <w:tc>
                <w:tcPr>
                  <w:tcW w:w="378" w:type="pct"/>
                  <w:vAlign w:val="center"/>
                </w:tcPr>
                <w:p w14:paraId="39F3F4E9">
                  <w:pPr>
                    <w:widowControl/>
                    <w:jc w:val="center"/>
                    <w:rPr>
                      <w:sz w:val="20"/>
                      <w:szCs w:val="20"/>
                    </w:rPr>
                  </w:pPr>
                  <w:r>
                    <w:rPr>
                      <w:color w:val="000000"/>
                      <w:kern w:val="0"/>
                      <w:sz w:val="20"/>
                      <w:szCs w:val="20"/>
                      <w:lang w:bidi="ar"/>
                    </w:rPr>
                    <w:t>垃</w:t>
                  </w:r>
                </w:p>
                <w:p w14:paraId="5F075573">
                  <w:pPr>
                    <w:widowControl/>
                    <w:jc w:val="center"/>
                    <w:rPr>
                      <w:sz w:val="20"/>
                      <w:szCs w:val="20"/>
                    </w:rPr>
                  </w:pPr>
                  <w:r>
                    <w:rPr>
                      <w:color w:val="000000"/>
                      <w:kern w:val="0"/>
                      <w:sz w:val="20"/>
                      <w:szCs w:val="20"/>
                      <w:lang w:bidi="ar"/>
                    </w:rPr>
                    <w:t>圾</w:t>
                  </w:r>
                </w:p>
                <w:p w14:paraId="37660F91">
                  <w:pPr>
                    <w:widowControl/>
                    <w:jc w:val="center"/>
                    <w:rPr>
                      <w:kern w:val="0"/>
                      <w:sz w:val="20"/>
                      <w:szCs w:val="20"/>
                    </w:rPr>
                  </w:pPr>
                  <w:r>
                    <w:rPr>
                      <w:color w:val="000000"/>
                      <w:kern w:val="0"/>
                      <w:sz w:val="20"/>
                      <w:szCs w:val="20"/>
                      <w:lang w:bidi="ar"/>
                    </w:rPr>
                    <w:t>桶</w:t>
                  </w:r>
                </w:p>
              </w:tc>
              <w:tc>
                <w:tcPr>
                  <w:tcW w:w="378" w:type="pct"/>
                  <w:vAlign w:val="center"/>
                </w:tcPr>
                <w:p w14:paraId="61701201">
                  <w:pPr>
                    <w:widowControl/>
                    <w:jc w:val="center"/>
                    <w:rPr>
                      <w:sz w:val="20"/>
                      <w:szCs w:val="20"/>
                    </w:rPr>
                  </w:pPr>
                  <w:r>
                    <w:rPr>
                      <w:color w:val="000000"/>
                      <w:kern w:val="0"/>
                      <w:sz w:val="20"/>
                      <w:szCs w:val="20"/>
                      <w:lang w:bidi="ar"/>
                    </w:rPr>
                    <w:t>交</w:t>
                  </w:r>
                </w:p>
                <w:p w14:paraId="236F9285">
                  <w:pPr>
                    <w:widowControl/>
                    <w:jc w:val="center"/>
                    <w:rPr>
                      <w:sz w:val="20"/>
                      <w:szCs w:val="20"/>
                    </w:rPr>
                  </w:pPr>
                  <w:r>
                    <w:rPr>
                      <w:color w:val="000000"/>
                      <w:kern w:val="0"/>
                      <w:sz w:val="20"/>
                      <w:szCs w:val="20"/>
                      <w:lang w:bidi="ar"/>
                    </w:rPr>
                    <w:t>由</w:t>
                  </w:r>
                </w:p>
                <w:p w14:paraId="0A54D036">
                  <w:pPr>
                    <w:widowControl/>
                    <w:jc w:val="center"/>
                    <w:rPr>
                      <w:sz w:val="20"/>
                      <w:szCs w:val="20"/>
                    </w:rPr>
                  </w:pPr>
                  <w:r>
                    <w:rPr>
                      <w:color w:val="000000"/>
                      <w:kern w:val="0"/>
                      <w:sz w:val="20"/>
                      <w:szCs w:val="20"/>
                      <w:lang w:bidi="ar"/>
                    </w:rPr>
                    <w:t>环</w:t>
                  </w:r>
                </w:p>
                <w:p w14:paraId="72C45D90">
                  <w:pPr>
                    <w:widowControl/>
                    <w:jc w:val="center"/>
                    <w:rPr>
                      <w:sz w:val="20"/>
                      <w:szCs w:val="20"/>
                    </w:rPr>
                  </w:pPr>
                  <w:r>
                    <w:rPr>
                      <w:color w:val="000000"/>
                      <w:kern w:val="0"/>
                      <w:sz w:val="20"/>
                      <w:szCs w:val="20"/>
                      <w:lang w:bidi="ar"/>
                    </w:rPr>
                    <w:t>卫</w:t>
                  </w:r>
                </w:p>
                <w:p w14:paraId="7246551F">
                  <w:pPr>
                    <w:widowControl/>
                    <w:jc w:val="center"/>
                    <w:rPr>
                      <w:sz w:val="20"/>
                      <w:szCs w:val="20"/>
                    </w:rPr>
                  </w:pPr>
                  <w:r>
                    <w:rPr>
                      <w:color w:val="000000"/>
                      <w:kern w:val="0"/>
                      <w:sz w:val="20"/>
                      <w:szCs w:val="20"/>
                      <w:lang w:bidi="ar"/>
                    </w:rPr>
                    <w:t>部</w:t>
                  </w:r>
                </w:p>
                <w:p w14:paraId="0F3C7130">
                  <w:pPr>
                    <w:widowControl/>
                    <w:jc w:val="center"/>
                    <w:rPr>
                      <w:sz w:val="20"/>
                      <w:szCs w:val="20"/>
                    </w:rPr>
                  </w:pPr>
                  <w:r>
                    <w:rPr>
                      <w:color w:val="000000"/>
                      <w:kern w:val="0"/>
                      <w:sz w:val="20"/>
                      <w:szCs w:val="20"/>
                      <w:lang w:bidi="ar"/>
                    </w:rPr>
                    <w:t>门</w:t>
                  </w:r>
                </w:p>
                <w:p w14:paraId="1CCEF9B5">
                  <w:pPr>
                    <w:widowControl/>
                    <w:jc w:val="center"/>
                    <w:rPr>
                      <w:sz w:val="20"/>
                      <w:szCs w:val="20"/>
                    </w:rPr>
                  </w:pPr>
                  <w:r>
                    <w:rPr>
                      <w:color w:val="000000"/>
                      <w:kern w:val="0"/>
                      <w:sz w:val="20"/>
                      <w:szCs w:val="20"/>
                      <w:lang w:bidi="ar"/>
                    </w:rPr>
                    <w:t>统</w:t>
                  </w:r>
                </w:p>
                <w:p w14:paraId="4B4E623B">
                  <w:pPr>
                    <w:widowControl/>
                    <w:jc w:val="center"/>
                    <w:rPr>
                      <w:sz w:val="20"/>
                      <w:szCs w:val="20"/>
                    </w:rPr>
                  </w:pPr>
                  <w:r>
                    <w:rPr>
                      <w:color w:val="000000"/>
                      <w:kern w:val="0"/>
                      <w:sz w:val="20"/>
                      <w:szCs w:val="20"/>
                      <w:lang w:bidi="ar"/>
                    </w:rPr>
                    <w:t>一</w:t>
                  </w:r>
                </w:p>
                <w:p w14:paraId="191B443B">
                  <w:pPr>
                    <w:widowControl/>
                    <w:jc w:val="center"/>
                    <w:rPr>
                      <w:sz w:val="20"/>
                      <w:szCs w:val="20"/>
                    </w:rPr>
                  </w:pPr>
                  <w:r>
                    <w:rPr>
                      <w:color w:val="000000"/>
                      <w:kern w:val="0"/>
                      <w:sz w:val="20"/>
                      <w:szCs w:val="20"/>
                      <w:lang w:bidi="ar"/>
                    </w:rPr>
                    <w:t>清</w:t>
                  </w:r>
                </w:p>
                <w:p w14:paraId="46155A42">
                  <w:pPr>
                    <w:widowControl/>
                    <w:jc w:val="center"/>
                    <w:rPr>
                      <w:sz w:val="20"/>
                      <w:szCs w:val="20"/>
                    </w:rPr>
                  </w:pPr>
                  <w:r>
                    <w:rPr>
                      <w:color w:val="000000"/>
                      <w:kern w:val="0"/>
                      <w:sz w:val="20"/>
                      <w:szCs w:val="20"/>
                      <w:lang w:bidi="ar"/>
                    </w:rPr>
                    <w:t>运</w:t>
                  </w:r>
                </w:p>
                <w:p w14:paraId="3C34731D">
                  <w:pPr>
                    <w:spacing w:line="500" w:lineRule="exact"/>
                    <w:jc w:val="center"/>
                    <w:rPr>
                      <w:kern w:val="0"/>
                      <w:sz w:val="20"/>
                      <w:szCs w:val="20"/>
                    </w:rPr>
                  </w:pPr>
                </w:p>
              </w:tc>
              <w:tc>
                <w:tcPr>
                  <w:tcW w:w="572" w:type="pct"/>
                  <w:vAlign w:val="center"/>
                </w:tcPr>
                <w:p w14:paraId="4330F0E8">
                  <w:pPr>
                    <w:widowControl/>
                    <w:jc w:val="center"/>
                    <w:rPr>
                      <w:kern w:val="0"/>
                      <w:sz w:val="20"/>
                      <w:szCs w:val="20"/>
                    </w:rPr>
                  </w:pPr>
                  <w:r>
                    <w:rPr>
                      <w:color w:val="000000"/>
                      <w:kern w:val="0"/>
                      <w:sz w:val="20"/>
                      <w:szCs w:val="20"/>
                      <w:lang w:bidi="ar"/>
                    </w:rPr>
                    <w:t>15</w:t>
                  </w:r>
                </w:p>
              </w:tc>
            </w:tr>
          </w:tbl>
          <w:p w14:paraId="00EF7B9C">
            <w:pPr>
              <w:spacing w:line="500" w:lineRule="exact"/>
              <w:ind w:firstLine="360" w:firstLineChars="200"/>
            </w:pPr>
            <w:r>
              <w:rPr>
                <w:kern w:val="0"/>
                <w:sz w:val="18"/>
                <w:szCs w:val="18"/>
              </w:rPr>
              <w:t>备注：危险特性，包括腐蚀性（Corrosivity, C）、毒性（Toxicity,T）、易燃性（Ignitability, I）、反应性（Reactivity, R）和感染性（Infectivity,In）</w:t>
            </w:r>
            <w:r>
              <w:rPr>
                <w:kern w:val="0"/>
                <w:sz w:val="24"/>
              </w:rPr>
              <w:t xml:space="preserve"> </w:t>
            </w:r>
          </w:p>
          <w:p w14:paraId="7E65B38F">
            <w:pPr>
              <w:spacing w:line="500" w:lineRule="exact"/>
              <w:ind w:firstLine="480" w:firstLineChars="200"/>
              <w:rPr>
                <w:kern w:val="0"/>
                <w:sz w:val="24"/>
              </w:rPr>
            </w:pPr>
            <w:r>
              <w:rPr>
                <w:kern w:val="0"/>
                <w:sz w:val="24"/>
              </w:rPr>
              <w:t xml:space="preserve">（2）环境管理要求 </w:t>
            </w:r>
          </w:p>
          <w:p w14:paraId="1EA67561">
            <w:pPr>
              <w:spacing w:line="500" w:lineRule="exact"/>
              <w:ind w:firstLine="480" w:firstLineChars="200"/>
              <w:rPr>
                <w:kern w:val="0"/>
                <w:sz w:val="24"/>
              </w:rPr>
            </w:pPr>
            <w:r>
              <w:rPr>
                <w:kern w:val="0"/>
                <w:sz w:val="24"/>
              </w:rPr>
              <w:t xml:space="preserve">项目员工的生活垃圾必须按照指定地点堆放，与当地环卫部门联系，每日及时清理、转运、压缩，作统一处理。 </w:t>
            </w:r>
          </w:p>
          <w:p w14:paraId="72F1D5FD">
            <w:pPr>
              <w:spacing w:line="500" w:lineRule="exact"/>
              <w:ind w:firstLine="480" w:firstLineChars="200"/>
              <w:rPr>
                <w:kern w:val="0"/>
                <w:sz w:val="24"/>
              </w:rPr>
            </w:pPr>
            <w:r>
              <w:rPr>
                <w:kern w:val="0"/>
                <w:sz w:val="24"/>
              </w:rPr>
              <w:t xml:space="preserve">项目一般工业固体废物经分类收集后尽量回收利用，不能回用的委托相关再生资源回收单位进行回收利用。一般工业固体废物临时存放区实施分类投放、分类收集、分类运输和分类处置，同时保持分类收集容器完好整洁和正常使用。厂内一般固废临时贮存应注意： </w:t>
            </w:r>
          </w:p>
          <w:p w14:paraId="42AB3D40">
            <w:pPr>
              <w:spacing w:line="500" w:lineRule="exact"/>
              <w:ind w:firstLine="480" w:firstLineChars="200"/>
              <w:rPr>
                <w:kern w:val="0"/>
                <w:sz w:val="24"/>
              </w:rPr>
            </w:pPr>
            <w:r>
              <w:rPr>
                <w:kern w:val="0"/>
                <w:sz w:val="24"/>
              </w:rPr>
              <w:t>A、对固体废物实行从产生、收集、运输、贮存直至最终处理实行全过程管理，加强固体废物运输过程的事故风险防范，按照有关法律、法规的要求，对固体废弃物全过程管理应报当地环保行政主管部门等批准。</w:t>
            </w:r>
          </w:p>
          <w:p w14:paraId="3E59A148">
            <w:pPr>
              <w:spacing w:line="500" w:lineRule="exact"/>
              <w:ind w:firstLine="480" w:firstLineChars="200"/>
              <w:rPr>
                <w:kern w:val="0"/>
                <w:sz w:val="24"/>
              </w:rPr>
            </w:pPr>
            <w:r>
              <w:rPr>
                <w:kern w:val="0"/>
                <w:sz w:val="24"/>
              </w:rPr>
              <w:t xml:space="preserve">B、加强固体废物规范化管理，固体废物分类定点堆放，堆放场所远离办公区和周围环境敏感点。为了减少雨水侵蚀造成的二次污染。项目危险废物经收集后交由有危险废物回收处理资质的单位外运处理。建设单位应委托具有相应资质的运输单位和利用处置经营单位，签订委托合同，依法委托运输、利用处置危险废物。在委托时，应详细核实运输单位、车辆、驾驶员及押运员的资质，并根据废物特性，选择运输工具，严防二次污染；应详细核实经营单位资质，严禁委托不具资质或资质不符的单位处置。转移前，产生单位应制定转移计划，向环保主管部门报备并领取联单；转移后，应按照转移实际，做到一转移一联单，并及时向环保主管部门提交转移联单，联单保存应在五年以上。 </w:t>
            </w:r>
          </w:p>
          <w:p w14:paraId="0F8D299E">
            <w:pPr>
              <w:spacing w:line="500" w:lineRule="exact"/>
              <w:ind w:firstLine="480" w:firstLineChars="200"/>
              <w:rPr>
                <w:kern w:val="0"/>
                <w:sz w:val="24"/>
              </w:rPr>
            </w:pPr>
            <w:r>
              <w:rPr>
                <w:kern w:val="0"/>
                <w:sz w:val="24"/>
              </w:rPr>
              <w:t>厂区需要按照《危险废物贮存污染控制标准》(GB18597-</w:t>
            </w:r>
            <w:r>
              <w:rPr>
                <w:rFonts w:hint="eastAsia"/>
                <w:kern w:val="0"/>
                <w:sz w:val="24"/>
              </w:rPr>
              <w:t>2023</w:t>
            </w:r>
            <w:r>
              <w:rPr>
                <w:kern w:val="0"/>
                <w:sz w:val="24"/>
              </w:rPr>
              <w:t>)的有关规定对危险废物使用专门额容器收集、盛装。装运危险废物的容器能有效地防止渗漏、扩散。装有危险废物的容器贴有标签，在标签上详细标明危险废物的名称、重量、成分、特性以及发生泄漏、扩散污染事故时的应急措施和补救方法。为了防止二次污染，危险废物暂存场应按照《危险废物贮存污染控制标准》（GB18597-20</w:t>
            </w:r>
            <w:r>
              <w:rPr>
                <w:rFonts w:hint="eastAsia"/>
                <w:kern w:val="0"/>
                <w:sz w:val="24"/>
              </w:rPr>
              <w:t>23</w:t>
            </w:r>
            <w:r>
              <w:rPr>
                <w:kern w:val="0"/>
                <w:sz w:val="24"/>
              </w:rPr>
              <w:t>）及其修改单中的相关规范建设。</w:t>
            </w:r>
          </w:p>
          <w:p w14:paraId="35823970">
            <w:pPr>
              <w:spacing w:line="500" w:lineRule="exact"/>
              <w:ind w:firstLine="480" w:firstLineChars="200"/>
              <w:rPr>
                <w:kern w:val="0"/>
                <w:sz w:val="24"/>
              </w:rPr>
            </w:pPr>
            <w:r>
              <w:rPr>
                <w:kern w:val="0"/>
                <w:sz w:val="24"/>
              </w:rPr>
              <w:t>（1）对危险废物应建造专用的危险废物贮存设施。建设单位拟在项目生产车间建设专用于危险废物暂存的存放室，该存放室干燥、阴凉，可避免阳光直射危险废物。</w:t>
            </w:r>
          </w:p>
          <w:p w14:paraId="5FE24983">
            <w:pPr>
              <w:spacing w:line="500" w:lineRule="exact"/>
              <w:ind w:firstLine="480" w:firstLineChars="200"/>
              <w:rPr>
                <w:kern w:val="0"/>
                <w:sz w:val="24"/>
              </w:rPr>
            </w:pPr>
            <w:r>
              <w:rPr>
                <w:kern w:val="0"/>
                <w:sz w:val="24"/>
              </w:rPr>
              <w:t>（2）无法装入常用容器的危险废物可用防漏胶袋等盛装。</w:t>
            </w:r>
          </w:p>
          <w:p w14:paraId="072B1FE7">
            <w:pPr>
              <w:spacing w:line="500" w:lineRule="exact"/>
              <w:ind w:firstLine="480" w:firstLineChars="200"/>
              <w:rPr>
                <w:kern w:val="0"/>
                <w:sz w:val="24"/>
              </w:rPr>
            </w:pPr>
            <w:r>
              <w:rPr>
                <w:kern w:val="0"/>
                <w:sz w:val="24"/>
              </w:rPr>
              <w:t>（3）禁止将不相容（相互反应）的危险废物在同一容器内混装。</w:t>
            </w:r>
          </w:p>
          <w:p w14:paraId="1C739752">
            <w:pPr>
              <w:spacing w:line="500" w:lineRule="exact"/>
              <w:ind w:firstLine="480" w:firstLineChars="200"/>
              <w:rPr>
                <w:kern w:val="0"/>
                <w:sz w:val="24"/>
              </w:rPr>
            </w:pPr>
            <w:r>
              <w:rPr>
                <w:kern w:val="0"/>
                <w:sz w:val="24"/>
              </w:rPr>
              <w:t>（4）盛装危险废物的容器上必须粘贴符合标准附录 A 所示的标签。</w:t>
            </w:r>
          </w:p>
          <w:p w14:paraId="1980D352">
            <w:pPr>
              <w:spacing w:line="500" w:lineRule="exact"/>
              <w:ind w:firstLine="480" w:firstLineChars="200"/>
              <w:rPr>
                <w:kern w:val="0"/>
                <w:sz w:val="24"/>
              </w:rPr>
            </w:pPr>
            <w:r>
              <w:rPr>
                <w:kern w:val="0"/>
                <w:sz w:val="24"/>
              </w:rPr>
              <w:t>（5）危废暂存间地面应防腐防渗，各类危废应分区暂存，其中液态危废暂存区应设围堰。</w:t>
            </w:r>
            <w:r>
              <w:rPr>
                <w:rFonts w:hint="eastAsia"/>
                <w:sz w:val="24"/>
              </w:rPr>
              <w:t>危险废物贮存设施必须按照《环境保护图形标志固体废物贮存（处置）场》（GB15562.2-1995）的规定设置警示标志。</w:t>
            </w:r>
          </w:p>
          <w:p w14:paraId="5F2976F7">
            <w:pPr>
              <w:ind w:firstLine="422" w:firstLineChars="200"/>
              <w:jc w:val="center"/>
              <w:rPr>
                <w:b/>
                <w:bCs/>
                <w:szCs w:val="21"/>
              </w:rPr>
            </w:pPr>
            <w:r>
              <w:rPr>
                <w:rFonts w:hint="eastAsia"/>
                <w:b/>
                <w:bCs/>
                <w:szCs w:val="21"/>
              </w:rPr>
              <w:t>表4-15  危险废物标志牌式样及说明</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6"/>
              <w:gridCol w:w="4328"/>
            </w:tblGrid>
            <w:tr w14:paraId="3E18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1" w:type="pct"/>
                  <w:vAlign w:val="center"/>
                </w:tcPr>
                <w:p w14:paraId="54C5C05D">
                  <w:pPr>
                    <w:pStyle w:val="52"/>
                    <w:ind w:firstLine="422"/>
                    <w:jc w:val="center"/>
                    <w:rPr>
                      <w:b/>
                      <w:bCs/>
                      <w:sz w:val="21"/>
                      <w:szCs w:val="21"/>
                    </w:rPr>
                  </w:pPr>
                  <w:r>
                    <w:rPr>
                      <w:rFonts w:hint="eastAsia"/>
                      <w:b/>
                      <w:bCs/>
                      <w:sz w:val="21"/>
                      <w:szCs w:val="21"/>
                    </w:rPr>
                    <w:t>样式</w:t>
                  </w:r>
                </w:p>
              </w:tc>
              <w:tc>
                <w:tcPr>
                  <w:tcW w:w="2408" w:type="pct"/>
                  <w:vAlign w:val="center"/>
                </w:tcPr>
                <w:p w14:paraId="4171996F">
                  <w:pPr>
                    <w:pStyle w:val="51"/>
                    <w:jc w:val="center"/>
                    <w:rPr>
                      <w:bCs/>
                      <w:sz w:val="21"/>
                      <w:szCs w:val="21"/>
                    </w:rPr>
                  </w:pPr>
                  <w:r>
                    <w:rPr>
                      <w:rFonts w:hint="eastAsia"/>
                      <w:bCs/>
                      <w:sz w:val="21"/>
                      <w:szCs w:val="21"/>
                    </w:rPr>
                    <w:t>说明</w:t>
                  </w:r>
                </w:p>
              </w:tc>
            </w:tr>
            <w:tr w14:paraId="41FB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1" w:type="pct"/>
                  <w:vAlign w:val="center"/>
                </w:tcPr>
                <w:p w14:paraId="3CFE026E">
                  <w:pPr>
                    <w:pStyle w:val="52"/>
                    <w:ind w:firstLine="480"/>
                    <w:rPr>
                      <w:b/>
                      <w:bCs/>
                      <w:sz w:val="21"/>
                      <w:szCs w:val="21"/>
                    </w:rPr>
                  </w:pPr>
                  <w:r>
                    <w:drawing>
                      <wp:inline distT="0" distB="0" distL="0" distR="0">
                        <wp:extent cx="2552700" cy="1607820"/>
                        <wp:effectExtent l="0" t="0" r="0" b="0"/>
                        <wp:docPr id="14235595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59582" name="Picture 14"/>
                                <pic:cNvPicPr>
                                  <a:picLocks noChangeAspect="1" noChangeArrowheads="1"/>
                                </pic:cNvPicPr>
                              </pic:nvPicPr>
                              <pic:blipFill>
                                <a:blip r:embed="rId28">
                                  <a:extLst>
                                    <a:ext uri="{28A0092B-C50C-407E-A947-70E740481C1C}">
                                      <a14:useLocalDpi xmlns:a14="http://schemas.microsoft.com/office/drawing/2010/main" val="0"/>
                                    </a:ext>
                                  </a:extLst>
                                </a:blip>
                                <a:srcRect t="4762"/>
                                <a:stretch>
                                  <a:fillRect/>
                                </a:stretch>
                              </pic:blipFill>
                              <pic:spPr>
                                <a:xfrm>
                                  <a:off x="0" y="0"/>
                                  <a:ext cx="2552700" cy="1607820"/>
                                </a:xfrm>
                                <a:prstGeom prst="rect">
                                  <a:avLst/>
                                </a:prstGeom>
                                <a:noFill/>
                                <a:ln>
                                  <a:noFill/>
                                </a:ln>
                              </pic:spPr>
                            </pic:pic>
                          </a:graphicData>
                        </a:graphic>
                      </wp:inline>
                    </w:drawing>
                  </w:r>
                </w:p>
              </w:tc>
              <w:tc>
                <w:tcPr>
                  <w:tcW w:w="2408" w:type="pct"/>
                  <w:vAlign w:val="center"/>
                </w:tcPr>
                <w:p w14:paraId="77B00681">
                  <w:pPr>
                    <w:pStyle w:val="51"/>
                    <w:jc w:val="center"/>
                    <w:rPr>
                      <w:rFonts w:ascii="Times New Roman" w:hAnsi="Times New Roman"/>
                      <w:b w:val="0"/>
                      <w:sz w:val="21"/>
                      <w:szCs w:val="21"/>
                    </w:rPr>
                  </w:pPr>
                  <w:r>
                    <w:rPr>
                      <w:rFonts w:hint="eastAsia" w:ascii="Times New Roman" w:hAnsi="Times New Roman"/>
                      <w:b w:val="0"/>
                      <w:sz w:val="21"/>
                      <w:szCs w:val="21"/>
                    </w:rPr>
                    <w:t>1、</w:t>
                  </w:r>
                  <w:r>
                    <w:rPr>
                      <w:rFonts w:ascii="Times New Roman" w:hAnsi="Times New Roman"/>
                      <w:b w:val="0"/>
                      <w:sz w:val="21"/>
                      <w:szCs w:val="21"/>
                    </w:rPr>
                    <w:t>危险废物贮存区标志牌背景色应采用黄色，RGB 颜色值为（255, 255, 0）。</w:t>
                  </w:r>
                </w:p>
                <w:p w14:paraId="36F68D2F">
                  <w:pPr>
                    <w:pStyle w:val="51"/>
                    <w:jc w:val="center"/>
                    <w:rPr>
                      <w:rFonts w:ascii="Times New Roman" w:hAnsi="Times New Roman"/>
                      <w:b w:val="0"/>
                      <w:sz w:val="21"/>
                      <w:szCs w:val="21"/>
                    </w:rPr>
                  </w:pPr>
                  <w:r>
                    <w:rPr>
                      <w:rFonts w:hint="eastAsia" w:ascii="Times New Roman" w:hAnsi="Times New Roman"/>
                      <w:b w:val="0"/>
                      <w:sz w:val="21"/>
                      <w:szCs w:val="21"/>
                    </w:rPr>
                    <w:t>2、</w:t>
                  </w:r>
                  <w:r>
                    <w:rPr>
                      <w:rFonts w:ascii="Times New Roman" w:hAnsi="Times New Roman"/>
                      <w:b w:val="0"/>
                      <w:sz w:val="21"/>
                      <w:szCs w:val="21"/>
                    </w:rPr>
                    <w:t>废物种类信息应采用醒目的 橘黄色，RGB 颜色值为（255,150, 0）。字体颜色为黑色，RGB 颜色值为（0,0,0）。危图形和文字应清晰、完整，保证在足够的</w:t>
                  </w:r>
                </w:p>
                <w:p w14:paraId="2B93038A">
                  <w:pPr>
                    <w:pStyle w:val="51"/>
                    <w:jc w:val="center"/>
                    <w:rPr>
                      <w:b w:val="0"/>
                      <w:sz w:val="21"/>
                      <w:szCs w:val="21"/>
                    </w:rPr>
                  </w:pPr>
                  <w:r>
                    <w:rPr>
                      <w:rFonts w:ascii="Times New Roman" w:hAnsi="Times New Roman"/>
                      <w:b w:val="0"/>
                      <w:sz w:val="21"/>
                      <w:szCs w:val="21"/>
                    </w:rPr>
                    <w:t>观察距离条件下不影响阅读。“危险废物贮存分区标志”字样与其他信息宜加黑色分界线区分，分界线的宽度不小于2mm。危险废物贮存分区标志宜设置在该贮存分区前的通道位置或墙壁、栏杆等易于观察的位置</w:t>
                  </w:r>
                  <w:r>
                    <w:rPr>
                      <w:rFonts w:hint="eastAsia" w:ascii="Times New Roman" w:hAnsi="Times New Roman"/>
                      <w:b w:val="0"/>
                      <w:sz w:val="21"/>
                      <w:szCs w:val="21"/>
                    </w:rPr>
                    <w:t>。</w:t>
                  </w:r>
                </w:p>
              </w:tc>
            </w:tr>
            <w:tr w14:paraId="4152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1" w:type="pct"/>
                  <w:vAlign w:val="center"/>
                </w:tcPr>
                <w:p w14:paraId="6C313216">
                  <w:pPr>
                    <w:pStyle w:val="51"/>
                    <w:jc w:val="center"/>
                  </w:pPr>
                  <w:r>
                    <w:drawing>
                      <wp:inline distT="0" distB="0" distL="0" distR="0">
                        <wp:extent cx="2552700" cy="2628900"/>
                        <wp:effectExtent l="0" t="0" r="0" b="0"/>
                        <wp:docPr id="928799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99373" name="Picture 13"/>
                                <pic:cNvPicPr>
                                  <a:picLocks noChangeAspect="1" noChangeArrowheads="1"/>
                                </pic:cNvPicPr>
                              </pic:nvPicPr>
                              <pic:blipFill>
                                <a:blip r:embed="rId29">
                                  <a:extLst>
                                    <a:ext uri="{28A0092B-C50C-407E-A947-70E740481C1C}">
                                      <a14:useLocalDpi xmlns:a14="http://schemas.microsoft.com/office/drawing/2010/main" val="0"/>
                                    </a:ext>
                                  </a:extLst>
                                </a:blip>
                                <a:srcRect l="2580" t="2934" r="1291"/>
                                <a:stretch>
                                  <a:fillRect/>
                                </a:stretch>
                              </pic:blipFill>
                              <pic:spPr>
                                <a:xfrm>
                                  <a:off x="0" y="0"/>
                                  <a:ext cx="2552700" cy="2628900"/>
                                </a:xfrm>
                                <a:prstGeom prst="rect">
                                  <a:avLst/>
                                </a:prstGeom>
                                <a:noFill/>
                                <a:ln>
                                  <a:noFill/>
                                </a:ln>
                              </pic:spPr>
                            </pic:pic>
                          </a:graphicData>
                        </a:graphic>
                      </wp:inline>
                    </w:drawing>
                  </w:r>
                </w:p>
                <w:p w14:paraId="365B59CC">
                  <w:pPr>
                    <w:pStyle w:val="52"/>
                    <w:ind w:firstLine="420"/>
                    <w:jc w:val="center"/>
                  </w:pPr>
                  <w:r>
                    <w:rPr>
                      <w:rFonts w:hint="eastAsia"/>
                      <w:sz w:val="21"/>
                      <w:szCs w:val="21"/>
                    </w:rPr>
                    <w:t>危险废物标签样式示意图</w:t>
                  </w:r>
                </w:p>
              </w:tc>
              <w:tc>
                <w:tcPr>
                  <w:tcW w:w="2408" w:type="pct"/>
                  <w:vAlign w:val="center"/>
                </w:tcPr>
                <w:p w14:paraId="6990BED9">
                  <w:pPr>
                    <w:pStyle w:val="51"/>
                    <w:jc w:val="center"/>
                    <w:rPr>
                      <w:b w:val="0"/>
                      <w:sz w:val="21"/>
                      <w:szCs w:val="21"/>
                    </w:rPr>
                  </w:pPr>
                  <w:r>
                    <w:rPr>
                      <w:rFonts w:hint="eastAsia"/>
                      <w:b w:val="0"/>
                      <w:sz w:val="21"/>
                      <w:szCs w:val="21"/>
                    </w:rPr>
                    <w:t>1、危险废物标志设置位置应明显可见且易读，不应被容器、包装物自身的任何部分或其他标签遮挡。对箱类包装危险废物的其标签应置于包装端面或侧面；</w:t>
                  </w:r>
                </w:p>
                <w:p w14:paraId="70F67F91">
                  <w:pPr>
                    <w:pStyle w:val="51"/>
                    <w:jc w:val="center"/>
                    <w:rPr>
                      <w:b w:val="0"/>
                      <w:sz w:val="21"/>
                      <w:szCs w:val="21"/>
                    </w:rPr>
                  </w:pPr>
                  <w:r>
                    <w:rPr>
                      <w:rFonts w:hint="eastAsia"/>
                      <w:b w:val="0"/>
                      <w:sz w:val="21"/>
                      <w:szCs w:val="21"/>
                    </w:rPr>
                    <w:t>2、袋类包装危险废物的其标签应置于包装明显处；</w:t>
                  </w:r>
                </w:p>
                <w:p w14:paraId="3B88DDBB">
                  <w:pPr>
                    <w:pStyle w:val="51"/>
                    <w:jc w:val="center"/>
                    <w:rPr>
                      <w:b w:val="0"/>
                      <w:sz w:val="21"/>
                      <w:szCs w:val="21"/>
                    </w:rPr>
                  </w:pPr>
                  <w:r>
                    <w:rPr>
                      <w:rFonts w:hint="eastAsia"/>
                      <w:b w:val="0"/>
                      <w:sz w:val="21"/>
                      <w:szCs w:val="21"/>
                    </w:rPr>
                    <w:t>3、桶类包装危险废物的其标签应置于桶身或桶盖；</w:t>
                  </w:r>
                </w:p>
                <w:p w14:paraId="0CAF12BF">
                  <w:pPr>
                    <w:pStyle w:val="51"/>
                    <w:jc w:val="center"/>
                    <w:rPr>
                      <w:b w:val="0"/>
                      <w:sz w:val="21"/>
                      <w:szCs w:val="21"/>
                    </w:rPr>
                  </w:pPr>
                  <w:r>
                    <w:rPr>
                      <w:rFonts w:hint="eastAsia"/>
                      <w:b w:val="0"/>
                      <w:sz w:val="21"/>
                      <w:szCs w:val="21"/>
                    </w:rPr>
                    <w:t>4、其他包装危险废物的其标签应置于于明显处。</w:t>
                  </w:r>
                </w:p>
                <w:p w14:paraId="336EEBA0">
                  <w:pPr>
                    <w:pStyle w:val="51"/>
                    <w:jc w:val="center"/>
                    <w:rPr>
                      <w:b w:val="0"/>
                    </w:rPr>
                  </w:pPr>
                </w:p>
              </w:tc>
            </w:tr>
          </w:tbl>
          <w:p w14:paraId="0C27B3CE">
            <w:pPr>
              <w:spacing w:line="500" w:lineRule="exact"/>
              <w:ind w:firstLine="480" w:firstLineChars="200"/>
              <w:rPr>
                <w:kern w:val="0"/>
                <w:sz w:val="24"/>
              </w:rPr>
            </w:pPr>
          </w:p>
          <w:p w14:paraId="7E37C2E8">
            <w:pPr>
              <w:spacing w:line="500" w:lineRule="exact"/>
              <w:ind w:firstLine="480" w:firstLineChars="200"/>
            </w:pPr>
            <w:r>
              <w:rPr>
                <w:kern w:val="0"/>
                <w:sz w:val="24"/>
              </w:rPr>
              <w:t>本项目严格按照《危险废物贮存污染控制标准》（GB18597-2023）对危险废物进行收集、暂存，并委托持有《危险废物经营许可证》的单位进行无害化处理处置，采取上述措施防治后，项目的危险废物对周围环境基本无影响。</w:t>
            </w:r>
          </w:p>
          <w:p w14:paraId="1505E7A0">
            <w:pPr>
              <w:widowControl/>
              <w:jc w:val="center"/>
              <w:rPr>
                <w:kern w:val="0"/>
                <w:sz w:val="24"/>
              </w:rPr>
            </w:pPr>
            <w:r>
              <w:rPr>
                <w:rFonts w:ascii="瀹嬩綋" w:hAnsi="瀹嬩綋" w:eastAsia="瀹嬩綋" w:cs="瀹嬩綋"/>
                <w:b/>
                <w:bCs/>
                <w:color w:val="000000"/>
                <w:kern w:val="0"/>
                <w:szCs w:val="21"/>
                <w:lang w:bidi="ar"/>
              </w:rPr>
              <w:t>表</w:t>
            </w:r>
            <w:r>
              <w:rPr>
                <w:rFonts w:hint="eastAsia"/>
                <w:b/>
                <w:bCs/>
                <w:color w:val="000000"/>
                <w:kern w:val="0"/>
                <w:szCs w:val="21"/>
                <w:lang w:bidi="ar"/>
              </w:rPr>
              <w:t>4-16</w:t>
            </w:r>
            <w:r>
              <w:rPr>
                <w:rFonts w:ascii="瀹嬩綋" w:hAnsi="瀹嬩綋" w:eastAsia="瀹嬩綋" w:cs="瀹嬩綋"/>
                <w:b/>
                <w:bCs/>
                <w:color w:val="000000"/>
                <w:kern w:val="0"/>
                <w:szCs w:val="21"/>
                <w:lang w:bidi="ar"/>
              </w:rPr>
              <w:t xml:space="preserve"> 项目危险废物贮存场所（设施）基本情况表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985"/>
              <w:gridCol w:w="1150"/>
              <w:gridCol w:w="986"/>
              <w:gridCol w:w="986"/>
              <w:gridCol w:w="988"/>
              <w:gridCol w:w="988"/>
              <w:gridCol w:w="988"/>
              <w:gridCol w:w="988"/>
            </w:tblGrid>
            <w:tr w14:paraId="2682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14:paraId="1E9393BC">
                  <w:pPr>
                    <w:widowControl/>
                    <w:jc w:val="center"/>
                    <w:rPr>
                      <w:kern w:val="0"/>
                      <w:sz w:val="20"/>
                      <w:szCs w:val="20"/>
                    </w:rPr>
                  </w:pPr>
                  <w:r>
                    <w:rPr>
                      <w:b/>
                      <w:bCs/>
                      <w:color w:val="000000"/>
                      <w:kern w:val="0"/>
                      <w:sz w:val="20"/>
                      <w:szCs w:val="20"/>
                      <w:lang w:bidi="ar"/>
                    </w:rPr>
                    <w:t>危险废物名称</w:t>
                  </w:r>
                </w:p>
              </w:tc>
              <w:tc>
                <w:tcPr>
                  <w:tcW w:w="555" w:type="pct"/>
                  <w:vAlign w:val="center"/>
                </w:tcPr>
                <w:p w14:paraId="1E974607">
                  <w:pPr>
                    <w:widowControl/>
                    <w:jc w:val="center"/>
                    <w:rPr>
                      <w:kern w:val="0"/>
                      <w:sz w:val="20"/>
                      <w:szCs w:val="20"/>
                    </w:rPr>
                  </w:pPr>
                  <w:r>
                    <w:rPr>
                      <w:b/>
                      <w:bCs/>
                      <w:color w:val="000000"/>
                      <w:kern w:val="0"/>
                      <w:sz w:val="20"/>
                      <w:szCs w:val="20"/>
                      <w:lang w:bidi="ar"/>
                    </w:rPr>
                    <w:t>废物类别</w:t>
                  </w:r>
                </w:p>
              </w:tc>
              <w:tc>
                <w:tcPr>
                  <w:tcW w:w="555" w:type="pct"/>
                  <w:vAlign w:val="center"/>
                </w:tcPr>
                <w:p w14:paraId="2C662CE5">
                  <w:pPr>
                    <w:widowControl/>
                    <w:jc w:val="center"/>
                    <w:rPr>
                      <w:kern w:val="0"/>
                      <w:sz w:val="20"/>
                      <w:szCs w:val="20"/>
                    </w:rPr>
                  </w:pPr>
                  <w:r>
                    <w:rPr>
                      <w:b/>
                      <w:bCs/>
                      <w:color w:val="000000"/>
                      <w:kern w:val="0"/>
                      <w:sz w:val="20"/>
                      <w:szCs w:val="20"/>
                      <w:lang w:bidi="ar"/>
                    </w:rPr>
                    <w:t>废物代码</w:t>
                  </w:r>
                </w:p>
              </w:tc>
              <w:tc>
                <w:tcPr>
                  <w:tcW w:w="555" w:type="pct"/>
                  <w:vAlign w:val="center"/>
                </w:tcPr>
                <w:p w14:paraId="66D5296D">
                  <w:pPr>
                    <w:widowControl/>
                    <w:jc w:val="center"/>
                    <w:rPr>
                      <w:sz w:val="20"/>
                      <w:szCs w:val="20"/>
                    </w:rPr>
                  </w:pPr>
                  <w:r>
                    <w:rPr>
                      <w:b/>
                      <w:bCs/>
                      <w:color w:val="000000"/>
                      <w:kern w:val="0"/>
                      <w:sz w:val="20"/>
                      <w:szCs w:val="20"/>
                      <w:lang w:bidi="ar"/>
                    </w:rPr>
                    <w:t>贮存</w:t>
                  </w:r>
                </w:p>
                <w:p w14:paraId="1AA32B71">
                  <w:pPr>
                    <w:widowControl/>
                    <w:jc w:val="center"/>
                    <w:rPr>
                      <w:kern w:val="0"/>
                      <w:sz w:val="20"/>
                      <w:szCs w:val="20"/>
                    </w:rPr>
                  </w:pPr>
                  <w:r>
                    <w:rPr>
                      <w:b/>
                      <w:bCs/>
                      <w:color w:val="000000"/>
                      <w:kern w:val="0"/>
                      <w:sz w:val="20"/>
                      <w:szCs w:val="20"/>
                      <w:lang w:bidi="ar"/>
                    </w:rPr>
                    <w:t>场所</w:t>
                  </w:r>
                </w:p>
              </w:tc>
              <w:tc>
                <w:tcPr>
                  <w:tcW w:w="555" w:type="pct"/>
                  <w:vAlign w:val="center"/>
                </w:tcPr>
                <w:p w14:paraId="00C656A9">
                  <w:pPr>
                    <w:widowControl/>
                    <w:jc w:val="center"/>
                    <w:rPr>
                      <w:kern w:val="0"/>
                      <w:sz w:val="20"/>
                      <w:szCs w:val="20"/>
                    </w:rPr>
                  </w:pPr>
                  <w:r>
                    <w:rPr>
                      <w:b/>
                      <w:bCs/>
                      <w:color w:val="000000"/>
                      <w:kern w:val="0"/>
                      <w:sz w:val="20"/>
                      <w:szCs w:val="20"/>
                      <w:lang w:bidi="ar"/>
                    </w:rPr>
                    <w:t>位置</w:t>
                  </w:r>
                </w:p>
              </w:tc>
              <w:tc>
                <w:tcPr>
                  <w:tcW w:w="556" w:type="pct"/>
                  <w:vAlign w:val="center"/>
                </w:tcPr>
                <w:p w14:paraId="53F7453E">
                  <w:pPr>
                    <w:widowControl/>
                    <w:jc w:val="center"/>
                    <w:rPr>
                      <w:kern w:val="0"/>
                      <w:sz w:val="20"/>
                      <w:szCs w:val="20"/>
                    </w:rPr>
                  </w:pPr>
                  <w:r>
                    <w:rPr>
                      <w:b/>
                      <w:bCs/>
                      <w:color w:val="000000"/>
                      <w:kern w:val="0"/>
                      <w:sz w:val="20"/>
                      <w:szCs w:val="20"/>
                      <w:lang w:bidi="ar"/>
                    </w:rPr>
                    <w:t>占地面积</w:t>
                  </w:r>
                </w:p>
              </w:tc>
              <w:tc>
                <w:tcPr>
                  <w:tcW w:w="556" w:type="pct"/>
                  <w:vAlign w:val="center"/>
                </w:tcPr>
                <w:p w14:paraId="5028500A">
                  <w:pPr>
                    <w:widowControl/>
                    <w:jc w:val="center"/>
                    <w:rPr>
                      <w:kern w:val="0"/>
                      <w:sz w:val="20"/>
                      <w:szCs w:val="20"/>
                    </w:rPr>
                  </w:pPr>
                  <w:r>
                    <w:rPr>
                      <w:b/>
                      <w:bCs/>
                      <w:color w:val="000000"/>
                      <w:kern w:val="0"/>
                      <w:sz w:val="20"/>
                      <w:szCs w:val="20"/>
                      <w:lang w:bidi="ar"/>
                    </w:rPr>
                    <w:t>贮存方式</w:t>
                  </w:r>
                </w:p>
              </w:tc>
              <w:tc>
                <w:tcPr>
                  <w:tcW w:w="556" w:type="pct"/>
                  <w:vAlign w:val="center"/>
                </w:tcPr>
                <w:p w14:paraId="35935FE2">
                  <w:pPr>
                    <w:widowControl/>
                    <w:jc w:val="center"/>
                    <w:rPr>
                      <w:kern w:val="0"/>
                      <w:sz w:val="20"/>
                      <w:szCs w:val="20"/>
                    </w:rPr>
                  </w:pPr>
                  <w:r>
                    <w:rPr>
                      <w:b/>
                      <w:bCs/>
                      <w:color w:val="000000"/>
                      <w:kern w:val="0"/>
                      <w:sz w:val="20"/>
                      <w:szCs w:val="20"/>
                      <w:lang w:bidi="ar"/>
                    </w:rPr>
                    <w:t>贮存能力</w:t>
                  </w:r>
                </w:p>
              </w:tc>
              <w:tc>
                <w:tcPr>
                  <w:tcW w:w="556" w:type="pct"/>
                  <w:vAlign w:val="center"/>
                </w:tcPr>
                <w:p w14:paraId="71D2292E">
                  <w:pPr>
                    <w:widowControl/>
                    <w:jc w:val="center"/>
                    <w:rPr>
                      <w:kern w:val="0"/>
                      <w:sz w:val="20"/>
                      <w:szCs w:val="20"/>
                    </w:rPr>
                  </w:pPr>
                  <w:r>
                    <w:rPr>
                      <w:b/>
                      <w:bCs/>
                      <w:color w:val="000000"/>
                      <w:kern w:val="0"/>
                      <w:sz w:val="20"/>
                      <w:szCs w:val="20"/>
                      <w:lang w:bidi="ar"/>
                    </w:rPr>
                    <w:t>贮存周 期</w:t>
                  </w:r>
                </w:p>
              </w:tc>
            </w:tr>
            <w:tr w14:paraId="31CF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14:paraId="0107B917">
                  <w:pPr>
                    <w:widowControl/>
                    <w:jc w:val="center"/>
                    <w:rPr>
                      <w:kern w:val="0"/>
                      <w:sz w:val="20"/>
                      <w:szCs w:val="20"/>
                    </w:rPr>
                  </w:pPr>
                  <w:r>
                    <w:rPr>
                      <w:color w:val="000000"/>
                      <w:kern w:val="0"/>
                      <w:sz w:val="20"/>
                      <w:szCs w:val="20"/>
                      <w:lang w:bidi="ar"/>
                    </w:rPr>
                    <w:t>废化学品包装桶</w:t>
                  </w:r>
                </w:p>
              </w:tc>
              <w:tc>
                <w:tcPr>
                  <w:tcW w:w="555" w:type="pct"/>
                  <w:vMerge w:val="restart"/>
                  <w:vAlign w:val="center"/>
                </w:tcPr>
                <w:p w14:paraId="20544A20">
                  <w:pPr>
                    <w:widowControl/>
                    <w:jc w:val="center"/>
                    <w:rPr>
                      <w:sz w:val="20"/>
                      <w:szCs w:val="20"/>
                    </w:rPr>
                  </w:pPr>
                  <w:r>
                    <w:rPr>
                      <w:color w:val="000000"/>
                      <w:kern w:val="0"/>
                      <w:sz w:val="20"/>
                      <w:szCs w:val="20"/>
                      <w:lang w:bidi="ar"/>
                    </w:rPr>
                    <w:t>HW49</w:t>
                  </w:r>
                </w:p>
                <w:p w14:paraId="5CAC6BE4">
                  <w:pPr>
                    <w:widowControl/>
                    <w:jc w:val="center"/>
                    <w:rPr>
                      <w:kern w:val="0"/>
                      <w:sz w:val="20"/>
                      <w:szCs w:val="20"/>
                    </w:rPr>
                  </w:pPr>
                  <w:r>
                    <w:rPr>
                      <w:color w:val="000000"/>
                      <w:kern w:val="0"/>
                      <w:sz w:val="20"/>
                      <w:szCs w:val="20"/>
                      <w:lang w:bidi="ar"/>
                    </w:rPr>
                    <w:t>其他废物</w:t>
                  </w:r>
                </w:p>
              </w:tc>
              <w:tc>
                <w:tcPr>
                  <w:tcW w:w="555" w:type="pct"/>
                  <w:vMerge w:val="restart"/>
                  <w:vAlign w:val="center"/>
                </w:tcPr>
                <w:p w14:paraId="5DB3ECFF">
                  <w:pPr>
                    <w:widowControl/>
                    <w:jc w:val="center"/>
                    <w:rPr>
                      <w:kern w:val="0"/>
                      <w:sz w:val="20"/>
                      <w:szCs w:val="20"/>
                    </w:rPr>
                  </w:pPr>
                  <w:r>
                    <w:rPr>
                      <w:color w:val="000000"/>
                      <w:kern w:val="0"/>
                      <w:sz w:val="20"/>
                      <w:szCs w:val="20"/>
                      <w:lang w:bidi="ar"/>
                    </w:rPr>
                    <w:t>900-041-49</w:t>
                  </w:r>
                </w:p>
              </w:tc>
              <w:tc>
                <w:tcPr>
                  <w:tcW w:w="555" w:type="pct"/>
                  <w:vMerge w:val="restart"/>
                  <w:vAlign w:val="center"/>
                </w:tcPr>
                <w:p w14:paraId="5A97C8A7">
                  <w:pPr>
                    <w:widowControl/>
                    <w:jc w:val="center"/>
                    <w:rPr>
                      <w:kern w:val="0"/>
                      <w:sz w:val="20"/>
                      <w:szCs w:val="20"/>
                    </w:rPr>
                  </w:pPr>
                  <w:r>
                    <w:rPr>
                      <w:color w:val="000000"/>
                      <w:kern w:val="0"/>
                      <w:sz w:val="20"/>
                      <w:szCs w:val="20"/>
                      <w:lang w:bidi="ar"/>
                    </w:rPr>
                    <w:t>危废暂存间</w:t>
                  </w:r>
                </w:p>
              </w:tc>
              <w:tc>
                <w:tcPr>
                  <w:tcW w:w="555" w:type="pct"/>
                  <w:vMerge w:val="restart"/>
                  <w:vAlign w:val="center"/>
                </w:tcPr>
                <w:p w14:paraId="0BF99C97">
                  <w:pPr>
                    <w:widowControl/>
                    <w:jc w:val="center"/>
                    <w:rPr>
                      <w:kern w:val="0"/>
                      <w:sz w:val="20"/>
                      <w:szCs w:val="20"/>
                    </w:rPr>
                  </w:pPr>
                  <w:r>
                    <w:rPr>
                      <w:color w:val="000000"/>
                      <w:kern w:val="0"/>
                      <w:sz w:val="20"/>
                      <w:szCs w:val="20"/>
                      <w:lang w:bidi="ar"/>
                    </w:rPr>
                    <w:t>位于仓库内</w:t>
                  </w:r>
                </w:p>
              </w:tc>
              <w:tc>
                <w:tcPr>
                  <w:tcW w:w="556" w:type="pct"/>
                  <w:vMerge w:val="restart"/>
                  <w:vAlign w:val="center"/>
                </w:tcPr>
                <w:p w14:paraId="01F9123E">
                  <w:pPr>
                    <w:widowControl/>
                    <w:jc w:val="center"/>
                    <w:rPr>
                      <w:kern w:val="0"/>
                      <w:sz w:val="20"/>
                      <w:szCs w:val="20"/>
                    </w:rPr>
                  </w:pPr>
                  <w:r>
                    <w:rPr>
                      <w:color w:val="000000"/>
                      <w:kern w:val="0"/>
                      <w:sz w:val="20"/>
                      <w:szCs w:val="20"/>
                      <w:lang w:bidi="ar"/>
                    </w:rPr>
                    <w:t>10m</w:t>
                  </w:r>
                  <w:r>
                    <w:rPr>
                      <w:color w:val="000000"/>
                      <w:kern w:val="0"/>
                      <w:sz w:val="20"/>
                      <w:szCs w:val="20"/>
                      <w:vertAlign w:val="superscript"/>
                      <w:lang w:bidi="ar"/>
                    </w:rPr>
                    <w:t>2</w:t>
                  </w:r>
                </w:p>
              </w:tc>
              <w:tc>
                <w:tcPr>
                  <w:tcW w:w="556" w:type="pct"/>
                  <w:vMerge w:val="restart"/>
                  <w:vAlign w:val="center"/>
                </w:tcPr>
                <w:p w14:paraId="4B3D8FA4">
                  <w:pPr>
                    <w:widowControl/>
                    <w:jc w:val="center"/>
                    <w:rPr>
                      <w:sz w:val="20"/>
                      <w:szCs w:val="20"/>
                    </w:rPr>
                  </w:pPr>
                  <w:r>
                    <w:rPr>
                      <w:color w:val="000000"/>
                      <w:kern w:val="0"/>
                      <w:sz w:val="20"/>
                      <w:szCs w:val="20"/>
                      <w:lang w:bidi="ar"/>
                    </w:rPr>
                    <w:t>胶桶储</w:t>
                  </w:r>
                </w:p>
                <w:p w14:paraId="13BC6C7C">
                  <w:pPr>
                    <w:widowControl/>
                    <w:jc w:val="center"/>
                    <w:rPr>
                      <w:kern w:val="0"/>
                      <w:sz w:val="20"/>
                      <w:szCs w:val="20"/>
                    </w:rPr>
                  </w:pPr>
                  <w:r>
                    <w:rPr>
                      <w:color w:val="000000"/>
                      <w:kern w:val="0"/>
                      <w:sz w:val="20"/>
                      <w:szCs w:val="20"/>
                      <w:lang w:bidi="ar"/>
                    </w:rPr>
                    <w:t>存/袋装</w:t>
                  </w:r>
                </w:p>
              </w:tc>
              <w:tc>
                <w:tcPr>
                  <w:tcW w:w="556" w:type="pct"/>
                  <w:vAlign w:val="center"/>
                </w:tcPr>
                <w:p w14:paraId="3E9A9CBA">
                  <w:pPr>
                    <w:widowControl/>
                    <w:jc w:val="center"/>
                    <w:rPr>
                      <w:kern w:val="0"/>
                      <w:sz w:val="20"/>
                      <w:szCs w:val="20"/>
                    </w:rPr>
                  </w:pPr>
                  <w:r>
                    <w:rPr>
                      <w:color w:val="000000"/>
                      <w:kern w:val="0"/>
                      <w:sz w:val="20"/>
                      <w:szCs w:val="20"/>
                      <w:lang w:bidi="ar"/>
                    </w:rPr>
                    <w:t>0.2t</w:t>
                  </w:r>
                </w:p>
              </w:tc>
              <w:tc>
                <w:tcPr>
                  <w:tcW w:w="556" w:type="pct"/>
                  <w:vAlign w:val="center"/>
                </w:tcPr>
                <w:p w14:paraId="4C7B5094">
                  <w:pPr>
                    <w:widowControl/>
                    <w:jc w:val="center"/>
                    <w:rPr>
                      <w:kern w:val="0"/>
                      <w:sz w:val="20"/>
                      <w:szCs w:val="20"/>
                    </w:rPr>
                  </w:pPr>
                  <w:r>
                    <w:rPr>
                      <w:color w:val="000000"/>
                      <w:kern w:val="0"/>
                      <w:sz w:val="20"/>
                      <w:szCs w:val="20"/>
                      <w:lang w:bidi="ar"/>
                    </w:rPr>
                    <w:t>3 个月</w:t>
                  </w:r>
                </w:p>
              </w:tc>
            </w:tr>
            <w:tr w14:paraId="1606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14:paraId="7275B3B5">
                  <w:pPr>
                    <w:widowControl/>
                    <w:jc w:val="center"/>
                    <w:rPr>
                      <w:kern w:val="0"/>
                      <w:sz w:val="20"/>
                      <w:szCs w:val="20"/>
                    </w:rPr>
                  </w:pPr>
                  <w:r>
                    <w:rPr>
                      <w:color w:val="000000"/>
                      <w:kern w:val="0"/>
                      <w:sz w:val="20"/>
                      <w:szCs w:val="20"/>
                      <w:lang w:bidi="ar"/>
                    </w:rPr>
                    <w:t>废活性炭</w:t>
                  </w:r>
                </w:p>
              </w:tc>
              <w:tc>
                <w:tcPr>
                  <w:tcW w:w="555" w:type="pct"/>
                  <w:vMerge w:val="continue"/>
                  <w:vAlign w:val="center"/>
                </w:tcPr>
                <w:p w14:paraId="287C2649">
                  <w:pPr>
                    <w:spacing w:line="500" w:lineRule="exact"/>
                    <w:jc w:val="center"/>
                    <w:rPr>
                      <w:kern w:val="0"/>
                      <w:sz w:val="20"/>
                      <w:szCs w:val="20"/>
                    </w:rPr>
                  </w:pPr>
                </w:p>
              </w:tc>
              <w:tc>
                <w:tcPr>
                  <w:tcW w:w="555" w:type="pct"/>
                  <w:vMerge w:val="continue"/>
                  <w:vAlign w:val="center"/>
                </w:tcPr>
                <w:p w14:paraId="3DD577FD">
                  <w:pPr>
                    <w:spacing w:line="500" w:lineRule="exact"/>
                    <w:jc w:val="center"/>
                    <w:rPr>
                      <w:kern w:val="0"/>
                      <w:sz w:val="20"/>
                      <w:szCs w:val="20"/>
                    </w:rPr>
                  </w:pPr>
                </w:p>
              </w:tc>
              <w:tc>
                <w:tcPr>
                  <w:tcW w:w="555" w:type="pct"/>
                  <w:vMerge w:val="continue"/>
                  <w:vAlign w:val="center"/>
                </w:tcPr>
                <w:p w14:paraId="41690AF6">
                  <w:pPr>
                    <w:spacing w:line="500" w:lineRule="exact"/>
                    <w:jc w:val="center"/>
                    <w:rPr>
                      <w:kern w:val="0"/>
                      <w:sz w:val="20"/>
                      <w:szCs w:val="20"/>
                    </w:rPr>
                  </w:pPr>
                </w:p>
              </w:tc>
              <w:tc>
                <w:tcPr>
                  <w:tcW w:w="555" w:type="pct"/>
                  <w:vMerge w:val="continue"/>
                  <w:vAlign w:val="center"/>
                </w:tcPr>
                <w:p w14:paraId="75D66857">
                  <w:pPr>
                    <w:spacing w:line="500" w:lineRule="exact"/>
                    <w:jc w:val="center"/>
                    <w:rPr>
                      <w:kern w:val="0"/>
                      <w:sz w:val="20"/>
                      <w:szCs w:val="20"/>
                    </w:rPr>
                  </w:pPr>
                </w:p>
              </w:tc>
              <w:tc>
                <w:tcPr>
                  <w:tcW w:w="556" w:type="pct"/>
                  <w:vMerge w:val="continue"/>
                  <w:vAlign w:val="center"/>
                </w:tcPr>
                <w:p w14:paraId="3D6DBDCD">
                  <w:pPr>
                    <w:spacing w:line="500" w:lineRule="exact"/>
                    <w:jc w:val="center"/>
                    <w:rPr>
                      <w:kern w:val="0"/>
                      <w:sz w:val="20"/>
                      <w:szCs w:val="20"/>
                    </w:rPr>
                  </w:pPr>
                </w:p>
              </w:tc>
              <w:tc>
                <w:tcPr>
                  <w:tcW w:w="556" w:type="pct"/>
                  <w:vMerge w:val="continue"/>
                  <w:vAlign w:val="center"/>
                </w:tcPr>
                <w:p w14:paraId="36174667">
                  <w:pPr>
                    <w:spacing w:line="500" w:lineRule="exact"/>
                    <w:jc w:val="center"/>
                    <w:rPr>
                      <w:kern w:val="0"/>
                      <w:sz w:val="20"/>
                      <w:szCs w:val="20"/>
                    </w:rPr>
                  </w:pPr>
                </w:p>
              </w:tc>
              <w:tc>
                <w:tcPr>
                  <w:tcW w:w="556" w:type="pct"/>
                  <w:vAlign w:val="center"/>
                </w:tcPr>
                <w:p w14:paraId="35F4AA98">
                  <w:pPr>
                    <w:widowControl/>
                    <w:jc w:val="center"/>
                    <w:rPr>
                      <w:kern w:val="0"/>
                      <w:sz w:val="20"/>
                      <w:szCs w:val="20"/>
                    </w:rPr>
                  </w:pPr>
                  <w:r>
                    <w:rPr>
                      <w:color w:val="000000"/>
                      <w:kern w:val="0"/>
                      <w:sz w:val="20"/>
                      <w:szCs w:val="20"/>
                      <w:lang w:bidi="ar"/>
                    </w:rPr>
                    <w:t>1.024t</w:t>
                  </w:r>
                </w:p>
              </w:tc>
              <w:tc>
                <w:tcPr>
                  <w:tcW w:w="556" w:type="pct"/>
                  <w:vAlign w:val="center"/>
                </w:tcPr>
                <w:p w14:paraId="06416682">
                  <w:pPr>
                    <w:widowControl/>
                    <w:jc w:val="center"/>
                    <w:rPr>
                      <w:kern w:val="0"/>
                      <w:sz w:val="20"/>
                      <w:szCs w:val="20"/>
                    </w:rPr>
                  </w:pPr>
                  <w:r>
                    <w:rPr>
                      <w:color w:val="000000"/>
                      <w:kern w:val="0"/>
                      <w:sz w:val="20"/>
                      <w:szCs w:val="20"/>
                      <w:lang w:bidi="ar"/>
                    </w:rPr>
                    <w:t>3 个月</w:t>
                  </w:r>
                </w:p>
              </w:tc>
            </w:tr>
            <w:tr w14:paraId="33B6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14:paraId="09256DA0">
                  <w:pPr>
                    <w:widowControl/>
                    <w:jc w:val="center"/>
                    <w:rPr>
                      <w:kern w:val="0"/>
                      <w:sz w:val="20"/>
                      <w:szCs w:val="20"/>
                    </w:rPr>
                  </w:pPr>
                  <w:r>
                    <w:rPr>
                      <w:kern w:val="0"/>
                      <w:sz w:val="20"/>
                      <w:szCs w:val="20"/>
                    </w:rPr>
                    <w:t>废催化剂</w:t>
                  </w:r>
                </w:p>
              </w:tc>
              <w:tc>
                <w:tcPr>
                  <w:tcW w:w="555" w:type="pct"/>
                  <w:vAlign w:val="center"/>
                </w:tcPr>
                <w:p w14:paraId="306469DB">
                  <w:pPr>
                    <w:widowControl/>
                    <w:jc w:val="center"/>
                    <w:rPr>
                      <w:color w:val="000000"/>
                      <w:kern w:val="0"/>
                      <w:sz w:val="20"/>
                      <w:szCs w:val="20"/>
                      <w:lang w:bidi="ar"/>
                    </w:rPr>
                  </w:pPr>
                  <w:r>
                    <w:rPr>
                      <w:color w:val="000000"/>
                      <w:kern w:val="0"/>
                      <w:sz w:val="20"/>
                      <w:szCs w:val="20"/>
                      <w:lang w:bidi="ar"/>
                    </w:rPr>
                    <w:t>HW50</w:t>
                  </w:r>
                </w:p>
                <w:p w14:paraId="7BEB4C38">
                  <w:pPr>
                    <w:widowControl/>
                    <w:jc w:val="center"/>
                    <w:rPr>
                      <w:kern w:val="0"/>
                      <w:sz w:val="20"/>
                      <w:szCs w:val="20"/>
                    </w:rPr>
                  </w:pPr>
                  <w:r>
                    <w:rPr>
                      <w:color w:val="000000"/>
                      <w:kern w:val="0"/>
                      <w:sz w:val="20"/>
                      <w:szCs w:val="20"/>
                      <w:lang w:bidi="ar"/>
                    </w:rPr>
                    <w:t>废催化剂</w:t>
                  </w:r>
                </w:p>
              </w:tc>
              <w:tc>
                <w:tcPr>
                  <w:tcW w:w="555" w:type="pct"/>
                  <w:vAlign w:val="center"/>
                </w:tcPr>
                <w:p w14:paraId="0CD7E9EC">
                  <w:pPr>
                    <w:widowControl/>
                    <w:jc w:val="center"/>
                    <w:rPr>
                      <w:kern w:val="0"/>
                      <w:sz w:val="20"/>
                      <w:szCs w:val="20"/>
                    </w:rPr>
                  </w:pPr>
                  <w:r>
                    <w:rPr>
                      <w:color w:val="000000"/>
                      <w:kern w:val="0"/>
                      <w:sz w:val="20"/>
                      <w:szCs w:val="20"/>
                      <w:lang w:bidi="ar"/>
                    </w:rPr>
                    <w:t>772-007-50</w:t>
                  </w:r>
                </w:p>
              </w:tc>
              <w:tc>
                <w:tcPr>
                  <w:tcW w:w="555" w:type="pct"/>
                  <w:vMerge w:val="continue"/>
                  <w:vAlign w:val="center"/>
                </w:tcPr>
                <w:p w14:paraId="5235B3A9">
                  <w:pPr>
                    <w:spacing w:line="500" w:lineRule="exact"/>
                    <w:jc w:val="center"/>
                    <w:rPr>
                      <w:kern w:val="0"/>
                      <w:sz w:val="20"/>
                      <w:szCs w:val="20"/>
                    </w:rPr>
                  </w:pPr>
                </w:p>
              </w:tc>
              <w:tc>
                <w:tcPr>
                  <w:tcW w:w="555" w:type="pct"/>
                  <w:vMerge w:val="continue"/>
                  <w:vAlign w:val="center"/>
                </w:tcPr>
                <w:p w14:paraId="713A4BAF">
                  <w:pPr>
                    <w:spacing w:line="500" w:lineRule="exact"/>
                    <w:jc w:val="center"/>
                    <w:rPr>
                      <w:kern w:val="0"/>
                      <w:sz w:val="20"/>
                      <w:szCs w:val="20"/>
                    </w:rPr>
                  </w:pPr>
                </w:p>
              </w:tc>
              <w:tc>
                <w:tcPr>
                  <w:tcW w:w="556" w:type="pct"/>
                  <w:vMerge w:val="continue"/>
                  <w:vAlign w:val="center"/>
                </w:tcPr>
                <w:p w14:paraId="64766AFD">
                  <w:pPr>
                    <w:spacing w:line="500" w:lineRule="exact"/>
                    <w:jc w:val="center"/>
                    <w:rPr>
                      <w:kern w:val="0"/>
                      <w:sz w:val="20"/>
                      <w:szCs w:val="20"/>
                    </w:rPr>
                  </w:pPr>
                </w:p>
              </w:tc>
              <w:tc>
                <w:tcPr>
                  <w:tcW w:w="556" w:type="pct"/>
                  <w:vMerge w:val="continue"/>
                  <w:vAlign w:val="center"/>
                </w:tcPr>
                <w:p w14:paraId="2DF353D6">
                  <w:pPr>
                    <w:spacing w:line="500" w:lineRule="exact"/>
                    <w:jc w:val="center"/>
                    <w:rPr>
                      <w:kern w:val="0"/>
                      <w:sz w:val="20"/>
                      <w:szCs w:val="20"/>
                    </w:rPr>
                  </w:pPr>
                </w:p>
              </w:tc>
              <w:tc>
                <w:tcPr>
                  <w:tcW w:w="556" w:type="pct"/>
                  <w:vAlign w:val="center"/>
                </w:tcPr>
                <w:p w14:paraId="6AE4101B">
                  <w:pPr>
                    <w:widowControl/>
                    <w:jc w:val="center"/>
                    <w:rPr>
                      <w:kern w:val="0"/>
                      <w:sz w:val="20"/>
                      <w:szCs w:val="20"/>
                    </w:rPr>
                  </w:pPr>
                  <w:r>
                    <w:rPr>
                      <w:color w:val="000000"/>
                      <w:kern w:val="0"/>
                      <w:sz w:val="20"/>
                      <w:szCs w:val="20"/>
                      <w:lang w:bidi="ar"/>
                    </w:rPr>
                    <w:t>0.3t</w:t>
                  </w:r>
                </w:p>
              </w:tc>
              <w:tc>
                <w:tcPr>
                  <w:tcW w:w="556" w:type="pct"/>
                  <w:vAlign w:val="center"/>
                </w:tcPr>
                <w:p w14:paraId="4A4AD411">
                  <w:pPr>
                    <w:widowControl/>
                    <w:jc w:val="center"/>
                    <w:rPr>
                      <w:kern w:val="0"/>
                      <w:sz w:val="20"/>
                      <w:szCs w:val="20"/>
                    </w:rPr>
                  </w:pPr>
                  <w:r>
                    <w:rPr>
                      <w:color w:val="000000"/>
                      <w:kern w:val="0"/>
                      <w:sz w:val="20"/>
                      <w:szCs w:val="20"/>
                      <w:lang w:bidi="ar"/>
                    </w:rPr>
                    <w:t>3 个月</w:t>
                  </w:r>
                </w:p>
              </w:tc>
            </w:tr>
            <w:tr w14:paraId="41A1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14:paraId="0CBCDE53">
                  <w:pPr>
                    <w:widowControl/>
                    <w:jc w:val="center"/>
                    <w:rPr>
                      <w:color w:val="000000"/>
                      <w:kern w:val="0"/>
                      <w:sz w:val="20"/>
                      <w:szCs w:val="20"/>
                      <w:lang w:bidi="ar"/>
                    </w:rPr>
                  </w:pPr>
                  <w:r>
                    <w:rPr>
                      <w:color w:val="000000"/>
                      <w:kern w:val="0"/>
                      <w:sz w:val="20"/>
                      <w:szCs w:val="20"/>
                      <w:lang w:bidi="ar"/>
                    </w:rPr>
                    <w:t>废污油</w:t>
                  </w:r>
                </w:p>
              </w:tc>
              <w:tc>
                <w:tcPr>
                  <w:tcW w:w="555" w:type="pct"/>
                  <w:vAlign w:val="center"/>
                </w:tcPr>
                <w:p w14:paraId="44A9C0A3">
                  <w:pPr>
                    <w:spacing w:line="500" w:lineRule="exact"/>
                    <w:jc w:val="center"/>
                    <w:rPr>
                      <w:kern w:val="0"/>
                      <w:sz w:val="20"/>
                      <w:szCs w:val="20"/>
                    </w:rPr>
                  </w:pPr>
                  <w:r>
                    <w:rPr>
                      <w:kern w:val="0"/>
                      <w:sz w:val="20"/>
                      <w:szCs w:val="20"/>
                    </w:rPr>
                    <w:t>HW09油/水、烃/水混合物或者乳化</w:t>
                  </w:r>
                </w:p>
              </w:tc>
              <w:tc>
                <w:tcPr>
                  <w:tcW w:w="555" w:type="pct"/>
                  <w:vAlign w:val="center"/>
                </w:tcPr>
                <w:p w14:paraId="3F5006AE">
                  <w:pPr>
                    <w:widowControl/>
                    <w:jc w:val="center"/>
                    <w:rPr>
                      <w:color w:val="000000"/>
                      <w:kern w:val="0"/>
                      <w:sz w:val="20"/>
                      <w:szCs w:val="20"/>
                      <w:lang w:bidi="ar"/>
                    </w:rPr>
                  </w:pPr>
                  <w:r>
                    <w:rPr>
                      <w:color w:val="000000"/>
                      <w:kern w:val="0"/>
                      <w:sz w:val="20"/>
                      <w:szCs w:val="20"/>
                      <w:lang w:bidi="ar"/>
                    </w:rPr>
                    <w:t>900-007-09</w:t>
                  </w:r>
                </w:p>
              </w:tc>
              <w:tc>
                <w:tcPr>
                  <w:tcW w:w="555" w:type="pct"/>
                  <w:vMerge w:val="continue"/>
                  <w:vAlign w:val="center"/>
                </w:tcPr>
                <w:p w14:paraId="7C1D1667">
                  <w:pPr>
                    <w:spacing w:line="500" w:lineRule="exact"/>
                    <w:jc w:val="center"/>
                    <w:rPr>
                      <w:kern w:val="0"/>
                      <w:sz w:val="20"/>
                      <w:szCs w:val="20"/>
                    </w:rPr>
                  </w:pPr>
                </w:p>
              </w:tc>
              <w:tc>
                <w:tcPr>
                  <w:tcW w:w="555" w:type="pct"/>
                  <w:vMerge w:val="continue"/>
                  <w:vAlign w:val="center"/>
                </w:tcPr>
                <w:p w14:paraId="02F15B6B">
                  <w:pPr>
                    <w:spacing w:line="500" w:lineRule="exact"/>
                    <w:jc w:val="center"/>
                    <w:rPr>
                      <w:kern w:val="0"/>
                      <w:sz w:val="20"/>
                      <w:szCs w:val="20"/>
                    </w:rPr>
                  </w:pPr>
                </w:p>
              </w:tc>
              <w:tc>
                <w:tcPr>
                  <w:tcW w:w="556" w:type="pct"/>
                  <w:vMerge w:val="continue"/>
                  <w:vAlign w:val="center"/>
                </w:tcPr>
                <w:p w14:paraId="004CBDDD">
                  <w:pPr>
                    <w:spacing w:line="500" w:lineRule="exact"/>
                    <w:jc w:val="center"/>
                    <w:rPr>
                      <w:kern w:val="0"/>
                      <w:sz w:val="20"/>
                      <w:szCs w:val="20"/>
                    </w:rPr>
                  </w:pPr>
                </w:p>
              </w:tc>
              <w:tc>
                <w:tcPr>
                  <w:tcW w:w="556" w:type="pct"/>
                  <w:vMerge w:val="continue"/>
                  <w:vAlign w:val="center"/>
                </w:tcPr>
                <w:p w14:paraId="1B1C7E4A">
                  <w:pPr>
                    <w:spacing w:line="500" w:lineRule="exact"/>
                    <w:jc w:val="center"/>
                    <w:rPr>
                      <w:kern w:val="0"/>
                      <w:sz w:val="20"/>
                      <w:szCs w:val="20"/>
                    </w:rPr>
                  </w:pPr>
                </w:p>
              </w:tc>
              <w:tc>
                <w:tcPr>
                  <w:tcW w:w="556" w:type="pct"/>
                  <w:vAlign w:val="center"/>
                </w:tcPr>
                <w:p w14:paraId="2F258D6F">
                  <w:pPr>
                    <w:widowControl/>
                    <w:jc w:val="center"/>
                    <w:rPr>
                      <w:color w:val="000000"/>
                      <w:kern w:val="0"/>
                      <w:sz w:val="20"/>
                      <w:szCs w:val="20"/>
                      <w:lang w:bidi="ar"/>
                    </w:rPr>
                  </w:pPr>
                  <w:r>
                    <w:rPr>
                      <w:color w:val="000000"/>
                      <w:kern w:val="0"/>
                      <w:sz w:val="20"/>
                      <w:szCs w:val="20"/>
                      <w:lang w:bidi="ar"/>
                    </w:rPr>
                    <w:t>0.1t</w:t>
                  </w:r>
                </w:p>
              </w:tc>
              <w:tc>
                <w:tcPr>
                  <w:tcW w:w="556" w:type="pct"/>
                  <w:vAlign w:val="center"/>
                </w:tcPr>
                <w:p w14:paraId="4EAF9984">
                  <w:pPr>
                    <w:widowControl/>
                    <w:jc w:val="center"/>
                    <w:rPr>
                      <w:color w:val="000000"/>
                      <w:kern w:val="0"/>
                      <w:sz w:val="20"/>
                      <w:szCs w:val="20"/>
                      <w:lang w:bidi="ar"/>
                    </w:rPr>
                  </w:pPr>
                  <w:r>
                    <w:rPr>
                      <w:color w:val="000000"/>
                      <w:kern w:val="0"/>
                      <w:sz w:val="20"/>
                      <w:szCs w:val="20"/>
                      <w:lang w:bidi="ar"/>
                    </w:rPr>
                    <w:t>3 个月</w:t>
                  </w:r>
                </w:p>
              </w:tc>
            </w:tr>
          </w:tbl>
          <w:p w14:paraId="7B2189B0">
            <w:pPr>
              <w:spacing w:line="500" w:lineRule="exact"/>
              <w:ind w:firstLine="482" w:firstLineChars="200"/>
              <w:rPr>
                <w:kern w:val="0"/>
                <w:sz w:val="24"/>
              </w:rPr>
            </w:pPr>
            <w:r>
              <w:rPr>
                <w:rFonts w:hint="eastAsia"/>
                <w:b/>
                <w:bCs/>
                <w:kern w:val="0"/>
                <w:sz w:val="24"/>
              </w:rPr>
              <w:t>4.2.6 营运期</w:t>
            </w:r>
            <w:r>
              <w:rPr>
                <w:b/>
                <w:bCs/>
                <w:kern w:val="0"/>
                <w:sz w:val="24"/>
              </w:rPr>
              <w:t>地下水及土壤环境</w:t>
            </w:r>
            <w:r>
              <w:rPr>
                <w:rFonts w:hint="eastAsia"/>
                <w:b/>
                <w:bCs/>
                <w:kern w:val="0"/>
                <w:sz w:val="24"/>
              </w:rPr>
              <w:t>污染分析</w:t>
            </w:r>
          </w:p>
          <w:p w14:paraId="50AC140E">
            <w:pPr>
              <w:spacing w:line="500" w:lineRule="exact"/>
              <w:ind w:firstLine="480" w:firstLineChars="200"/>
              <w:rPr>
                <w:kern w:val="0"/>
                <w:sz w:val="24"/>
              </w:rPr>
            </w:pPr>
            <w:r>
              <w:rPr>
                <w:kern w:val="0"/>
                <w:sz w:val="24"/>
              </w:rPr>
              <w:t>地下水污染主要是由于污染物迁移穿过包气带进入含水层造成；土壤污染主要由大气沉降、地面漫流、垂直入渗等。项目租赁</w:t>
            </w:r>
            <w:r>
              <w:rPr>
                <w:rFonts w:hint="eastAsia"/>
                <w:kern w:val="0"/>
                <w:sz w:val="24"/>
              </w:rPr>
              <w:t>新建</w:t>
            </w:r>
            <w:r>
              <w:rPr>
                <w:kern w:val="0"/>
                <w:sz w:val="24"/>
              </w:rPr>
              <w:t xml:space="preserve">厂房进行生产，场地内均进行了硬底化处理，不与土壤直接接触，故本项目不存在土壤污染途径。 </w:t>
            </w:r>
          </w:p>
          <w:p w14:paraId="748A454F">
            <w:pPr>
              <w:spacing w:line="500" w:lineRule="exact"/>
              <w:ind w:firstLine="480" w:firstLineChars="200"/>
              <w:rPr>
                <w:kern w:val="0"/>
                <w:sz w:val="24"/>
              </w:rPr>
            </w:pPr>
            <w:r>
              <w:rPr>
                <w:kern w:val="0"/>
                <w:sz w:val="24"/>
              </w:rPr>
              <w:t>本项目用水来自市政供水，不取用地下水，不会造成水位下降。员工生活污水经化粪池预处理后排入市政管网，禁止采用渗井、渗坑等方式排放，不会因废水排放引起地下水水位、水量变化，故本项目不存在地下水污染途径。</w:t>
            </w:r>
          </w:p>
          <w:p w14:paraId="7791DAF0">
            <w:pPr>
              <w:spacing w:line="500" w:lineRule="exact"/>
              <w:ind w:firstLine="480" w:firstLineChars="200"/>
            </w:pPr>
            <w:r>
              <w:rPr>
                <w:kern w:val="0"/>
                <w:sz w:val="24"/>
              </w:rPr>
              <w:t>综上，本项目不存在地下水和土壤污染途径，建成后对地下水、土壤基本无影响。</w:t>
            </w:r>
          </w:p>
          <w:p w14:paraId="3189111D">
            <w:pPr>
              <w:spacing w:line="500" w:lineRule="exact"/>
              <w:ind w:firstLine="482" w:firstLineChars="200"/>
              <w:rPr>
                <w:b/>
                <w:bCs/>
                <w:kern w:val="0"/>
                <w:sz w:val="24"/>
              </w:rPr>
            </w:pPr>
            <w:r>
              <w:rPr>
                <w:rFonts w:hint="eastAsia"/>
                <w:b/>
                <w:bCs/>
                <w:kern w:val="0"/>
                <w:sz w:val="24"/>
              </w:rPr>
              <w:t>4.2.7营运期</w:t>
            </w:r>
            <w:r>
              <w:rPr>
                <w:b/>
                <w:bCs/>
                <w:kern w:val="0"/>
                <w:sz w:val="24"/>
              </w:rPr>
              <w:t>环境风险</w:t>
            </w:r>
            <w:r>
              <w:rPr>
                <w:rFonts w:hint="eastAsia"/>
                <w:b/>
                <w:bCs/>
                <w:kern w:val="0"/>
                <w:sz w:val="24"/>
              </w:rPr>
              <w:t>分析</w:t>
            </w:r>
            <w:r>
              <w:rPr>
                <w:b/>
                <w:bCs/>
                <w:kern w:val="0"/>
                <w:sz w:val="24"/>
              </w:rPr>
              <w:t xml:space="preserve"> </w:t>
            </w:r>
          </w:p>
          <w:p w14:paraId="72625CF9">
            <w:pPr>
              <w:spacing w:line="500" w:lineRule="exact"/>
              <w:ind w:firstLine="480" w:firstLineChars="200"/>
              <w:rPr>
                <w:kern w:val="0"/>
                <w:sz w:val="24"/>
              </w:rPr>
            </w:pPr>
            <w:r>
              <w:rPr>
                <w:kern w:val="0"/>
                <w:sz w:val="24"/>
              </w:rPr>
              <w:t xml:space="preserve">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防范、应急与减缓措施，以使建设项目事故、损失和环境影响降低到可接受的水平。 </w:t>
            </w:r>
          </w:p>
          <w:p w14:paraId="4295BBAF">
            <w:pPr>
              <w:spacing w:line="500" w:lineRule="exact"/>
              <w:ind w:firstLine="480" w:firstLineChars="200"/>
              <w:rPr>
                <w:kern w:val="0"/>
                <w:sz w:val="24"/>
              </w:rPr>
            </w:pPr>
            <w:r>
              <w:rPr>
                <w:kern w:val="0"/>
                <w:sz w:val="24"/>
              </w:rPr>
              <w:t xml:space="preserve">（1）Q 值计算 </w:t>
            </w:r>
          </w:p>
          <w:p w14:paraId="054E12E7">
            <w:pPr>
              <w:spacing w:line="500" w:lineRule="exact"/>
              <w:ind w:firstLine="480" w:firstLineChars="200"/>
              <w:rPr>
                <w:kern w:val="0"/>
                <w:sz w:val="24"/>
              </w:rPr>
            </w:pPr>
            <w:r>
              <w:rPr>
                <w:kern w:val="0"/>
                <w:sz w:val="24"/>
              </w:rPr>
              <w:t>对照《建设项目环境风险评价技术导则》（HJ169-2018）附录 B 和《企业突发环境事件风险分级方法》（HJ 941-2018）附录 A，项目生产过程涉及的危险物质主要有助焊剂、酒精、清洗剂、胶黏剂，根据其最大储存量及临界量计算 Q 值。</w:t>
            </w:r>
          </w:p>
          <w:p w14:paraId="1F37D1BB">
            <w:pPr>
              <w:widowControl/>
              <w:jc w:val="center"/>
            </w:pPr>
            <w:r>
              <w:rPr>
                <w:rFonts w:ascii="瀹嬩綋" w:hAnsi="瀹嬩綋" w:eastAsia="瀹嬩綋" w:cs="瀹嬩綋"/>
                <w:b/>
                <w:bCs/>
                <w:color w:val="000000"/>
                <w:kern w:val="0"/>
                <w:szCs w:val="21"/>
                <w:lang w:bidi="ar"/>
              </w:rPr>
              <w:t>表</w:t>
            </w:r>
            <w:r>
              <w:rPr>
                <w:rFonts w:hint="eastAsia"/>
                <w:b/>
                <w:bCs/>
                <w:color w:val="000000"/>
                <w:kern w:val="0"/>
                <w:szCs w:val="21"/>
                <w:lang w:bidi="ar"/>
              </w:rPr>
              <w:t>4-17</w:t>
            </w:r>
            <w:r>
              <w:rPr>
                <w:rFonts w:ascii="瀹嬩綋" w:hAnsi="瀹嬩綋" w:eastAsia="瀹嬩綋" w:cs="瀹嬩綋"/>
                <w:b/>
                <w:bCs/>
                <w:color w:val="000000"/>
                <w:kern w:val="0"/>
                <w:szCs w:val="21"/>
                <w:lang w:bidi="ar"/>
              </w:rPr>
              <w:t xml:space="preserve"> 项目 </w:t>
            </w:r>
            <w:r>
              <w:rPr>
                <w:b/>
                <w:bCs/>
                <w:color w:val="000000"/>
                <w:kern w:val="0"/>
                <w:szCs w:val="21"/>
                <w:lang w:bidi="ar"/>
              </w:rPr>
              <w:t xml:space="preserve">Q </w:t>
            </w:r>
            <w:r>
              <w:rPr>
                <w:rFonts w:ascii="瀹嬩綋" w:hAnsi="瀹嬩綋" w:eastAsia="瀹嬩綋" w:cs="瀹嬩綋"/>
                <w:b/>
                <w:bCs/>
                <w:color w:val="000000"/>
                <w:kern w:val="0"/>
                <w:szCs w:val="21"/>
                <w:lang w:bidi="ar"/>
              </w:rPr>
              <w:t>值计算</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1809"/>
              <w:gridCol w:w="1809"/>
              <w:gridCol w:w="1809"/>
              <w:gridCol w:w="1809"/>
            </w:tblGrid>
            <w:tr w14:paraId="0C93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B75B40C">
                  <w:pPr>
                    <w:widowControl/>
                    <w:jc w:val="center"/>
                    <w:rPr>
                      <w:kern w:val="0"/>
                      <w:sz w:val="24"/>
                    </w:rPr>
                  </w:pPr>
                  <w:r>
                    <w:rPr>
                      <w:rFonts w:ascii="瀹嬩綋" w:hAnsi="瀹嬩綋" w:eastAsia="瀹嬩綋" w:cs="瀹嬩綋"/>
                      <w:b/>
                      <w:bCs/>
                      <w:color w:val="000000"/>
                      <w:kern w:val="0"/>
                      <w:szCs w:val="21"/>
                      <w:lang w:bidi="ar"/>
                    </w:rPr>
                    <w:t>序号</w:t>
                  </w:r>
                </w:p>
              </w:tc>
              <w:tc>
                <w:tcPr>
                  <w:tcW w:w="1000" w:type="pct"/>
                  <w:vAlign w:val="center"/>
                </w:tcPr>
                <w:p w14:paraId="2D890448">
                  <w:pPr>
                    <w:widowControl/>
                    <w:jc w:val="center"/>
                    <w:rPr>
                      <w:kern w:val="0"/>
                      <w:sz w:val="24"/>
                    </w:rPr>
                  </w:pPr>
                  <w:r>
                    <w:rPr>
                      <w:rFonts w:ascii="瀹嬩綋" w:hAnsi="瀹嬩綋" w:eastAsia="瀹嬩綋" w:cs="瀹嬩綋"/>
                      <w:b/>
                      <w:bCs/>
                      <w:color w:val="000000"/>
                      <w:kern w:val="0"/>
                      <w:szCs w:val="21"/>
                      <w:lang w:bidi="ar"/>
                    </w:rPr>
                    <w:t>风险物质名称</w:t>
                  </w:r>
                </w:p>
              </w:tc>
              <w:tc>
                <w:tcPr>
                  <w:tcW w:w="1000" w:type="pct"/>
                  <w:vAlign w:val="center"/>
                </w:tcPr>
                <w:p w14:paraId="7C76026A">
                  <w:pPr>
                    <w:widowControl/>
                    <w:jc w:val="center"/>
                    <w:rPr>
                      <w:kern w:val="0"/>
                      <w:sz w:val="24"/>
                    </w:rPr>
                  </w:pPr>
                  <w:r>
                    <w:rPr>
                      <w:rFonts w:ascii="瀹嬩綋" w:hAnsi="瀹嬩綋" w:eastAsia="瀹嬩綋" w:cs="瀹嬩綋"/>
                      <w:b/>
                      <w:bCs/>
                      <w:color w:val="000000"/>
                      <w:kern w:val="0"/>
                      <w:szCs w:val="21"/>
                      <w:lang w:bidi="ar"/>
                    </w:rPr>
                    <w:t>最大储存量（</w:t>
                  </w:r>
                  <w:r>
                    <w:rPr>
                      <w:b/>
                      <w:bCs/>
                      <w:color w:val="000000"/>
                      <w:kern w:val="0"/>
                      <w:szCs w:val="21"/>
                      <w:lang w:bidi="ar"/>
                    </w:rPr>
                    <w:t>t</w:t>
                  </w:r>
                  <w:r>
                    <w:rPr>
                      <w:rFonts w:ascii="瀹嬩綋" w:hAnsi="瀹嬩綋" w:eastAsia="瀹嬩綋" w:cs="瀹嬩綋"/>
                      <w:b/>
                      <w:bCs/>
                      <w:color w:val="000000"/>
                      <w:kern w:val="0"/>
                      <w:szCs w:val="21"/>
                      <w:lang w:bidi="ar"/>
                    </w:rPr>
                    <w:t>）</w:t>
                  </w:r>
                </w:p>
              </w:tc>
              <w:tc>
                <w:tcPr>
                  <w:tcW w:w="1000" w:type="pct"/>
                  <w:vAlign w:val="center"/>
                </w:tcPr>
                <w:p w14:paraId="5647888E">
                  <w:pPr>
                    <w:widowControl/>
                    <w:jc w:val="center"/>
                    <w:rPr>
                      <w:kern w:val="0"/>
                      <w:sz w:val="24"/>
                    </w:rPr>
                  </w:pPr>
                  <w:r>
                    <w:rPr>
                      <w:rFonts w:ascii="瀹嬩綋" w:hAnsi="瀹嬩綋" w:eastAsia="瀹嬩綋" w:cs="瀹嬩綋"/>
                      <w:b/>
                      <w:bCs/>
                      <w:color w:val="000000"/>
                      <w:kern w:val="0"/>
                      <w:szCs w:val="21"/>
                      <w:lang w:bidi="ar"/>
                    </w:rPr>
                    <w:t>临界量（</w:t>
                  </w:r>
                  <w:r>
                    <w:rPr>
                      <w:b/>
                      <w:bCs/>
                      <w:color w:val="000000"/>
                      <w:kern w:val="0"/>
                      <w:szCs w:val="21"/>
                      <w:lang w:bidi="ar"/>
                    </w:rPr>
                    <w:t>t</w:t>
                  </w:r>
                  <w:r>
                    <w:rPr>
                      <w:rFonts w:ascii="瀹嬩綋" w:hAnsi="瀹嬩綋" w:eastAsia="瀹嬩綋" w:cs="瀹嬩綋"/>
                      <w:b/>
                      <w:bCs/>
                      <w:color w:val="000000"/>
                      <w:kern w:val="0"/>
                      <w:szCs w:val="21"/>
                      <w:lang w:bidi="ar"/>
                    </w:rPr>
                    <w:t>）</w:t>
                  </w:r>
                </w:p>
              </w:tc>
              <w:tc>
                <w:tcPr>
                  <w:tcW w:w="1000" w:type="pct"/>
                  <w:vAlign w:val="center"/>
                </w:tcPr>
                <w:p w14:paraId="114E86BB">
                  <w:pPr>
                    <w:widowControl/>
                    <w:jc w:val="center"/>
                    <w:rPr>
                      <w:kern w:val="0"/>
                      <w:sz w:val="24"/>
                    </w:rPr>
                  </w:pPr>
                  <w:r>
                    <w:rPr>
                      <w:b/>
                      <w:bCs/>
                      <w:color w:val="000000"/>
                      <w:kern w:val="0"/>
                      <w:szCs w:val="21"/>
                      <w:lang w:bidi="ar"/>
                    </w:rPr>
                    <w:t xml:space="preserve">Q </w:t>
                  </w:r>
                  <w:r>
                    <w:rPr>
                      <w:rFonts w:ascii="瀹嬩綋" w:hAnsi="瀹嬩綋" w:eastAsia="瀹嬩綋" w:cs="瀹嬩綋"/>
                      <w:b/>
                      <w:bCs/>
                      <w:color w:val="000000"/>
                      <w:kern w:val="0"/>
                      <w:szCs w:val="21"/>
                      <w:lang w:bidi="ar"/>
                    </w:rPr>
                    <w:t>值</w:t>
                  </w:r>
                </w:p>
              </w:tc>
            </w:tr>
            <w:tr w14:paraId="0D5C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0F600865">
                  <w:pPr>
                    <w:spacing w:line="500" w:lineRule="exact"/>
                    <w:jc w:val="center"/>
                    <w:rPr>
                      <w:kern w:val="0"/>
                      <w:sz w:val="24"/>
                    </w:rPr>
                  </w:pPr>
                  <w:r>
                    <w:rPr>
                      <w:rFonts w:hint="eastAsia"/>
                      <w:kern w:val="0"/>
                      <w:sz w:val="24"/>
                    </w:rPr>
                    <w:t>1</w:t>
                  </w:r>
                </w:p>
              </w:tc>
              <w:tc>
                <w:tcPr>
                  <w:tcW w:w="1000" w:type="pct"/>
                  <w:vAlign w:val="center"/>
                </w:tcPr>
                <w:p w14:paraId="722ECB6D">
                  <w:pPr>
                    <w:widowControl/>
                    <w:jc w:val="center"/>
                    <w:rPr>
                      <w:kern w:val="0"/>
                      <w:sz w:val="24"/>
                    </w:rPr>
                  </w:pPr>
                  <w:r>
                    <w:t>0.05</w:t>
                  </w:r>
                </w:p>
              </w:tc>
              <w:tc>
                <w:tcPr>
                  <w:tcW w:w="1000" w:type="pct"/>
                  <w:vAlign w:val="center"/>
                </w:tcPr>
                <w:p w14:paraId="083F1268">
                  <w:pPr>
                    <w:widowControl/>
                    <w:jc w:val="center"/>
                    <w:rPr>
                      <w:kern w:val="0"/>
                      <w:sz w:val="24"/>
                    </w:rPr>
                  </w:pPr>
                  <w:r>
                    <w:t>0.05</w:t>
                  </w:r>
                </w:p>
              </w:tc>
              <w:tc>
                <w:tcPr>
                  <w:tcW w:w="1000" w:type="pct"/>
                  <w:vAlign w:val="center"/>
                </w:tcPr>
                <w:p w14:paraId="76B1D25B">
                  <w:pPr>
                    <w:widowControl/>
                    <w:jc w:val="center"/>
                    <w:rPr>
                      <w:kern w:val="0"/>
                      <w:sz w:val="24"/>
                    </w:rPr>
                  </w:pPr>
                  <w:r>
                    <w:t>0.05</w:t>
                  </w:r>
                </w:p>
              </w:tc>
              <w:tc>
                <w:tcPr>
                  <w:tcW w:w="1000" w:type="pct"/>
                  <w:vAlign w:val="center"/>
                </w:tcPr>
                <w:p w14:paraId="1EDFDE34">
                  <w:pPr>
                    <w:widowControl/>
                    <w:jc w:val="center"/>
                    <w:rPr>
                      <w:kern w:val="0"/>
                      <w:sz w:val="24"/>
                    </w:rPr>
                  </w:pPr>
                  <w:r>
                    <w:t>0.05</w:t>
                  </w:r>
                </w:p>
              </w:tc>
            </w:tr>
            <w:tr w14:paraId="5FE1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489E933">
                  <w:pPr>
                    <w:spacing w:line="500" w:lineRule="exact"/>
                    <w:jc w:val="center"/>
                    <w:rPr>
                      <w:kern w:val="0"/>
                      <w:sz w:val="24"/>
                    </w:rPr>
                  </w:pPr>
                  <w:r>
                    <w:rPr>
                      <w:rFonts w:hint="eastAsia"/>
                      <w:kern w:val="0"/>
                      <w:sz w:val="24"/>
                    </w:rPr>
                    <w:t>2</w:t>
                  </w:r>
                </w:p>
              </w:tc>
              <w:tc>
                <w:tcPr>
                  <w:tcW w:w="1000" w:type="pct"/>
                  <w:vAlign w:val="center"/>
                </w:tcPr>
                <w:p w14:paraId="59C410EF">
                  <w:pPr>
                    <w:widowControl/>
                    <w:jc w:val="center"/>
                    <w:rPr>
                      <w:kern w:val="0"/>
                      <w:sz w:val="24"/>
                    </w:rPr>
                  </w:pPr>
                  <w:r>
                    <w:t>0.0001</w:t>
                  </w:r>
                </w:p>
              </w:tc>
              <w:tc>
                <w:tcPr>
                  <w:tcW w:w="1000" w:type="pct"/>
                  <w:vAlign w:val="center"/>
                </w:tcPr>
                <w:p w14:paraId="51CA7EA2">
                  <w:pPr>
                    <w:widowControl/>
                    <w:jc w:val="center"/>
                    <w:rPr>
                      <w:kern w:val="0"/>
                      <w:sz w:val="24"/>
                    </w:rPr>
                  </w:pPr>
                  <w:r>
                    <w:t>0.0001</w:t>
                  </w:r>
                </w:p>
              </w:tc>
              <w:tc>
                <w:tcPr>
                  <w:tcW w:w="1000" w:type="pct"/>
                  <w:vAlign w:val="center"/>
                </w:tcPr>
                <w:p w14:paraId="6068F693">
                  <w:pPr>
                    <w:widowControl/>
                    <w:jc w:val="center"/>
                    <w:rPr>
                      <w:kern w:val="0"/>
                      <w:sz w:val="24"/>
                    </w:rPr>
                  </w:pPr>
                  <w:r>
                    <w:t>0.0001</w:t>
                  </w:r>
                </w:p>
              </w:tc>
              <w:tc>
                <w:tcPr>
                  <w:tcW w:w="1000" w:type="pct"/>
                  <w:vAlign w:val="center"/>
                </w:tcPr>
                <w:p w14:paraId="35C84A8E">
                  <w:pPr>
                    <w:widowControl/>
                    <w:jc w:val="center"/>
                    <w:rPr>
                      <w:kern w:val="0"/>
                      <w:sz w:val="24"/>
                    </w:rPr>
                  </w:pPr>
                  <w:r>
                    <w:t>0.0001</w:t>
                  </w:r>
                </w:p>
              </w:tc>
            </w:tr>
            <w:tr w14:paraId="6220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5789700B">
                  <w:pPr>
                    <w:spacing w:line="500" w:lineRule="exact"/>
                    <w:jc w:val="center"/>
                    <w:rPr>
                      <w:kern w:val="0"/>
                      <w:sz w:val="24"/>
                    </w:rPr>
                  </w:pPr>
                  <w:r>
                    <w:rPr>
                      <w:rFonts w:hint="eastAsia"/>
                      <w:kern w:val="0"/>
                      <w:sz w:val="24"/>
                    </w:rPr>
                    <w:t>3</w:t>
                  </w:r>
                </w:p>
              </w:tc>
              <w:tc>
                <w:tcPr>
                  <w:tcW w:w="1000" w:type="pct"/>
                  <w:vAlign w:val="center"/>
                </w:tcPr>
                <w:p w14:paraId="4E9C366E">
                  <w:pPr>
                    <w:widowControl/>
                    <w:jc w:val="center"/>
                    <w:rPr>
                      <w:kern w:val="0"/>
                      <w:sz w:val="24"/>
                    </w:rPr>
                  </w:pPr>
                  <w:r>
                    <w:t>0.00002</w:t>
                  </w:r>
                </w:p>
              </w:tc>
              <w:tc>
                <w:tcPr>
                  <w:tcW w:w="1000" w:type="pct"/>
                  <w:vAlign w:val="center"/>
                </w:tcPr>
                <w:p w14:paraId="59E0EB08">
                  <w:pPr>
                    <w:widowControl/>
                    <w:jc w:val="center"/>
                    <w:rPr>
                      <w:kern w:val="0"/>
                      <w:sz w:val="24"/>
                    </w:rPr>
                  </w:pPr>
                  <w:r>
                    <w:t>0.00002</w:t>
                  </w:r>
                </w:p>
              </w:tc>
              <w:tc>
                <w:tcPr>
                  <w:tcW w:w="1000" w:type="pct"/>
                  <w:vAlign w:val="center"/>
                </w:tcPr>
                <w:p w14:paraId="24A58047">
                  <w:pPr>
                    <w:widowControl/>
                    <w:jc w:val="center"/>
                    <w:rPr>
                      <w:kern w:val="0"/>
                      <w:sz w:val="24"/>
                    </w:rPr>
                  </w:pPr>
                  <w:r>
                    <w:t>0.00002</w:t>
                  </w:r>
                </w:p>
              </w:tc>
              <w:tc>
                <w:tcPr>
                  <w:tcW w:w="1000" w:type="pct"/>
                  <w:vAlign w:val="center"/>
                </w:tcPr>
                <w:p w14:paraId="7C36EC9F">
                  <w:pPr>
                    <w:widowControl/>
                    <w:jc w:val="center"/>
                    <w:rPr>
                      <w:kern w:val="0"/>
                      <w:sz w:val="24"/>
                    </w:rPr>
                  </w:pPr>
                  <w:r>
                    <w:t>0.00002</w:t>
                  </w:r>
                </w:p>
              </w:tc>
            </w:tr>
            <w:tr w14:paraId="11BF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4C7881A">
                  <w:pPr>
                    <w:spacing w:line="500" w:lineRule="exact"/>
                    <w:jc w:val="center"/>
                    <w:rPr>
                      <w:kern w:val="0"/>
                      <w:sz w:val="24"/>
                    </w:rPr>
                  </w:pPr>
                  <w:r>
                    <w:rPr>
                      <w:rFonts w:hint="eastAsia"/>
                      <w:kern w:val="0"/>
                      <w:sz w:val="24"/>
                    </w:rPr>
                    <w:t>4</w:t>
                  </w:r>
                </w:p>
              </w:tc>
              <w:tc>
                <w:tcPr>
                  <w:tcW w:w="1000" w:type="pct"/>
                  <w:vAlign w:val="center"/>
                </w:tcPr>
                <w:p w14:paraId="55BD3140">
                  <w:pPr>
                    <w:widowControl/>
                    <w:jc w:val="center"/>
                    <w:rPr>
                      <w:rFonts w:ascii="宋体" w:hAnsi="宋体" w:cs="宋体"/>
                      <w:color w:val="000000"/>
                      <w:kern w:val="0"/>
                      <w:szCs w:val="21"/>
                      <w:lang w:bidi="ar"/>
                    </w:rPr>
                  </w:pPr>
                  <w:r>
                    <w:t>0.000002</w:t>
                  </w:r>
                </w:p>
              </w:tc>
              <w:tc>
                <w:tcPr>
                  <w:tcW w:w="1000" w:type="pct"/>
                  <w:vAlign w:val="center"/>
                </w:tcPr>
                <w:p w14:paraId="56173BFD">
                  <w:pPr>
                    <w:widowControl/>
                    <w:jc w:val="center"/>
                    <w:rPr>
                      <w:color w:val="000000"/>
                      <w:kern w:val="0"/>
                      <w:szCs w:val="21"/>
                      <w:lang w:bidi="ar"/>
                    </w:rPr>
                  </w:pPr>
                  <w:r>
                    <w:t>0.000002</w:t>
                  </w:r>
                </w:p>
              </w:tc>
              <w:tc>
                <w:tcPr>
                  <w:tcW w:w="1000" w:type="pct"/>
                  <w:vAlign w:val="center"/>
                </w:tcPr>
                <w:p w14:paraId="54654DA6">
                  <w:pPr>
                    <w:widowControl/>
                    <w:jc w:val="center"/>
                    <w:rPr>
                      <w:color w:val="000000"/>
                      <w:kern w:val="0"/>
                      <w:szCs w:val="21"/>
                      <w:lang w:bidi="ar"/>
                    </w:rPr>
                  </w:pPr>
                  <w:r>
                    <w:t>0.000002</w:t>
                  </w:r>
                </w:p>
              </w:tc>
              <w:tc>
                <w:tcPr>
                  <w:tcW w:w="1000" w:type="pct"/>
                  <w:vAlign w:val="center"/>
                </w:tcPr>
                <w:p w14:paraId="4D60B2FE">
                  <w:pPr>
                    <w:widowControl/>
                    <w:jc w:val="center"/>
                  </w:pPr>
                  <w:r>
                    <w:t>0.000002</w:t>
                  </w:r>
                </w:p>
              </w:tc>
            </w:tr>
            <w:tr w14:paraId="0D01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0" w:type="pct"/>
                  <w:gridSpan w:val="4"/>
                  <w:vAlign w:val="center"/>
                </w:tcPr>
                <w:p w14:paraId="103AAD73">
                  <w:pPr>
                    <w:widowControl/>
                    <w:jc w:val="center"/>
                    <w:rPr>
                      <w:kern w:val="0"/>
                      <w:sz w:val="24"/>
                    </w:rPr>
                  </w:pPr>
                  <w:r>
                    <w:rPr>
                      <w:rFonts w:hint="eastAsia"/>
                      <w:kern w:val="0"/>
                      <w:sz w:val="24"/>
                    </w:rPr>
                    <w:t>合计</w:t>
                  </w:r>
                </w:p>
              </w:tc>
              <w:tc>
                <w:tcPr>
                  <w:tcW w:w="1000" w:type="pct"/>
                  <w:vAlign w:val="center"/>
                </w:tcPr>
                <w:p w14:paraId="361CE16E">
                  <w:pPr>
                    <w:widowControl/>
                    <w:jc w:val="center"/>
                    <w:rPr>
                      <w:kern w:val="0"/>
                      <w:sz w:val="24"/>
                    </w:rPr>
                  </w:pPr>
                  <w:r>
                    <w:t>0.050122</w:t>
                  </w:r>
                </w:p>
              </w:tc>
            </w:tr>
          </w:tbl>
          <w:p w14:paraId="7C2FC02B">
            <w:pPr>
              <w:spacing w:line="500" w:lineRule="exact"/>
              <w:ind w:firstLine="360" w:firstLineChars="200"/>
              <w:rPr>
                <w:kern w:val="0"/>
                <w:sz w:val="18"/>
                <w:szCs w:val="18"/>
              </w:rPr>
            </w:pPr>
            <w:r>
              <w:rPr>
                <w:kern w:val="0"/>
                <w:sz w:val="18"/>
                <w:szCs w:val="18"/>
              </w:rPr>
              <w:t>由上表可知，项目危险物质数量与临界量比值 Q 小于 1，项目环境风险潜势等级为Ⅰ级，因此，项目环境风险评价工作等级为简单分析。</w:t>
            </w:r>
          </w:p>
          <w:p w14:paraId="4EEC3100">
            <w:pPr>
              <w:spacing w:line="500" w:lineRule="exact"/>
              <w:ind w:firstLine="480" w:firstLineChars="200"/>
              <w:rPr>
                <w:kern w:val="0"/>
                <w:sz w:val="24"/>
              </w:rPr>
            </w:pPr>
            <w:r>
              <w:rPr>
                <w:kern w:val="0"/>
                <w:sz w:val="24"/>
              </w:rPr>
              <w:t xml:space="preserve">（2）环境风险识别 </w:t>
            </w:r>
          </w:p>
          <w:p w14:paraId="56209EBF">
            <w:pPr>
              <w:spacing w:line="500" w:lineRule="exact"/>
              <w:ind w:firstLine="480" w:firstLineChars="200"/>
              <w:rPr>
                <w:kern w:val="0"/>
                <w:sz w:val="24"/>
              </w:rPr>
            </w:pPr>
            <w:r>
              <w:rPr>
                <w:kern w:val="0"/>
                <w:sz w:val="24"/>
              </w:rPr>
              <w:t>项目主要的环境风险有：化学品和危险废物等在使用或储存过程中有可能发生泄 漏危害环境，原辅材料和设备等引发火灾甚至爆炸事故引发的伴生/次生污染，废气处理设施事故导致废气事故排放对大气环境的影响。</w:t>
            </w:r>
          </w:p>
          <w:p w14:paraId="3C76E5BF">
            <w:pPr>
              <w:spacing w:line="500" w:lineRule="exact"/>
              <w:ind w:firstLine="480" w:firstLineChars="200"/>
            </w:pPr>
            <w:r>
              <w:rPr>
                <w:kern w:val="0"/>
                <w:sz w:val="24"/>
              </w:rPr>
              <w:t>①化学品和危险废物发生泄漏时，可能发生向下渗漏到地下水，污染土壤与地下</w:t>
            </w:r>
            <w:r>
              <w:rPr>
                <w:rFonts w:ascii="瀹嬩綋" w:hAnsi="瀹嬩綋" w:eastAsia="瀹嬩綋" w:cs="瀹嬩綋"/>
                <w:color w:val="000000"/>
                <w:kern w:val="0"/>
                <w:szCs w:val="21"/>
                <w:lang w:bidi="ar"/>
              </w:rPr>
              <w:t>水；</w:t>
            </w:r>
          </w:p>
          <w:p w14:paraId="38589A7E">
            <w:pPr>
              <w:spacing w:line="500" w:lineRule="exact"/>
              <w:ind w:firstLine="480" w:firstLineChars="200"/>
              <w:rPr>
                <w:kern w:val="0"/>
                <w:sz w:val="24"/>
              </w:rPr>
            </w:pPr>
            <w:r>
              <w:rPr>
                <w:kern w:val="0"/>
                <w:sz w:val="24"/>
              </w:rPr>
              <w:t xml:space="preserve">②当发生火灾事故时，由于火灾产生的颗粒物会飞扬，气体排放随风向外扩散，在不利风向时，周围是企业及员工及村庄等均会受到不同程度的影响，另外，在火灾、爆炸的灭火过程中，消防喷水、泡沫喷淋等均会产生废水，以上消防废液含有大量的石油类，若直接通过市政雨水或污水管网进入纳污水体或市政污水处理厂，含高浓度的消防排水势必对水体造成不利的影响，进入污水厂则可能因冲击负荷过大，造成污水厂处理设施的停运，导致严重污染环境的后果。 </w:t>
            </w:r>
          </w:p>
          <w:p w14:paraId="3A2B9FE7">
            <w:pPr>
              <w:spacing w:line="500" w:lineRule="exact"/>
              <w:ind w:firstLine="480" w:firstLineChars="200"/>
              <w:rPr>
                <w:kern w:val="0"/>
                <w:sz w:val="24"/>
              </w:rPr>
            </w:pPr>
            <w:r>
              <w:rPr>
                <w:kern w:val="0"/>
                <w:sz w:val="24"/>
              </w:rPr>
              <w:t xml:space="preserve">③废气处理装置出现故障时，此时若未经过处理的工艺废气直接排入大气，各种污染物的去除率为 0，将造成周围大气环境污染。 </w:t>
            </w:r>
          </w:p>
          <w:p w14:paraId="36A22960">
            <w:pPr>
              <w:spacing w:line="500" w:lineRule="exact"/>
              <w:ind w:firstLine="480" w:firstLineChars="200"/>
              <w:rPr>
                <w:kern w:val="0"/>
                <w:sz w:val="24"/>
              </w:rPr>
            </w:pPr>
            <w:r>
              <w:rPr>
                <w:kern w:val="0"/>
                <w:sz w:val="24"/>
              </w:rPr>
              <w:t xml:space="preserve">（3）风险防范措施和应急要求 </w:t>
            </w:r>
          </w:p>
          <w:p w14:paraId="061A1428">
            <w:pPr>
              <w:spacing w:line="500" w:lineRule="exact"/>
              <w:ind w:firstLine="482" w:firstLineChars="200"/>
              <w:rPr>
                <w:kern w:val="0"/>
                <w:sz w:val="24"/>
              </w:rPr>
            </w:pPr>
            <w:r>
              <w:rPr>
                <w:b/>
                <w:bCs/>
                <w:kern w:val="0"/>
                <w:sz w:val="24"/>
              </w:rPr>
              <w:t xml:space="preserve">1）火灾风险防范措施 </w:t>
            </w:r>
          </w:p>
          <w:p w14:paraId="3183F290">
            <w:pPr>
              <w:spacing w:line="500" w:lineRule="exact"/>
              <w:ind w:firstLine="480" w:firstLineChars="200"/>
              <w:rPr>
                <w:kern w:val="0"/>
                <w:sz w:val="24"/>
              </w:rPr>
            </w:pPr>
            <w:r>
              <w:rPr>
                <w:kern w:val="0"/>
                <w:sz w:val="24"/>
              </w:rPr>
              <w:t xml:space="preserve">①加强对可燃物质的安全管理，保证安全生产，保护环境，原辅料的的贮存过程中必须按照国家《仓库防火安全管理规则》等规定做到安全贮存。 </w:t>
            </w:r>
          </w:p>
          <w:p w14:paraId="2DFD4259">
            <w:pPr>
              <w:spacing w:line="500" w:lineRule="exact"/>
              <w:ind w:firstLine="480" w:firstLineChars="200"/>
              <w:rPr>
                <w:kern w:val="0"/>
                <w:sz w:val="24"/>
              </w:rPr>
            </w:pPr>
            <w:r>
              <w:rPr>
                <w:kern w:val="0"/>
                <w:sz w:val="24"/>
              </w:rPr>
              <w:t xml:space="preserve">②要求厂方加强对原辅料的安全管理工作，做到专人管理、专人负责，原辅料的储存场所必须保持干燥，室温应在 35℃以下，并有相应的防火安全措施。储存应远离热源和避免阳光直射，禁止一切烟火，设置防火标示牌。 </w:t>
            </w:r>
          </w:p>
          <w:p w14:paraId="67E72779">
            <w:pPr>
              <w:spacing w:line="500" w:lineRule="exact"/>
              <w:ind w:firstLine="480" w:firstLineChars="200"/>
              <w:rPr>
                <w:kern w:val="0"/>
                <w:sz w:val="24"/>
              </w:rPr>
            </w:pPr>
            <w:r>
              <w:rPr>
                <w:kern w:val="0"/>
                <w:sz w:val="24"/>
              </w:rPr>
              <w:t xml:space="preserve">③采用防爆型照明、通风设施，禁止使用易产生火花的机械设备和工具。储区应备有合适的材料收容泄漏物。 </w:t>
            </w:r>
          </w:p>
          <w:p w14:paraId="29E23050">
            <w:pPr>
              <w:spacing w:line="500" w:lineRule="exact"/>
              <w:ind w:firstLine="480" w:firstLineChars="200"/>
              <w:rPr>
                <w:kern w:val="0"/>
                <w:sz w:val="24"/>
              </w:rPr>
            </w:pPr>
            <w:r>
              <w:rPr>
                <w:kern w:val="0"/>
                <w:sz w:val="24"/>
              </w:rPr>
              <w:t xml:space="preserve">④加强设备维护保养，防止因摩擦引起杂质等燃烧。 </w:t>
            </w:r>
          </w:p>
          <w:p w14:paraId="6564415B">
            <w:pPr>
              <w:spacing w:line="500" w:lineRule="exact"/>
              <w:ind w:firstLine="480" w:firstLineChars="200"/>
              <w:rPr>
                <w:kern w:val="0"/>
                <w:sz w:val="24"/>
              </w:rPr>
            </w:pPr>
            <w:r>
              <w:rPr>
                <w:kern w:val="0"/>
                <w:sz w:val="24"/>
              </w:rPr>
              <w:t>⑤在雨水管网、污水管网的厂区出口处设置闸门，发生事故时可及时关闭闸门，防止消防废水流出厂区，将其可能产生的环境影响控制在厂区之内，从传播途径控制污染物，减少火灾水污染物扩散范围。</w:t>
            </w:r>
          </w:p>
          <w:p w14:paraId="522C2729">
            <w:pPr>
              <w:spacing w:line="500" w:lineRule="exact"/>
              <w:ind w:firstLine="480" w:firstLineChars="200"/>
              <w:rPr>
                <w:kern w:val="0"/>
                <w:sz w:val="24"/>
              </w:rPr>
            </w:pPr>
            <w:r>
              <w:rPr>
                <w:kern w:val="0"/>
                <w:sz w:val="24"/>
              </w:rPr>
              <w:t>⑥在事故容易发生位置四周准备好装满沙土的袋子（用于做围堰拦截消防废水），并在厂内采取导流方式将消防废水统一收集，集中处理，消除安全隐患后交由有资质单位处理，从末端处理污染物，减少火灾水污染物排放。</w:t>
            </w:r>
          </w:p>
          <w:p w14:paraId="02E72757">
            <w:pPr>
              <w:spacing w:line="500" w:lineRule="exact"/>
              <w:ind w:firstLine="482" w:firstLineChars="200"/>
              <w:rPr>
                <w:kern w:val="0"/>
                <w:sz w:val="24"/>
              </w:rPr>
            </w:pPr>
            <w:r>
              <w:rPr>
                <w:b/>
                <w:bCs/>
                <w:kern w:val="0"/>
                <w:sz w:val="24"/>
              </w:rPr>
              <w:t>2）化学品、危险废物贮存间风险防范措施</w:t>
            </w:r>
            <w:r>
              <w:rPr>
                <w:kern w:val="0"/>
                <w:sz w:val="24"/>
              </w:rPr>
              <w:t xml:space="preserve"> </w:t>
            </w:r>
          </w:p>
          <w:p w14:paraId="78DCE71B">
            <w:pPr>
              <w:spacing w:line="500" w:lineRule="exact"/>
              <w:ind w:firstLine="480" w:firstLineChars="200"/>
              <w:rPr>
                <w:kern w:val="0"/>
                <w:sz w:val="24"/>
              </w:rPr>
            </w:pPr>
            <w:r>
              <w:rPr>
                <w:kern w:val="0"/>
                <w:sz w:val="24"/>
              </w:rPr>
              <w:t>企业化学品存放间应做好防风、防雨、防晒、防渗透的要求，专人管理，定期巡查。企业应严格按照《危险废物贮存污染控制标准》（GB18597-2023）对危险废物贮存间进行设计和建设，危险废物必须使用符合标准的容器盛装，盛装危险废物的容器上必须粘贴标签，标签内容应包括废物类别、行业来源、废物代码、危险废物和危险特性以及符合防风、防雨、防晒、防渗透的要求。同时按相关法律法规将危险废物交由具有相应类型危险废物处理资质单位处理。危险废物实行分类收集后置于贮存设施内，贮存时限一般不得超过一年，并设专人管理。企业还需健全产生单位内部管理制度，包括落实危险废物产生信息公开制度，建立员工培训和固体废物管理员制度，建立和完善突发危险废物环境应急预案，并报当地环保部门备案。</w:t>
            </w:r>
          </w:p>
          <w:p w14:paraId="4D9AE0FC">
            <w:pPr>
              <w:spacing w:line="500" w:lineRule="exact"/>
              <w:ind w:firstLine="482" w:firstLineChars="200"/>
              <w:rPr>
                <w:kern w:val="0"/>
                <w:sz w:val="24"/>
              </w:rPr>
            </w:pPr>
            <w:r>
              <w:rPr>
                <w:b/>
                <w:bCs/>
                <w:kern w:val="0"/>
                <w:sz w:val="24"/>
              </w:rPr>
              <w:t>3）废气处理设施故障风险防范措施</w:t>
            </w:r>
          </w:p>
          <w:p w14:paraId="49B5FCC9">
            <w:pPr>
              <w:spacing w:line="500" w:lineRule="exact"/>
              <w:ind w:firstLine="480" w:firstLineChars="200"/>
              <w:rPr>
                <w:kern w:val="0"/>
                <w:sz w:val="24"/>
              </w:rPr>
            </w:pPr>
            <w:r>
              <w:rPr>
                <w:kern w:val="0"/>
                <w:sz w:val="24"/>
              </w:rPr>
              <w:t xml:space="preserve">企业应设专职的环保人员，并编制《废气处理设施运行巡查制度》，加强对废气处理系统等的日常管理，及时保养与维修。发现废气处理装置异常，应立即停产进行检修，及时更换破损的废气处理装置。 </w:t>
            </w:r>
          </w:p>
          <w:p w14:paraId="65AF91AB">
            <w:pPr>
              <w:spacing w:line="500" w:lineRule="exact"/>
              <w:ind w:firstLine="480" w:firstLineChars="200"/>
              <w:rPr>
                <w:kern w:val="0"/>
                <w:sz w:val="24"/>
              </w:rPr>
            </w:pPr>
            <w:r>
              <w:rPr>
                <w:kern w:val="0"/>
                <w:sz w:val="24"/>
              </w:rPr>
              <w:t>综上，本项目环境风险等级较低，通过采取相应的风险防范措施，项目的环境风险可控。一旦发生事故，建设单位应立即执行事故应急预案，采取合理的事故应急处理措施，将事故影响降到最低限度。</w:t>
            </w:r>
          </w:p>
          <w:p w14:paraId="58DE3D00">
            <w:pPr>
              <w:spacing w:line="360" w:lineRule="auto"/>
              <w:ind w:firstLine="482" w:firstLineChars="200"/>
              <w:rPr>
                <w:b/>
                <w:bCs/>
                <w:sz w:val="24"/>
              </w:rPr>
            </w:pPr>
          </w:p>
          <w:p w14:paraId="7F8C4653">
            <w:pPr>
              <w:spacing w:line="360" w:lineRule="auto"/>
              <w:ind w:firstLine="482" w:firstLineChars="200"/>
              <w:rPr>
                <w:b/>
                <w:bCs/>
                <w:sz w:val="24"/>
              </w:rPr>
            </w:pPr>
            <w:r>
              <w:rPr>
                <w:rFonts w:hint="eastAsia"/>
                <w:b/>
                <w:bCs/>
                <w:sz w:val="24"/>
              </w:rPr>
              <w:t>4.2.8排污口规范化</w:t>
            </w:r>
          </w:p>
          <w:p w14:paraId="4372E878">
            <w:pPr>
              <w:pStyle w:val="52"/>
              <w:spacing w:line="360" w:lineRule="auto"/>
              <w:ind w:firstLine="480" w:firstLineChars="200"/>
              <w:rPr>
                <w:rFonts w:ascii="Times New Roman"/>
                <w:sz w:val="24"/>
                <w:szCs w:val="24"/>
              </w:rPr>
            </w:pPr>
            <w:r>
              <w:rPr>
                <w:rFonts w:ascii="Times New Roman"/>
                <w:sz w:val="24"/>
                <w:szCs w:val="24"/>
              </w:rPr>
              <w:t>根据《环境保护图形标志—排放口（源）》和《排污口规范化整治要求》（试行）的技术要求，项目得气排放口必须按照“便于采样、便于计量检测、便于日常监督检查”的原则来规范化要求，设置相应的环境保护图形标志</w:t>
            </w:r>
            <w:r>
              <w:rPr>
                <w:rFonts w:hint="eastAsia" w:ascii="Times New Roman"/>
                <w:sz w:val="24"/>
                <w:szCs w:val="24"/>
              </w:rPr>
              <w:t>。</w:t>
            </w:r>
          </w:p>
          <w:p w14:paraId="2A4D296C">
            <w:pPr>
              <w:pStyle w:val="52"/>
              <w:spacing w:line="360" w:lineRule="auto"/>
              <w:ind w:firstLine="480" w:firstLineChars="200"/>
              <w:rPr>
                <w:rFonts w:ascii="Times New Roman"/>
                <w:sz w:val="24"/>
                <w:szCs w:val="24"/>
              </w:rPr>
            </w:pPr>
            <w:r>
              <w:rPr>
                <w:rFonts w:hint="eastAsia" w:ascii="Times New Roman"/>
                <w:sz w:val="24"/>
                <w:szCs w:val="24"/>
              </w:rPr>
              <w:t>按照《排污口规范化整治技术要求（试行）》、《关于开展排放口规范化整治工作的通知》等文件中有关规定设置与管理废气、废水排放口。</w:t>
            </w:r>
          </w:p>
          <w:p w14:paraId="6D3AE84D">
            <w:pPr>
              <w:pStyle w:val="52"/>
              <w:spacing w:line="360" w:lineRule="auto"/>
              <w:ind w:firstLine="480" w:firstLineChars="200"/>
              <w:rPr>
                <w:rFonts w:ascii="Times New Roman"/>
                <w:sz w:val="24"/>
                <w:szCs w:val="24"/>
              </w:rPr>
            </w:pPr>
            <w:r>
              <w:rPr>
                <w:rFonts w:hint="eastAsia" w:ascii="Times New Roman"/>
                <w:sz w:val="24"/>
                <w:szCs w:val="24"/>
              </w:rPr>
              <w:t>（1）废气排气筒高度应符合国家大气污染物排放标准的有关规定，应安装采样监测平台，并设置永久采样孔。监测采样孔附近地面醒目处设置环保图形标志牌，标明排气筒高度、出口内经、排放污染物种类等。</w:t>
            </w:r>
          </w:p>
          <w:p w14:paraId="07EECA89">
            <w:pPr>
              <w:pStyle w:val="52"/>
              <w:spacing w:line="360" w:lineRule="auto"/>
              <w:ind w:firstLine="480" w:firstLineChars="200"/>
              <w:rPr>
                <w:rFonts w:ascii="Times New Roman"/>
                <w:sz w:val="24"/>
                <w:szCs w:val="24"/>
              </w:rPr>
            </w:pPr>
            <w:r>
              <w:rPr>
                <w:rFonts w:hint="eastAsia" w:ascii="Times New Roman"/>
                <w:sz w:val="24"/>
                <w:szCs w:val="24"/>
              </w:rPr>
              <w:t>（2）厂区的排水体制必须实施雨污分流制。</w:t>
            </w:r>
          </w:p>
          <w:p w14:paraId="6EDCA748">
            <w:pPr>
              <w:pStyle w:val="52"/>
              <w:spacing w:line="360" w:lineRule="auto"/>
              <w:ind w:firstLine="480" w:firstLineChars="200"/>
              <w:rPr>
                <w:rFonts w:ascii="Times New Roman"/>
                <w:sz w:val="24"/>
                <w:szCs w:val="24"/>
              </w:rPr>
            </w:pPr>
            <w:r>
              <w:rPr>
                <w:rFonts w:hint="eastAsia" w:ascii="Times New Roman"/>
                <w:sz w:val="24"/>
                <w:szCs w:val="24"/>
              </w:rPr>
              <w:t>（3）按规定对固定噪声进行治理，噪声设备附近醒目处设置环保图形标志牌。</w:t>
            </w:r>
          </w:p>
          <w:p w14:paraId="220A7A3B">
            <w:pPr>
              <w:pStyle w:val="52"/>
              <w:spacing w:line="360" w:lineRule="auto"/>
              <w:ind w:firstLine="480" w:firstLineChars="200"/>
              <w:rPr>
                <w:rFonts w:ascii="Times New Roman"/>
                <w:sz w:val="24"/>
                <w:szCs w:val="24"/>
              </w:rPr>
            </w:pPr>
            <w:r>
              <w:rPr>
                <w:rFonts w:hint="eastAsia" w:ascii="Times New Roman"/>
                <w:sz w:val="24"/>
                <w:szCs w:val="24"/>
              </w:rPr>
              <w:t xml:space="preserve">（4）固体废物暂存期间应按固废相关规定加强管理，存放场所严格按照 </w:t>
            </w:r>
            <w:r>
              <w:rPr>
                <w:sz w:val="24"/>
              </w:rPr>
              <w:t>《一般工业固体废物贮存和填埋污染控</w:t>
            </w:r>
            <w:r>
              <w:rPr>
                <w:rFonts w:ascii="Times New Roman"/>
                <w:sz w:val="24"/>
              </w:rPr>
              <w:t>制标准》（GB18599-2020）</w:t>
            </w:r>
            <w:r>
              <w:rPr>
                <w:rFonts w:hint="eastAsia" w:ascii="Times New Roman"/>
                <w:sz w:val="24"/>
                <w:szCs w:val="24"/>
              </w:rPr>
              <w:t>标准要求设计、施工及运行，存放场所边界和进出口位置设置环保标志牌。</w:t>
            </w:r>
          </w:p>
          <w:p w14:paraId="06FFF3B1">
            <w:pPr>
              <w:pStyle w:val="52"/>
              <w:spacing w:line="360" w:lineRule="auto"/>
              <w:ind w:firstLine="480" w:firstLineChars="200"/>
              <w:rPr>
                <w:rFonts w:ascii="Times New Roman"/>
                <w:sz w:val="24"/>
                <w:szCs w:val="24"/>
              </w:rPr>
            </w:pPr>
            <w:r>
              <w:rPr>
                <w:rFonts w:hint="eastAsia" w:ascii="Times New Roman"/>
                <w:sz w:val="24"/>
                <w:szCs w:val="24"/>
              </w:rPr>
              <w:t>（5）项目建设单位应对上述所有污染排放口的名称、位置、数量，以及排放污染物名称、数量等内容进行统计，以便进行验收和排放口的规范化管理。</w:t>
            </w:r>
          </w:p>
          <w:p w14:paraId="24348101">
            <w:pPr>
              <w:pStyle w:val="52"/>
              <w:spacing w:line="360" w:lineRule="auto"/>
              <w:ind w:firstLine="480" w:firstLineChars="200"/>
              <w:rPr>
                <w:rFonts w:ascii="Times New Roman"/>
                <w:sz w:val="24"/>
                <w:szCs w:val="24"/>
              </w:rPr>
            </w:pPr>
            <w:r>
              <w:rPr>
                <w:rFonts w:hint="eastAsia" w:ascii="Times New Roman"/>
                <w:sz w:val="24"/>
                <w:szCs w:val="24"/>
              </w:rPr>
              <w:t>（6）排污口的有关设置（如图形标志牌、计量装置、监控装置等）属环保设施，排污单位必须负责日常的维护保养，任何单位和个人不得擅自拆除，如需要变更的须报当地环境监理部门同意并办理变更手续。</w:t>
            </w:r>
          </w:p>
          <w:p w14:paraId="0D45C395">
            <w:pPr>
              <w:pStyle w:val="52"/>
              <w:spacing w:line="360" w:lineRule="auto"/>
              <w:ind w:firstLine="480" w:firstLineChars="200"/>
              <w:rPr>
                <w:rFonts w:ascii="Times New Roman"/>
                <w:sz w:val="24"/>
                <w:szCs w:val="24"/>
              </w:rPr>
            </w:pPr>
            <w:r>
              <w:rPr>
                <w:rFonts w:hint="eastAsia" w:ascii="Times New Roman"/>
                <w:sz w:val="24"/>
                <w:szCs w:val="24"/>
              </w:rPr>
              <w:t>（7）废气排放口、废水排放口和噪声排放源、固体废物贮存（处置）场图形符号分别为提示图形符号和警告图形符号两种，图形符号的设置按 GB15562.1-1995、GB15562.2-1995 执行。</w:t>
            </w:r>
          </w:p>
          <w:p w14:paraId="486CD1CB">
            <w:pPr>
              <w:pStyle w:val="52"/>
              <w:spacing w:line="240" w:lineRule="auto"/>
              <w:ind w:firstLine="422" w:firstLineChars="200"/>
              <w:jc w:val="center"/>
              <w:rPr>
                <w:rFonts w:ascii="Times New Roman"/>
                <w:b/>
                <w:bCs/>
                <w:sz w:val="21"/>
                <w:szCs w:val="21"/>
              </w:rPr>
            </w:pPr>
            <w:r>
              <w:rPr>
                <w:rFonts w:hint="eastAsia" w:ascii="Times New Roman"/>
                <w:b/>
                <w:bCs/>
                <w:sz w:val="21"/>
                <w:szCs w:val="21"/>
              </w:rPr>
              <w:t>表4-18 环境保护图形标志的形状及颜色表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2259"/>
              <w:gridCol w:w="2263"/>
              <w:gridCol w:w="2263"/>
            </w:tblGrid>
            <w:tr w14:paraId="29AB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11B92819">
                  <w:pPr>
                    <w:pStyle w:val="52"/>
                    <w:spacing w:line="240" w:lineRule="auto"/>
                    <w:ind w:firstLine="420"/>
                    <w:jc w:val="center"/>
                    <w:rPr>
                      <w:rFonts w:ascii="Times New Roman"/>
                      <w:b/>
                      <w:bCs/>
                      <w:sz w:val="21"/>
                      <w:szCs w:val="21"/>
                    </w:rPr>
                  </w:pPr>
                  <w:r>
                    <w:rPr>
                      <w:rFonts w:hint="eastAsia" w:ascii="Times New Roman"/>
                      <w:b/>
                      <w:bCs/>
                      <w:sz w:val="21"/>
                      <w:szCs w:val="21"/>
                    </w:rPr>
                    <w:t>标志名称</w:t>
                  </w:r>
                </w:p>
              </w:tc>
              <w:tc>
                <w:tcPr>
                  <w:tcW w:w="1249" w:type="pct"/>
                </w:tcPr>
                <w:p w14:paraId="07440846">
                  <w:pPr>
                    <w:pStyle w:val="52"/>
                    <w:spacing w:line="240" w:lineRule="auto"/>
                    <w:ind w:firstLine="420"/>
                    <w:jc w:val="center"/>
                    <w:rPr>
                      <w:rFonts w:ascii="Times New Roman"/>
                      <w:b/>
                      <w:bCs/>
                      <w:sz w:val="21"/>
                      <w:szCs w:val="21"/>
                    </w:rPr>
                  </w:pPr>
                  <w:r>
                    <w:rPr>
                      <w:rFonts w:hint="eastAsia" w:ascii="Times New Roman"/>
                      <w:b/>
                      <w:bCs/>
                      <w:sz w:val="21"/>
                      <w:szCs w:val="21"/>
                    </w:rPr>
                    <w:t>形状</w:t>
                  </w:r>
                </w:p>
              </w:tc>
              <w:tc>
                <w:tcPr>
                  <w:tcW w:w="1251" w:type="pct"/>
                </w:tcPr>
                <w:p w14:paraId="57FE19F4">
                  <w:pPr>
                    <w:pStyle w:val="52"/>
                    <w:spacing w:line="240" w:lineRule="auto"/>
                    <w:ind w:firstLine="420"/>
                    <w:jc w:val="center"/>
                    <w:rPr>
                      <w:rFonts w:ascii="Times New Roman"/>
                      <w:b/>
                      <w:bCs/>
                      <w:sz w:val="21"/>
                      <w:szCs w:val="21"/>
                    </w:rPr>
                  </w:pPr>
                  <w:r>
                    <w:rPr>
                      <w:rFonts w:hint="eastAsia" w:ascii="Times New Roman"/>
                      <w:b/>
                      <w:bCs/>
                      <w:sz w:val="21"/>
                      <w:szCs w:val="21"/>
                    </w:rPr>
                    <w:t>背景颜色</w:t>
                  </w:r>
                </w:p>
              </w:tc>
              <w:tc>
                <w:tcPr>
                  <w:tcW w:w="1251" w:type="pct"/>
                </w:tcPr>
                <w:p w14:paraId="4A368C24">
                  <w:pPr>
                    <w:pStyle w:val="52"/>
                    <w:spacing w:line="240" w:lineRule="auto"/>
                    <w:ind w:firstLine="420"/>
                    <w:jc w:val="center"/>
                    <w:rPr>
                      <w:rFonts w:ascii="Times New Roman"/>
                      <w:b/>
                      <w:bCs/>
                      <w:sz w:val="21"/>
                      <w:szCs w:val="21"/>
                    </w:rPr>
                  </w:pPr>
                  <w:r>
                    <w:rPr>
                      <w:rFonts w:hint="eastAsia" w:ascii="Times New Roman"/>
                      <w:b/>
                      <w:bCs/>
                      <w:sz w:val="21"/>
                      <w:szCs w:val="21"/>
                    </w:rPr>
                    <w:t>图形颜色</w:t>
                  </w:r>
                </w:p>
              </w:tc>
            </w:tr>
            <w:tr w14:paraId="3253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26FD5AF9">
                  <w:pPr>
                    <w:pStyle w:val="52"/>
                    <w:spacing w:line="240" w:lineRule="auto"/>
                    <w:ind w:firstLine="420"/>
                    <w:jc w:val="center"/>
                    <w:rPr>
                      <w:rFonts w:ascii="Times New Roman"/>
                      <w:sz w:val="21"/>
                      <w:szCs w:val="21"/>
                    </w:rPr>
                  </w:pPr>
                  <w:r>
                    <w:rPr>
                      <w:rFonts w:hint="eastAsia" w:ascii="Times New Roman"/>
                      <w:sz w:val="21"/>
                      <w:szCs w:val="21"/>
                    </w:rPr>
                    <w:t>警告标志</w:t>
                  </w:r>
                </w:p>
              </w:tc>
              <w:tc>
                <w:tcPr>
                  <w:tcW w:w="1249" w:type="pct"/>
                </w:tcPr>
                <w:p w14:paraId="6097C345">
                  <w:pPr>
                    <w:pStyle w:val="52"/>
                    <w:spacing w:line="240" w:lineRule="auto"/>
                    <w:ind w:firstLine="420"/>
                    <w:jc w:val="center"/>
                    <w:rPr>
                      <w:rFonts w:ascii="Times New Roman"/>
                      <w:sz w:val="21"/>
                      <w:szCs w:val="21"/>
                    </w:rPr>
                  </w:pPr>
                  <w:r>
                    <w:rPr>
                      <w:rFonts w:ascii="Times New Roman"/>
                      <w:sz w:val="21"/>
                      <w:szCs w:val="21"/>
                    </w:rPr>
                    <w:t>三角形边框</w:t>
                  </w:r>
                </w:p>
              </w:tc>
              <w:tc>
                <w:tcPr>
                  <w:tcW w:w="1251" w:type="pct"/>
                </w:tcPr>
                <w:p w14:paraId="392B0C7A">
                  <w:pPr>
                    <w:pStyle w:val="52"/>
                    <w:spacing w:line="240" w:lineRule="auto"/>
                    <w:ind w:firstLine="420"/>
                    <w:jc w:val="center"/>
                    <w:rPr>
                      <w:rFonts w:ascii="Times New Roman"/>
                      <w:sz w:val="21"/>
                      <w:szCs w:val="21"/>
                    </w:rPr>
                  </w:pPr>
                  <w:r>
                    <w:rPr>
                      <w:rFonts w:ascii="Times New Roman"/>
                      <w:sz w:val="21"/>
                      <w:szCs w:val="21"/>
                    </w:rPr>
                    <w:t>黄色</w:t>
                  </w:r>
                </w:p>
              </w:tc>
              <w:tc>
                <w:tcPr>
                  <w:tcW w:w="1251" w:type="pct"/>
                </w:tcPr>
                <w:p w14:paraId="438A7910">
                  <w:pPr>
                    <w:pStyle w:val="52"/>
                    <w:spacing w:line="240" w:lineRule="auto"/>
                    <w:ind w:firstLine="420"/>
                    <w:jc w:val="center"/>
                    <w:rPr>
                      <w:rFonts w:ascii="Times New Roman"/>
                      <w:sz w:val="21"/>
                      <w:szCs w:val="21"/>
                    </w:rPr>
                  </w:pPr>
                  <w:r>
                    <w:rPr>
                      <w:rFonts w:hint="eastAsia" w:ascii="Times New Roman"/>
                      <w:sz w:val="21"/>
                      <w:szCs w:val="21"/>
                    </w:rPr>
                    <w:t>黑色</w:t>
                  </w:r>
                </w:p>
              </w:tc>
            </w:tr>
            <w:tr w14:paraId="50A4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3F98BF80">
                  <w:pPr>
                    <w:pStyle w:val="52"/>
                    <w:spacing w:line="240" w:lineRule="auto"/>
                    <w:ind w:firstLine="420"/>
                    <w:jc w:val="center"/>
                    <w:rPr>
                      <w:rFonts w:ascii="Times New Roman"/>
                      <w:sz w:val="21"/>
                      <w:szCs w:val="21"/>
                    </w:rPr>
                  </w:pPr>
                  <w:r>
                    <w:rPr>
                      <w:rFonts w:ascii="Times New Roman"/>
                      <w:sz w:val="21"/>
                      <w:szCs w:val="21"/>
                    </w:rPr>
                    <w:t>提示标志</w:t>
                  </w:r>
                </w:p>
              </w:tc>
              <w:tc>
                <w:tcPr>
                  <w:tcW w:w="1249" w:type="pct"/>
                </w:tcPr>
                <w:p w14:paraId="61F76C9C">
                  <w:pPr>
                    <w:pStyle w:val="52"/>
                    <w:spacing w:line="240" w:lineRule="auto"/>
                    <w:ind w:firstLine="420"/>
                    <w:jc w:val="center"/>
                    <w:rPr>
                      <w:rFonts w:ascii="Times New Roman"/>
                      <w:sz w:val="21"/>
                      <w:szCs w:val="21"/>
                    </w:rPr>
                  </w:pPr>
                  <w:r>
                    <w:rPr>
                      <w:rFonts w:ascii="Times New Roman"/>
                      <w:sz w:val="21"/>
                      <w:szCs w:val="21"/>
                    </w:rPr>
                    <w:t>正方形边框</w:t>
                  </w:r>
                </w:p>
              </w:tc>
              <w:tc>
                <w:tcPr>
                  <w:tcW w:w="1251" w:type="pct"/>
                </w:tcPr>
                <w:p w14:paraId="6C0E9814">
                  <w:pPr>
                    <w:pStyle w:val="52"/>
                    <w:spacing w:line="240" w:lineRule="auto"/>
                    <w:ind w:firstLine="420"/>
                    <w:jc w:val="center"/>
                    <w:rPr>
                      <w:rFonts w:ascii="Times New Roman"/>
                      <w:sz w:val="21"/>
                      <w:szCs w:val="21"/>
                    </w:rPr>
                  </w:pPr>
                  <w:r>
                    <w:rPr>
                      <w:rFonts w:ascii="Times New Roman"/>
                      <w:sz w:val="21"/>
                      <w:szCs w:val="21"/>
                    </w:rPr>
                    <w:t>绿色</w:t>
                  </w:r>
                </w:p>
              </w:tc>
              <w:tc>
                <w:tcPr>
                  <w:tcW w:w="1251" w:type="pct"/>
                </w:tcPr>
                <w:p w14:paraId="06ED1754">
                  <w:pPr>
                    <w:pStyle w:val="52"/>
                    <w:spacing w:line="240" w:lineRule="auto"/>
                    <w:ind w:firstLine="420"/>
                    <w:jc w:val="center"/>
                    <w:rPr>
                      <w:rFonts w:ascii="Times New Roman"/>
                      <w:sz w:val="21"/>
                      <w:szCs w:val="21"/>
                    </w:rPr>
                  </w:pPr>
                  <w:r>
                    <w:rPr>
                      <w:rFonts w:hint="eastAsia" w:ascii="Times New Roman"/>
                      <w:sz w:val="21"/>
                      <w:szCs w:val="21"/>
                    </w:rPr>
                    <w:t>白色</w:t>
                  </w:r>
                </w:p>
              </w:tc>
            </w:tr>
          </w:tbl>
          <w:p w14:paraId="37F625FD">
            <w:pPr>
              <w:pStyle w:val="52"/>
              <w:spacing w:line="240" w:lineRule="auto"/>
              <w:ind w:firstLine="422" w:firstLineChars="200"/>
              <w:jc w:val="center"/>
              <w:rPr>
                <w:rFonts w:ascii="Times New Roman"/>
                <w:b/>
                <w:bCs/>
                <w:sz w:val="21"/>
                <w:szCs w:val="21"/>
              </w:rPr>
            </w:pPr>
          </w:p>
          <w:p w14:paraId="5696FEBD">
            <w:pPr>
              <w:pStyle w:val="52"/>
              <w:spacing w:line="240" w:lineRule="auto"/>
              <w:ind w:firstLine="422" w:firstLineChars="200"/>
              <w:jc w:val="center"/>
              <w:rPr>
                <w:rFonts w:ascii="Times New Roman"/>
                <w:b/>
                <w:bCs/>
                <w:sz w:val="21"/>
                <w:szCs w:val="21"/>
              </w:rPr>
            </w:pPr>
            <w:r>
              <w:rPr>
                <w:rFonts w:hint="eastAsia" w:ascii="Times New Roman"/>
                <w:b/>
                <w:bCs/>
                <w:sz w:val="21"/>
                <w:szCs w:val="21"/>
              </w:rPr>
              <w:t>表4-19 环境保护图形符号一览表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3110"/>
              <w:gridCol w:w="2905"/>
              <w:gridCol w:w="2229"/>
            </w:tblGrid>
            <w:tr w14:paraId="4068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Align w:val="center"/>
                </w:tcPr>
                <w:p w14:paraId="79B77DBC">
                  <w:pPr>
                    <w:pStyle w:val="52"/>
                    <w:spacing w:line="240" w:lineRule="auto"/>
                    <w:ind w:firstLine="0"/>
                    <w:jc w:val="center"/>
                    <w:rPr>
                      <w:rFonts w:ascii="Times New Roman"/>
                      <w:b/>
                      <w:bCs/>
                      <w:sz w:val="21"/>
                      <w:szCs w:val="21"/>
                    </w:rPr>
                  </w:pPr>
                  <w:r>
                    <w:rPr>
                      <w:rFonts w:hint="eastAsia" w:ascii="Times New Roman"/>
                      <w:b/>
                      <w:bCs/>
                      <w:sz w:val="21"/>
                      <w:szCs w:val="21"/>
                    </w:rPr>
                    <w:t>序号</w:t>
                  </w:r>
                </w:p>
              </w:tc>
              <w:tc>
                <w:tcPr>
                  <w:tcW w:w="1719" w:type="pct"/>
                  <w:vAlign w:val="center"/>
                </w:tcPr>
                <w:p w14:paraId="0F5F96C7">
                  <w:pPr>
                    <w:pStyle w:val="52"/>
                    <w:spacing w:line="240" w:lineRule="auto"/>
                    <w:ind w:firstLine="0"/>
                    <w:jc w:val="center"/>
                    <w:rPr>
                      <w:rFonts w:ascii="Times New Roman"/>
                      <w:b/>
                      <w:bCs/>
                      <w:sz w:val="21"/>
                      <w:szCs w:val="21"/>
                    </w:rPr>
                  </w:pPr>
                  <w:r>
                    <w:rPr>
                      <w:rFonts w:hint="eastAsia" w:ascii="Times New Roman"/>
                      <w:b/>
                      <w:bCs/>
                      <w:sz w:val="21"/>
                      <w:szCs w:val="21"/>
                    </w:rPr>
                    <w:t>提示图形符号</w:t>
                  </w:r>
                </w:p>
              </w:tc>
              <w:tc>
                <w:tcPr>
                  <w:tcW w:w="1606" w:type="pct"/>
                  <w:vAlign w:val="center"/>
                </w:tcPr>
                <w:p w14:paraId="6127FEF9">
                  <w:pPr>
                    <w:pStyle w:val="52"/>
                    <w:spacing w:line="240" w:lineRule="auto"/>
                    <w:ind w:firstLine="6"/>
                    <w:jc w:val="center"/>
                    <w:rPr>
                      <w:rFonts w:ascii="Times New Roman"/>
                      <w:b/>
                      <w:bCs/>
                      <w:sz w:val="21"/>
                      <w:szCs w:val="21"/>
                    </w:rPr>
                  </w:pPr>
                  <w:r>
                    <w:rPr>
                      <w:rFonts w:hint="eastAsia" w:ascii="Times New Roman"/>
                      <w:b/>
                      <w:bCs/>
                      <w:sz w:val="21"/>
                      <w:szCs w:val="21"/>
                    </w:rPr>
                    <w:t>警告图形符号</w:t>
                  </w:r>
                </w:p>
              </w:tc>
              <w:tc>
                <w:tcPr>
                  <w:tcW w:w="1232" w:type="pct"/>
                  <w:vAlign w:val="center"/>
                </w:tcPr>
                <w:p w14:paraId="566D7684">
                  <w:pPr>
                    <w:pStyle w:val="52"/>
                    <w:spacing w:line="240" w:lineRule="auto"/>
                    <w:ind w:firstLine="0"/>
                    <w:jc w:val="center"/>
                    <w:rPr>
                      <w:rFonts w:ascii="Times New Roman"/>
                      <w:b/>
                      <w:bCs/>
                      <w:sz w:val="21"/>
                      <w:szCs w:val="21"/>
                    </w:rPr>
                  </w:pPr>
                  <w:r>
                    <w:rPr>
                      <w:rFonts w:hint="eastAsia" w:ascii="Times New Roman"/>
                      <w:b/>
                      <w:bCs/>
                      <w:sz w:val="21"/>
                      <w:szCs w:val="21"/>
                    </w:rPr>
                    <w:t>名称</w:t>
                  </w:r>
                </w:p>
              </w:tc>
            </w:tr>
            <w:tr w14:paraId="5A69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Align w:val="center"/>
                </w:tcPr>
                <w:p w14:paraId="0332297A">
                  <w:pPr>
                    <w:pStyle w:val="52"/>
                    <w:spacing w:line="240" w:lineRule="auto"/>
                    <w:ind w:firstLine="0"/>
                    <w:jc w:val="center"/>
                    <w:rPr>
                      <w:rFonts w:ascii="Times New Roman"/>
                      <w:sz w:val="21"/>
                      <w:szCs w:val="21"/>
                    </w:rPr>
                  </w:pPr>
                  <w:r>
                    <w:rPr>
                      <w:rFonts w:hint="eastAsia" w:ascii="Times New Roman"/>
                      <w:sz w:val="21"/>
                      <w:szCs w:val="21"/>
                    </w:rPr>
                    <w:t>1</w:t>
                  </w:r>
                </w:p>
              </w:tc>
              <w:tc>
                <w:tcPr>
                  <w:tcW w:w="1719" w:type="pct"/>
                  <w:vAlign w:val="center"/>
                </w:tcPr>
                <w:p w14:paraId="366DCDEA">
                  <w:pPr>
                    <w:pStyle w:val="52"/>
                    <w:spacing w:line="240" w:lineRule="auto"/>
                    <w:ind w:firstLine="0"/>
                    <w:jc w:val="center"/>
                    <w:rPr>
                      <w:rFonts w:ascii="Times New Roman"/>
                      <w:sz w:val="21"/>
                      <w:szCs w:val="21"/>
                    </w:rPr>
                  </w:pPr>
                  <w:r>
                    <w:drawing>
                      <wp:inline distT="0" distB="0" distL="0" distR="0">
                        <wp:extent cx="1470660" cy="1028700"/>
                        <wp:effectExtent l="0" t="0" r="0" b="0"/>
                        <wp:docPr id="10165717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7171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470660" cy="1028700"/>
                                </a:xfrm>
                                <a:prstGeom prst="rect">
                                  <a:avLst/>
                                </a:prstGeom>
                                <a:noFill/>
                                <a:ln>
                                  <a:noFill/>
                                </a:ln>
                              </pic:spPr>
                            </pic:pic>
                          </a:graphicData>
                        </a:graphic>
                      </wp:inline>
                    </w:drawing>
                  </w:r>
                </w:p>
              </w:tc>
              <w:tc>
                <w:tcPr>
                  <w:tcW w:w="1606" w:type="pct"/>
                  <w:vAlign w:val="center"/>
                </w:tcPr>
                <w:p w14:paraId="2D816460">
                  <w:pPr>
                    <w:pStyle w:val="52"/>
                    <w:spacing w:line="240" w:lineRule="auto"/>
                    <w:ind w:firstLine="6"/>
                    <w:jc w:val="center"/>
                    <w:rPr>
                      <w:rFonts w:ascii="Times New Roman"/>
                      <w:sz w:val="21"/>
                      <w:szCs w:val="21"/>
                    </w:rPr>
                  </w:pPr>
                  <w:r>
                    <w:drawing>
                      <wp:inline distT="0" distB="0" distL="0" distR="0">
                        <wp:extent cx="1569720" cy="1059180"/>
                        <wp:effectExtent l="0" t="0" r="0" b="7620"/>
                        <wp:docPr id="12828099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09998" name="Picture 16"/>
                                <pic:cNvPicPr>
                                  <a:picLocks noChangeAspect="1" noChangeArrowheads="1"/>
                                </pic:cNvPicPr>
                              </pic:nvPicPr>
                              <pic:blipFill>
                                <a:blip r:embed="rId31">
                                  <a:extLst>
                                    <a:ext uri="{28A0092B-C50C-407E-A947-70E740481C1C}">
                                      <a14:useLocalDpi xmlns:a14="http://schemas.microsoft.com/office/drawing/2010/main" val="0"/>
                                    </a:ext>
                                  </a:extLst>
                                </a:blip>
                                <a:srcRect l="6343" r="5602"/>
                                <a:stretch>
                                  <a:fillRect/>
                                </a:stretch>
                              </pic:blipFill>
                              <pic:spPr>
                                <a:xfrm>
                                  <a:off x="0" y="0"/>
                                  <a:ext cx="1569720" cy="1059180"/>
                                </a:xfrm>
                                <a:prstGeom prst="rect">
                                  <a:avLst/>
                                </a:prstGeom>
                                <a:noFill/>
                                <a:ln>
                                  <a:noFill/>
                                </a:ln>
                              </pic:spPr>
                            </pic:pic>
                          </a:graphicData>
                        </a:graphic>
                      </wp:inline>
                    </w:drawing>
                  </w:r>
                </w:p>
              </w:tc>
              <w:tc>
                <w:tcPr>
                  <w:tcW w:w="1232" w:type="pct"/>
                  <w:vAlign w:val="center"/>
                </w:tcPr>
                <w:p w14:paraId="57F4839A">
                  <w:pPr>
                    <w:pStyle w:val="52"/>
                    <w:spacing w:line="240" w:lineRule="auto"/>
                    <w:ind w:firstLine="0"/>
                    <w:jc w:val="center"/>
                    <w:rPr>
                      <w:rFonts w:ascii="Times New Roman"/>
                      <w:sz w:val="21"/>
                      <w:szCs w:val="21"/>
                    </w:rPr>
                  </w:pPr>
                  <w:r>
                    <w:rPr>
                      <w:rFonts w:hint="eastAsia" w:ascii="Times New Roman"/>
                      <w:sz w:val="21"/>
                      <w:szCs w:val="21"/>
                    </w:rPr>
                    <w:t>废气排放口</w:t>
                  </w:r>
                </w:p>
              </w:tc>
            </w:tr>
            <w:tr w14:paraId="582D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Align w:val="center"/>
                </w:tcPr>
                <w:p w14:paraId="1D17E4B2">
                  <w:pPr>
                    <w:pStyle w:val="52"/>
                    <w:spacing w:line="240" w:lineRule="auto"/>
                    <w:ind w:firstLine="0"/>
                    <w:jc w:val="center"/>
                    <w:rPr>
                      <w:rFonts w:ascii="Times New Roman"/>
                      <w:sz w:val="21"/>
                      <w:szCs w:val="21"/>
                    </w:rPr>
                  </w:pPr>
                  <w:r>
                    <w:rPr>
                      <w:rFonts w:hint="eastAsia" w:ascii="Times New Roman"/>
                      <w:sz w:val="21"/>
                      <w:szCs w:val="21"/>
                    </w:rPr>
                    <w:t>2</w:t>
                  </w:r>
                </w:p>
              </w:tc>
              <w:tc>
                <w:tcPr>
                  <w:tcW w:w="1719" w:type="pct"/>
                  <w:vAlign w:val="center"/>
                </w:tcPr>
                <w:p w14:paraId="38AD33B1">
                  <w:pPr>
                    <w:pStyle w:val="52"/>
                    <w:spacing w:line="240" w:lineRule="auto"/>
                    <w:ind w:firstLine="0"/>
                    <w:jc w:val="center"/>
                  </w:pPr>
                  <w:r>
                    <w:drawing>
                      <wp:inline distT="0" distB="0" distL="0" distR="0">
                        <wp:extent cx="1440180" cy="1203960"/>
                        <wp:effectExtent l="0" t="0" r="7620" b="0"/>
                        <wp:docPr id="1112240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4064" name="Picture 15"/>
                                <pic:cNvPicPr>
                                  <a:picLocks noChangeAspect="1" noChangeArrowheads="1"/>
                                </pic:cNvPicPr>
                              </pic:nvPicPr>
                              <pic:blipFill>
                                <a:blip r:embed="rId32">
                                  <a:extLst>
                                    <a:ext uri="{28A0092B-C50C-407E-A947-70E740481C1C}">
                                      <a14:useLocalDpi xmlns:a14="http://schemas.microsoft.com/office/drawing/2010/main" val="0"/>
                                    </a:ext>
                                  </a:extLst>
                                </a:blip>
                                <a:srcRect t="10751"/>
                                <a:stretch>
                                  <a:fillRect/>
                                </a:stretch>
                              </pic:blipFill>
                              <pic:spPr>
                                <a:xfrm>
                                  <a:off x="0" y="0"/>
                                  <a:ext cx="1440180" cy="1203960"/>
                                </a:xfrm>
                                <a:prstGeom prst="rect">
                                  <a:avLst/>
                                </a:prstGeom>
                                <a:noFill/>
                                <a:ln>
                                  <a:noFill/>
                                </a:ln>
                              </pic:spPr>
                            </pic:pic>
                          </a:graphicData>
                        </a:graphic>
                      </wp:inline>
                    </w:drawing>
                  </w:r>
                </w:p>
              </w:tc>
              <w:tc>
                <w:tcPr>
                  <w:tcW w:w="1606" w:type="pct"/>
                  <w:vAlign w:val="center"/>
                </w:tcPr>
                <w:p w14:paraId="67A4DB86">
                  <w:pPr>
                    <w:pStyle w:val="52"/>
                    <w:spacing w:line="240" w:lineRule="auto"/>
                    <w:ind w:firstLine="6"/>
                    <w:jc w:val="center"/>
                  </w:pPr>
                  <w:r>
                    <w:rPr>
                      <w:rFonts w:hint="eastAsia"/>
                    </w:rPr>
                    <w:t>/</w:t>
                  </w:r>
                </w:p>
              </w:tc>
              <w:tc>
                <w:tcPr>
                  <w:tcW w:w="1232" w:type="pct"/>
                  <w:vAlign w:val="center"/>
                </w:tcPr>
                <w:p w14:paraId="3A8695CC">
                  <w:pPr>
                    <w:pStyle w:val="52"/>
                    <w:spacing w:line="240" w:lineRule="auto"/>
                    <w:ind w:firstLine="0"/>
                    <w:jc w:val="center"/>
                    <w:rPr>
                      <w:rFonts w:ascii="Times New Roman"/>
                      <w:sz w:val="21"/>
                      <w:szCs w:val="21"/>
                    </w:rPr>
                  </w:pPr>
                  <w:r>
                    <w:rPr>
                      <w:rFonts w:hint="eastAsia" w:ascii="Times New Roman"/>
                      <w:sz w:val="21"/>
                      <w:szCs w:val="21"/>
                    </w:rPr>
                    <w:t>雨水排放口</w:t>
                  </w:r>
                </w:p>
              </w:tc>
            </w:tr>
            <w:tr w14:paraId="214D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Align w:val="center"/>
                </w:tcPr>
                <w:p w14:paraId="64714FDF">
                  <w:pPr>
                    <w:pStyle w:val="52"/>
                    <w:spacing w:line="240" w:lineRule="auto"/>
                    <w:ind w:firstLine="0"/>
                    <w:jc w:val="center"/>
                    <w:rPr>
                      <w:rFonts w:ascii="Times New Roman"/>
                      <w:sz w:val="21"/>
                      <w:szCs w:val="21"/>
                    </w:rPr>
                  </w:pPr>
                  <w:r>
                    <w:rPr>
                      <w:rFonts w:hint="eastAsia" w:ascii="Times New Roman"/>
                      <w:sz w:val="21"/>
                      <w:szCs w:val="21"/>
                    </w:rPr>
                    <w:t>3</w:t>
                  </w:r>
                </w:p>
              </w:tc>
              <w:tc>
                <w:tcPr>
                  <w:tcW w:w="1719" w:type="pct"/>
                  <w:vAlign w:val="center"/>
                </w:tcPr>
                <w:p w14:paraId="6A1218E4">
                  <w:pPr>
                    <w:pStyle w:val="52"/>
                    <w:spacing w:line="240" w:lineRule="auto"/>
                    <w:ind w:firstLine="0"/>
                    <w:jc w:val="center"/>
                    <w:rPr>
                      <w:rFonts w:ascii="Times New Roman"/>
                      <w:sz w:val="21"/>
                      <w:szCs w:val="21"/>
                    </w:rPr>
                  </w:pPr>
                  <w:r>
                    <w:drawing>
                      <wp:inline distT="0" distB="0" distL="0" distR="0">
                        <wp:extent cx="1447800" cy="1066800"/>
                        <wp:effectExtent l="0" t="0" r="0" b="0"/>
                        <wp:docPr id="9366079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07995" name="Picture 14"/>
                                <pic:cNvPicPr>
                                  <a:picLocks noChangeAspect="1" noChangeArrowheads="1"/>
                                </pic:cNvPicPr>
                              </pic:nvPicPr>
                              <pic:blipFill>
                                <a:blip r:embed="rId33">
                                  <a:extLst>
                                    <a:ext uri="{28A0092B-C50C-407E-A947-70E740481C1C}">
                                      <a14:useLocalDpi xmlns:a14="http://schemas.microsoft.com/office/drawing/2010/main" val="0"/>
                                    </a:ext>
                                  </a:extLst>
                                </a:blip>
                                <a:srcRect t="6995" b="12019"/>
                                <a:stretch>
                                  <a:fillRect/>
                                </a:stretch>
                              </pic:blipFill>
                              <pic:spPr>
                                <a:xfrm>
                                  <a:off x="0" y="0"/>
                                  <a:ext cx="1447800" cy="1066800"/>
                                </a:xfrm>
                                <a:prstGeom prst="rect">
                                  <a:avLst/>
                                </a:prstGeom>
                                <a:noFill/>
                                <a:ln>
                                  <a:noFill/>
                                </a:ln>
                              </pic:spPr>
                            </pic:pic>
                          </a:graphicData>
                        </a:graphic>
                      </wp:inline>
                    </w:drawing>
                  </w:r>
                </w:p>
              </w:tc>
              <w:tc>
                <w:tcPr>
                  <w:tcW w:w="1606" w:type="pct"/>
                  <w:vAlign w:val="center"/>
                </w:tcPr>
                <w:p w14:paraId="5351DED5">
                  <w:pPr>
                    <w:pStyle w:val="52"/>
                    <w:spacing w:line="240" w:lineRule="auto"/>
                    <w:ind w:firstLine="6"/>
                    <w:jc w:val="center"/>
                    <w:rPr>
                      <w:rFonts w:ascii="Times New Roman"/>
                      <w:sz w:val="21"/>
                      <w:szCs w:val="21"/>
                    </w:rPr>
                  </w:pPr>
                  <w:r>
                    <w:drawing>
                      <wp:inline distT="0" distB="0" distL="0" distR="0">
                        <wp:extent cx="1539240" cy="1104900"/>
                        <wp:effectExtent l="0" t="0" r="3810" b="0"/>
                        <wp:docPr id="11431142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14289"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539240" cy="1104900"/>
                                </a:xfrm>
                                <a:prstGeom prst="rect">
                                  <a:avLst/>
                                </a:prstGeom>
                                <a:noFill/>
                                <a:ln>
                                  <a:noFill/>
                                </a:ln>
                              </pic:spPr>
                            </pic:pic>
                          </a:graphicData>
                        </a:graphic>
                      </wp:inline>
                    </w:drawing>
                  </w:r>
                </w:p>
              </w:tc>
              <w:tc>
                <w:tcPr>
                  <w:tcW w:w="1232" w:type="pct"/>
                  <w:vAlign w:val="center"/>
                </w:tcPr>
                <w:p w14:paraId="06DE82D3">
                  <w:pPr>
                    <w:pStyle w:val="52"/>
                    <w:spacing w:line="240" w:lineRule="auto"/>
                    <w:ind w:firstLine="0"/>
                    <w:jc w:val="center"/>
                    <w:rPr>
                      <w:rFonts w:ascii="Times New Roman"/>
                      <w:sz w:val="21"/>
                      <w:szCs w:val="21"/>
                    </w:rPr>
                  </w:pPr>
                  <w:r>
                    <w:rPr>
                      <w:rFonts w:hint="eastAsia" w:ascii="Times New Roman"/>
                      <w:sz w:val="21"/>
                      <w:szCs w:val="21"/>
                    </w:rPr>
                    <w:t>噪声排放源</w:t>
                  </w:r>
                </w:p>
              </w:tc>
            </w:tr>
            <w:tr w14:paraId="5549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Align w:val="center"/>
                </w:tcPr>
                <w:p w14:paraId="370B5F67">
                  <w:pPr>
                    <w:pStyle w:val="52"/>
                    <w:spacing w:line="240" w:lineRule="auto"/>
                    <w:ind w:firstLine="0"/>
                    <w:jc w:val="center"/>
                    <w:rPr>
                      <w:rFonts w:ascii="Times New Roman"/>
                      <w:sz w:val="21"/>
                      <w:szCs w:val="21"/>
                    </w:rPr>
                  </w:pPr>
                  <w:r>
                    <w:rPr>
                      <w:rFonts w:hint="eastAsia" w:ascii="Times New Roman"/>
                      <w:sz w:val="21"/>
                      <w:szCs w:val="21"/>
                    </w:rPr>
                    <w:t>4</w:t>
                  </w:r>
                </w:p>
              </w:tc>
              <w:tc>
                <w:tcPr>
                  <w:tcW w:w="1719" w:type="pct"/>
                  <w:vAlign w:val="center"/>
                </w:tcPr>
                <w:p w14:paraId="4A57C391">
                  <w:pPr>
                    <w:pStyle w:val="52"/>
                    <w:spacing w:line="240" w:lineRule="auto"/>
                    <w:ind w:firstLine="0"/>
                    <w:jc w:val="center"/>
                  </w:pPr>
                  <w:r>
                    <w:drawing>
                      <wp:inline distT="0" distB="0" distL="0" distR="0">
                        <wp:extent cx="1440180" cy="1287780"/>
                        <wp:effectExtent l="0" t="0" r="7620" b="7620"/>
                        <wp:docPr id="4149943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94371"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40180" cy="1287780"/>
                                </a:xfrm>
                                <a:prstGeom prst="rect">
                                  <a:avLst/>
                                </a:prstGeom>
                                <a:noFill/>
                                <a:ln>
                                  <a:noFill/>
                                </a:ln>
                              </pic:spPr>
                            </pic:pic>
                          </a:graphicData>
                        </a:graphic>
                      </wp:inline>
                    </w:drawing>
                  </w:r>
                </w:p>
              </w:tc>
              <w:tc>
                <w:tcPr>
                  <w:tcW w:w="1606" w:type="pct"/>
                  <w:vAlign w:val="center"/>
                </w:tcPr>
                <w:p w14:paraId="23F660A7">
                  <w:pPr>
                    <w:pStyle w:val="52"/>
                    <w:spacing w:line="240" w:lineRule="auto"/>
                    <w:ind w:firstLine="6"/>
                    <w:jc w:val="center"/>
                  </w:pPr>
                  <w:r>
                    <w:drawing>
                      <wp:inline distT="0" distB="0" distL="0" distR="0">
                        <wp:extent cx="1539240" cy="1104900"/>
                        <wp:effectExtent l="0" t="0" r="3810" b="0"/>
                        <wp:docPr id="9949796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79683"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39240" cy="1104900"/>
                                </a:xfrm>
                                <a:prstGeom prst="rect">
                                  <a:avLst/>
                                </a:prstGeom>
                                <a:noFill/>
                                <a:ln>
                                  <a:noFill/>
                                </a:ln>
                              </pic:spPr>
                            </pic:pic>
                          </a:graphicData>
                        </a:graphic>
                      </wp:inline>
                    </w:drawing>
                  </w:r>
                </w:p>
              </w:tc>
              <w:tc>
                <w:tcPr>
                  <w:tcW w:w="1232" w:type="pct"/>
                  <w:vAlign w:val="center"/>
                </w:tcPr>
                <w:p w14:paraId="3DE6AB61">
                  <w:pPr>
                    <w:pStyle w:val="52"/>
                    <w:spacing w:line="240" w:lineRule="auto"/>
                    <w:ind w:firstLine="0"/>
                    <w:jc w:val="center"/>
                    <w:rPr>
                      <w:rFonts w:ascii="Times New Roman"/>
                      <w:sz w:val="21"/>
                      <w:szCs w:val="21"/>
                    </w:rPr>
                  </w:pPr>
                  <w:r>
                    <w:rPr>
                      <w:rFonts w:hint="eastAsia" w:ascii="Times New Roman"/>
                      <w:sz w:val="21"/>
                      <w:szCs w:val="21"/>
                    </w:rPr>
                    <w:t>一般固废</w:t>
                  </w:r>
                </w:p>
              </w:tc>
            </w:tr>
            <w:tr w14:paraId="1703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Align w:val="center"/>
                </w:tcPr>
                <w:p w14:paraId="7D8F07C6">
                  <w:pPr>
                    <w:pStyle w:val="52"/>
                    <w:spacing w:line="240" w:lineRule="auto"/>
                    <w:ind w:firstLine="0"/>
                    <w:jc w:val="center"/>
                    <w:rPr>
                      <w:rFonts w:ascii="Times New Roman"/>
                      <w:sz w:val="21"/>
                      <w:szCs w:val="21"/>
                    </w:rPr>
                  </w:pPr>
                  <w:r>
                    <w:rPr>
                      <w:rFonts w:hint="eastAsia" w:ascii="Times New Roman"/>
                      <w:sz w:val="21"/>
                      <w:szCs w:val="21"/>
                    </w:rPr>
                    <w:t>5</w:t>
                  </w:r>
                </w:p>
              </w:tc>
              <w:tc>
                <w:tcPr>
                  <w:tcW w:w="1719" w:type="pct"/>
                  <w:vAlign w:val="center"/>
                </w:tcPr>
                <w:p w14:paraId="732A34F5">
                  <w:pPr>
                    <w:pStyle w:val="52"/>
                    <w:spacing w:line="240" w:lineRule="auto"/>
                    <w:ind w:firstLine="0"/>
                    <w:jc w:val="center"/>
                  </w:pPr>
                  <w:r>
                    <w:rPr>
                      <w:rFonts w:hint="eastAsia"/>
                    </w:rPr>
                    <w:t>/</w:t>
                  </w:r>
                </w:p>
              </w:tc>
              <w:tc>
                <w:tcPr>
                  <w:tcW w:w="1606" w:type="pct"/>
                  <w:vAlign w:val="center"/>
                </w:tcPr>
                <w:p w14:paraId="353E88ED">
                  <w:pPr>
                    <w:pStyle w:val="52"/>
                    <w:spacing w:line="240" w:lineRule="auto"/>
                    <w:ind w:firstLine="6"/>
                    <w:jc w:val="center"/>
                  </w:pPr>
                  <w:r>
                    <w:drawing>
                      <wp:inline distT="0" distB="0" distL="0" distR="0">
                        <wp:extent cx="1295400" cy="1325880"/>
                        <wp:effectExtent l="0" t="0" r="0" b="7620"/>
                        <wp:docPr id="1979150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50583" name="Picture 10"/>
                                <pic:cNvPicPr>
                                  <a:picLocks noChangeAspect="1" noChangeArrowheads="1"/>
                                </pic:cNvPicPr>
                              </pic:nvPicPr>
                              <pic:blipFill>
                                <a:blip r:embed="rId37">
                                  <a:extLst>
                                    <a:ext uri="{28A0092B-C50C-407E-A947-70E740481C1C}">
                                      <a14:useLocalDpi xmlns:a14="http://schemas.microsoft.com/office/drawing/2010/main" val="0"/>
                                    </a:ext>
                                  </a:extLst>
                                </a:blip>
                                <a:srcRect t="3917" b="9209"/>
                                <a:stretch>
                                  <a:fillRect/>
                                </a:stretch>
                              </pic:blipFill>
                              <pic:spPr>
                                <a:xfrm>
                                  <a:off x="0" y="0"/>
                                  <a:ext cx="1295400" cy="1325880"/>
                                </a:xfrm>
                                <a:prstGeom prst="rect">
                                  <a:avLst/>
                                </a:prstGeom>
                                <a:noFill/>
                                <a:ln>
                                  <a:noFill/>
                                </a:ln>
                              </pic:spPr>
                            </pic:pic>
                          </a:graphicData>
                        </a:graphic>
                      </wp:inline>
                    </w:drawing>
                  </w:r>
                </w:p>
              </w:tc>
              <w:tc>
                <w:tcPr>
                  <w:tcW w:w="1232" w:type="pct"/>
                  <w:vAlign w:val="center"/>
                </w:tcPr>
                <w:p w14:paraId="3B17B18F">
                  <w:pPr>
                    <w:pStyle w:val="52"/>
                    <w:spacing w:line="240" w:lineRule="auto"/>
                    <w:ind w:firstLine="0"/>
                    <w:jc w:val="center"/>
                    <w:rPr>
                      <w:rFonts w:ascii="Times New Roman"/>
                      <w:sz w:val="21"/>
                      <w:szCs w:val="21"/>
                    </w:rPr>
                  </w:pPr>
                  <w:r>
                    <w:rPr>
                      <w:rFonts w:hint="eastAsia" w:ascii="Times New Roman"/>
                      <w:sz w:val="21"/>
                      <w:szCs w:val="21"/>
                    </w:rPr>
                    <w:t>危险废物</w:t>
                  </w:r>
                </w:p>
              </w:tc>
            </w:tr>
          </w:tbl>
          <w:p w14:paraId="7BE0A40C">
            <w:pPr>
              <w:spacing w:line="360" w:lineRule="auto"/>
              <w:rPr>
                <w:b/>
                <w:bCs/>
                <w:sz w:val="24"/>
              </w:rPr>
            </w:pPr>
          </w:p>
          <w:p w14:paraId="74026222">
            <w:pPr>
              <w:spacing w:line="360" w:lineRule="auto"/>
              <w:ind w:firstLine="482" w:firstLineChars="200"/>
              <w:rPr>
                <w:b/>
                <w:bCs/>
                <w:sz w:val="24"/>
              </w:rPr>
            </w:pPr>
            <w:r>
              <w:rPr>
                <w:rFonts w:hint="eastAsia"/>
                <w:b/>
                <w:bCs/>
                <w:sz w:val="24"/>
              </w:rPr>
              <w:t>4.2.9</w:t>
            </w:r>
            <w:r>
              <w:rPr>
                <w:b/>
                <w:bCs/>
                <w:sz w:val="24"/>
              </w:rPr>
              <w:t>环保投资估算</w:t>
            </w:r>
          </w:p>
          <w:p w14:paraId="1A7BA345">
            <w:pPr>
              <w:spacing w:line="360" w:lineRule="auto"/>
              <w:ind w:firstLine="480" w:firstLineChars="200"/>
              <w:rPr>
                <w:color w:val="FF0000"/>
                <w:sz w:val="24"/>
              </w:rPr>
            </w:pPr>
            <w:r>
              <w:rPr>
                <w:rFonts w:hint="eastAsia"/>
                <w:sz w:val="24"/>
              </w:rPr>
              <w:t>本项目</w:t>
            </w:r>
            <w:r>
              <w:rPr>
                <w:sz w:val="24"/>
              </w:rPr>
              <w:t>总投资</w:t>
            </w:r>
            <w:r>
              <w:rPr>
                <w:rFonts w:hint="eastAsia"/>
                <w:sz w:val="24"/>
              </w:rPr>
              <w:t>51000</w:t>
            </w:r>
            <w:r>
              <w:rPr>
                <w:sz w:val="24"/>
              </w:rPr>
              <w:t>万元，其中环保投资约</w:t>
            </w:r>
            <w:r>
              <w:rPr>
                <w:rFonts w:hint="eastAsia"/>
                <w:sz w:val="24"/>
              </w:rPr>
              <w:t>100</w:t>
            </w:r>
            <w:r>
              <w:rPr>
                <w:sz w:val="24"/>
              </w:rPr>
              <w:t>万元，占项目总投资的</w:t>
            </w:r>
            <w:r>
              <w:rPr>
                <w:rFonts w:hint="eastAsia"/>
                <w:sz w:val="24"/>
              </w:rPr>
              <w:t>0.196</w:t>
            </w:r>
            <w:r>
              <w:rPr>
                <w:sz w:val="24"/>
              </w:rPr>
              <w:t>%。具体如下表所示。</w:t>
            </w:r>
          </w:p>
          <w:p w14:paraId="14335DB8">
            <w:pPr>
              <w:autoSpaceDE w:val="0"/>
              <w:autoSpaceDN w:val="0"/>
              <w:adjustRightInd w:val="0"/>
              <w:jc w:val="center"/>
              <w:rPr>
                <w:b/>
                <w:szCs w:val="21"/>
              </w:rPr>
            </w:pPr>
            <w:r>
              <w:rPr>
                <w:b/>
                <w:szCs w:val="21"/>
              </w:rPr>
              <w:t>表</w:t>
            </w:r>
            <w:r>
              <w:rPr>
                <w:rFonts w:hint="eastAsia"/>
                <w:b/>
                <w:szCs w:val="21"/>
              </w:rPr>
              <w:t xml:space="preserve">4-20 </w:t>
            </w:r>
            <w:r>
              <w:rPr>
                <w:b/>
                <w:szCs w:val="21"/>
              </w:rPr>
              <w:t>环保设施及环保投资一览表</w:t>
            </w:r>
          </w:p>
          <w:p w14:paraId="119F128B">
            <w:pPr>
              <w:rPr>
                <w:vanish/>
              </w:rPr>
            </w:pPr>
          </w:p>
          <w:tbl>
            <w:tblPr>
              <w:tblStyle w:val="22"/>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709"/>
              <w:gridCol w:w="4301"/>
              <w:gridCol w:w="2263"/>
            </w:tblGrid>
            <w:tr w14:paraId="1AEA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6" w:type="pct"/>
                  <w:vAlign w:val="center"/>
                </w:tcPr>
                <w:p w14:paraId="1E9728E7">
                  <w:pPr>
                    <w:pStyle w:val="52"/>
                    <w:spacing w:line="240" w:lineRule="auto"/>
                    <w:ind w:firstLine="0"/>
                    <w:jc w:val="center"/>
                    <w:rPr>
                      <w:rFonts w:ascii="Times New Roman"/>
                      <w:b/>
                      <w:sz w:val="21"/>
                      <w:szCs w:val="21"/>
                    </w:rPr>
                  </w:pPr>
                  <w:r>
                    <w:rPr>
                      <w:rFonts w:ascii="Times New Roman"/>
                      <w:b/>
                      <w:sz w:val="21"/>
                      <w:szCs w:val="21"/>
                    </w:rPr>
                    <w:t>序号</w:t>
                  </w:r>
                </w:p>
              </w:tc>
              <w:tc>
                <w:tcPr>
                  <w:tcW w:w="945" w:type="pct"/>
                  <w:vAlign w:val="center"/>
                </w:tcPr>
                <w:p w14:paraId="2808E78F">
                  <w:pPr>
                    <w:pStyle w:val="52"/>
                    <w:spacing w:line="240" w:lineRule="auto"/>
                    <w:ind w:firstLine="0"/>
                    <w:jc w:val="center"/>
                    <w:rPr>
                      <w:rFonts w:ascii="Times New Roman"/>
                      <w:b/>
                      <w:sz w:val="21"/>
                      <w:szCs w:val="21"/>
                    </w:rPr>
                  </w:pPr>
                  <w:r>
                    <w:rPr>
                      <w:rFonts w:ascii="Times New Roman"/>
                      <w:b/>
                      <w:sz w:val="21"/>
                      <w:szCs w:val="21"/>
                    </w:rPr>
                    <w:t>工程类别</w:t>
                  </w:r>
                </w:p>
              </w:tc>
              <w:tc>
                <w:tcPr>
                  <w:tcW w:w="2378" w:type="pct"/>
                  <w:vAlign w:val="center"/>
                </w:tcPr>
                <w:p w14:paraId="78A810EB">
                  <w:pPr>
                    <w:pStyle w:val="52"/>
                    <w:spacing w:line="240" w:lineRule="auto"/>
                    <w:ind w:firstLine="0"/>
                    <w:jc w:val="center"/>
                    <w:rPr>
                      <w:rFonts w:ascii="Times New Roman"/>
                      <w:b/>
                      <w:sz w:val="21"/>
                      <w:szCs w:val="21"/>
                    </w:rPr>
                  </w:pPr>
                  <w:r>
                    <w:rPr>
                      <w:rFonts w:ascii="Times New Roman"/>
                      <w:b/>
                      <w:sz w:val="21"/>
                      <w:szCs w:val="21"/>
                    </w:rPr>
                    <w:t>工程内容</w:t>
                  </w:r>
                </w:p>
              </w:tc>
              <w:tc>
                <w:tcPr>
                  <w:tcW w:w="1251" w:type="pct"/>
                  <w:vAlign w:val="center"/>
                </w:tcPr>
                <w:p w14:paraId="61C6990B">
                  <w:pPr>
                    <w:pStyle w:val="52"/>
                    <w:spacing w:line="240" w:lineRule="auto"/>
                    <w:ind w:firstLine="0"/>
                    <w:jc w:val="center"/>
                    <w:rPr>
                      <w:rFonts w:ascii="Times New Roman"/>
                      <w:b/>
                      <w:sz w:val="21"/>
                      <w:szCs w:val="21"/>
                    </w:rPr>
                  </w:pPr>
                  <w:r>
                    <w:rPr>
                      <w:rFonts w:ascii="Times New Roman"/>
                      <w:b/>
                      <w:sz w:val="21"/>
                      <w:szCs w:val="21"/>
                    </w:rPr>
                    <w:t>投资额</w:t>
                  </w:r>
                </w:p>
              </w:tc>
            </w:tr>
            <w:tr w14:paraId="4B0A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vAlign w:val="center"/>
                </w:tcPr>
                <w:p w14:paraId="24E59C9C">
                  <w:pPr>
                    <w:pStyle w:val="52"/>
                    <w:spacing w:line="240" w:lineRule="auto"/>
                    <w:ind w:firstLine="0"/>
                    <w:jc w:val="center"/>
                    <w:rPr>
                      <w:rFonts w:ascii="Times New Roman"/>
                      <w:sz w:val="21"/>
                      <w:szCs w:val="21"/>
                    </w:rPr>
                  </w:pPr>
                  <w:r>
                    <w:rPr>
                      <w:rFonts w:ascii="Times New Roman"/>
                      <w:sz w:val="21"/>
                      <w:szCs w:val="21"/>
                    </w:rPr>
                    <w:t>1</w:t>
                  </w:r>
                </w:p>
              </w:tc>
              <w:tc>
                <w:tcPr>
                  <w:tcW w:w="945" w:type="pct"/>
                  <w:vMerge w:val="restart"/>
                  <w:vAlign w:val="center"/>
                </w:tcPr>
                <w:p w14:paraId="17B5D0B6">
                  <w:pPr>
                    <w:pStyle w:val="52"/>
                    <w:spacing w:line="240" w:lineRule="auto"/>
                    <w:ind w:firstLine="0"/>
                    <w:jc w:val="center"/>
                    <w:rPr>
                      <w:rFonts w:ascii="Times New Roman"/>
                      <w:sz w:val="21"/>
                      <w:szCs w:val="21"/>
                    </w:rPr>
                  </w:pPr>
                  <w:r>
                    <w:rPr>
                      <w:rFonts w:ascii="Times New Roman"/>
                      <w:sz w:val="21"/>
                      <w:szCs w:val="21"/>
                    </w:rPr>
                    <w:t>固废治理</w:t>
                  </w:r>
                </w:p>
              </w:tc>
              <w:tc>
                <w:tcPr>
                  <w:tcW w:w="2378" w:type="pct"/>
                  <w:vAlign w:val="center"/>
                </w:tcPr>
                <w:p w14:paraId="351486E6">
                  <w:pPr>
                    <w:pStyle w:val="52"/>
                    <w:ind w:firstLine="0"/>
                    <w:jc w:val="center"/>
                    <w:rPr>
                      <w:rFonts w:ascii="Times New Roman"/>
                      <w:sz w:val="21"/>
                      <w:szCs w:val="21"/>
                    </w:rPr>
                  </w:pPr>
                  <w:r>
                    <w:rPr>
                      <w:rFonts w:ascii="Times New Roman"/>
                      <w:sz w:val="21"/>
                      <w:szCs w:val="21"/>
                    </w:rPr>
                    <w:t>固废临时储存装置</w:t>
                  </w:r>
                </w:p>
              </w:tc>
              <w:tc>
                <w:tcPr>
                  <w:tcW w:w="1251" w:type="pct"/>
                  <w:vAlign w:val="center"/>
                </w:tcPr>
                <w:p w14:paraId="6F87E28B">
                  <w:pPr>
                    <w:pStyle w:val="52"/>
                    <w:spacing w:line="240" w:lineRule="auto"/>
                    <w:ind w:firstLine="0"/>
                    <w:jc w:val="center"/>
                    <w:rPr>
                      <w:rFonts w:ascii="Times New Roman"/>
                      <w:sz w:val="21"/>
                      <w:szCs w:val="21"/>
                    </w:rPr>
                  </w:pPr>
                  <w:r>
                    <w:rPr>
                      <w:rFonts w:ascii="Times New Roman"/>
                      <w:sz w:val="21"/>
                      <w:szCs w:val="21"/>
                    </w:rPr>
                    <w:t>1</w:t>
                  </w:r>
                </w:p>
              </w:tc>
            </w:tr>
            <w:tr w14:paraId="2781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14:paraId="7C9F6457">
                  <w:pPr>
                    <w:pStyle w:val="52"/>
                    <w:spacing w:line="240" w:lineRule="auto"/>
                    <w:ind w:firstLine="420"/>
                    <w:jc w:val="center"/>
                    <w:rPr>
                      <w:rFonts w:ascii="Times New Roman"/>
                      <w:sz w:val="21"/>
                      <w:szCs w:val="21"/>
                    </w:rPr>
                  </w:pPr>
                </w:p>
              </w:tc>
              <w:tc>
                <w:tcPr>
                  <w:tcW w:w="945" w:type="pct"/>
                  <w:vMerge w:val="continue"/>
                  <w:vAlign w:val="center"/>
                </w:tcPr>
                <w:p w14:paraId="09D96262">
                  <w:pPr>
                    <w:pStyle w:val="52"/>
                    <w:spacing w:line="240" w:lineRule="auto"/>
                    <w:ind w:firstLine="0"/>
                    <w:jc w:val="center"/>
                    <w:rPr>
                      <w:rFonts w:ascii="Times New Roman"/>
                      <w:sz w:val="21"/>
                      <w:szCs w:val="21"/>
                    </w:rPr>
                  </w:pPr>
                </w:p>
              </w:tc>
              <w:tc>
                <w:tcPr>
                  <w:tcW w:w="2378" w:type="pct"/>
                  <w:vAlign w:val="center"/>
                </w:tcPr>
                <w:p w14:paraId="739FF7FB">
                  <w:pPr>
                    <w:pStyle w:val="52"/>
                    <w:ind w:firstLine="0"/>
                    <w:jc w:val="center"/>
                    <w:rPr>
                      <w:rFonts w:ascii="Times New Roman"/>
                      <w:sz w:val="21"/>
                      <w:szCs w:val="21"/>
                    </w:rPr>
                  </w:pPr>
                  <w:r>
                    <w:rPr>
                      <w:rFonts w:ascii="Times New Roman"/>
                      <w:sz w:val="21"/>
                      <w:szCs w:val="21"/>
                    </w:rPr>
                    <w:t>危废库</w:t>
                  </w:r>
                </w:p>
              </w:tc>
              <w:tc>
                <w:tcPr>
                  <w:tcW w:w="1251" w:type="pct"/>
                  <w:vAlign w:val="center"/>
                </w:tcPr>
                <w:p w14:paraId="5AF942BB">
                  <w:pPr>
                    <w:pStyle w:val="52"/>
                    <w:spacing w:line="240" w:lineRule="auto"/>
                    <w:ind w:firstLine="0"/>
                    <w:jc w:val="center"/>
                    <w:rPr>
                      <w:rFonts w:ascii="Times New Roman"/>
                      <w:sz w:val="21"/>
                      <w:szCs w:val="21"/>
                    </w:rPr>
                  </w:pPr>
                  <w:r>
                    <w:rPr>
                      <w:rFonts w:hint="eastAsia" w:ascii="Times New Roman"/>
                      <w:sz w:val="21"/>
                      <w:szCs w:val="21"/>
                    </w:rPr>
                    <w:t>5</w:t>
                  </w:r>
                </w:p>
              </w:tc>
            </w:tr>
            <w:tr w14:paraId="3879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14:paraId="195AD645">
                  <w:pPr>
                    <w:pStyle w:val="52"/>
                    <w:spacing w:line="240" w:lineRule="auto"/>
                    <w:ind w:firstLine="420"/>
                    <w:jc w:val="center"/>
                    <w:rPr>
                      <w:rFonts w:ascii="Times New Roman"/>
                      <w:sz w:val="21"/>
                      <w:szCs w:val="21"/>
                    </w:rPr>
                  </w:pPr>
                </w:p>
              </w:tc>
              <w:tc>
                <w:tcPr>
                  <w:tcW w:w="945" w:type="pct"/>
                  <w:vMerge w:val="continue"/>
                  <w:vAlign w:val="center"/>
                </w:tcPr>
                <w:p w14:paraId="4CDAD50E">
                  <w:pPr>
                    <w:pStyle w:val="52"/>
                    <w:spacing w:line="240" w:lineRule="auto"/>
                    <w:ind w:firstLine="0"/>
                    <w:jc w:val="center"/>
                    <w:rPr>
                      <w:rFonts w:ascii="Times New Roman"/>
                      <w:sz w:val="21"/>
                      <w:szCs w:val="21"/>
                    </w:rPr>
                  </w:pPr>
                </w:p>
              </w:tc>
              <w:tc>
                <w:tcPr>
                  <w:tcW w:w="2378" w:type="pct"/>
                  <w:vAlign w:val="center"/>
                </w:tcPr>
                <w:p w14:paraId="022C5893">
                  <w:pPr>
                    <w:pStyle w:val="52"/>
                    <w:ind w:firstLine="0"/>
                    <w:jc w:val="center"/>
                    <w:rPr>
                      <w:rFonts w:ascii="Times New Roman"/>
                      <w:sz w:val="21"/>
                      <w:szCs w:val="21"/>
                    </w:rPr>
                  </w:pPr>
                  <w:r>
                    <w:rPr>
                      <w:rFonts w:hint="eastAsia" w:ascii="Times New Roman"/>
                      <w:sz w:val="21"/>
                      <w:szCs w:val="21"/>
                    </w:rPr>
                    <w:t>危险废物处置</w:t>
                  </w:r>
                </w:p>
              </w:tc>
              <w:tc>
                <w:tcPr>
                  <w:tcW w:w="1251" w:type="pct"/>
                  <w:vAlign w:val="center"/>
                </w:tcPr>
                <w:p w14:paraId="7A4EB4C0">
                  <w:pPr>
                    <w:pStyle w:val="52"/>
                    <w:spacing w:line="240" w:lineRule="auto"/>
                    <w:ind w:firstLine="0"/>
                    <w:jc w:val="center"/>
                    <w:rPr>
                      <w:rFonts w:ascii="Times New Roman"/>
                      <w:sz w:val="21"/>
                      <w:szCs w:val="21"/>
                    </w:rPr>
                  </w:pPr>
                  <w:r>
                    <w:rPr>
                      <w:rFonts w:hint="eastAsia" w:ascii="Times New Roman"/>
                      <w:sz w:val="21"/>
                      <w:szCs w:val="21"/>
                    </w:rPr>
                    <w:t>3</w:t>
                  </w:r>
                </w:p>
              </w:tc>
            </w:tr>
            <w:tr w14:paraId="13CB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vAlign w:val="center"/>
                </w:tcPr>
                <w:p w14:paraId="3D413EF2">
                  <w:pPr>
                    <w:pStyle w:val="52"/>
                    <w:spacing w:line="240" w:lineRule="auto"/>
                    <w:ind w:firstLine="0"/>
                    <w:jc w:val="center"/>
                    <w:rPr>
                      <w:rFonts w:ascii="Times New Roman"/>
                      <w:sz w:val="21"/>
                      <w:szCs w:val="21"/>
                    </w:rPr>
                  </w:pPr>
                  <w:r>
                    <w:rPr>
                      <w:rFonts w:ascii="Times New Roman"/>
                      <w:sz w:val="21"/>
                      <w:szCs w:val="21"/>
                    </w:rPr>
                    <w:t>2</w:t>
                  </w:r>
                </w:p>
              </w:tc>
              <w:tc>
                <w:tcPr>
                  <w:tcW w:w="945" w:type="pct"/>
                  <w:vMerge w:val="restart"/>
                  <w:vAlign w:val="center"/>
                </w:tcPr>
                <w:p w14:paraId="0B1896B8">
                  <w:pPr>
                    <w:pStyle w:val="52"/>
                    <w:spacing w:line="240" w:lineRule="auto"/>
                    <w:ind w:firstLine="0"/>
                    <w:jc w:val="center"/>
                    <w:rPr>
                      <w:rFonts w:ascii="Times New Roman"/>
                      <w:sz w:val="21"/>
                      <w:szCs w:val="21"/>
                    </w:rPr>
                  </w:pPr>
                  <w:r>
                    <w:rPr>
                      <w:rFonts w:ascii="Times New Roman"/>
                      <w:sz w:val="21"/>
                      <w:szCs w:val="21"/>
                    </w:rPr>
                    <w:t>废水治理</w:t>
                  </w:r>
                </w:p>
              </w:tc>
              <w:tc>
                <w:tcPr>
                  <w:tcW w:w="2378" w:type="pct"/>
                  <w:vAlign w:val="center"/>
                </w:tcPr>
                <w:p w14:paraId="495ACB4A">
                  <w:pPr>
                    <w:pStyle w:val="52"/>
                    <w:ind w:firstLine="0"/>
                    <w:jc w:val="center"/>
                    <w:rPr>
                      <w:rFonts w:ascii="Times New Roman"/>
                      <w:sz w:val="21"/>
                      <w:szCs w:val="21"/>
                    </w:rPr>
                  </w:pPr>
                  <w:r>
                    <w:rPr>
                      <w:rFonts w:ascii="Times New Roman"/>
                      <w:sz w:val="21"/>
                      <w:szCs w:val="21"/>
                    </w:rPr>
                    <w:t>化粪池</w:t>
                  </w:r>
                </w:p>
              </w:tc>
              <w:tc>
                <w:tcPr>
                  <w:tcW w:w="1251" w:type="pct"/>
                  <w:vAlign w:val="center"/>
                </w:tcPr>
                <w:p w14:paraId="3B35A36F">
                  <w:pPr>
                    <w:pStyle w:val="52"/>
                    <w:spacing w:line="240" w:lineRule="auto"/>
                    <w:ind w:firstLine="0"/>
                    <w:jc w:val="center"/>
                    <w:rPr>
                      <w:rFonts w:ascii="Times New Roman"/>
                      <w:sz w:val="21"/>
                      <w:szCs w:val="21"/>
                    </w:rPr>
                  </w:pPr>
                  <w:r>
                    <w:rPr>
                      <w:rFonts w:hint="eastAsia" w:ascii="Times New Roman"/>
                      <w:sz w:val="21"/>
                      <w:szCs w:val="21"/>
                    </w:rPr>
                    <w:t>5</w:t>
                  </w:r>
                </w:p>
              </w:tc>
            </w:tr>
            <w:tr w14:paraId="70A9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26" w:type="pct"/>
                  <w:vMerge w:val="continue"/>
                  <w:vAlign w:val="center"/>
                </w:tcPr>
                <w:p w14:paraId="08A24410">
                  <w:pPr>
                    <w:pStyle w:val="52"/>
                    <w:spacing w:line="240" w:lineRule="auto"/>
                    <w:ind w:firstLine="0"/>
                    <w:jc w:val="center"/>
                    <w:rPr>
                      <w:rFonts w:ascii="Times New Roman"/>
                      <w:sz w:val="21"/>
                      <w:szCs w:val="21"/>
                    </w:rPr>
                  </w:pPr>
                </w:p>
              </w:tc>
              <w:tc>
                <w:tcPr>
                  <w:tcW w:w="945" w:type="pct"/>
                  <w:vMerge w:val="continue"/>
                  <w:vAlign w:val="center"/>
                </w:tcPr>
                <w:p w14:paraId="5419D0F5">
                  <w:pPr>
                    <w:pStyle w:val="52"/>
                    <w:spacing w:line="240" w:lineRule="auto"/>
                    <w:ind w:firstLine="0"/>
                    <w:jc w:val="center"/>
                    <w:rPr>
                      <w:rFonts w:ascii="Times New Roman"/>
                      <w:sz w:val="21"/>
                      <w:szCs w:val="21"/>
                    </w:rPr>
                  </w:pPr>
                </w:p>
              </w:tc>
              <w:tc>
                <w:tcPr>
                  <w:tcW w:w="2378" w:type="pct"/>
                  <w:vAlign w:val="center"/>
                </w:tcPr>
                <w:p w14:paraId="7D723B37">
                  <w:pPr>
                    <w:pStyle w:val="52"/>
                    <w:spacing w:line="240" w:lineRule="auto"/>
                    <w:ind w:firstLine="0"/>
                    <w:jc w:val="center"/>
                    <w:rPr>
                      <w:rFonts w:ascii="Times New Roman"/>
                      <w:sz w:val="21"/>
                      <w:szCs w:val="21"/>
                    </w:rPr>
                  </w:pPr>
                  <w:r>
                    <w:rPr>
                      <w:rFonts w:ascii="Times New Roman"/>
                      <w:sz w:val="21"/>
                      <w:szCs w:val="21"/>
                    </w:rPr>
                    <w:t>雨污管网</w:t>
                  </w:r>
                </w:p>
              </w:tc>
              <w:tc>
                <w:tcPr>
                  <w:tcW w:w="1251" w:type="pct"/>
                  <w:vAlign w:val="center"/>
                </w:tcPr>
                <w:p w14:paraId="2256A29F">
                  <w:pPr>
                    <w:pStyle w:val="52"/>
                    <w:spacing w:line="240" w:lineRule="auto"/>
                    <w:ind w:firstLine="0"/>
                    <w:jc w:val="center"/>
                    <w:rPr>
                      <w:rFonts w:ascii="Times New Roman"/>
                      <w:sz w:val="21"/>
                      <w:szCs w:val="21"/>
                    </w:rPr>
                  </w:pPr>
                  <w:r>
                    <w:rPr>
                      <w:rFonts w:hint="eastAsia" w:ascii="Times New Roman"/>
                      <w:sz w:val="21"/>
                      <w:szCs w:val="21"/>
                    </w:rPr>
                    <w:t>20</w:t>
                  </w:r>
                </w:p>
              </w:tc>
            </w:tr>
            <w:tr w14:paraId="5D8C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14:paraId="4AC5A526">
                  <w:pPr>
                    <w:pStyle w:val="52"/>
                    <w:spacing w:line="240" w:lineRule="auto"/>
                    <w:ind w:firstLine="0"/>
                    <w:jc w:val="center"/>
                    <w:rPr>
                      <w:rFonts w:ascii="Times New Roman"/>
                      <w:sz w:val="21"/>
                      <w:szCs w:val="21"/>
                    </w:rPr>
                  </w:pPr>
                </w:p>
              </w:tc>
              <w:tc>
                <w:tcPr>
                  <w:tcW w:w="945" w:type="pct"/>
                  <w:vMerge w:val="continue"/>
                  <w:vAlign w:val="center"/>
                </w:tcPr>
                <w:p w14:paraId="1B5D7980">
                  <w:pPr>
                    <w:pStyle w:val="52"/>
                    <w:spacing w:line="240" w:lineRule="auto"/>
                    <w:ind w:firstLine="0"/>
                    <w:jc w:val="center"/>
                    <w:rPr>
                      <w:rFonts w:ascii="Times New Roman"/>
                      <w:sz w:val="21"/>
                      <w:szCs w:val="21"/>
                    </w:rPr>
                  </w:pPr>
                </w:p>
              </w:tc>
              <w:tc>
                <w:tcPr>
                  <w:tcW w:w="2378" w:type="pct"/>
                  <w:vAlign w:val="center"/>
                </w:tcPr>
                <w:p w14:paraId="77CEDC04">
                  <w:pPr>
                    <w:pStyle w:val="52"/>
                    <w:ind w:firstLine="0"/>
                    <w:jc w:val="center"/>
                    <w:rPr>
                      <w:rFonts w:ascii="Times New Roman"/>
                      <w:sz w:val="21"/>
                      <w:szCs w:val="21"/>
                    </w:rPr>
                  </w:pPr>
                  <w:r>
                    <w:rPr>
                      <w:rFonts w:hint="eastAsia" w:ascii="Times New Roman"/>
                      <w:sz w:val="21"/>
                      <w:szCs w:val="21"/>
                    </w:rPr>
                    <w:t>超声复合、撒粉涂布烘干废气 二级静电油雾器+活性炭吸附+催化燃烧装置 处理后通过</w:t>
                  </w:r>
                  <w:r>
                    <w:rPr>
                      <w:rFonts w:ascii="Times New Roman"/>
                      <w:sz w:val="21"/>
                      <w:szCs w:val="21"/>
                    </w:rPr>
                    <w:t>装置+15米排气筒</w:t>
                  </w:r>
                </w:p>
              </w:tc>
              <w:tc>
                <w:tcPr>
                  <w:tcW w:w="1251" w:type="pct"/>
                  <w:vAlign w:val="center"/>
                </w:tcPr>
                <w:p w14:paraId="55DB6A61">
                  <w:pPr>
                    <w:pStyle w:val="52"/>
                    <w:spacing w:line="240" w:lineRule="auto"/>
                    <w:ind w:firstLine="0"/>
                    <w:jc w:val="center"/>
                    <w:rPr>
                      <w:rFonts w:ascii="Times New Roman"/>
                      <w:sz w:val="21"/>
                      <w:szCs w:val="21"/>
                    </w:rPr>
                  </w:pPr>
                  <w:r>
                    <w:rPr>
                      <w:rFonts w:hint="eastAsia" w:ascii="Times New Roman"/>
                      <w:sz w:val="21"/>
                      <w:szCs w:val="21"/>
                    </w:rPr>
                    <w:t>55</w:t>
                  </w:r>
                </w:p>
              </w:tc>
            </w:tr>
            <w:tr w14:paraId="6459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14:paraId="4769A79C">
                  <w:pPr>
                    <w:pStyle w:val="52"/>
                    <w:spacing w:line="240" w:lineRule="auto"/>
                    <w:ind w:firstLine="0"/>
                    <w:jc w:val="center"/>
                    <w:rPr>
                      <w:rFonts w:ascii="Times New Roman"/>
                      <w:sz w:val="21"/>
                      <w:szCs w:val="21"/>
                    </w:rPr>
                  </w:pPr>
                </w:p>
              </w:tc>
              <w:tc>
                <w:tcPr>
                  <w:tcW w:w="945" w:type="pct"/>
                  <w:vMerge w:val="continue"/>
                  <w:vAlign w:val="center"/>
                </w:tcPr>
                <w:p w14:paraId="3B4FF7F2">
                  <w:pPr>
                    <w:pStyle w:val="52"/>
                    <w:spacing w:line="240" w:lineRule="auto"/>
                    <w:ind w:firstLine="0"/>
                    <w:jc w:val="center"/>
                    <w:rPr>
                      <w:rFonts w:ascii="Times New Roman"/>
                      <w:sz w:val="21"/>
                      <w:szCs w:val="21"/>
                    </w:rPr>
                  </w:pPr>
                </w:p>
              </w:tc>
              <w:tc>
                <w:tcPr>
                  <w:tcW w:w="2378" w:type="pct"/>
                  <w:vAlign w:val="center"/>
                </w:tcPr>
                <w:p w14:paraId="05E7C474">
                  <w:pPr>
                    <w:pStyle w:val="52"/>
                    <w:ind w:firstLine="0"/>
                    <w:jc w:val="center"/>
                    <w:rPr>
                      <w:rFonts w:ascii="Times New Roman"/>
                      <w:sz w:val="21"/>
                      <w:szCs w:val="21"/>
                    </w:rPr>
                  </w:pPr>
                  <w:r>
                    <w:rPr>
                      <w:rFonts w:hint="eastAsia" w:ascii="Times New Roman"/>
                      <w:sz w:val="21"/>
                      <w:szCs w:val="21"/>
                    </w:rPr>
                    <w:t>食堂油烟 油烟机</w:t>
                  </w:r>
                </w:p>
              </w:tc>
              <w:tc>
                <w:tcPr>
                  <w:tcW w:w="1251" w:type="pct"/>
                  <w:vAlign w:val="center"/>
                </w:tcPr>
                <w:p w14:paraId="276838D6">
                  <w:pPr>
                    <w:pStyle w:val="52"/>
                    <w:spacing w:line="240" w:lineRule="auto"/>
                    <w:ind w:firstLine="0"/>
                    <w:jc w:val="center"/>
                    <w:rPr>
                      <w:rFonts w:ascii="Times New Roman"/>
                      <w:sz w:val="21"/>
                      <w:szCs w:val="21"/>
                    </w:rPr>
                  </w:pPr>
                  <w:r>
                    <w:rPr>
                      <w:rFonts w:hint="eastAsia" w:ascii="Times New Roman"/>
                      <w:sz w:val="21"/>
                      <w:szCs w:val="21"/>
                    </w:rPr>
                    <w:t>1</w:t>
                  </w:r>
                </w:p>
              </w:tc>
            </w:tr>
            <w:tr w14:paraId="1FFE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0519D574">
                  <w:pPr>
                    <w:pStyle w:val="52"/>
                    <w:spacing w:line="240" w:lineRule="auto"/>
                    <w:ind w:firstLine="0"/>
                    <w:jc w:val="center"/>
                    <w:rPr>
                      <w:rFonts w:ascii="Times New Roman"/>
                      <w:sz w:val="21"/>
                      <w:szCs w:val="21"/>
                    </w:rPr>
                  </w:pPr>
                  <w:r>
                    <w:rPr>
                      <w:rFonts w:ascii="Times New Roman"/>
                      <w:sz w:val="21"/>
                      <w:szCs w:val="21"/>
                    </w:rPr>
                    <w:t>4</w:t>
                  </w:r>
                </w:p>
              </w:tc>
              <w:tc>
                <w:tcPr>
                  <w:tcW w:w="945" w:type="pct"/>
                  <w:vAlign w:val="center"/>
                </w:tcPr>
                <w:p w14:paraId="6AED1ABD">
                  <w:pPr>
                    <w:pStyle w:val="52"/>
                    <w:spacing w:line="240" w:lineRule="auto"/>
                    <w:ind w:firstLine="0"/>
                    <w:jc w:val="center"/>
                    <w:rPr>
                      <w:rFonts w:ascii="Times New Roman"/>
                      <w:sz w:val="21"/>
                      <w:szCs w:val="21"/>
                    </w:rPr>
                  </w:pPr>
                  <w:r>
                    <w:rPr>
                      <w:rFonts w:ascii="Times New Roman"/>
                      <w:sz w:val="21"/>
                      <w:szCs w:val="21"/>
                    </w:rPr>
                    <w:t>噪声</w:t>
                  </w:r>
                </w:p>
              </w:tc>
              <w:tc>
                <w:tcPr>
                  <w:tcW w:w="2378" w:type="pct"/>
                  <w:vAlign w:val="center"/>
                </w:tcPr>
                <w:p w14:paraId="2527C6F6">
                  <w:pPr>
                    <w:pStyle w:val="52"/>
                    <w:spacing w:line="240" w:lineRule="auto"/>
                    <w:ind w:firstLine="0"/>
                    <w:jc w:val="center"/>
                    <w:rPr>
                      <w:rFonts w:ascii="Times New Roman"/>
                      <w:sz w:val="21"/>
                      <w:szCs w:val="21"/>
                    </w:rPr>
                  </w:pPr>
                  <w:r>
                    <w:rPr>
                      <w:rFonts w:ascii="Times New Roman"/>
                      <w:sz w:val="21"/>
                      <w:szCs w:val="21"/>
                    </w:rPr>
                    <w:t>隔声、减振</w:t>
                  </w:r>
                </w:p>
              </w:tc>
              <w:tc>
                <w:tcPr>
                  <w:tcW w:w="1251" w:type="pct"/>
                  <w:vAlign w:val="center"/>
                </w:tcPr>
                <w:p w14:paraId="0208A06A">
                  <w:pPr>
                    <w:pStyle w:val="52"/>
                    <w:spacing w:line="240" w:lineRule="auto"/>
                    <w:ind w:firstLine="0"/>
                    <w:jc w:val="center"/>
                    <w:rPr>
                      <w:rFonts w:ascii="Times New Roman"/>
                      <w:sz w:val="21"/>
                      <w:szCs w:val="21"/>
                    </w:rPr>
                  </w:pPr>
                  <w:r>
                    <w:rPr>
                      <w:rFonts w:hint="eastAsia" w:ascii="Times New Roman"/>
                      <w:sz w:val="21"/>
                      <w:szCs w:val="21"/>
                    </w:rPr>
                    <w:t>10</w:t>
                  </w:r>
                </w:p>
              </w:tc>
            </w:tr>
            <w:tr w14:paraId="24C9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0A86EB7E">
                  <w:pPr>
                    <w:pStyle w:val="52"/>
                    <w:spacing w:line="240" w:lineRule="auto"/>
                    <w:ind w:firstLine="0"/>
                    <w:jc w:val="center"/>
                    <w:rPr>
                      <w:rFonts w:ascii="Times New Roman"/>
                      <w:sz w:val="21"/>
                      <w:szCs w:val="21"/>
                    </w:rPr>
                  </w:pPr>
                  <w:r>
                    <w:rPr>
                      <w:rFonts w:ascii="Times New Roman"/>
                      <w:sz w:val="21"/>
                      <w:szCs w:val="21"/>
                    </w:rPr>
                    <w:t>5</w:t>
                  </w:r>
                </w:p>
              </w:tc>
              <w:tc>
                <w:tcPr>
                  <w:tcW w:w="945" w:type="pct"/>
                  <w:vAlign w:val="center"/>
                </w:tcPr>
                <w:p w14:paraId="7504E7A9">
                  <w:pPr>
                    <w:pStyle w:val="52"/>
                    <w:spacing w:line="240" w:lineRule="auto"/>
                    <w:ind w:firstLine="0"/>
                    <w:jc w:val="center"/>
                    <w:rPr>
                      <w:rFonts w:ascii="Times New Roman"/>
                      <w:sz w:val="21"/>
                      <w:szCs w:val="21"/>
                    </w:rPr>
                  </w:pPr>
                  <w:r>
                    <w:rPr>
                      <w:rFonts w:ascii="Times New Roman"/>
                      <w:sz w:val="21"/>
                      <w:szCs w:val="21"/>
                    </w:rPr>
                    <w:t>/</w:t>
                  </w:r>
                </w:p>
              </w:tc>
              <w:tc>
                <w:tcPr>
                  <w:tcW w:w="2378" w:type="pct"/>
                  <w:vAlign w:val="center"/>
                </w:tcPr>
                <w:p w14:paraId="583822A6">
                  <w:pPr>
                    <w:pStyle w:val="52"/>
                    <w:spacing w:line="240" w:lineRule="auto"/>
                    <w:ind w:firstLine="0"/>
                    <w:jc w:val="center"/>
                    <w:rPr>
                      <w:rFonts w:ascii="Times New Roman"/>
                      <w:sz w:val="21"/>
                      <w:szCs w:val="21"/>
                    </w:rPr>
                  </w:pPr>
                  <w:r>
                    <w:rPr>
                      <w:rFonts w:ascii="Times New Roman"/>
                      <w:sz w:val="21"/>
                      <w:szCs w:val="21"/>
                    </w:rPr>
                    <w:t>合计</w:t>
                  </w:r>
                </w:p>
              </w:tc>
              <w:tc>
                <w:tcPr>
                  <w:tcW w:w="1251" w:type="pct"/>
                  <w:vAlign w:val="center"/>
                </w:tcPr>
                <w:p w14:paraId="7C9615A4">
                  <w:pPr>
                    <w:pStyle w:val="52"/>
                    <w:spacing w:line="240" w:lineRule="auto"/>
                    <w:ind w:firstLine="0"/>
                    <w:jc w:val="center"/>
                    <w:rPr>
                      <w:rFonts w:ascii="Times New Roman"/>
                      <w:sz w:val="21"/>
                      <w:szCs w:val="21"/>
                    </w:rPr>
                  </w:pPr>
                  <w:r>
                    <w:rPr>
                      <w:rFonts w:hint="eastAsia" w:ascii="Times New Roman"/>
                      <w:sz w:val="21"/>
                      <w:szCs w:val="21"/>
                    </w:rPr>
                    <w:t>100</w:t>
                  </w:r>
                </w:p>
              </w:tc>
            </w:tr>
          </w:tbl>
          <w:p w14:paraId="6C4235D3">
            <w:pPr>
              <w:spacing w:line="500" w:lineRule="exact"/>
              <w:rPr>
                <w:kern w:val="0"/>
                <w:sz w:val="24"/>
              </w:rPr>
            </w:pPr>
          </w:p>
        </w:tc>
      </w:tr>
    </w:tbl>
    <w:p w14:paraId="055B4D3D">
      <w:pPr>
        <w:adjustRightInd w:val="0"/>
        <w:snapToGrid w:val="0"/>
        <w:spacing w:line="360" w:lineRule="auto"/>
        <w:rPr>
          <w:rFonts w:ascii="宋体" w:cs="宋体"/>
          <w:b/>
          <w:kern w:val="0"/>
          <w:sz w:val="28"/>
          <w:szCs w:val="28"/>
        </w:rPr>
        <w:sectPr>
          <w:pgSz w:w="11907" w:h="16840"/>
          <w:pgMar w:top="1701" w:right="1531" w:bottom="2127" w:left="1531" w:header="851" w:footer="851" w:gutter="0"/>
          <w:pgNumType w:fmt="numberInDash"/>
          <w:cols w:space="720" w:num="1"/>
          <w:docGrid w:linePitch="312" w:charSpace="0"/>
        </w:sectPr>
      </w:pPr>
    </w:p>
    <w:p w14:paraId="1AAED25D">
      <w:pPr>
        <w:pStyle w:val="19"/>
        <w:jc w:val="center"/>
        <w:outlineLvl w:val="0"/>
        <w:rPr>
          <w:rFonts w:ascii="黑体" w:hAnsi="黑体" w:eastAsia="黑体"/>
          <w:snapToGrid w:val="0"/>
          <w:sz w:val="30"/>
          <w:szCs w:val="30"/>
        </w:rPr>
      </w:pPr>
      <w:bookmarkStart w:id="9" w:name="_Toc189401885"/>
      <w:r>
        <w:rPr>
          <w:rFonts w:hint="eastAsia" w:ascii="黑体" w:hAnsi="黑体" w:eastAsia="黑体"/>
          <w:snapToGrid w:val="0"/>
          <w:sz w:val="30"/>
          <w:szCs w:val="30"/>
        </w:rPr>
        <w:t>五、</w:t>
      </w:r>
      <w:bookmarkStart w:id="10" w:name="_Hlk54167917"/>
      <w:r>
        <w:rPr>
          <w:rFonts w:hint="eastAsia" w:ascii="黑体" w:hAnsi="黑体" w:eastAsia="黑体"/>
          <w:snapToGrid w:val="0"/>
          <w:sz w:val="30"/>
          <w:szCs w:val="30"/>
        </w:rPr>
        <w:t>环境保护措施监督检查清单</w:t>
      </w:r>
      <w:bookmarkEnd w:id="9"/>
      <w:bookmarkEnd w:id="10"/>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998"/>
        <w:gridCol w:w="1455"/>
        <w:gridCol w:w="1096"/>
        <w:gridCol w:w="1830"/>
        <w:gridCol w:w="2568"/>
      </w:tblGrid>
      <w:tr w14:paraId="765B5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4" w:type="pct"/>
            <w:tcBorders>
              <w:tl2br w:val="single" w:color="auto" w:sz="4" w:space="0"/>
            </w:tcBorders>
          </w:tcPr>
          <w:p w14:paraId="3FC8EBEA">
            <w:pPr>
              <w:adjustRightInd w:val="0"/>
              <w:snapToGrid w:val="0"/>
              <w:ind w:firstLine="422" w:firstLineChars="200"/>
              <w:rPr>
                <w:rFonts w:ascii="宋体" w:hAnsi="宋体" w:cs="宋体"/>
                <w:b/>
                <w:bCs/>
                <w:szCs w:val="21"/>
              </w:rPr>
            </w:pPr>
            <w:r>
              <w:rPr>
                <w:rFonts w:hint="eastAsia" w:ascii="宋体" w:hAnsi="宋体" w:cs="宋体"/>
                <w:b/>
                <w:bCs/>
                <w:szCs w:val="21"/>
              </w:rPr>
              <w:t>内容</w:t>
            </w:r>
          </w:p>
          <w:p w14:paraId="1A0F3758">
            <w:pPr>
              <w:adjustRightInd w:val="0"/>
              <w:snapToGrid w:val="0"/>
              <w:rPr>
                <w:rFonts w:ascii="宋体" w:hAnsi="宋体" w:cs="宋体"/>
                <w:b/>
                <w:bCs/>
                <w:szCs w:val="21"/>
              </w:rPr>
            </w:pPr>
            <w:r>
              <w:rPr>
                <w:rFonts w:hint="eastAsia" w:ascii="宋体" w:hAnsi="宋体" w:cs="宋体"/>
                <w:b/>
                <w:bCs/>
                <w:szCs w:val="21"/>
              </w:rPr>
              <w:t>要素</w:t>
            </w:r>
          </w:p>
        </w:tc>
        <w:tc>
          <w:tcPr>
            <w:tcW w:w="1354" w:type="pct"/>
            <w:gridSpan w:val="2"/>
            <w:vAlign w:val="center"/>
          </w:tcPr>
          <w:p w14:paraId="54CADB72">
            <w:pPr>
              <w:adjustRightInd w:val="0"/>
              <w:snapToGrid w:val="0"/>
              <w:jc w:val="center"/>
              <w:rPr>
                <w:rFonts w:ascii="宋体" w:hAnsi="宋体" w:cs="宋体"/>
                <w:b/>
                <w:bCs/>
                <w:szCs w:val="21"/>
              </w:rPr>
            </w:pPr>
            <w:r>
              <w:rPr>
                <w:rFonts w:hint="eastAsia" w:ascii="宋体" w:hAnsi="宋体" w:cs="宋体"/>
                <w:b/>
                <w:bCs/>
                <w:szCs w:val="21"/>
              </w:rPr>
              <w:t>排放口(编号、</w:t>
            </w:r>
          </w:p>
          <w:p w14:paraId="05519243">
            <w:pPr>
              <w:adjustRightInd w:val="0"/>
              <w:snapToGrid w:val="0"/>
              <w:jc w:val="center"/>
              <w:rPr>
                <w:rFonts w:ascii="宋体" w:hAnsi="宋体" w:cs="宋体"/>
                <w:b/>
                <w:bCs/>
                <w:szCs w:val="21"/>
              </w:rPr>
            </w:pPr>
            <w:r>
              <w:rPr>
                <w:rFonts w:hint="eastAsia" w:ascii="宋体" w:hAnsi="宋体" w:cs="宋体"/>
                <w:b/>
                <w:bCs/>
                <w:szCs w:val="21"/>
              </w:rPr>
              <w:t>名称)/污染源</w:t>
            </w:r>
          </w:p>
        </w:tc>
        <w:tc>
          <w:tcPr>
            <w:tcW w:w="605" w:type="pct"/>
            <w:vAlign w:val="center"/>
          </w:tcPr>
          <w:p w14:paraId="2564D2C2">
            <w:pPr>
              <w:adjustRightInd w:val="0"/>
              <w:snapToGrid w:val="0"/>
              <w:jc w:val="center"/>
              <w:rPr>
                <w:rFonts w:ascii="宋体" w:hAnsi="宋体" w:cs="宋体"/>
                <w:b/>
                <w:bCs/>
                <w:szCs w:val="21"/>
              </w:rPr>
            </w:pPr>
            <w:r>
              <w:rPr>
                <w:rFonts w:hint="eastAsia" w:ascii="宋体" w:hAnsi="宋体" w:cs="宋体"/>
                <w:b/>
                <w:bCs/>
                <w:szCs w:val="21"/>
              </w:rPr>
              <w:t>污染物</w:t>
            </w:r>
          </w:p>
          <w:p w14:paraId="27F61BB8">
            <w:pPr>
              <w:adjustRightInd w:val="0"/>
              <w:snapToGrid w:val="0"/>
              <w:jc w:val="center"/>
              <w:rPr>
                <w:rFonts w:ascii="宋体" w:hAnsi="宋体" w:cs="宋体"/>
                <w:b/>
                <w:bCs/>
                <w:szCs w:val="21"/>
              </w:rPr>
            </w:pPr>
            <w:r>
              <w:rPr>
                <w:rFonts w:hint="eastAsia" w:ascii="宋体" w:hAnsi="宋体" w:cs="宋体"/>
                <w:b/>
                <w:bCs/>
                <w:szCs w:val="21"/>
              </w:rPr>
              <w:t>项目</w:t>
            </w:r>
          </w:p>
        </w:tc>
        <w:tc>
          <w:tcPr>
            <w:tcW w:w="1010" w:type="pct"/>
            <w:vAlign w:val="center"/>
          </w:tcPr>
          <w:p w14:paraId="27922103">
            <w:pPr>
              <w:adjustRightInd w:val="0"/>
              <w:snapToGrid w:val="0"/>
              <w:jc w:val="center"/>
              <w:rPr>
                <w:rFonts w:ascii="宋体" w:hAnsi="宋体" w:cs="宋体"/>
                <w:b/>
                <w:bCs/>
                <w:szCs w:val="21"/>
              </w:rPr>
            </w:pPr>
            <w:r>
              <w:rPr>
                <w:rFonts w:hint="eastAsia" w:ascii="宋体" w:hAnsi="宋体" w:cs="宋体"/>
                <w:b/>
                <w:bCs/>
                <w:szCs w:val="21"/>
              </w:rPr>
              <w:t>环境保护措施</w:t>
            </w:r>
          </w:p>
        </w:tc>
        <w:tc>
          <w:tcPr>
            <w:tcW w:w="1417" w:type="pct"/>
            <w:vAlign w:val="center"/>
          </w:tcPr>
          <w:p w14:paraId="2C09284A">
            <w:pPr>
              <w:adjustRightInd w:val="0"/>
              <w:snapToGrid w:val="0"/>
              <w:jc w:val="center"/>
              <w:rPr>
                <w:rFonts w:ascii="宋体" w:hAnsi="宋体" w:cs="宋体"/>
                <w:b/>
                <w:bCs/>
                <w:szCs w:val="21"/>
              </w:rPr>
            </w:pPr>
            <w:r>
              <w:rPr>
                <w:rFonts w:hint="eastAsia" w:ascii="宋体" w:hAnsi="宋体" w:cs="宋体"/>
                <w:b/>
                <w:bCs/>
                <w:szCs w:val="21"/>
              </w:rPr>
              <w:t>执行标准</w:t>
            </w:r>
          </w:p>
        </w:tc>
      </w:tr>
      <w:tr w14:paraId="03E06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14" w:type="pct"/>
            <w:vMerge w:val="restart"/>
            <w:vAlign w:val="center"/>
          </w:tcPr>
          <w:p w14:paraId="29C695D6">
            <w:pPr>
              <w:adjustRightInd w:val="0"/>
              <w:snapToGrid w:val="0"/>
              <w:jc w:val="center"/>
              <w:rPr>
                <w:rFonts w:ascii="宋体" w:hAnsi="宋体" w:cs="宋体"/>
                <w:szCs w:val="21"/>
              </w:rPr>
            </w:pPr>
            <w:r>
              <w:rPr>
                <w:rFonts w:hint="eastAsia" w:ascii="宋体" w:hAnsi="宋体" w:cs="宋体"/>
                <w:szCs w:val="21"/>
              </w:rPr>
              <w:t>大气环境</w:t>
            </w:r>
          </w:p>
        </w:tc>
        <w:tc>
          <w:tcPr>
            <w:tcW w:w="1354" w:type="pct"/>
            <w:gridSpan w:val="2"/>
            <w:vMerge w:val="restart"/>
            <w:vAlign w:val="center"/>
          </w:tcPr>
          <w:p w14:paraId="426EF235">
            <w:pPr>
              <w:widowControl/>
              <w:jc w:val="center"/>
              <w:rPr>
                <w:rFonts w:ascii="宋体" w:hAnsi="宋体" w:cs="宋体"/>
                <w:szCs w:val="21"/>
              </w:rPr>
            </w:pPr>
            <w:r>
              <w:rPr>
                <w:color w:val="000000"/>
                <w:kern w:val="0"/>
                <w:szCs w:val="21"/>
                <w:lang w:bidi="ar"/>
              </w:rPr>
              <w:t xml:space="preserve">DA001 </w:t>
            </w:r>
            <w:r>
              <w:rPr>
                <w:rFonts w:hint="eastAsia"/>
                <w:color w:val="000000"/>
                <w:kern w:val="0"/>
                <w:szCs w:val="21"/>
                <w:lang w:bidi="ar"/>
              </w:rPr>
              <w:t>超声复合、撒粉涂布烘干废气</w:t>
            </w:r>
            <w:r>
              <w:rPr>
                <w:rFonts w:ascii="瀹嬩綋" w:hAnsi="瀹嬩綋" w:eastAsia="瀹嬩綋" w:cs="瀹嬩綋"/>
                <w:color w:val="000000"/>
                <w:kern w:val="0"/>
                <w:szCs w:val="21"/>
                <w:lang w:bidi="ar"/>
              </w:rPr>
              <w:t>排放口</w:t>
            </w:r>
          </w:p>
        </w:tc>
        <w:tc>
          <w:tcPr>
            <w:tcW w:w="605" w:type="pct"/>
            <w:vAlign w:val="center"/>
          </w:tcPr>
          <w:p w14:paraId="354EAF53">
            <w:pPr>
              <w:widowControl/>
              <w:jc w:val="center"/>
              <w:rPr>
                <w:rFonts w:ascii="宋体" w:hAnsi="宋体" w:cs="宋体"/>
                <w:szCs w:val="21"/>
              </w:rPr>
            </w:pPr>
            <w:r>
              <w:rPr>
                <w:color w:val="000000"/>
                <w:kern w:val="0"/>
                <w:szCs w:val="21"/>
                <w:lang w:bidi="ar"/>
              </w:rPr>
              <w:t>NMHC</w:t>
            </w:r>
          </w:p>
        </w:tc>
        <w:tc>
          <w:tcPr>
            <w:tcW w:w="1010" w:type="pct"/>
            <w:vMerge w:val="restart"/>
            <w:vAlign w:val="center"/>
          </w:tcPr>
          <w:p w14:paraId="43056575">
            <w:pPr>
              <w:widowControl/>
              <w:jc w:val="center"/>
            </w:pPr>
            <w:r>
              <w:rPr>
                <w:rFonts w:ascii="瀹嬩綋" w:hAnsi="瀹嬩綋" w:eastAsia="瀹嬩綋" w:cs="瀹嬩綋"/>
                <w:color w:val="000000"/>
                <w:kern w:val="0"/>
                <w:szCs w:val="21"/>
                <w:lang w:bidi="ar"/>
              </w:rPr>
              <w:t>集气罩</w:t>
            </w:r>
            <w:r>
              <w:rPr>
                <w:color w:val="000000"/>
                <w:kern w:val="0"/>
                <w:szCs w:val="21"/>
                <w:lang w:bidi="ar"/>
              </w:rPr>
              <w:t>/</w:t>
            </w:r>
            <w:r>
              <w:rPr>
                <w:rFonts w:ascii="瀹嬩綋" w:hAnsi="瀹嬩綋" w:eastAsia="瀹嬩綋" w:cs="瀹嬩綋"/>
                <w:color w:val="000000"/>
                <w:kern w:val="0"/>
                <w:szCs w:val="21"/>
                <w:lang w:bidi="ar"/>
              </w:rPr>
              <w:t>集气管</w:t>
            </w:r>
            <w:r>
              <w:rPr>
                <w:color w:val="000000"/>
                <w:kern w:val="0"/>
                <w:szCs w:val="21"/>
                <w:lang w:bidi="ar"/>
              </w:rPr>
              <w:t>+</w:t>
            </w:r>
            <w:r>
              <w:rPr>
                <w:rFonts w:hint="eastAsia"/>
                <w:color w:val="000000"/>
                <w:kern w:val="0"/>
                <w:szCs w:val="21"/>
                <w:lang w:bidi="ar"/>
              </w:rPr>
              <w:t>二级静电油雾器+</w:t>
            </w:r>
            <w:r>
              <w:rPr>
                <w:rFonts w:ascii="瀹嬩綋" w:hAnsi="瀹嬩綋" w:eastAsia="瀹嬩綋" w:cs="瀹嬩綋"/>
                <w:color w:val="000000"/>
                <w:kern w:val="0"/>
                <w:szCs w:val="21"/>
                <w:lang w:bidi="ar"/>
              </w:rPr>
              <w:t>活性炭吸附</w:t>
            </w:r>
            <w:r>
              <w:rPr>
                <w:rFonts w:hint="eastAsia" w:ascii="瀹嬩綋" w:hAnsi="瀹嬩綋" w:eastAsia="瀹嬩綋" w:cs="瀹嬩綋"/>
                <w:color w:val="000000"/>
                <w:kern w:val="0"/>
                <w:szCs w:val="21"/>
                <w:lang w:bidi="ar"/>
              </w:rPr>
              <w:t>+</w:t>
            </w:r>
            <w:r>
              <w:rPr>
                <w:rFonts w:hint="eastAsia" w:ascii="宋体" w:hAnsi="宋体" w:cs="宋体"/>
                <w:color w:val="000000"/>
                <w:kern w:val="0"/>
                <w:szCs w:val="21"/>
                <w:lang w:bidi="ar"/>
              </w:rPr>
              <w:t>催化燃烧</w:t>
            </w:r>
            <w:r>
              <w:rPr>
                <w:rFonts w:ascii="瀹嬩綋" w:hAnsi="瀹嬩綋" w:eastAsia="瀹嬩綋" w:cs="瀹嬩綋"/>
                <w:color w:val="000000"/>
                <w:kern w:val="0"/>
                <w:szCs w:val="21"/>
                <w:lang w:bidi="ar"/>
              </w:rPr>
              <w:t>装置</w:t>
            </w:r>
          </w:p>
          <w:p w14:paraId="411207E1">
            <w:pPr>
              <w:widowControl/>
              <w:jc w:val="center"/>
              <w:rPr>
                <w:rFonts w:ascii="宋体" w:hAnsi="宋体" w:cs="宋体"/>
                <w:szCs w:val="21"/>
              </w:rPr>
            </w:pPr>
            <w:r>
              <w:rPr>
                <w:color w:val="000000"/>
                <w:kern w:val="0"/>
                <w:szCs w:val="21"/>
                <w:lang w:bidi="ar"/>
              </w:rPr>
              <w:t>+</w:t>
            </w:r>
            <w:r>
              <w:rPr>
                <w:rFonts w:hint="eastAsia"/>
                <w:color w:val="000000"/>
                <w:kern w:val="0"/>
                <w:szCs w:val="21"/>
                <w:lang w:bidi="ar"/>
              </w:rPr>
              <w:t>1</w:t>
            </w:r>
            <w:r>
              <w:rPr>
                <w:color w:val="000000"/>
                <w:kern w:val="0"/>
                <w:szCs w:val="21"/>
                <w:lang w:bidi="ar"/>
              </w:rPr>
              <w:t>5</w:t>
            </w:r>
            <w:r>
              <w:rPr>
                <w:rFonts w:ascii="瀹嬩綋" w:hAnsi="瀹嬩綋" w:eastAsia="瀹嬩綋" w:cs="瀹嬩綋"/>
                <w:color w:val="000000"/>
                <w:kern w:val="0"/>
                <w:szCs w:val="21"/>
                <w:lang w:bidi="ar"/>
              </w:rPr>
              <w:t>米高排气筒</w:t>
            </w:r>
          </w:p>
        </w:tc>
        <w:tc>
          <w:tcPr>
            <w:tcW w:w="1417" w:type="pct"/>
            <w:vAlign w:val="center"/>
          </w:tcPr>
          <w:p w14:paraId="6BC51C6D">
            <w:pPr>
              <w:widowControl/>
              <w:jc w:val="center"/>
              <w:rPr>
                <w:rFonts w:ascii="宋体" w:hAnsi="宋体" w:cs="宋体"/>
                <w:szCs w:val="21"/>
              </w:rPr>
            </w:pPr>
            <w:r>
              <w:rPr>
                <w:rFonts w:hint="eastAsia" w:ascii="宋体" w:hAnsi="宋体" w:cs="宋体"/>
                <w:color w:val="000000"/>
                <w:kern w:val="0"/>
                <w:szCs w:val="21"/>
                <w:lang w:bidi="ar"/>
              </w:rPr>
              <w:t>《固定源挥发性有机物综合排放标准 第6部分 其他行业》（DB34/4812.6-2024）表1</w:t>
            </w:r>
          </w:p>
        </w:tc>
      </w:tr>
      <w:tr w14:paraId="5C55E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14" w:type="pct"/>
            <w:vMerge w:val="continue"/>
            <w:vAlign w:val="center"/>
          </w:tcPr>
          <w:p w14:paraId="151AB3E3">
            <w:pPr>
              <w:adjustRightInd w:val="0"/>
              <w:snapToGrid w:val="0"/>
              <w:jc w:val="center"/>
              <w:rPr>
                <w:rFonts w:ascii="宋体" w:hAnsi="宋体" w:cs="宋体"/>
                <w:szCs w:val="21"/>
              </w:rPr>
            </w:pPr>
          </w:p>
        </w:tc>
        <w:tc>
          <w:tcPr>
            <w:tcW w:w="1354" w:type="pct"/>
            <w:gridSpan w:val="2"/>
            <w:vMerge w:val="continue"/>
            <w:vAlign w:val="center"/>
          </w:tcPr>
          <w:p w14:paraId="3C73D44C">
            <w:pPr>
              <w:widowControl/>
              <w:jc w:val="center"/>
              <w:rPr>
                <w:color w:val="000000"/>
                <w:kern w:val="0"/>
                <w:szCs w:val="21"/>
                <w:lang w:bidi="ar"/>
              </w:rPr>
            </w:pPr>
          </w:p>
        </w:tc>
        <w:tc>
          <w:tcPr>
            <w:tcW w:w="605" w:type="pct"/>
            <w:vAlign w:val="center"/>
          </w:tcPr>
          <w:p w14:paraId="42A4305D">
            <w:pPr>
              <w:widowControl/>
              <w:jc w:val="center"/>
              <w:rPr>
                <w:color w:val="000000"/>
                <w:kern w:val="0"/>
                <w:szCs w:val="21"/>
                <w:lang w:bidi="ar"/>
              </w:rPr>
            </w:pPr>
            <w:r>
              <w:rPr>
                <w:rFonts w:hint="eastAsia"/>
                <w:color w:val="000000"/>
                <w:kern w:val="0"/>
                <w:szCs w:val="21"/>
                <w:lang w:bidi="ar"/>
              </w:rPr>
              <w:t>颗粒物</w:t>
            </w:r>
          </w:p>
        </w:tc>
        <w:tc>
          <w:tcPr>
            <w:tcW w:w="1010" w:type="pct"/>
            <w:vMerge w:val="continue"/>
            <w:vAlign w:val="center"/>
          </w:tcPr>
          <w:p w14:paraId="2FE047F0">
            <w:pPr>
              <w:widowControl/>
              <w:jc w:val="center"/>
              <w:rPr>
                <w:rFonts w:ascii="瀹嬩綋" w:hAnsi="瀹嬩綋" w:eastAsia="瀹嬩綋" w:cs="瀹嬩綋"/>
                <w:color w:val="000000"/>
                <w:kern w:val="0"/>
                <w:szCs w:val="21"/>
                <w:lang w:bidi="ar"/>
              </w:rPr>
            </w:pPr>
          </w:p>
        </w:tc>
        <w:tc>
          <w:tcPr>
            <w:tcW w:w="1417" w:type="pct"/>
            <w:vAlign w:val="center"/>
          </w:tcPr>
          <w:p w14:paraId="4A348818">
            <w:pPr>
              <w:widowControl/>
              <w:jc w:val="center"/>
              <w:rPr>
                <w:rFonts w:ascii="宋体" w:hAnsi="宋体" w:cs="宋体"/>
                <w:color w:val="000000"/>
                <w:kern w:val="0"/>
                <w:szCs w:val="21"/>
                <w:lang w:bidi="ar"/>
              </w:rPr>
            </w:pPr>
            <w:r>
              <w:rPr>
                <w:rFonts w:hint="eastAsia" w:ascii="宋体" w:hAnsi="宋体" w:cs="宋体"/>
                <w:color w:val="000000"/>
                <w:kern w:val="0"/>
                <w:szCs w:val="21"/>
                <w:lang w:bidi="ar"/>
              </w:rPr>
              <w:t>GB 16297-1996 《大气污染物综合排放标准》表2</w:t>
            </w:r>
          </w:p>
        </w:tc>
      </w:tr>
      <w:tr w14:paraId="2018A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14" w:type="pct"/>
            <w:vMerge w:val="continue"/>
            <w:vAlign w:val="center"/>
          </w:tcPr>
          <w:p w14:paraId="53906D4B">
            <w:pPr>
              <w:adjustRightInd w:val="0"/>
              <w:snapToGrid w:val="0"/>
              <w:jc w:val="center"/>
            </w:pPr>
          </w:p>
        </w:tc>
        <w:tc>
          <w:tcPr>
            <w:tcW w:w="1354" w:type="pct"/>
            <w:gridSpan w:val="2"/>
            <w:vMerge w:val="continue"/>
            <w:vAlign w:val="center"/>
          </w:tcPr>
          <w:p w14:paraId="66BDCA15">
            <w:pPr>
              <w:adjustRightInd w:val="0"/>
              <w:snapToGrid w:val="0"/>
              <w:jc w:val="center"/>
            </w:pPr>
          </w:p>
        </w:tc>
        <w:tc>
          <w:tcPr>
            <w:tcW w:w="605" w:type="pct"/>
            <w:vAlign w:val="center"/>
          </w:tcPr>
          <w:p w14:paraId="2C059264">
            <w:pPr>
              <w:widowControl/>
              <w:jc w:val="center"/>
              <w:rPr>
                <w:rFonts w:ascii="宋体" w:hAnsi="宋体" w:cs="宋体"/>
                <w:szCs w:val="21"/>
              </w:rPr>
            </w:pPr>
            <w:r>
              <w:rPr>
                <w:rFonts w:hint="eastAsia" w:ascii="宋体" w:hAnsi="宋体" w:cs="宋体"/>
                <w:color w:val="000000"/>
                <w:kern w:val="0"/>
                <w:szCs w:val="21"/>
                <w:lang w:bidi="ar"/>
              </w:rPr>
              <w:t>氨</w:t>
            </w:r>
          </w:p>
        </w:tc>
        <w:tc>
          <w:tcPr>
            <w:tcW w:w="1010" w:type="pct"/>
            <w:vMerge w:val="continue"/>
            <w:vAlign w:val="center"/>
          </w:tcPr>
          <w:p w14:paraId="6CCDD7B3">
            <w:pPr>
              <w:adjustRightInd w:val="0"/>
              <w:snapToGrid w:val="0"/>
              <w:jc w:val="center"/>
              <w:rPr>
                <w:rFonts w:ascii="宋体" w:hAnsi="宋体" w:cs="宋体"/>
                <w:szCs w:val="21"/>
              </w:rPr>
            </w:pPr>
          </w:p>
        </w:tc>
        <w:tc>
          <w:tcPr>
            <w:tcW w:w="1417" w:type="pct"/>
            <w:vMerge w:val="restart"/>
            <w:vAlign w:val="center"/>
          </w:tcPr>
          <w:p w14:paraId="2BF99011">
            <w:pPr>
              <w:widowControl/>
              <w:jc w:val="center"/>
              <w:rPr>
                <w:rFonts w:ascii="宋体" w:hAnsi="宋体" w:cs="宋体"/>
                <w:szCs w:val="21"/>
              </w:rPr>
            </w:pPr>
            <w:r>
              <w:rPr>
                <w:rFonts w:hint="eastAsia" w:ascii="宋体" w:hAnsi="宋体" w:cs="宋体"/>
                <w:color w:val="000000"/>
                <w:kern w:val="0"/>
                <w:szCs w:val="21"/>
                <w:lang w:bidi="ar"/>
              </w:rPr>
              <w:t>《恶臭污染物排放标准》（GB14554-93）</w:t>
            </w:r>
          </w:p>
        </w:tc>
      </w:tr>
      <w:tr w14:paraId="67281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14" w:type="pct"/>
            <w:vMerge w:val="continue"/>
            <w:vAlign w:val="center"/>
          </w:tcPr>
          <w:p w14:paraId="43AF069B">
            <w:pPr>
              <w:adjustRightInd w:val="0"/>
              <w:snapToGrid w:val="0"/>
              <w:jc w:val="center"/>
            </w:pPr>
          </w:p>
        </w:tc>
        <w:tc>
          <w:tcPr>
            <w:tcW w:w="1354" w:type="pct"/>
            <w:gridSpan w:val="2"/>
            <w:vMerge w:val="continue"/>
            <w:vAlign w:val="center"/>
          </w:tcPr>
          <w:p w14:paraId="2C9D35A3">
            <w:pPr>
              <w:adjustRightInd w:val="0"/>
              <w:snapToGrid w:val="0"/>
              <w:jc w:val="center"/>
            </w:pPr>
          </w:p>
        </w:tc>
        <w:tc>
          <w:tcPr>
            <w:tcW w:w="605" w:type="pct"/>
            <w:vAlign w:val="center"/>
          </w:tcPr>
          <w:p w14:paraId="261F7313">
            <w:pPr>
              <w:widowControl/>
              <w:jc w:val="center"/>
              <w:rPr>
                <w:rFonts w:ascii="瀹嬩綋" w:hAnsi="瀹嬩綋" w:eastAsia="瀹嬩綋" w:cs="瀹嬩綋"/>
                <w:color w:val="000000"/>
                <w:kern w:val="0"/>
                <w:szCs w:val="21"/>
                <w:lang w:bidi="ar"/>
              </w:rPr>
            </w:pPr>
            <w:r>
              <w:rPr>
                <w:rFonts w:hint="eastAsia" w:ascii="宋体" w:hAnsi="宋体" w:cs="宋体"/>
                <w:color w:val="000000"/>
                <w:kern w:val="0"/>
                <w:szCs w:val="21"/>
                <w:lang w:bidi="ar"/>
              </w:rPr>
              <w:t>臭气浓度</w:t>
            </w:r>
          </w:p>
        </w:tc>
        <w:tc>
          <w:tcPr>
            <w:tcW w:w="1010" w:type="pct"/>
            <w:vMerge w:val="continue"/>
            <w:vAlign w:val="center"/>
          </w:tcPr>
          <w:p w14:paraId="1F8E76F9">
            <w:pPr>
              <w:adjustRightInd w:val="0"/>
              <w:snapToGrid w:val="0"/>
              <w:jc w:val="center"/>
              <w:rPr>
                <w:rFonts w:ascii="宋体" w:hAnsi="宋体" w:cs="宋体"/>
                <w:szCs w:val="21"/>
              </w:rPr>
            </w:pPr>
          </w:p>
        </w:tc>
        <w:tc>
          <w:tcPr>
            <w:tcW w:w="1417" w:type="pct"/>
            <w:vMerge w:val="continue"/>
            <w:vAlign w:val="center"/>
          </w:tcPr>
          <w:p w14:paraId="3776E47B">
            <w:pPr>
              <w:widowControl/>
              <w:jc w:val="center"/>
              <w:rPr>
                <w:rFonts w:ascii="宋体" w:hAnsi="宋体" w:cs="宋体"/>
                <w:color w:val="000000"/>
                <w:kern w:val="0"/>
                <w:szCs w:val="21"/>
                <w:lang w:bidi="ar"/>
              </w:rPr>
            </w:pPr>
          </w:p>
        </w:tc>
      </w:tr>
      <w:tr w14:paraId="068EF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614" w:type="pct"/>
            <w:vMerge w:val="continue"/>
            <w:vAlign w:val="center"/>
          </w:tcPr>
          <w:p w14:paraId="7B6A59AB">
            <w:pPr>
              <w:adjustRightInd w:val="0"/>
              <w:snapToGrid w:val="0"/>
              <w:jc w:val="center"/>
              <w:rPr>
                <w:rFonts w:ascii="宋体" w:hAnsi="宋体" w:cs="宋体"/>
                <w:szCs w:val="21"/>
              </w:rPr>
            </w:pPr>
          </w:p>
        </w:tc>
        <w:tc>
          <w:tcPr>
            <w:tcW w:w="551" w:type="pct"/>
            <w:vMerge w:val="restart"/>
            <w:vAlign w:val="center"/>
          </w:tcPr>
          <w:p w14:paraId="39FEDF25">
            <w:pPr>
              <w:widowControl/>
              <w:jc w:val="center"/>
            </w:pPr>
            <w:r>
              <w:rPr>
                <w:rFonts w:ascii="瀹嬩綋" w:hAnsi="瀹嬩綋" w:eastAsia="瀹嬩綋" w:cs="瀹嬩綋"/>
                <w:color w:val="000000"/>
                <w:kern w:val="0"/>
                <w:szCs w:val="21"/>
                <w:lang w:bidi="ar"/>
              </w:rPr>
              <w:t>无</w:t>
            </w:r>
          </w:p>
          <w:p w14:paraId="01C3692F">
            <w:pPr>
              <w:widowControl/>
              <w:jc w:val="center"/>
            </w:pPr>
            <w:r>
              <w:rPr>
                <w:rFonts w:ascii="瀹嬩綋" w:hAnsi="瀹嬩綋" w:eastAsia="瀹嬩綋" w:cs="瀹嬩綋"/>
                <w:color w:val="000000"/>
                <w:kern w:val="0"/>
                <w:szCs w:val="21"/>
                <w:lang w:bidi="ar"/>
              </w:rPr>
              <w:t>组</w:t>
            </w:r>
          </w:p>
          <w:p w14:paraId="40A6E247">
            <w:pPr>
              <w:widowControl/>
              <w:jc w:val="center"/>
            </w:pPr>
            <w:r>
              <w:rPr>
                <w:rFonts w:ascii="瀹嬩綋" w:hAnsi="瀹嬩綋" w:eastAsia="瀹嬩綋" w:cs="瀹嬩綋"/>
                <w:color w:val="000000"/>
                <w:kern w:val="0"/>
                <w:szCs w:val="21"/>
                <w:lang w:bidi="ar"/>
              </w:rPr>
              <w:t>织</w:t>
            </w:r>
          </w:p>
          <w:p w14:paraId="5D438C18">
            <w:pPr>
              <w:widowControl/>
              <w:jc w:val="center"/>
            </w:pPr>
            <w:r>
              <w:rPr>
                <w:rFonts w:ascii="瀹嬩綋" w:hAnsi="瀹嬩綋" w:eastAsia="瀹嬩綋" w:cs="瀹嬩綋"/>
                <w:color w:val="000000"/>
                <w:kern w:val="0"/>
                <w:szCs w:val="21"/>
                <w:lang w:bidi="ar"/>
              </w:rPr>
              <w:t>排</w:t>
            </w:r>
          </w:p>
          <w:p w14:paraId="03625E72">
            <w:pPr>
              <w:widowControl/>
              <w:jc w:val="center"/>
            </w:pPr>
            <w:r>
              <w:rPr>
                <w:rFonts w:ascii="瀹嬩綋" w:hAnsi="瀹嬩綋" w:eastAsia="瀹嬩綋" w:cs="瀹嬩綋"/>
                <w:color w:val="000000"/>
                <w:kern w:val="0"/>
                <w:szCs w:val="21"/>
                <w:lang w:bidi="ar"/>
              </w:rPr>
              <w:t>放</w:t>
            </w:r>
            <w:r>
              <w:rPr>
                <w:color w:val="000000"/>
                <w:kern w:val="0"/>
                <w:szCs w:val="21"/>
                <w:lang w:bidi="ar"/>
              </w:rPr>
              <w:t>-</w:t>
            </w:r>
          </w:p>
          <w:p w14:paraId="6FCDFA34">
            <w:pPr>
              <w:widowControl/>
              <w:jc w:val="center"/>
            </w:pPr>
            <w:r>
              <w:rPr>
                <w:rFonts w:ascii="瀹嬩綋" w:hAnsi="瀹嬩綋" w:eastAsia="瀹嬩綋" w:cs="瀹嬩綋"/>
                <w:color w:val="000000"/>
                <w:kern w:val="0"/>
                <w:szCs w:val="21"/>
                <w:lang w:bidi="ar"/>
              </w:rPr>
              <w:t>厂</w:t>
            </w:r>
          </w:p>
          <w:p w14:paraId="4C047EF9">
            <w:pPr>
              <w:widowControl/>
              <w:jc w:val="center"/>
              <w:rPr>
                <w:rFonts w:ascii="宋体" w:hAnsi="宋体" w:cs="宋体"/>
                <w:szCs w:val="21"/>
              </w:rPr>
            </w:pPr>
            <w:r>
              <w:rPr>
                <w:rFonts w:ascii="瀹嬩綋" w:hAnsi="瀹嬩綋" w:eastAsia="瀹嬩綋" w:cs="瀹嬩綋"/>
                <w:color w:val="000000"/>
                <w:kern w:val="0"/>
                <w:szCs w:val="21"/>
                <w:lang w:bidi="ar"/>
              </w:rPr>
              <w:t>界</w:t>
            </w:r>
          </w:p>
        </w:tc>
        <w:tc>
          <w:tcPr>
            <w:tcW w:w="803" w:type="pct"/>
            <w:vAlign w:val="center"/>
          </w:tcPr>
          <w:p w14:paraId="6387E774">
            <w:pPr>
              <w:widowControl/>
              <w:jc w:val="center"/>
              <w:rPr>
                <w:rFonts w:ascii="宋体" w:hAnsi="宋体" w:cs="宋体"/>
                <w:szCs w:val="21"/>
              </w:rPr>
            </w:pPr>
            <w:r>
              <w:rPr>
                <w:rFonts w:hint="eastAsia" w:ascii="宋体" w:hAnsi="宋体" w:cs="宋体"/>
                <w:color w:val="000000"/>
                <w:kern w:val="0"/>
                <w:szCs w:val="21"/>
                <w:lang w:bidi="ar"/>
              </w:rPr>
              <w:t>镀锌钢卷切割</w:t>
            </w:r>
          </w:p>
        </w:tc>
        <w:tc>
          <w:tcPr>
            <w:tcW w:w="605" w:type="pct"/>
            <w:vAlign w:val="center"/>
          </w:tcPr>
          <w:p w14:paraId="6FC7348A">
            <w:pPr>
              <w:widowControl/>
              <w:jc w:val="center"/>
              <w:rPr>
                <w:rFonts w:ascii="宋体" w:hAnsi="宋体" w:cs="宋体"/>
                <w:szCs w:val="21"/>
              </w:rPr>
            </w:pPr>
            <w:r>
              <w:rPr>
                <w:rFonts w:ascii="瀹嬩綋" w:hAnsi="瀹嬩綋" w:eastAsia="瀹嬩綋" w:cs="瀹嬩綋"/>
                <w:color w:val="000000"/>
                <w:kern w:val="0"/>
                <w:szCs w:val="21"/>
                <w:lang w:bidi="ar"/>
              </w:rPr>
              <w:t>颗粒物</w:t>
            </w:r>
          </w:p>
        </w:tc>
        <w:tc>
          <w:tcPr>
            <w:tcW w:w="1010" w:type="pct"/>
            <w:vAlign w:val="center"/>
          </w:tcPr>
          <w:p w14:paraId="48378573">
            <w:pPr>
              <w:widowControl/>
              <w:jc w:val="center"/>
            </w:pPr>
            <w:r>
              <w:rPr>
                <w:rFonts w:ascii="瀹嬩綋" w:hAnsi="瀹嬩綋" w:eastAsia="瀹嬩綋" w:cs="瀹嬩綋"/>
                <w:color w:val="000000"/>
                <w:kern w:val="0"/>
                <w:szCs w:val="21"/>
                <w:lang w:bidi="ar"/>
              </w:rPr>
              <w:t>提高工序密闭</w:t>
            </w:r>
          </w:p>
          <w:p w14:paraId="1507553C">
            <w:pPr>
              <w:widowControl/>
              <w:jc w:val="center"/>
            </w:pPr>
            <w:r>
              <w:rPr>
                <w:rFonts w:ascii="瀹嬩綋" w:hAnsi="瀹嬩綋" w:eastAsia="瀹嬩綋" w:cs="瀹嬩綋"/>
                <w:color w:val="000000"/>
                <w:kern w:val="0"/>
                <w:szCs w:val="21"/>
                <w:lang w:bidi="ar"/>
              </w:rPr>
              <w:t>性，加强车间通</w:t>
            </w:r>
          </w:p>
          <w:p w14:paraId="555DAB13">
            <w:pPr>
              <w:widowControl/>
              <w:jc w:val="center"/>
              <w:rPr>
                <w:rFonts w:ascii="宋体" w:hAnsi="宋体" w:cs="宋体"/>
                <w:szCs w:val="21"/>
              </w:rPr>
            </w:pPr>
            <w:r>
              <w:rPr>
                <w:rFonts w:ascii="瀹嬩綋" w:hAnsi="瀹嬩綋" w:eastAsia="瀹嬩綋" w:cs="瀹嬩綋"/>
                <w:color w:val="000000"/>
                <w:kern w:val="0"/>
                <w:szCs w:val="21"/>
                <w:lang w:bidi="ar"/>
              </w:rPr>
              <w:t>风换气</w:t>
            </w:r>
          </w:p>
        </w:tc>
        <w:tc>
          <w:tcPr>
            <w:tcW w:w="1417" w:type="pct"/>
            <w:vMerge w:val="restart"/>
            <w:vAlign w:val="center"/>
          </w:tcPr>
          <w:p w14:paraId="0578CE4C">
            <w:pPr>
              <w:widowControl/>
              <w:jc w:val="center"/>
              <w:rPr>
                <w:rFonts w:ascii="宋体" w:hAnsi="宋体" w:cs="宋体"/>
                <w:szCs w:val="21"/>
              </w:rPr>
            </w:pPr>
            <w:r>
              <w:rPr>
                <w:rFonts w:hint="eastAsia" w:ascii="宋体" w:hAnsi="宋体" w:cs="宋体"/>
                <w:szCs w:val="21"/>
              </w:rPr>
              <w:t>GB 16297-1996 《大气污染物综合排放标准》表2</w:t>
            </w:r>
          </w:p>
        </w:tc>
      </w:tr>
      <w:tr w14:paraId="1D2AF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14" w:type="pct"/>
            <w:vMerge w:val="continue"/>
            <w:vAlign w:val="center"/>
          </w:tcPr>
          <w:p w14:paraId="36A57A15">
            <w:pPr>
              <w:adjustRightInd w:val="0"/>
              <w:snapToGrid w:val="0"/>
              <w:jc w:val="center"/>
            </w:pPr>
          </w:p>
        </w:tc>
        <w:tc>
          <w:tcPr>
            <w:tcW w:w="551" w:type="pct"/>
            <w:vMerge w:val="continue"/>
            <w:vAlign w:val="center"/>
          </w:tcPr>
          <w:p w14:paraId="05495AFD">
            <w:pPr>
              <w:adjustRightInd w:val="0"/>
              <w:snapToGrid w:val="0"/>
              <w:jc w:val="center"/>
              <w:rPr>
                <w:rFonts w:ascii="宋体" w:hAnsi="宋体" w:cs="宋体"/>
                <w:szCs w:val="21"/>
              </w:rPr>
            </w:pPr>
          </w:p>
        </w:tc>
        <w:tc>
          <w:tcPr>
            <w:tcW w:w="803" w:type="pct"/>
            <w:vAlign w:val="center"/>
          </w:tcPr>
          <w:p w14:paraId="6A3449D7">
            <w:pPr>
              <w:widowControl/>
              <w:jc w:val="center"/>
              <w:rPr>
                <w:rFonts w:ascii="宋体" w:hAnsi="宋体" w:cs="宋体"/>
                <w:szCs w:val="21"/>
              </w:rPr>
            </w:pPr>
            <w:r>
              <w:rPr>
                <w:rFonts w:hint="eastAsia" w:ascii="宋体" w:hAnsi="宋体" w:cs="宋体"/>
                <w:color w:val="000000"/>
                <w:kern w:val="0"/>
                <w:szCs w:val="21"/>
                <w:lang w:bidi="ar"/>
              </w:rPr>
              <w:t>焊接烟尘</w:t>
            </w:r>
          </w:p>
        </w:tc>
        <w:tc>
          <w:tcPr>
            <w:tcW w:w="605" w:type="pct"/>
            <w:vAlign w:val="center"/>
          </w:tcPr>
          <w:p w14:paraId="7301A434">
            <w:pPr>
              <w:widowControl/>
              <w:jc w:val="center"/>
              <w:rPr>
                <w:rFonts w:ascii="宋体" w:hAnsi="宋体" w:cs="宋体"/>
                <w:szCs w:val="21"/>
              </w:rPr>
            </w:pPr>
            <w:r>
              <w:rPr>
                <w:rFonts w:hint="eastAsia" w:ascii="PMingLiU" w:hAnsi="PMingLiU" w:eastAsia="PMingLiU" w:cs="PMingLiU"/>
                <w:color w:val="000000"/>
                <w:kern w:val="0"/>
                <w:szCs w:val="21"/>
                <w:lang w:bidi="ar"/>
              </w:rPr>
              <w:t>颗粒物</w:t>
            </w:r>
          </w:p>
        </w:tc>
        <w:tc>
          <w:tcPr>
            <w:tcW w:w="1010" w:type="pct"/>
            <w:vAlign w:val="center"/>
          </w:tcPr>
          <w:p w14:paraId="21055CB3">
            <w:pPr>
              <w:widowControl/>
              <w:jc w:val="center"/>
            </w:pPr>
            <w:r>
              <w:rPr>
                <w:rFonts w:ascii="瀹嬩綋" w:hAnsi="瀹嬩綋" w:eastAsia="瀹嬩綋" w:cs="瀹嬩綋"/>
                <w:color w:val="000000"/>
                <w:kern w:val="0"/>
                <w:szCs w:val="21"/>
                <w:lang w:bidi="ar"/>
              </w:rPr>
              <w:t>提高工序密闭</w:t>
            </w:r>
          </w:p>
          <w:p w14:paraId="65C1F19A">
            <w:pPr>
              <w:widowControl/>
              <w:jc w:val="center"/>
            </w:pPr>
            <w:r>
              <w:rPr>
                <w:rFonts w:ascii="瀹嬩綋" w:hAnsi="瀹嬩綋" w:eastAsia="瀹嬩綋" w:cs="瀹嬩綋"/>
                <w:color w:val="000000"/>
                <w:kern w:val="0"/>
                <w:szCs w:val="21"/>
                <w:lang w:bidi="ar"/>
              </w:rPr>
              <w:t>性，加强车间通</w:t>
            </w:r>
          </w:p>
          <w:p w14:paraId="5C5E9216">
            <w:pPr>
              <w:widowControl/>
              <w:jc w:val="center"/>
              <w:rPr>
                <w:rFonts w:ascii="宋体" w:hAnsi="宋体" w:cs="宋体"/>
                <w:szCs w:val="21"/>
              </w:rPr>
            </w:pPr>
            <w:r>
              <w:rPr>
                <w:rFonts w:ascii="瀹嬩綋" w:hAnsi="瀹嬩綋" w:eastAsia="瀹嬩綋" w:cs="瀹嬩綋"/>
                <w:color w:val="000000"/>
                <w:kern w:val="0"/>
                <w:szCs w:val="21"/>
                <w:lang w:bidi="ar"/>
              </w:rPr>
              <w:t>风换气</w:t>
            </w:r>
          </w:p>
        </w:tc>
        <w:tc>
          <w:tcPr>
            <w:tcW w:w="1417" w:type="pct"/>
            <w:vMerge w:val="continue"/>
            <w:vAlign w:val="center"/>
          </w:tcPr>
          <w:p w14:paraId="33173A79">
            <w:pPr>
              <w:widowControl/>
              <w:jc w:val="center"/>
              <w:rPr>
                <w:rFonts w:ascii="宋体" w:hAnsi="宋体" w:cs="宋体"/>
                <w:szCs w:val="21"/>
              </w:rPr>
            </w:pPr>
          </w:p>
        </w:tc>
      </w:tr>
      <w:tr w14:paraId="06D03B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14" w:type="pct"/>
            <w:vMerge w:val="continue"/>
            <w:vAlign w:val="center"/>
          </w:tcPr>
          <w:p w14:paraId="542E1424">
            <w:pPr>
              <w:adjustRightInd w:val="0"/>
              <w:snapToGrid w:val="0"/>
              <w:jc w:val="center"/>
            </w:pPr>
          </w:p>
        </w:tc>
        <w:tc>
          <w:tcPr>
            <w:tcW w:w="551" w:type="pct"/>
            <w:vMerge w:val="continue"/>
            <w:vAlign w:val="center"/>
          </w:tcPr>
          <w:p w14:paraId="06C79368">
            <w:pPr>
              <w:adjustRightInd w:val="0"/>
              <w:snapToGrid w:val="0"/>
              <w:jc w:val="center"/>
              <w:rPr>
                <w:rFonts w:ascii="宋体" w:hAnsi="宋体" w:cs="宋体"/>
                <w:szCs w:val="21"/>
              </w:rPr>
            </w:pPr>
          </w:p>
        </w:tc>
        <w:tc>
          <w:tcPr>
            <w:tcW w:w="803" w:type="pct"/>
            <w:vAlign w:val="center"/>
          </w:tcPr>
          <w:p w14:paraId="316EA698">
            <w:pPr>
              <w:widowControl/>
              <w:jc w:val="center"/>
              <w:rPr>
                <w:rFonts w:ascii="瀹嬩綋" w:hAnsi="瀹嬩綋" w:eastAsia="瀹嬩綋" w:cs="瀹嬩綋"/>
                <w:color w:val="000000"/>
                <w:kern w:val="0"/>
                <w:szCs w:val="21"/>
                <w:lang w:bidi="ar"/>
              </w:rPr>
            </w:pPr>
            <w:r>
              <w:rPr>
                <w:rFonts w:hint="eastAsia" w:ascii="宋体" w:hAnsi="宋体" w:cs="宋体"/>
                <w:color w:val="000000"/>
                <w:kern w:val="0"/>
                <w:szCs w:val="21"/>
                <w:lang w:bidi="ar"/>
              </w:rPr>
              <w:t>焊接后补漆</w:t>
            </w:r>
          </w:p>
        </w:tc>
        <w:tc>
          <w:tcPr>
            <w:tcW w:w="605" w:type="pct"/>
            <w:vAlign w:val="center"/>
          </w:tcPr>
          <w:p w14:paraId="7CF9D654">
            <w:pPr>
              <w:widowControl/>
              <w:jc w:val="center"/>
              <w:rPr>
                <w:rFonts w:ascii="PMingLiU" w:hAnsi="PMingLiU" w:cs="PMingLiU" w:eastAsiaTheme="minorEastAsia"/>
                <w:color w:val="000000"/>
                <w:kern w:val="0"/>
                <w:szCs w:val="21"/>
                <w:lang w:bidi="ar"/>
              </w:rPr>
            </w:pPr>
            <w:r>
              <w:rPr>
                <w:rFonts w:ascii="瀹嬩綋" w:hAnsi="瀹嬩綋" w:eastAsia="瀹嬩綋" w:cs="瀹嬩綋"/>
                <w:color w:val="000000"/>
                <w:kern w:val="0"/>
                <w:szCs w:val="21"/>
                <w:lang w:bidi="ar"/>
              </w:rPr>
              <w:t>非甲烷总烃</w:t>
            </w:r>
          </w:p>
        </w:tc>
        <w:tc>
          <w:tcPr>
            <w:tcW w:w="1010" w:type="pct"/>
            <w:vAlign w:val="center"/>
          </w:tcPr>
          <w:p w14:paraId="3433C7E5">
            <w:pPr>
              <w:widowControl/>
              <w:jc w:val="center"/>
            </w:pPr>
            <w:r>
              <w:rPr>
                <w:rFonts w:ascii="瀹嬩綋" w:hAnsi="瀹嬩綋" w:eastAsia="瀹嬩綋" w:cs="瀹嬩綋"/>
                <w:color w:val="000000"/>
                <w:kern w:val="0"/>
                <w:szCs w:val="21"/>
                <w:lang w:bidi="ar"/>
              </w:rPr>
              <w:t>提高工序密闭</w:t>
            </w:r>
          </w:p>
          <w:p w14:paraId="418879C7">
            <w:pPr>
              <w:widowControl/>
              <w:jc w:val="center"/>
            </w:pPr>
            <w:r>
              <w:rPr>
                <w:rFonts w:ascii="瀹嬩綋" w:hAnsi="瀹嬩綋" w:eastAsia="瀹嬩綋" w:cs="瀹嬩綋"/>
                <w:color w:val="000000"/>
                <w:kern w:val="0"/>
                <w:szCs w:val="21"/>
                <w:lang w:bidi="ar"/>
              </w:rPr>
              <w:t>性，加强车间通</w:t>
            </w:r>
          </w:p>
          <w:p w14:paraId="17A04ECD">
            <w:pPr>
              <w:widowControl/>
              <w:jc w:val="center"/>
              <w:rPr>
                <w:rFonts w:ascii="瀹嬩綋" w:hAnsi="瀹嬩綋" w:eastAsia="瀹嬩綋" w:cs="瀹嬩綋"/>
                <w:color w:val="000000"/>
                <w:kern w:val="0"/>
                <w:szCs w:val="21"/>
                <w:lang w:bidi="ar"/>
              </w:rPr>
            </w:pPr>
            <w:r>
              <w:rPr>
                <w:rFonts w:ascii="瀹嬩綋" w:hAnsi="瀹嬩綋" w:eastAsia="瀹嬩綋" w:cs="瀹嬩綋"/>
                <w:color w:val="000000"/>
                <w:kern w:val="0"/>
                <w:szCs w:val="21"/>
                <w:lang w:bidi="ar"/>
              </w:rPr>
              <w:t>风换气</w:t>
            </w:r>
          </w:p>
        </w:tc>
        <w:tc>
          <w:tcPr>
            <w:tcW w:w="1417" w:type="pct"/>
            <w:vMerge w:val="continue"/>
            <w:vAlign w:val="center"/>
          </w:tcPr>
          <w:p w14:paraId="7BFBD2BB">
            <w:pPr>
              <w:widowControl/>
              <w:jc w:val="center"/>
              <w:rPr>
                <w:rFonts w:ascii="瀹嬩綋" w:hAnsi="瀹嬩綋" w:eastAsia="瀹嬩綋" w:cs="瀹嬩綋"/>
                <w:color w:val="000000"/>
                <w:kern w:val="0"/>
                <w:szCs w:val="21"/>
                <w:lang w:bidi="ar"/>
              </w:rPr>
            </w:pPr>
          </w:p>
        </w:tc>
      </w:tr>
      <w:tr w14:paraId="11EFF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614" w:type="pct"/>
            <w:vMerge w:val="continue"/>
            <w:vAlign w:val="center"/>
          </w:tcPr>
          <w:p w14:paraId="15531897">
            <w:pPr>
              <w:adjustRightInd w:val="0"/>
              <w:snapToGrid w:val="0"/>
              <w:jc w:val="center"/>
              <w:rPr>
                <w:rFonts w:ascii="宋体" w:hAnsi="宋体" w:cs="宋体"/>
                <w:szCs w:val="21"/>
              </w:rPr>
            </w:pPr>
          </w:p>
        </w:tc>
        <w:tc>
          <w:tcPr>
            <w:tcW w:w="551" w:type="pct"/>
            <w:vMerge w:val="continue"/>
            <w:vAlign w:val="center"/>
          </w:tcPr>
          <w:p w14:paraId="2FE30F8E">
            <w:pPr>
              <w:adjustRightInd w:val="0"/>
              <w:snapToGrid w:val="0"/>
              <w:jc w:val="center"/>
              <w:rPr>
                <w:rFonts w:ascii="宋体" w:hAnsi="宋体" w:cs="宋体"/>
                <w:szCs w:val="21"/>
              </w:rPr>
            </w:pPr>
          </w:p>
        </w:tc>
        <w:tc>
          <w:tcPr>
            <w:tcW w:w="803" w:type="pct"/>
            <w:vAlign w:val="center"/>
          </w:tcPr>
          <w:p w14:paraId="7172C5E8">
            <w:pPr>
              <w:widowControl/>
              <w:jc w:val="center"/>
              <w:rPr>
                <w:rFonts w:ascii="宋体" w:hAnsi="宋体" w:cs="宋体"/>
                <w:szCs w:val="21"/>
              </w:rPr>
            </w:pPr>
            <w:r>
              <w:rPr>
                <w:rFonts w:hint="eastAsia" w:ascii="宋体" w:hAnsi="宋体" w:cs="宋体"/>
                <w:color w:val="000000"/>
                <w:kern w:val="0"/>
                <w:szCs w:val="21"/>
                <w:lang w:bidi="ar"/>
              </w:rPr>
              <w:t>涂覆密封</w:t>
            </w:r>
          </w:p>
        </w:tc>
        <w:tc>
          <w:tcPr>
            <w:tcW w:w="605" w:type="pct"/>
            <w:vAlign w:val="center"/>
          </w:tcPr>
          <w:p w14:paraId="5B1F59FA">
            <w:pPr>
              <w:widowControl/>
              <w:jc w:val="center"/>
              <w:rPr>
                <w:rFonts w:ascii="宋体" w:hAnsi="宋体" w:cs="宋体"/>
                <w:szCs w:val="21"/>
              </w:rPr>
            </w:pPr>
            <w:r>
              <w:rPr>
                <w:rFonts w:ascii="瀹嬩綋" w:hAnsi="瀹嬩綋" w:eastAsia="瀹嬩綋" w:cs="瀹嬩綋"/>
                <w:color w:val="000000"/>
                <w:kern w:val="0"/>
                <w:szCs w:val="21"/>
                <w:lang w:bidi="ar"/>
              </w:rPr>
              <w:t>非甲烷总烃</w:t>
            </w:r>
          </w:p>
        </w:tc>
        <w:tc>
          <w:tcPr>
            <w:tcW w:w="1010" w:type="pct"/>
            <w:vAlign w:val="center"/>
          </w:tcPr>
          <w:p w14:paraId="5CCBC008">
            <w:pPr>
              <w:widowControl/>
              <w:jc w:val="center"/>
              <w:rPr>
                <w:rFonts w:ascii="宋体" w:hAnsi="宋体" w:cs="宋体"/>
                <w:szCs w:val="21"/>
              </w:rPr>
            </w:pPr>
            <w:r>
              <w:rPr>
                <w:rFonts w:ascii="瀹嬩綋" w:hAnsi="瀹嬩綋" w:eastAsia="瀹嬩綋" w:cs="瀹嬩綋"/>
                <w:color w:val="000000"/>
                <w:kern w:val="0"/>
                <w:szCs w:val="21"/>
                <w:lang w:bidi="ar"/>
              </w:rPr>
              <w:t>提高工序密闭性，加强车间通风换气</w:t>
            </w:r>
          </w:p>
        </w:tc>
        <w:tc>
          <w:tcPr>
            <w:tcW w:w="1417" w:type="pct"/>
            <w:vMerge w:val="continue"/>
            <w:vAlign w:val="center"/>
          </w:tcPr>
          <w:p w14:paraId="0F92E88C">
            <w:pPr>
              <w:widowControl/>
              <w:jc w:val="center"/>
              <w:rPr>
                <w:rFonts w:ascii="宋体" w:hAnsi="宋体" w:cs="宋体"/>
                <w:szCs w:val="21"/>
              </w:rPr>
            </w:pPr>
          </w:p>
        </w:tc>
      </w:tr>
      <w:tr w14:paraId="4C5C0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4" w:type="pct"/>
            <w:vMerge w:val="continue"/>
            <w:vAlign w:val="center"/>
          </w:tcPr>
          <w:p w14:paraId="3ECCC746">
            <w:pPr>
              <w:adjustRightInd w:val="0"/>
              <w:snapToGrid w:val="0"/>
              <w:jc w:val="center"/>
              <w:rPr>
                <w:rFonts w:ascii="宋体" w:hAnsi="宋体" w:cs="宋体"/>
                <w:szCs w:val="21"/>
              </w:rPr>
            </w:pPr>
          </w:p>
        </w:tc>
        <w:tc>
          <w:tcPr>
            <w:tcW w:w="1354" w:type="pct"/>
            <w:gridSpan w:val="2"/>
            <w:vAlign w:val="center"/>
          </w:tcPr>
          <w:p w14:paraId="5105AE8E">
            <w:pPr>
              <w:widowControl/>
              <w:jc w:val="center"/>
            </w:pPr>
            <w:r>
              <w:rPr>
                <w:rFonts w:ascii="瀹嬩綋" w:hAnsi="瀹嬩綋" w:eastAsia="瀹嬩綋" w:cs="瀹嬩綋"/>
                <w:color w:val="000000"/>
                <w:kern w:val="0"/>
                <w:szCs w:val="21"/>
                <w:lang w:bidi="ar"/>
              </w:rPr>
              <w:t>无组织排放</w:t>
            </w:r>
            <w:r>
              <w:rPr>
                <w:color w:val="000000"/>
                <w:kern w:val="0"/>
                <w:szCs w:val="21"/>
                <w:lang w:bidi="ar"/>
              </w:rPr>
              <w:t>-</w:t>
            </w:r>
            <w:r>
              <w:rPr>
                <w:rFonts w:ascii="瀹嬩綋" w:hAnsi="瀹嬩綋" w:eastAsia="瀹嬩綋" w:cs="瀹嬩綋"/>
                <w:color w:val="000000"/>
                <w:kern w:val="0"/>
                <w:szCs w:val="21"/>
                <w:lang w:bidi="ar"/>
              </w:rPr>
              <w:t>厂</w:t>
            </w:r>
          </w:p>
          <w:p w14:paraId="62066D87">
            <w:pPr>
              <w:widowControl/>
              <w:jc w:val="center"/>
              <w:rPr>
                <w:rFonts w:ascii="宋体" w:hAnsi="宋体" w:cs="宋体"/>
                <w:szCs w:val="21"/>
              </w:rPr>
            </w:pPr>
            <w:r>
              <w:rPr>
                <w:rFonts w:ascii="瀹嬩綋" w:hAnsi="瀹嬩綋" w:eastAsia="瀹嬩綋" w:cs="瀹嬩綋"/>
                <w:color w:val="000000"/>
                <w:kern w:val="0"/>
                <w:szCs w:val="21"/>
                <w:lang w:bidi="ar"/>
              </w:rPr>
              <w:t>区内</w:t>
            </w:r>
          </w:p>
        </w:tc>
        <w:tc>
          <w:tcPr>
            <w:tcW w:w="605" w:type="pct"/>
            <w:vAlign w:val="center"/>
          </w:tcPr>
          <w:p w14:paraId="2BA4BC1F">
            <w:pPr>
              <w:widowControl/>
              <w:jc w:val="center"/>
              <w:rPr>
                <w:rFonts w:ascii="宋体" w:hAnsi="宋体" w:cs="宋体"/>
                <w:szCs w:val="21"/>
              </w:rPr>
            </w:pPr>
            <w:r>
              <w:rPr>
                <w:color w:val="000000"/>
                <w:kern w:val="0"/>
                <w:szCs w:val="21"/>
                <w:lang w:bidi="ar"/>
              </w:rPr>
              <w:t>NMHC</w:t>
            </w:r>
          </w:p>
        </w:tc>
        <w:tc>
          <w:tcPr>
            <w:tcW w:w="1010" w:type="pct"/>
            <w:vAlign w:val="center"/>
          </w:tcPr>
          <w:p w14:paraId="69D1B033">
            <w:pPr>
              <w:widowControl/>
              <w:jc w:val="center"/>
            </w:pPr>
            <w:r>
              <w:rPr>
                <w:rFonts w:ascii="瀹嬩綋" w:hAnsi="瀹嬩綋" w:eastAsia="瀹嬩綋" w:cs="瀹嬩綋"/>
                <w:color w:val="000000"/>
                <w:kern w:val="0"/>
                <w:szCs w:val="21"/>
                <w:lang w:bidi="ar"/>
              </w:rPr>
              <w:t>提高工序密闭</w:t>
            </w:r>
          </w:p>
          <w:p w14:paraId="2C61848C">
            <w:pPr>
              <w:widowControl/>
              <w:jc w:val="center"/>
              <w:rPr>
                <w:rFonts w:ascii="宋体" w:hAnsi="宋体" w:cs="宋体"/>
                <w:szCs w:val="21"/>
              </w:rPr>
            </w:pPr>
            <w:r>
              <w:rPr>
                <w:rFonts w:ascii="瀹嬩綋" w:hAnsi="瀹嬩綋" w:eastAsia="瀹嬩綋" w:cs="瀹嬩綋"/>
                <w:color w:val="000000"/>
                <w:kern w:val="0"/>
                <w:szCs w:val="21"/>
                <w:lang w:bidi="ar"/>
              </w:rPr>
              <w:t>性，加强车间通风换气</w:t>
            </w:r>
          </w:p>
        </w:tc>
        <w:tc>
          <w:tcPr>
            <w:tcW w:w="1417" w:type="pct"/>
            <w:vAlign w:val="center"/>
          </w:tcPr>
          <w:p w14:paraId="3426B78A">
            <w:pPr>
              <w:widowControl/>
              <w:jc w:val="center"/>
              <w:rPr>
                <w:rFonts w:ascii="宋体" w:hAnsi="宋体" w:cs="宋体"/>
                <w:szCs w:val="21"/>
              </w:rPr>
            </w:pPr>
            <w:r>
              <w:rPr>
                <w:rFonts w:hint="eastAsia" w:ascii="宋体" w:hAnsi="宋体" w:cs="宋体"/>
                <w:color w:val="000000"/>
                <w:kern w:val="0"/>
                <w:szCs w:val="21"/>
                <w:lang w:bidi="ar"/>
              </w:rPr>
              <w:t>《固定源挥发性有机物综合排放标准 第6部分 其他行业》（DB34/4812.6-2024）表4</w:t>
            </w:r>
          </w:p>
        </w:tc>
      </w:tr>
      <w:tr w14:paraId="265DA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14" w:type="pct"/>
            <w:vAlign w:val="center"/>
          </w:tcPr>
          <w:p w14:paraId="02048F76">
            <w:pPr>
              <w:adjustRightInd w:val="0"/>
              <w:snapToGrid w:val="0"/>
              <w:jc w:val="center"/>
              <w:rPr>
                <w:rFonts w:ascii="宋体" w:hAnsi="宋体" w:cs="宋体"/>
                <w:szCs w:val="21"/>
              </w:rPr>
            </w:pPr>
            <w:r>
              <w:rPr>
                <w:rFonts w:hint="eastAsia" w:ascii="宋体" w:hAnsi="宋体" w:cs="宋体"/>
                <w:szCs w:val="21"/>
              </w:rPr>
              <w:t>地表水环境</w:t>
            </w:r>
          </w:p>
        </w:tc>
        <w:tc>
          <w:tcPr>
            <w:tcW w:w="1354" w:type="pct"/>
            <w:gridSpan w:val="2"/>
            <w:vAlign w:val="center"/>
          </w:tcPr>
          <w:p w14:paraId="040040AB">
            <w:pPr>
              <w:widowControl/>
              <w:jc w:val="center"/>
              <w:rPr>
                <w:rFonts w:ascii="宋体" w:hAnsi="宋体" w:cs="宋体"/>
                <w:szCs w:val="21"/>
              </w:rPr>
            </w:pPr>
            <w:r>
              <w:rPr>
                <w:rFonts w:ascii="瀹嬩綋" w:hAnsi="瀹嬩綋" w:eastAsia="瀹嬩綋" w:cs="瀹嬩綋"/>
                <w:color w:val="000000"/>
                <w:kern w:val="0"/>
                <w:szCs w:val="21"/>
                <w:lang w:bidi="ar"/>
              </w:rPr>
              <w:t>生活污水</w:t>
            </w:r>
          </w:p>
        </w:tc>
        <w:tc>
          <w:tcPr>
            <w:tcW w:w="605" w:type="pct"/>
            <w:vAlign w:val="center"/>
          </w:tcPr>
          <w:p w14:paraId="18BD8657">
            <w:pPr>
              <w:widowControl/>
              <w:jc w:val="center"/>
            </w:pPr>
            <w:r>
              <w:rPr>
                <w:color w:val="000000"/>
                <w:kern w:val="0"/>
                <w:szCs w:val="21"/>
                <w:lang w:bidi="ar"/>
              </w:rPr>
              <w:t>COD</w:t>
            </w:r>
            <w:r>
              <w:rPr>
                <w:color w:val="000000"/>
                <w:kern w:val="0"/>
                <w:sz w:val="13"/>
                <w:szCs w:val="13"/>
                <w:lang w:bidi="ar"/>
              </w:rPr>
              <w:t>Cr</w:t>
            </w:r>
            <w:r>
              <w:rPr>
                <w:rFonts w:ascii="瀹嬩綋" w:hAnsi="瀹嬩綋" w:eastAsia="瀹嬩綋" w:cs="瀹嬩綋"/>
                <w:color w:val="000000"/>
                <w:kern w:val="0"/>
                <w:szCs w:val="21"/>
                <w:lang w:bidi="ar"/>
              </w:rPr>
              <w:t>、</w:t>
            </w:r>
          </w:p>
          <w:p w14:paraId="39D77424">
            <w:pPr>
              <w:widowControl/>
              <w:jc w:val="center"/>
            </w:pPr>
            <w:r>
              <w:rPr>
                <w:color w:val="000000"/>
                <w:kern w:val="0"/>
                <w:szCs w:val="21"/>
                <w:lang w:bidi="ar"/>
              </w:rPr>
              <w:t>BOD</w:t>
            </w:r>
            <w:r>
              <w:rPr>
                <w:color w:val="000000"/>
                <w:kern w:val="0"/>
                <w:sz w:val="13"/>
                <w:szCs w:val="13"/>
                <w:lang w:bidi="ar"/>
              </w:rPr>
              <w:t>5</w:t>
            </w:r>
            <w:r>
              <w:rPr>
                <w:rFonts w:ascii="瀹嬩綋" w:hAnsi="瀹嬩綋" w:eastAsia="瀹嬩綋" w:cs="瀹嬩綋"/>
                <w:color w:val="000000"/>
                <w:kern w:val="0"/>
                <w:szCs w:val="21"/>
                <w:lang w:bidi="ar"/>
              </w:rPr>
              <w:t>、</w:t>
            </w:r>
          </w:p>
          <w:p w14:paraId="198F4AAE">
            <w:pPr>
              <w:widowControl/>
              <w:jc w:val="center"/>
            </w:pPr>
            <w:r>
              <w:rPr>
                <w:color w:val="000000"/>
                <w:kern w:val="0"/>
                <w:szCs w:val="21"/>
                <w:lang w:bidi="ar"/>
              </w:rPr>
              <w:t>SS</w:t>
            </w:r>
          </w:p>
          <w:p w14:paraId="2930BCD8">
            <w:pPr>
              <w:widowControl/>
              <w:jc w:val="center"/>
            </w:pPr>
            <w:r>
              <w:rPr>
                <w:color w:val="000000"/>
                <w:kern w:val="0"/>
                <w:szCs w:val="21"/>
                <w:lang w:bidi="ar"/>
              </w:rPr>
              <w:t>NH</w:t>
            </w:r>
            <w:r>
              <w:rPr>
                <w:color w:val="000000"/>
                <w:kern w:val="0"/>
                <w:sz w:val="13"/>
                <w:szCs w:val="13"/>
                <w:lang w:bidi="ar"/>
              </w:rPr>
              <w:t>3</w:t>
            </w:r>
            <w:r>
              <w:rPr>
                <w:color w:val="000000"/>
                <w:kern w:val="0"/>
                <w:szCs w:val="21"/>
                <w:lang w:bidi="ar"/>
              </w:rPr>
              <w:t>-N</w:t>
            </w:r>
            <w:r>
              <w:rPr>
                <w:rFonts w:ascii="瀹嬩綋" w:hAnsi="瀹嬩綋" w:eastAsia="瀹嬩綋" w:cs="瀹嬩綋"/>
                <w:color w:val="000000"/>
                <w:kern w:val="0"/>
                <w:szCs w:val="21"/>
                <w:lang w:bidi="ar"/>
              </w:rPr>
              <w:t>、</w:t>
            </w:r>
          </w:p>
          <w:p w14:paraId="4DC976D2">
            <w:pPr>
              <w:widowControl/>
              <w:jc w:val="center"/>
              <w:rPr>
                <w:rFonts w:ascii="宋体" w:hAnsi="宋体" w:cs="宋体"/>
                <w:szCs w:val="21"/>
              </w:rPr>
            </w:pPr>
            <w:r>
              <w:rPr>
                <w:color w:val="000000"/>
                <w:kern w:val="0"/>
                <w:szCs w:val="21"/>
                <w:lang w:bidi="ar"/>
              </w:rPr>
              <w:t>TN</w:t>
            </w:r>
            <w:r>
              <w:rPr>
                <w:rFonts w:ascii="瀹嬩綋" w:hAnsi="瀹嬩綋" w:eastAsia="瀹嬩綋" w:cs="瀹嬩綋"/>
                <w:color w:val="000000"/>
                <w:kern w:val="0"/>
                <w:szCs w:val="21"/>
                <w:lang w:bidi="ar"/>
              </w:rPr>
              <w:t>、</w:t>
            </w:r>
            <w:r>
              <w:rPr>
                <w:color w:val="000000"/>
                <w:kern w:val="0"/>
                <w:szCs w:val="21"/>
                <w:lang w:bidi="ar"/>
              </w:rPr>
              <w:t>TP</w:t>
            </w:r>
          </w:p>
        </w:tc>
        <w:tc>
          <w:tcPr>
            <w:tcW w:w="1010" w:type="pct"/>
            <w:vAlign w:val="center"/>
          </w:tcPr>
          <w:p w14:paraId="44E033A6">
            <w:pPr>
              <w:widowControl/>
              <w:jc w:val="center"/>
              <w:rPr>
                <w:rFonts w:ascii="宋体" w:hAnsi="宋体" w:cs="宋体"/>
                <w:szCs w:val="21"/>
              </w:rPr>
            </w:pPr>
            <w:r>
              <w:rPr>
                <w:rFonts w:ascii="瀹嬩綋" w:hAnsi="瀹嬩綋" w:eastAsia="瀹嬩綋" w:cs="瀹嬩綋"/>
                <w:color w:val="000000"/>
                <w:kern w:val="0"/>
                <w:szCs w:val="21"/>
                <w:lang w:bidi="ar"/>
              </w:rPr>
              <w:t>经三级化粪池预处理后经市政管网排入</w:t>
            </w:r>
            <w:r>
              <w:rPr>
                <w:rFonts w:hint="eastAsia" w:ascii="宋体" w:hAnsi="宋体" w:cs="宋体"/>
                <w:color w:val="000000"/>
                <w:kern w:val="0"/>
                <w:szCs w:val="21"/>
                <w:lang w:bidi="ar"/>
              </w:rPr>
              <w:t>金寨经济开发区</w:t>
            </w:r>
            <w:r>
              <w:rPr>
                <w:rFonts w:ascii="瀹嬩綋" w:hAnsi="瀹嬩綋" w:eastAsia="瀹嬩綋" w:cs="瀹嬩綋"/>
                <w:color w:val="000000"/>
                <w:kern w:val="0"/>
                <w:szCs w:val="21"/>
                <w:lang w:bidi="ar"/>
              </w:rPr>
              <w:t>污水处理厂处理</w:t>
            </w:r>
          </w:p>
        </w:tc>
        <w:tc>
          <w:tcPr>
            <w:tcW w:w="1417" w:type="pct"/>
            <w:vAlign w:val="center"/>
          </w:tcPr>
          <w:p w14:paraId="39EF24A5">
            <w:pPr>
              <w:widowControl/>
              <w:jc w:val="center"/>
              <w:rPr>
                <w:rFonts w:ascii="宋体" w:hAnsi="宋体" w:cs="宋体"/>
                <w:szCs w:val="21"/>
              </w:rPr>
            </w:pPr>
            <w:r>
              <w:rPr>
                <w:rFonts w:hint="eastAsia" w:ascii="宋体" w:hAnsi="宋体" w:cs="宋体"/>
                <w:color w:val="000000"/>
                <w:kern w:val="0"/>
                <w:szCs w:val="21"/>
                <w:lang w:bidi="ar"/>
              </w:rPr>
              <w:t>金寨经济开发区污水处理厂接管标准</w:t>
            </w:r>
          </w:p>
        </w:tc>
      </w:tr>
      <w:tr w14:paraId="212B7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14" w:type="pct"/>
            <w:vAlign w:val="center"/>
          </w:tcPr>
          <w:p w14:paraId="72E06AFB">
            <w:pPr>
              <w:adjustRightInd w:val="0"/>
              <w:snapToGrid w:val="0"/>
              <w:jc w:val="center"/>
              <w:rPr>
                <w:rFonts w:ascii="宋体" w:hAnsi="宋体" w:cs="宋体"/>
                <w:szCs w:val="21"/>
              </w:rPr>
            </w:pPr>
            <w:r>
              <w:rPr>
                <w:rFonts w:hint="eastAsia" w:ascii="宋体" w:hAnsi="宋体" w:cs="宋体"/>
                <w:szCs w:val="21"/>
              </w:rPr>
              <w:t>声环境</w:t>
            </w:r>
          </w:p>
        </w:tc>
        <w:tc>
          <w:tcPr>
            <w:tcW w:w="1354" w:type="pct"/>
            <w:gridSpan w:val="2"/>
            <w:vAlign w:val="center"/>
          </w:tcPr>
          <w:p w14:paraId="26750829">
            <w:pPr>
              <w:widowControl/>
              <w:jc w:val="center"/>
              <w:rPr>
                <w:rFonts w:ascii="宋体" w:hAnsi="宋体" w:cs="宋体"/>
                <w:szCs w:val="21"/>
              </w:rPr>
            </w:pPr>
            <w:r>
              <w:rPr>
                <w:rFonts w:ascii="瀹嬩綋" w:hAnsi="瀹嬩綋" w:eastAsia="瀹嬩綋" w:cs="瀹嬩綋"/>
                <w:color w:val="000000"/>
                <w:kern w:val="0"/>
                <w:szCs w:val="21"/>
                <w:lang w:bidi="ar"/>
              </w:rPr>
              <w:t>机械设备</w:t>
            </w:r>
          </w:p>
        </w:tc>
        <w:tc>
          <w:tcPr>
            <w:tcW w:w="605" w:type="pct"/>
            <w:vAlign w:val="center"/>
          </w:tcPr>
          <w:p w14:paraId="72C6D2CD">
            <w:pPr>
              <w:widowControl/>
              <w:jc w:val="center"/>
              <w:rPr>
                <w:rFonts w:ascii="宋体" w:hAnsi="宋体" w:cs="宋体"/>
                <w:szCs w:val="21"/>
              </w:rPr>
            </w:pPr>
            <w:r>
              <w:rPr>
                <w:rFonts w:ascii="瀹嬩綋" w:hAnsi="瀹嬩綋" w:eastAsia="瀹嬩綋" w:cs="瀹嬩綋"/>
                <w:color w:val="000000"/>
                <w:kern w:val="0"/>
                <w:szCs w:val="21"/>
                <w:lang w:bidi="ar"/>
              </w:rPr>
              <w:t>噪声</w:t>
            </w:r>
          </w:p>
        </w:tc>
        <w:tc>
          <w:tcPr>
            <w:tcW w:w="1010" w:type="pct"/>
            <w:vAlign w:val="center"/>
          </w:tcPr>
          <w:p w14:paraId="5091EE5E">
            <w:pPr>
              <w:widowControl/>
              <w:jc w:val="center"/>
            </w:pPr>
            <w:r>
              <w:rPr>
                <w:rFonts w:ascii="瀹嬩綋" w:hAnsi="瀹嬩綋" w:eastAsia="瀹嬩綋" w:cs="瀹嬩綋"/>
                <w:color w:val="000000"/>
                <w:kern w:val="0"/>
                <w:szCs w:val="21"/>
                <w:lang w:bidi="ar"/>
              </w:rPr>
              <w:t>采取优化布局、</w:t>
            </w:r>
          </w:p>
          <w:p w14:paraId="09727B92">
            <w:pPr>
              <w:widowControl/>
              <w:jc w:val="center"/>
            </w:pPr>
            <w:r>
              <w:rPr>
                <w:rFonts w:ascii="瀹嬩綋" w:hAnsi="瀹嬩綋" w:eastAsia="瀹嬩綋" w:cs="瀹嬩綋"/>
                <w:color w:val="000000"/>
                <w:kern w:val="0"/>
                <w:szCs w:val="21"/>
                <w:lang w:bidi="ar"/>
              </w:rPr>
              <w:t>设备合理布置、</w:t>
            </w:r>
          </w:p>
          <w:p w14:paraId="07FB4757">
            <w:pPr>
              <w:widowControl/>
              <w:jc w:val="center"/>
            </w:pPr>
            <w:r>
              <w:rPr>
                <w:rFonts w:ascii="瀹嬩綋" w:hAnsi="瀹嬩綋" w:eastAsia="瀹嬩綋" w:cs="瀹嬩綋"/>
                <w:color w:val="000000"/>
                <w:kern w:val="0"/>
                <w:szCs w:val="21"/>
                <w:lang w:bidi="ar"/>
              </w:rPr>
              <w:t>隔音和减振等措</w:t>
            </w:r>
          </w:p>
          <w:p w14:paraId="4DEC8A07">
            <w:pPr>
              <w:widowControl/>
              <w:jc w:val="center"/>
              <w:rPr>
                <w:rFonts w:ascii="宋体" w:hAnsi="宋体" w:cs="宋体"/>
                <w:szCs w:val="21"/>
              </w:rPr>
            </w:pPr>
            <w:r>
              <w:rPr>
                <w:rFonts w:ascii="瀹嬩綋" w:hAnsi="瀹嬩綋" w:eastAsia="瀹嬩綋" w:cs="瀹嬩綋"/>
                <w:color w:val="000000"/>
                <w:kern w:val="0"/>
                <w:szCs w:val="21"/>
                <w:lang w:bidi="ar"/>
              </w:rPr>
              <w:t>施</w:t>
            </w:r>
          </w:p>
        </w:tc>
        <w:tc>
          <w:tcPr>
            <w:tcW w:w="1417" w:type="pct"/>
            <w:vAlign w:val="center"/>
          </w:tcPr>
          <w:p w14:paraId="06781BF1">
            <w:pPr>
              <w:widowControl/>
              <w:jc w:val="center"/>
              <w:rPr>
                <w:color w:val="000000"/>
                <w:kern w:val="0"/>
                <w:szCs w:val="21"/>
                <w:lang w:bidi="ar"/>
              </w:rPr>
            </w:pPr>
            <w:r>
              <w:rPr>
                <w:rFonts w:ascii="瀹嬩綋" w:hAnsi="瀹嬩綋" w:eastAsia="瀹嬩綋" w:cs="瀹嬩綋"/>
                <w:color w:val="000000"/>
                <w:kern w:val="0"/>
                <w:szCs w:val="21"/>
                <w:lang w:bidi="ar"/>
              </w:rPr>
              <w:t>《工业企业厂界环境噪声排放标准》</w:t>
            </w:r>
            <w:r>
              <w:rPr>
                <w:color w:val="000000"/>
                <w:kern w:val="0"/>
                <w:szCs w:val="21"/>
                <w:lang w:bidi="ar"/>
              </w:rPr>
              <w:t>(GB12348-</w:t>
            </w:r>
          </w:p>
          <w:p w14:paraId="48D4A785">
            <w:pPr>
              <w:widowControl/>
              <w:numPr>
                <w:ilvl w:val="0"/>
                <w:numId w:val="7"/>
              </w:numPr>
              <w:jc w:val="center"/>
              <w:rPr>
                <w:rFonts w:ascii="宋体" w:hAnsi="宋体" w:cs="宋体"/>
                <w:szCs w:val="21"/>
              </w:rPr>
            </w:pPr>
            <w:r>
              <w:rPr>
                <w:rFonts w:ascii="瀹嬩綋" w:hAnsi="瀹嬩綋" w:eastAsia="瀹嬩綋" w:cs="瀹嬩綋"/>
                <w:color w:val="000000"/>
                <w:kern w:val="0"/>
                <w:szCs w:val="21"/>
                <w:lang w:bidi="ar"/>
              </w:rPr>
              <w:t>中</w:t>
            </w:r>
            <w:r>
              <w:rPr>
                <w:color w:val="000000"/>
                <w:kern w:val="0"/>
                <w:szCs w:val="21"/>
                <w:lang w:bidi="ar"/>
              </w:rPr>
              <w:t>3</w:t>
            </w:r>
            <w:r>
              <w:rPr>
                <w:rFonts w:ascii="瀹嬩綋" w:hAnsi="瀹嬩綋" w:eastAsia="瀹嬩綋" w:cs="瀹嬩綋"/>
                <w:color w:val="000000"/>
                <w:kern w:val="0"/>
                <w:szCs w:val="21"/>
                <w:lang w:bidi="ar"/>
              </w:rPr>
              <w:t>类标准</w:t>
            </w:r>
          </w:p>
        </w:tc>
      </w:tr>
      <w:tr w14:paraId="65630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4" w:type="pct"/>
            <w:vAlign w:val="center"/>
          </w:tcPr>
          <w:p w14:paraId="1AA5BA70">
            <w:pPr>
              <w:adjustRightInd w:val="0"/>
              <w:snapToGrid w:val="0"/>
              <w:jc w:val="center"/>
              <w:rPr>
                <w:rFonts w:ascii="宋体" w:hAnsi="宋体" w:cs="宋体"/>
                <w:szCs w:val="21"/>
              </w:rPr>
            </w:pPr>
            <w:r>
              <w:rPr>
                <w:rFonts w:hint="eastAsia" w:ascii="宋体" w:hAnsi="宋体" w:cs="宋体"/>
                <w:szCs w:val="21"/>
              </w:rPr>
              <w:t>电磁辐射</w:t>
            </w:r>
          </w:p>
        </w:tc>
        <w:tc>
          <w:tcPr>
            <w:tcW w:w="1354" w:type="pct"/>
            <w:gridSpan w:val="2"/>
            <w:vAlign w:val="center"/>
          </w:tcPr>
          <w:p w14:paraId="62EE2803">
            <w:pPr>
              <w:adjustRightInd w:val="0"/>
              <w:snapToGrid w:val="0"/>
              <w:jc w:val="center"/>
              <w:rPr>
                <w:rFonts w:ascii="宋体" w:hAnsi="宋体" w:cs="宋体"/>
                <w:szCs w:val="21"/>
              </w:rPr>
            </w:pPr>
            <w:r>
              <w:rPr>
                <w:rFonts w:hint="eastAsia" w:ascii="宋体" w:hAnsi="宋体" w:cs="宋体"/>
                <w:szCs w:val="21"/>
              </w:rPr>
              <w:t>/</w:t>
            </w:r>
          </w:p>
        </w:tc>
        <w:tc>
          <w:tcPr>
            <w:tcW w:w="605" w:type="pct"/>
            <w:vAlign w:val="center"/>
          </w:tcPr>
          <w:p w14:paraId="6581E64F">
            <w:pPr>
              <w:adjustRightInd w:val="0"/>
              <w:snapToGrid w:val="0"/>
              <w:jc w:val="center"/>
              <w:rPr>
                <w:rFonts w:ascii="宋体" w:hAnsi="宋体" w:cs="宋体"/>
                <w:szCs w:val="21"/>
              </w:rPr>
            </w:pPr>
            <w:r>
              <w:rPr>
                <w:rFonts w:hint="eastAsia" w:ascii="宋体" w:hAnsi="宋体" w:cs="宋体"/>
                <w:szCs w:val="21"/>
              </w:rPr>
              <w:t>/</w:t>
            </w:r>
          </w:p>
        </w:tc>
        <w:tc>
          <w:tcPr>
            <w:tcW w:w="1010" w:type="pct"/>
            <w:vAlign w:val="center"/>
          </w:tcPr>
          <w:p w14:paraId="436D6221">
            <w:pPr>
              <w:adjustRightInd w:val="0"/>
              <w:snapToGrid w:val="0"/>
              <w:jc w:val="center"/>
              <w:rPr>
                <w:rFonts w:ascii="宋体" w:hAnsi="宋体" w:cs="宋体"/>
                <w:szCs w:val="21"/>
              </w:rPr>
            </w:pPr>
            <w:r>
              <w:rPr>
                <w:rFonts w:hint="eastAsia" w:ascii="宋体" w:hAnsi="宋体" w:cs="宋体"/>
                <w:szCs w:val="21"/>
              </w:rPr>
              <w:t>/</w:t>
            </w:r>
          </w:p>
        </w:tc>
        <w:tc>
          <w:tcPr>
            <w:tcW w:w="1417" w:type="pct"/>
            <w:vAlign w:val="center"/>
          </w:tcPr>
          <w:p w14:paraId="565A6860">
            <w:pPr>
              <w:adjustRightInd w:val="0"/>
              <w:snapToGrid w:val="0"/>
              <w:jc w:val="center"/>
              <w:rPr>
                <w:rFonts w:ascii="宋体" w:hAnsi="宋体" w:cs="宋体"/>
                <w:szCs w:val="21"/>
              </w:rPr>
            </w:pPr>
            <w:r>
              <w:rPr>
                <w:rFonts w:hint="eastAsia" w:ascii="宋体" w:hAnsi="宋体" w:cs="宋体"/>
                <w:szCs w:val="21"/>
              </w:rPr>
              <w:t>/</w:t>
            </w:r>
          </w:p>
        </w:tc>
      </w:tr>
      <w:tr w14:paraId="3D4B9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14" w:type="pct"/>
            <w:vAlign w:val="center"/>
          </w:tcPr>
          <w:p w14:paraId="2282149D">
            <w:pPr>
              <w:adjustRightInd w:val="0"/>
              <w:snapToGrid w:val="0"/>
              <w:jc w:val="center"/>
              <w:rPr>
                <w:rFonts w:ascii="宋体" w:hAnsi="宋体" w:cs="宋体"/>
                <w:szCs w:val="21"/>
              </w:rPr>
            </w:pPr>
            <w:r>
              <w:rPr>
                <w:rFonts w:hint="eastAsia" w:ascii="宋体" w:hAnsi="宋体" w:cs="宋体"/>
                <w:szCs w:val="21"/>
              </w:rPr>
              <w:t>固体废物</w:t>
            </w:r>
          </w:p>
        </w:tc>
        <w:tc>
          <w:tcPr>
            <w:tcW w:w="4386" w:type="pct"/>
            <w:gridSpan w:val="5"/>
            <w:vAlign w:val="center"/>
          </w:tcPr>
          <w:p w14:paraId="735D7FA2">
            <w:pPr>
              <w:widowControl/>
              <w:jc w:val="center"/>
              <w:rPr>
                <w:rFonts w:ascii="宋体" w:hAnsi="宋体" w:cs="宋体"/>
                <w:color w:val="000000"/>
                <w:kern w:val="0"/>
                <w:szCs w:val="21"/>
                <w:lang w:bidi="ar"/>
              </w:rPr>
            </w:pPr>
            <w:r>
              <w:rPr>
                <w:rFonts w:hint="eastAsia" w:ascii="宋体" w:hAnsi="宋体" w:cs="宋体"/>
                <w:color w:val="000000"/>
                <w:kern w:val="0"/>
                <w:szCs w:val="21"/>
                <w:lang w:bidi="ar"/>
              </w:rPr>
              <w:t>项目产生的生活垃圾交由环卫部门统一清运处理；废包装材料、废次品</w:t>
            </w:r>
          </w:p>
          <w:p w14:paraId="5980CD2A">
            <w:pPr>
              <w:widowControl/>
              <w:jc w:val="center"/>
              <w:rPr>
                <w:rFonts w:ascii="宋体" w:hAnsi="宋体" w:cs="宋体"/>
                <w:szCs w:val="21"/>
              </w:rPr>
            </w:pPr>
            <w:r>
              <w:rPr>
                <w:rFonts w:hint="eastAsia" w:ascii="宋体" w:hAnsi="宋体" w:cs="宋体"/>
                <w:color w:val="000000"/>
                <w:kern w:val="0"/>
                <w:szCs w:val="21"/>
                <w:lang w:bidi="ar"/>
              </w:rPr>
              <w:t>分类收集后交专业公司回收处理；废活性炭、废化学品包装桶、废污油分类收集后交有危险废物处理资质单位处置。</w:t>
            </w:r>
          </w:p>
        </w:tc>
      </w:tr>
      <w:tr w14:paraId="15775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14" w:type="pct"/>
            <w:vAlign w:val="center"/>
          </w:tcPr>
          <w:p w14:paraId="19225513">
            <w:pPr>
              <w:adjustRightInd w:val="0"/>
              <w:snapToGrid w:val="0"/>
              <w:jc w:val="center"/>
              <w:rPr>
                <w:rFonts w:ascii="宋体" w:hAnsi="宋体" w:cs="宋体"/>
                <w:szCs w:val="21"/>
              </w:rPr>
            </w:pPr>
            <w:r>
              <w:rPr>
                <w:rFonts w:hint="eastAsia" w:ascii="宋体" w:hAnsi="宋体" w:cs="宋体"/>
                <w:szCs w:val="21"/>
              </w:rPr>
              <w:t>土壤及地下水</w:t>
            </w:r>
          </w:p>
          <w:p w14:paraId="55268415">
            <w:pPr>
              <w:adjustRightInd w:val="0"/>
              <w:snapToGrid w:val="0"/>
              <w:jc w:val="center"/>
              <w:rPr>
                <w:rFonts w:ascii="宋体" w:hAnsi="宋体" w:cs="宋体"/>
                <w:szCs w:val="21"/>
              </w:rPr>
            </w:pPr>
            <w:r>
              <w:rPr>
                <w:rFonts w:hint="eastAsia" w:ascii="宋体" w:hAnsi="宋体" w:cs="宋体"/>
                <w:szCs w:val="21"/>
              </w:rPr>
              <w:t>污染防治措施</w:t>
            </w:r>
          </w:p>
        </w:tc>
        <w:tc>
          <w:tcPr>
            <w:tcW w:w="4386" w:type="pct"/>
            <w:gridSpan w:val="5"/>
            <w:vAlign w:val="center"/>
          </w:tcPr>
          <w:p w14:paraId="41A5ECB9">
            <w:pPr>
              <w:widowControl/>
              <w:jc w:val="center"/>
              <w:rPr>
                <w:rFonts w:ascii="宋体" w:hAnsi="宋体" w:cs="宋体"/>
                <w:szCs w:val="21"/>
              </w:rPr>
            </w:pPr>
            <w:r>
              <w:rPr>
                <w:rFonts w:ascii="瀹嬩綋" w:hAnsi="瀹嬩綋" w:eastAsia="瀹嬩綋" w:cs="瀹嬩綋"/>
                <w:color w:val="000000"/>
                <w:kern w:val="0"/>
                <w:szCs w:val="21"/>
                <w:lang w:bidi="ar"/>
              </w:rPr>
              <w:t>厂区内应进行硬底化处理，按要求做好防渗措施；生产车间按一般防渗区要求采取防渗措施。</w:t>
            </w:r>
          </w:p>
        </w:tc>
      </w:tr>
      <w:tr w14:paraId="1439A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14" w:type="pct"/>
            <w:vAlign w:val="center"/>
          </w:tcPr>
          <w:p w14:paraId="1FA713EF">
            <w:pPr>
              <w:adjustRightInd w:val="0"/>
              <w:snapToGrid w:val="0"/>
              <w:jc w:val="center"/>
              <w:rPr>
                <w:rFonts w:ascii="宋体" w:hAnsi="宋体" w:cs="宋体"/>
                <w:szCs w:val="21"/>
              </w:rPr>
            </w:pPr>
            <w:r>
              <w:rPr>
                <w:rFonts w:hint="eastAsia" w:ascii="宋体" w:hAnsi="宋体" w:cs="宋体"/>
                <w:szCs w:val="21"/>
              </w:rPr>
              <w:t>生态保护措施</w:t>
            </w:r>
          </w:p>
        </w:tc>
        <w:tc>
          <w:tcPr>
            <w:tcW w:w="4386" w:type="pct"/>
            <w:gridSpan w:val="5"/>
            <w:vAlign w:val="center"/>
          </w:tcPr>
          <w:p w14:paraId="67B48AB1">
            <w:pPr>
              <w:widowControl/>
              <w:jc w:val="center"/>
              <w:rPr>
                <w:rFonts w:ascii="宋体" w:hAnsi="宋体" w:cs="宋体"/>
                <w:szCs w:val="21"/>
              </w:rPr>
            </w:pPr>
            <w:r>
              <w:rPr>
                <w:rFonts w:ascii="瀹嬩綋" w:hAnsi="瀹嬩綋" w:eastAsia="瀹嬩綋" w:cs="瀹嬩綋"/>
                <w:color w:val="000000"/>
                <w:kern w:val="0"/>
                <w:szCs w:val="21"/>
                <w:lang w:bidi="ar"/>
              </w:rPr>
              <w:t>不涉及</w:t>
            </w:r>
          </w:p>
        </w:tc>
      </w:tr>
      <w:tr w14:paraId="58E57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14" w:type="pct"/>
            <w:vAlign w:val="center"/>
          </w:tcPr>
          <w:p w14:paraId="0266F586">
            <w:pPr>
              <w:adjustRightInd w:val="0"/>
              <w:snapToGrid w:val="0"/>
              <w:jc w:val="center"/>
              <w:rPr>
                <w:rFonts w:ascii="宋体" w:hAnsi="宋体" w:cs="宋体"/>
                <w:spacing w:val="-8"/>
                <w:szCs w:val="21"/>
              </w:rPr>
            </w:pPr>
            <w:r>
              <w:rPr>
                <w:rFonts w:hint="eastAsia" w:ascii="宋体" w:hAnsi="宋体" w:cs="宋体"/>
                <w:spacing w:val="-8"/>
                <w:szCs w:val="21"/>
              </w:rPr>
              <w:t>环境风险</w:t>
            </w:r>
          </w:p>
          <w:p w14:paraId="42E5C110">
            <w:pPr>
              <w:adjustRightInd w:val="0"/>
              <w:snapToGrid w:val="0"/>
              <w:jc w:val="center"/>
              <w:rPr>
                <w:rFonts w:ascii="宋体" w:hAnsi="宋体" w:cs="宋体"/>
                <w:spacing w:val="-8"/>
                <w:szCs w:val="21"/>
              </w:rPr>
            </w:pPr>
            <w:r>
              <w:rPr>
                <w:rFonts w:hint="eastAsia" w:ascii="宋体" w:hAnsi="宋体" w:cs="宋体"/>
                <w:spacing w:val="-8"/>
                <w:szCs w:val="21"/>
              </w:rPr>
              <w:t>防范措施</w:t>
            </w:r>
          </w:p>
        </w:tc>
        <w:tc>
          <w:tcPr>
            <w:tcW w:w="4386" w:type="pct"/>
            <w:gridSpan w:val="5"/>
            <w:vAlign w:val="center"/>
          </w:tcPr>
          <w:p w14:paraId="032C632D">
            <w:pPr>
              <w:widowControl/>
              <w:jc w:val="center"/>
              <w:rPr>
                <w:rFonts w:ascii="宋体" w:hAnsi="宋体" w:cs="宋体"/>
                <w:szCs w:val="21"/>
              </w:rPr>
            </w:pPr>
            <w:r>
              <w:rPr>
                <w:rFonts w:ascii="瀹嬩綋" w:hAnsi="瀹嬩綋" w:eastAsia="瀹嬩綋" w:cs="瀹嬩綋"/>
                <w:color w:val="000000"/>
                <w:kern w:val="0"/>
                <w:szCs w:val="21"/>
                <w:lang w:bidi="ar"/>
              </w:rPr>
              <w:t>强化防火主观意识、建立健全防火安全规章制度并严格执行、消除着火源、包装材料的贮存要符合消防安全要求。防范火灾环境事故的发生。强化安全生产及环境保护意识的教育，提高职工的素质，加强操作人员的上岗前的培训，进行安全生产、消防、环保、工业卫生等方面的技术培训教育；定期检查安全消防设施的完好性，确保其处于即用状态，以备在事故发生时，能及时、高效率的发挥作用；定期维护废气治理设施。</w:t>
            </w:r>
          </w:p>
        </w:tc>
      </w:tr>
      <w:tr w14:paraId="0E113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14" w:type="pct"/>
            <w:vAlign w:val="center"/>
          </w:tcPr>
          <w:p w14:paraId="750A0BC7">
            <w:pPr>
              <w:adjustRightInd w:val="0"/>
              <w:snapToGrid w:val="0"/>
              <w:jc w:val="center"/>
              <w:rPr>
                <w:rFonts w:ascii="宋体" w:hAnsi="宋体" w:cs="宋体"/>
                <w:spacing w:val="-8"/>
                <w:szCs w:val="21"/>
              </w:rPr>
            </w:pPr>
            <w:r>
              <w:rPr>
                <w:rFonts w:hint="eastAsia" w:ascii="宋体" w:hAnsi="宋体" w:cs="宋体"/>
                <w:spacing w:val="-8"/>
                <w:szCs w:val="21"/>
              </w:rPr>
              <w:t>其他环境</w:t>
            </w:r>
          </w:p>
          <w:p w14:paraId="1D72D7F1">
            <w:pPr>
              <w:adjustRightInd w:val="0"/>
              <w:snapToGrid w:val="0"/>
              <w:jc w:val="center"/>
              <w:rPr>
                <w:rFonts w:ascii="宋体" w:hAnsi="宋体" w:cs="宋体"/>
                <w:spacing w:val="-8"/>
                <w:szCs w:val="21"/>
              </w:rPr>
            </w:pPr>
            <w:r>
              <w:rPr>
                <w:rFonts w:hint="eastAsia" w:ascii="宋体" w:hAnsi="宋体" w:cs="宋体"/>
                <w:spacing w:val="-8"/>
                <w:szCs w:val="21"/>
              </w:rPr>
              <w:t>管理要求</w:t>
            </w:r>
          </w:p>
        </w:tc>
        <w:tc>
          <w:tcPr>
            <w:tcW w:w="4386" w:type="pct"/>
            <w:gridSpan w:val="5"/>
            <w:vAlign w:val="center"/>
          </w:tcPr>
          <w:p w14:paraId="59D2FBC3">
            <w:pPr>
              <w:adjustRightInd w:val="0"/>
              <w:snapToGrid w:val="0"/>
              <w:jc w:val="center"/>
              <w:rPr>
                <w:rFonts w:ascii="宋体" w:hAnsi="宋体" w:cs="宋体"/>
                <w:szCs w:val="21"/>
              </w:rPr>
            </w:pPr>
            <w:r>
              <w:rPr>
                <w:rFonts w:hint="eastAsia" w:ascii="宋体" w:hAnsi="宋体" w:cs="宋体"/>
                <w:szCs w:val="21"/>
              </w:rPr>
              <w:t>/</w:t>
            </w:r>
          </w:p>
        </w:tc>
      </w:tr>
    </w:tbl>
    <w:p w14:paraId="46ACE669">
      <w:pPr>
        <w:pStyle w:val="19"/>
        <w:jc w:val="center"/>
        <w:outlineLvl w:val="0"/>
        <w:rPr>
          <w:rFonts w:ascii="黑体" w:hAnsi="黑体" w:eastAsia="黑体"/>
          <w:snapToGrid w:val="0"/>
          <w:sz w:val="30"/>
          <w:szCs w:val="30"/>
        </w:rPr>
      </w:pPr>
      <w:r>
        <w:rPr>
          <w:snapToGrid w:val="0"/>
        </w:rPr>
        <w:br w:type="page"/>
      </w:r>
      <w:bookmarkStart w:id="11" w:name="_Toc189401886"/>
      <w:r>
        <w:rPr>
          <w:rFonts w:hint="eastAsia" w:ascii="黑体" w:hAnsi="黑体" w:eastAsia="黑体"/>
          <w:snapToGrid w:val="0"/>
          <w:sz w:val="30"/>
          <w:szCs w:val="30"/>
        </w:rPr>
        <w:t>六、结论</w:t>
      </w:r>
      <w:bookmarkEnd w:id="11"/>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29A7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2101A51">
            <w:pPr>
              <w:spacing w:line="500" w:lineRule="exact"/>
              <w:ind w:firstLine="480" w:firstLineChars="200"/>
              <w:rPr>
                <w:sz w:val="24"/>
              </w:rPr>
            </w:pPr>
            <w:r>
              <w:rPr>
                <w:rFonts w:hint="eastAsia"/>
                <w:sz w:val="24"/>
              </w:rPr>
              <w:t>综上所述，项目性质与周边环境功能区划相符，符合规划布局要求，选址合理可行。建设项目应认真执行环保“三同时”管理规定，把项目对环境的影响控制在最低限度。建设单位只要严格执行环保管理相关规定，落实本环评提出的各项环保措施，严格执行“三同时”制度，在确保环保设施正常运转和污染物稳定达标排放的前期下，则项目的建设将不会对周围环境造成明显的影响，从环境保护角度分析，项目建设是可行的。</w:t>
            </w:r>
          </w:p>
          <w:p w14:paraId="6ECE7CE6">
            <w:pPr>
              <w:spacing w:line="500" w:lineRule="exact"/>
              <w:ind w:firstLine="480" w:firstLineChars="200"/>
              <w:rPr>
                <w:sz w:val="24"/>
              </w:rPr>
            </w:pPr>
            <w:r>
              <w:rPr>
                <w:rFonts w:hint="eastAsia"/>
                <w:sz w:val="24"/>
              </w:rPr>
              <w:t>建设单位须严格遵守环保“三同时”制度，各项治理措施需经验收合格后，方可正式投入使用。</w:t>
            </w:r>
          </w:p>
        </w:tc>
      </w:tr>
    </w:tbl>
    <w:p w14:paraId="7BDD454F">
      <w:pPr>
        <w:rPr>
          <w:rFonts w:ascii="宋体"/>
        </w:rPr>
        <w:sectPr>
          <w:pgSz w:w="11906" w:h="16838"/>
          <w:pgMar w:top="1701" w:right="1531" w:bottom="1701" w:left="1531" w:header="851" w:footer="851" w:gutter="0"/>
          <w:pgNumType w:fmt="numberInDash"/>
          <w:cols w:space="720" w:num="1"/>
          <w:docGrid w:linePitch="312" w:charSpace="0"/>
        </w:sectPr>
      </w:pPr>
    </w:p>
    <w:p w14:paraId="72B8D698">
      <w:pPr>
        <w:pStyle w:val="19"/>
        <w:adjustRightInd w:val="0"/>
        <w:snapToGrid w:val="0"/>
        <w:spacing w:before="0" w:beforeAutospacing="0" w:after="0" w:afterAutospacing="0" w:line="360" w:lineRule="auto"/>
        <w:outlineLvl w:val="0"/>
        <w:rPr>
          <w:b/>
          <w:bCs/>
          <w:snapToGrid w:val="0"/>
          <w:sz w:val="21"/>
          <w:szCs w:val="21"/>
        </w:rPr>
      </w:pPr>
      <w:bookmarkStart w:id="12" w:name="_Toc189401887"/>
      <w:r>
        <w:rPr>
          <w:rFonts w:hint="eastAsia"/>
          <w:b/>
          <w:bCs/>
          <w:snapToGrid w:val="0"/>
          <w:sz w:val="21"/>
          <w:szCs w:val="21"/>
        </w:rPr>
        <w:t>附表</w:t>
      </w:r>
      <w:bookmarkEnd w:id="12"/>
    </w:p>
    <w:p w14:paraId="380D6F8B">
      <w:pPr>
        <w:pStyle w:val="19"/>
        <w:adjustRightInd w:val="0"/>
        <w:snapToGrid w:val="0"/>
        <w:spacing w:before="0" w:beforeAutospacing="0" w:after="0" w:afterAutospacing="0" w:line="360" w:lineRule="auto"/>
        <w:jc w:val="center"/>
        <w:outlineLvl w:val="0"/>
        <w:rPr>
          <w:b/>
          <w:bCs/>
          <w:snapToGrid w:val="0"/>
          <w:sz w:val="28"/>
          <w:szCs w:val="28"/>
        </w:rPr>
      </w:pPr>
      <w:bookmarkStart w:id="13" w:name="_Toc189401888"/>
      <w:r>
        <w:rPr>
          <w:rFonts w:hint="eastAsia"/>
          <w:b/>
          <w:bCs/>
          <w:snapToGrid w:val="0"/>
          <w:sz w:val="28"/>
          <w:szCs w:val="28"/>
        </w:rPr>
        <w:t>建设项目污染物排放量汇总表</w:t>
      </w:r>
      <w:bookmarkEnd w:id="13"/>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708"/>
        <w:gridCol w:w="889"/>
        <w:gridCol w:w="1521"/>
        <w:gridCol w:w="1276"/>
        <w:gridCol w:w="1701"/>
        <w:gridCol w:w="1559"/>
        <w:gridCol w:w="918"/>
        <w:gridCol w:w="1980"/>
        <w:gridCol w:w="1648"/>
      </w:tblGrid>
      <w:tr w14:paraId="24DFA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1" w:hRule="atLeast"/>
          <w:tblHeader/>
        </w:trPr>
        <w:tc>
          <w:tcPr>
            <w:tcW w:w="1588" w:type="dxa"/>
            <w:tcBorders>
              <w:tl2br w:val="single" w:color="auto" w:sz="4" w:space="0"/>
            </w:tcBorders>
            <w:tcMar>
              <w:left w:w="28" w:type="dxa"/>
              <w:right w:w="28" w:type="dxa"/>
            </w:tcMar>
            <w:vAlign w:val="center"/>
          </w:tcPr>
          <w:p w14:paraId="767CF7BE">
            <w:pPr>
              <w:pStyle w:val="36"/>
              <w:spacing w:beforeLines="0" w:afterLines="0" w:line="360" w:lineRule="auto"/>
              <w:ind w:right="200"/>
              <w:rPr>
                <w:rFonts w:ascii="Times New Roman"/>
                <w:b/>
                <w:bCs/>
                <w:snapToGrid w:val="0"/>
                <w:color w:val="000000"/>
                <w:spacing w:val="-6"/>
                <w:kern w:val="21"/>
                <w:sz w:val="20"/>
              </w:rPr>
            </w:pPr>
            <w:r>
              <w:rPr>
                <w:rFonts w:ascii="Times New Roman"/>
                <w:b/>
                <w:bCs/>
                <w:snapToGrid w:val="0"/>
                <w:color w:val="000000"/>
                <w:spacing w:val="-6"/>
                <w:kern w:val="21"/>
                <w:sz w:val="20"/>
              </w:rPr>
              <w:t xml:space="preserve">          项目</w:t>
            </w:r>
          </w:p>
          <w:p w14:paraId="33392278">
            <w:pPr>
              <w:pStyle w:val="36"/>
              <w:spacing w:beforeLines="0" w:afterLines="0" w:line="360" w:lineRule="auto"/>
              <w:jc w:val="both"/>
              <w:rPr>
                <w:rFonts w:ascii="Times New Roman"/>
                <w:b/>
                <w:bCs/>
                <w:snapToGrid w:val="0"/>
                <w:color w:val="000000"/>
                <w:spacing w:val="-6"/>
                <w:kern w:val="21"/>
                <w:sz w:val="20"/>
              </w:rPr>
            </w:pPr>
            <w:r>
              <w:rPr>
                <w:rFonts w:ascii="Times New Roman"/>
                <w:b/>
                <w:bCs/>
                <w:snapToGrid w:val="0"/>
                <w:color w:val="000000"/>
                <w:spacing w:val="-6"/>
                <w:kern w:val="21"/>
                <w:sz w:val="20"/>
              </w:rPr>
              <w:t>分类</w:t>
            </w:r>
          </w:p>
        </w:tc>
        <w:tc>
          <w:tcPr>
            <w:tcW w:w="1597" w:type="dxa"/>
            <w:gridSpan w:val="2"/>
            <w:tcMar>
              <w:left w:w="28" w:type="dxa"/>
              <w:right w:w="28" w:type="dxa"/>
            </w:tcMar>
            <w:vAlign w:val="center"/>
          </w:tcPr>
          <w:p w14:paraId="31EC258B">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污染物名称</w:t>
            </w:r>
          </w:p>
        </w:tc>
        <w:tc>
          <w:tcPr>
            <w:tcW w:w="1521" w:type="dxa"/>
            <w:tcMar>
              <w:left w:w="28" w:type="dxa"/>
              <w:right w:w="28" w:type="dxa"/>
            </w:tcMar>
            <w:vAlign w:val="center"/>
          </w:tcPr>
          <w:p w14:paraId="4B691811">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现有工程</w:t>
            </w:r>
          </w:p>
          <w:p w14:paraId="19CD2476">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排放量（固体废物产生量）</w:t>
            </w:r>
            <w:r>
              <w:rPr>
                <w:rFonts w:ascii="Times New Roman"/>
                <w:b/>
                <w:bCs/>
                <w:snapToGrid w:val="0"/>
                <w:color w:val="000000"/>
                <w:spacing w:val="-6"/>
                <w:kern w:val="21"/>
                <w:sz w:val="20"/>
              </w:rPr>
              <w:fldChar w:fldCharType="begin"/>
            </w:r>
            <w:r>
              <w:rPr>
                <w:rFonts w:ascii="Times New Roman"/>
                <w:b/>
                <w:bCs/>
                <w:snapToGrid w:val="0"/>
                <w:color w:val="000000"/>
                <w:spacing w:val="-6"/>
                <w:kern w:val="21"/>
                <w:sz w:val="20"/>
              </w:rPr>
              <w:instrText xml:space="preserve"> = 1 \* GB3 \* MERGEFORMAT </w:instrText>
            </w:r>
            <w:r>
              <w:rPr>
                <w:rFonts w:ascii="Times New Roman"/>
                <w:b/>
                <w:bCs/>
                <w:snapToGrid w:val="0"/>
                <w:color w:val="000000"/>
                <w:spacing w:val="-6"/>
                <w:kern w:val="21"/>
                <w:sz w:val="20"/>
              </w:rPr>
              <w:fldChar w:fldCharType="separate"/>
            </w:r>
            <w:r>
              <w:rPr>
                <w:rFonts w:ascii="Cambria Math" w:hAnsi="Cambria Math" w:cs="Cambria Math"/>
                <w:b/>
                <w:bCs/>
                <w:kern w:val="2"/>
                <w:sz w:val="20"/>
              </w:rPr>
              <w:t>①</w:t>
            </w:r>
            <w:r>
              <w:rPr>
                <w:rFonts w:ascii="Times New Roman"/>
                <w:b/>
                <w:bCs/>
                <w:snapToGrid w:val="0"/>
                <w:color w:val="000000"/>
                <w:spacing w:val="-6"/>
                <w:kern w:val="21"/>
                <w:sz w:val="20"/>
              </w:rPr>
              <w:fldChar w:fldCharType="end"/>
            </w:r>
          </w:p>
        </w:tc>
        <w:tc>
          <w:tcPr>
            <w:tcW w:w="1276" w:type="dxa"/>
            <w:tcMar>
              <w:left w:w="28" w:type="dxa"/>
              <w:right w:w="28" w:type="dxa"/>
            </w:tcMar>
            <w:vAlign w:val="center"/>
          </w:tcPr>
          <w:p w14:paraId="6DFC8600">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现有工程</w:t>
            </w:r>
          </w:p>
          <w:p w14:paraId="0BADA49D">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许可排放量</w:t>
            </w:r>
          </w:p>
          <w:p w14:paraId="1F90E332">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fldChar w:fldCharType="begin"/>
            </w:r>
            <w:r>
              <w:rPr>
                <w:rFonts w:ascii="Times New Roman"/>
                <w:b/>
                <w:bCs/>
                <w:snapToGrid w:val="0"/>
                <w:color w:val="000000"/>
                <w:spacing w:val="-6"/>
                <w:kern w:val="21"/>
                <w:sz w:val="20"/>
              </w:rPr>
              <w:instrText xml:space="preserve"> = 2 \* GB3 \* MERGEFORMAT </w:instrText>
            </w:r>
            <w:r>
              <w:rPr>
                <w:rFonts w:ascii="Times New Roman"/>
                <w:b/>
                <w:bCs/>
                <w:snapToGrid w:val="0"/>
                <w:color w:val="000000"/>
                <w:spacing w:val="-6"/>
                <w:kern w:val="21"/>
                <w:sz w:val="20"/>
              </w:rPr>
              <w:fldChar w:fldCharType="separate"/>
            </w:r>
            <w:r>
              <w:rPr>
                <w:rFonts w:ascii="Cambria Math" w:hAnsi="Cambria Math" w:cs="Cambria Math"/>
                <w:b/>
                <w:bCs/>
                <w:snapToGrid w:val="0"/>
                <w:color w:val="000000"/>
                <w:spacing w:val="-6"/>
                <w:kern w:val="21"/>
                <w:sz w:val="20"/>
              </w:rPr>
              <w:t>②</w:t>
            </w:r>
            <w:r>
              <w:rPr>
                <w:rFonts w:ascii="Times New Roman"/>
                <w:b/>
                <w:bCs/>
                <w:snapToGrid w:val="0"/>
                <w:color w:val="000000"/>
                <w:spacing w:val="-6"/>
                <w:kern w:val="21"/>
                <w:sz w:val="20"/>
              </w:rPr>
              <w:fldChar w:fldCharType="end"/>
            </w:r>
          </w:p>
        </w:tc>
        <w:tc>
          <w:tcPr>
            <w:tcW w:w="1701" w:type="dxa"/>
            <w:tcMar>
              <w:left w:w="28" w:type="dxa"/>
              <w:right w:w="28" w:type="dxa"/>
            </w:tcMar>
            <w:vAlign w:val="center"/>
          </w:tcPr>
          <w:p w14:paraId="1468A592">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在建工程</w:t>
            </w:r>
          </w:p>
          <w:p w14:paraId="0DA4928E">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排放量（固体废物产生量）</w:t>
            </w:r>
            <w:r>
              <w:rPr>
                <w:rFonts w:ascii="Times New Roman"/>
                <w:b/>
                <w:bCs/>
                <w:snapToGrid w:val="0"/>
                <w:color w:val="000000"/>
                <w:spacing w:val="-6"/>
                <w:kern w:val="21"/>
                <w:sz w:val="20"/>
              </w:rPr>
              <w:fldChar w:fldCharType="begin"/>
            </w:r>
            <w:r>
              <w:rPr>
                <w:rFonts w:ascii="Times New Roman"/>
                <w:b/>
                <w:bCs/>
                <w:snapToGrid w:val="0"/>
                <w:color w:val="000000"/>
                <w:spacing w:val="-6"/>
                <w:kern w:val="21"/>
                <w:sz w:val="20"/>
              </w:rPr>
              <w:instrText xml:space="preserve"> = 3 \* GB3 \* MERGEFORMAT </w:instrText>
            </w:r>
            <w:r>
              <w:rPr>
                <w:rFonts w:ascii="Times New Roman"/>
                <w:b/>
                <w:bCs/>
                <w:snapToGrid w:val="0"/>
                <w:color w:val="000000"/>
                <w:spacing w:val="-6"/>
                <w:kern w:val="21"/>
                <w:sz w:val="20"/>
              </w:rPr>
              <w:fldChar w:fldCharType="separate"/>
            </w:r>
            <w:r>
              <w:rPr>
                <w:rFonts w:ascii="Cambria Math" w:hAnsi="Cambria Math" w:cs="Cambria Math"/>
                <w:b/>
                <w:bCs/>
                <w:kern w:val="2"/>
                <w:sz w:val="20"/>
              </w:rPr>
              <w:t>③</w:t>
            </w:r>
            <w:r>
              <w:rPr>
                <w:rFonts w:ascii="Times New Roman"/>
                <w:b/>
                <w:bCs/>
                <w:snapToGrid w:val="0"/>
                <w:color w:val="000000"/>
                <w:spacing w:val="-6"/>
                <w:kern w:val="21"/>
                <w:sz w:val="20"/>
              </w:rPr>
              <w:fldChar w:fldCharType="end"/>
            </w:r>
          </w:p>
        </w:tc>
        <w:tc>
          <w:tcPr>
            <w:tcW w:w="1559" w:type="dxa"/>
            <w:tcMar>
              <w:left w:w="28" w:type="dxa"/>
              <w:right w:w="28" w:type="dxa"/>
            </w:tcMar>
            <w:vAlign w:val="center"/>
          </w:tcPr>
          <w:p w14:paraId="7D97141E">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本项目</w:t>
            </w:r>
          </w:p>
          <w:p w14:paraId="27EBCE7E">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排放量（固体废物产生量）</w:t>
            </w:r>
            <w:r>
              <w:rPr>
                <w:rFonts w:ascii="Times New Roman"/>
                <w:b/>
                <w:bCs/>
                <w:snapToGrid w:val="0"/>
                <w:color w:val="000000"/>
                <w:spacing w:val="-6"/>
                <w:kern w:val="21"/>
                <w:sz w:val="20"/>
              </w:rPr>
              <w:fldChar w:fldCharType="begin"/>
            </w:r>
            <w:r>
              <w:rPr>
                <w:rFonts w:ascii="Times New Roman"/>
                <w:b/>
                <w:bCs/>
                <w:snapToGrid w:val="0"/>
                <w:color w:val="000000"/>
                <w:spacing w:val="-6"/>
                <w:kern w:val="21"/>
                <w:sz w:val="20"/>
              </w:rPr>
              <w:instrText xml:space="preserve"> = 4 \* GB3 \* MERGEFORMAT </w:instrText>
            </w:r>
            <w:r>
              <w:rPr>
                <w:rFonts w:ascii="Times New Roman"/>
                <w:b/>
                <w:bCs/>
                <w:snapToGrid w:val="0"/>
                <w:color w:val="000000"/>
                <w:spacing w:val="-6"/>
                <w:kern w:val="21"/>
                <w:sz w:val="20"/>
              </w:rPr>
              <w:fldChar w:fldCharType="separate"/>
            </w:r>
            <w:r>
              <w:rPr>
                <w:rFonts w:ascii="Cambria Math" w:hAnsi="Cambria Math" w:cs="Cambria Math"/>
                <w:b/>
                <w:bCs/>
                <w:kern w:val="2"/>
                <w:sz w:val="20"/>
              </w:rPr>
              <w:t>④</w:t>
            </w:r>
            <w:r>
              <w:rPr>
                <w:rFonts w:ascii="Times New Roman"/>
                <w:b/>
                <w:bCs/>
                <w:snapToGrid w:val="0"/>
                <w:color w:val="000000"/>
                <w:spacing w:val="-6"/>
                <w:kern w:val="21"/>
                <w:sz w:val="20"/>
              </w:rPr>
              <w:fldChar w:fldCharType="end"/>
            </w:r>
          </w:p>
        </w:tc>
        <w:tc>
          <w:tcPr>
            <w:tcW w:w="918" w:type="dxa"/>
            <w:tcMar>
              <w:left w:w="28" w:type="dxa"/>
              <w:right w:w="28" w:type="dxa"/>
            </w:tcMar>
            <w:vAlign w:val="center"/>
          </w:tcPr>
          <w:p w14:paraId="1C5D7A89">
            <w:pPr>
              <w:pStyle w:val="36"/>
              <w:spacing w:beforeLines="0" w:afterLines="0" w:line="360" w:lineRule="auto"/>
              <w:rPr>
                <w:rFonts w:ascii="Times New Roman"/>
                <w:b/>
                <w:bCs/>
                <w:snapToGrid w:val="0"/>
                <w:color w:val="000000"/>
                <w:spacing w:val="-16"/>
                <w:kern w:val="21"/>
                <w:sz w:val="20"/>
              </w:rPr>
            </w:pPr>
            <w:r>
              <w:rPr>
                <w:rFonts w:ascii="Times New Roman"/>
                <w:b/>
                <w:bCs/>
                <w:snapToGrid w:val="0"/>
                <w:color w:val="000000"/>
                <w:spacing w:val="-16"/>
                <w:kern w:val="21"/>
                <w:sz w:val="20"/>
              </w:rPr>
              <w:t>以新带老削减量</w:t>
            </w:r>
          </w:p>
          <w:p w14:paraId="4932AD8A">
            <w:pPr>
              <w:pStyle w:val="36"/>
              <w:spacing w:beforeLines="0" w:afterLines="0" w:line="360" w:lineRule="auto"/>
              <w:rPr>
                <w:rFonts w:ascii="Times New Roman"/>
                <w:b/>
                <w:bCs/>
                <w:snapToGrid w:val="0"/>
                <w:color w:val="000000"/>
                <w:spacing w:val="-16"/>
                <w:kern w:val="21"/>
                <w:sz w:val="20"/>
              </w:rPr>
            </w:pPr>
            <w:r>
              <w:rPr>
                <w:rFonts w:ascii="Times New Roman"/>
                <w:b/>
                <w:bCs/>
                <w:snapToGrid w:val="0"/>
                <w:color w:val="000000"/>
                <w:spacing w:val="-16"/>
                <w:kern w:val="21"/>
                <w:sz w:val="20"/>
              </w:rPr>
              <w:t>（新建项目不填）</w:t>
            </w:r>
            <w:r>
              <w:rPr>
                <w:rFonts w:ascii="Times New Roman"/>
                <w:b/>
                <w:bCs/>
                <w:snapToGrid w:val="0"/>
                <w:color w:val="000000"/>
                <w:spacing w:val="-16"/>
                <w:kern w:val="21"/>
                <w:sz w:val="20"/>
              </w:rPr>
              <w:fldChar w:fldCharType="begin"/>
            </w:r>
            <w:r>
              <w:rPr>
                <w:rFonts w:ascii="Times New Roman"/>
                <w:b/>
                <w:bCs/>
                <w:snapToGrid w:val="0"/>
                <w:color w:val="000000"/>
                <w:spacing w:val="-16"/>
                <w:kern w:val="21"/>
                <w:sz w:val="20"/>
              </w:rPr>
              <w:instrText xml:space="preserve"> = 5 \* GB3 \* MERGEFORMAT </w:instrText>
            </w:r>
            <w:r>
              <w:rPr>
                <w:rFonts w:ascii="Times New Roman"/>
                <w:b/>
                <w:bCs/>
                <w:snapToGrid w:val="0"/>
                <w:color w:val="000000"/>
                <w:spacing w:val="-16"/>
                <w:kern w:val="21"/>
                <w:sz w:val="20"/>
              </w:rPr>
              <w:fldChar w:fldCharType="separate"/>
            </w:r>
            <w:r>
              <w:rPr>
                <w:rFonts w:ascii="Cambria Math" w:hAnsi="Cambria Math" w:cs="Cambria Math"/>
                <w:b/>
                <w:bCs/>
                <w:kern w:val="2"/>
                <w:sz w:val="20"/>
              </w:rPr>
              <w:t>⑤</w:t>
            </w:r>
            <w:r>
              <w:rPr>
                <w:rFonts w:ascii="Times New Roman"/>
                <w:b/>
                <w:bCs/>
                <w:snapToGrid w:val="0"/>
                <w:color w:val="000000"/>
                <w:spacing w:val="-16"/>
                <w:kern w:val="21"/>
                <w:sz w:val="20"/>
              </w:rPr>
              <w:fldChar w:fldCharType="end"/>
            </w:r>
          </w:p>
        </w:tc>
        <w:tc>
          <w:tcPr>
            <w:tcW w:w="1980" w:type="dxa"/>
            <w:tcMar>
              <w:left w:w="28" w:type="dxa"/>
              <w:right w:w="28" w:type="dxa"/>
            </w:tcMar>
            <w:vAlign w:val="center"/>
          </w:tcPr>
          <w:p w14:paraId="383863D2">
            <w:pPr>
              <w:pStyle w:val="36"/>
              <w:spacing w:beforeLines="0" w:afterLines="0" w:line="360" w:lineRule="auto"/>
              <w:rPr>
                <w:rFonts w:ascii="Times New Roman"/>
                <w:b/>
                <w:bCs/>
                <w:snapToGrid w:val="0"/>
                <w:color w:val="000000"/>
                <w:spacing w:val="-16"/>
                <w:kern w:val="21"/>
                <w:sz w:val="20"/>
              </w:rPr>
            </w:pPr>
            <w:r>
              <w:rPr>
                <w:rFonts w:ascii="Times New Roman"/>
                <w:b/>
                <w:bCs/>
                <w:snapToGrid w:val="0"/>
                <w:color w:val="000000"/>
                <w:spacing w:val="-16"/>
                <w:kern w:val="21"/>
                <w:sz w:val="20"/>
              </w:rPr>
              <w:t>本项目建成后</w:t>
            </w:r>
          </w:p>
          <w:p w14:paraId="665A3D36">
            <w:pPr>
              <w:pStyle w:val="36"/>
              <w:spacing w:beforeLines="0" w:afterLines="0" w:line="360" w:lineRule="auto"/>
              <w:rPr>
                <w:rFonts w:ascii="Times New Roman"/>
                <w:b/>
                <w:bCs/>
                <w:snapToGrid w:val="0"/>
                <w:color w:val="000000"/>
                <w:spacing w:val="-16"/>
                <w:kern w:val="21"/>
                <w:sz w:val="20"/>
              </w:rPr>
            </w:pPr>
            <w:r>
              <w:rPr>
                <w:rFonts w:ascii="Times New Roman"/>
                <w:b/>
                <w:bCs/>
                <w:snapToGrid w:val="0"/>
                <w:color w:val="000000"/>
                <w:spacing w:val="-16"/>
                <w:kern w:val="21"/>
                <w:sz w:val="20"/>
              </w:rPr>
              <w:t>全厂排放量（固体废物产生量）</w:t>
            </w:r>
            <w:r>
              <w:rPr>
                <w:rFonts w:ascii="Times New Roman"/>
                <w:b/>
                <w:bCs/>
                <w:snapToGrid w:val="0"/>
                <w:color w:val="000000"/>
                <w:spacing w:val="-16"/>
                <w:kern w:val="21"/>
                <w:sz w:val="20"/>
              </w:rPr>
              <w:fldChar w:fldCharType="begin"/>
            </w:r>
            <w:r>
              <w:rPr>
                <w:rFonts w:ascii="Times New Roman"/>
                <w:b/>
                <w:bCs/>
                <w:snapToGrid w:val="0"/>
                <w:color w:val="000000"/>
                <w:spacing w:val="-16"/>
                <w:kern w:val="21"/>
                <w:sz w:val="20"/>
              </w:rPr>
              <w:instrText xml:space="preserve"> = 6 \* GB3 \* MERGEFORMAT </w:instrText>
            </w:r>
            <w:r>
              <w:rPr>
                <w:rFonts w:ascii="Times New Roman"/>
                <w:b/>
                <w:bCs/>
                <w:snapToGrid w:val="0"/>
                <w:color w:val="000000"/>
                <w:spacing w:val="-16"/>
                <w:kern w:val="21"/>
                <w:sz w:val="20"/>
              </w:rPr>
              <w:fldChar w:fldCharType="separate"/>
            </w:r>
            <w:r>
              <w:rPr>
                <w:rFonts w:ascii="Cambria Math" w:hAnsi="Cambria Math" w:cs="Cambria Math"/>
                <w:b/>
                <w:bCs/>
                <w:kern w:val="2"/>
                <w:sz w:val="20"/>
              </w:rPr>
              <w:t>⑥</w:t>
            </w:r>
            <w:r>
              <w:rPr>
                <w:rFonts w:ascii="Times New Roman"/>
                <w:b/>
                <w:bCs/>
                <w:snapToGrid w:val="0"/>
                <w:color w:val="000000"/>
                <w:spacing w:val="-16"/>
                <w:kern w:val="21"/>
                <w:sz w:val="20"/>
              </w:rPr>
              <w:fldChar w:fldCharType="end"/>
            </w:r>
          </w:p>
        </w:tc>
        <w:tc>
          <w:tcPr>
            <w:tcW w:w="1648" w:type="dxa"/>
            <w:tcMar>
              <w:left w:w="28" w:type="dxa"/>
              <w:right w:w="28" w:type="dxa"/>
            </w:tcMar>
            <w:vAlign w:val="center"/>
          </w:tcPr>
          <w:p w14:paraId="2EEB3D39">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t>变化量</w:t>
            </w:r>
          </w:p>
          <w:p w14:paraId="1198902C">
            <w:pPr>
              <w:pStyle w:val="36"/>
              <w:spacing w:beforeLines="0" w:afterLines="0" w:line="360" w:lineRule="auto"/>
              <w:rPr>
                <w:rFonts w:ascii="Times New Roman"/>
                <w:b/>
                <w:bCs/>
                <w:snapToGrid w:val="0"/>
                <w:color w:val="000000"/>
                <w:spacing w:val="-6"/>
                <w:kern w:val="21"/>
                <w:sz w:val="20"/>
              </w:rPr>
            </w:pPr>
            <w:r>
              <w:rPr>
                <w:rFonts w:ascii="Times New Roman"/>
                <w:b/>
                <w:bCs/>
                <w:snapToGrid w:val="0"/>
                <w:color w:val="000000"/>
                <w:spacing w:val="-6"/>
                <w:kern w:val="21"/>
                <w:sz w:val="20"/>
              </w:rPr>
              <w:fldChar w:fldCharType="begin"/>
            </w:r>
            <w:r>
              <w:rPr>
                <w:rFonts w:ascii="Times New Roman"/>
                <w:b/>
                <w:bCs/>
                <w:snapToGrid w:val="0"/>
                <w:color w:val="000000"/>
                <w:spacing w:val="-6"/>
                <w:kern w:val="21"/>
                <w:sz w:val="20"/>
              </w:rPr>
              <w:instrText xml:space="preserve"> = 7 \* GB3 \* MERGEFORMAT </w:instrText>
            </w:r>
            <w:r>
              <w:rPr>
                <w:rFonts w:ascii="Times New Roman"/>
                <w:b/>
                <w:bCs/>
                <w:snapToGrid w:val="0"/>
                <w:color w:val="000000"/>
                <w:spacing w:val="-6"/>
                <w:kern w:val="21"/>
                <w:sz w:val="20"/>
              </w:rPr>
              <w:fldChar w:fldCharType="separate"/>
            </w:r>
            <w:r>
              <w:rPr>
                <w:rFonts w:ascii="Cambria Math" w:hAnsi="Cambria Math" w:cs="Cambria Math"/>
                <w:b/>
                <w:bCs/>
                <w:kern w:val="2"/>
                <w:sz w:val="20"/>
              </w:rPr>
              <w:t>⑦</w:t>
            </w:r>
            <w:r>
              <w:rPr>
                <w:rFonts w:ascii="Times New Roman"/>
                <w:b/>
                <w:bCs/>
                <w:snapToGrid w:val="0"/>
                <w:color w:val="000000"/>
                <w:spacing w:val="-6"/>
                <w:kern w:val="21"/>
                <w:sz w:val="20"/>
              </w:rPr>
              <w:fldChar w:fldCharType="end"/>
            </w:r>
          </w:p>
        </w:tc>
      </w:tr>
      <w:tr w14:paraId="39D2C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323085F8">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废气</w:t>
            </w:r>
          </w:p>
        </w:tc>
        <w:tc>
          <w:tcPr>
            <w:tcW w:w="1597" w:type="dxa"/>
            <w:gridSpan w:val="2"/>
            <w:vAlign w:val="center"/>
          </w:tcPr>
          <w:p w14:paraId="0A90566F">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挥发性有机物</w:t>
            </w:r>
          </w:p>
        </w:tc>
        <w:tc>
          <w:tcPr>
            <w:tcW w:w="1521" w:type="dxa"/>
            <w:vAlign w:val="center"/>
          </w:tcPr>
          <w:p w14:paraId="5E50A3E8">
            <w:pPr>
              <w:pStyle w:val="36"/>
              <w:spacing w:beforeLines="0" w:afterLines="0" w:line="240" w:lineRule="auto"/>
              <w:rPr>
                <w:rFonts w:ascii="Times New Roman"/>
                <w:sz w:val="20"/>
              </w:rPr>
            </w:pPr>
            <w:r>
              <w:rPr>
                <w:rFonts w:ascii="Times New Roman"/>
                <w:snapToGrid w:val="0"/>
                <w:color w:val="000000"/>
                <w:kern w:val="21"/>
                <w:sz w:val="20"/>
              </w:rPr>
              <w:t>/</w:t>
            </w:r>
          </w:p>
        </w:tc>
        <w:tc>
          <w:tcPr>
            <w:tcW w:w="1276" w:type="dxa"/>
            <w:vAlign w:val="center"/>
          </w:tcPr>
          <w:p w14:paraId="56ACF557">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444CE053">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5446A233">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0.3552t/a</w:t>
            </w:r>
          </w:p>
        </w:tc>
        <w:tc>
          <w:tcPr>
            <w:tcW w:w="918" w:type="dxa"/>
            <w:vAlign w:val="center"/>
          </w:tcPr>
          <w:p w14:paraId="34C95465">
            <w:pPr>
              <w:pStyle w:val="36"/>
              <w:spacing w:beforeLines="0" w:afterLines="0" w:line="240" w:lineRule="auto"/>
              <w:rPr>
                <w:rFonts w:ascii="Times New Roman"/>
                <w:sz w:val="20"/>
              </w:rPr>
            </w:pPr>
            <w:r>
              <w:rPr>
                <w:rFonts w:ascii="Times New Roman"/>
                <w:snapToGrid w:val="0"/>
                <w:color w:val="000000"/>
                <w:kern w:val="21"/>
                <w:sz w:val="20"/>
              </w:rPr>
              <w:t>/</w:t>
            </w:r>
          </w:p>
        </w:tc>
        <w:tc>
          <w:tcPr>
            <w:tcW w:w="1980" w:type="dxa"/>
            <w:vAlign w:val="center"/>
          </w:tcPr>
          <w:p w14:paraId="2AB786AD">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0.3552t/a</w:t>
            </w:r>
          </w:p>
        </w:tc>
        <w:tc>
          <w:tcPr>
            <w:tcW w:w="1648" w:type="dxa"/>
            <w:vAlign w:val="center"/>
          </w:tcPr>
          <w:p w14:paraId="5DB66879">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+0.3552t/a</w:t>
            </w:r>
          </w:p>
        </w:tc>
      </w:tr>
      <w:tr w14:paraId="5A8FD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A868684">
            <w:pPr>
              <w:pStyle w:val="36"/>
              <w:spacing w:beforeLines="0" w:afterLines="0" w:line="240" w:lineRule="auto"/>
              <w:rPr>
                <w:rFonts w:ascii="Times New Roman"/>
                <w:snapToGrid w:val="0"/>
                <w:color w:val="000000"/>
                <w:kern w:val="21"/>
                <w:sz w:val="20"/>
              </w:rPr>
            </w:pPr>
          </w:p>
        </w:tc>
        <w:tc>
          <w:tcPr>
            <w:tcW w:w="1597" w:type="dxa"/>
            <w:gridSpan w:val="2"/>
            <w:vAlign w:val="center"/>
          </w:tcPr>
          <w:p w14:paraId="15E3775B">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颗粒物</w:t>
            </w:r>
          </w:p>
        </w:tc>
        <w:tc>
          <w:tcPr>
            <w:tcW w:w="1521" w:type="dxa"/>
            <w:vAlign w:val="center"/>
          </w:tcPr>
          <w:p w14:paraId="5266AC35">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47E95867">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5DF13784">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09EBA377">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0.092t/a</w:t>
            </w:r>
          </w:p>
        </w:tc>
        <w:tc>
          <w:tcPr>
            <w:tcW w:w="918" w:type="dxa"/>
            <w:vAlign w:val="center"/>
          </w:tcPr>
          <w:p w14:paraId="2FEABDE9">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5B845787">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0.092t/a</w:t>
            </w:r>
          </w:p>
        </w:tc>
        <w:tc>
          <w:tcPr>
            <w:tcW w:w="1648" w:type="dxa"/>
            <w:vAlign w:val="center"/>
          </w:tcPr>
          <w:p w14:paraId="7F1EC59C">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+0.092t/a</w:t>
            </w:r>
          </w:p>
        </w:tc>
      </w:tr>
      <w:tr w14:paraId="30E00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588" w:type="dxa"/>
            <w:vMerge w:val="restart"/>
            <w:vAlign w:val="center"/>
          </w:tcPr>
          <w:p w14:paraId="1EB4BD07">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废水</w:t>
            </w:r>
          </w:p>
        </w:tc>
        <w:tc>
          <w:tcPr>
            <w:tcW w:w="708" w:type="dxa"/>
            <w:vMerge w:val="restart"/>
            <w:vAlign w:val="center"/>
          </w:tcPr>
          <w:p w14:paraId="16C46C05">
            <w:pPr>
              <w:widowControl/>
              <w:jc w:val="center"/>
              <w:rPr>
                <w:sz w:val="20"/>
                <w:szCs w:val="20"/>
              </w:rPr>
            </w:pPr>
            <w:r>
              <w:rPr>
                <w:color w:val="000000"/>
                <w:kern w:val="0"/>
                <w:sz w:val="20"/>
                <w:szCs w:val="20"/>
                <w:lang w:bidi="ar"/>
              </w:rPr>
              <w:t>生活</w:t>
            </w:r>
          </w:p>
          <w:p w14:paraId="0870B152">
            <w:pPr>
              <w:widowControl/>
              <w:jc w:val="center"/>
              <w:rPr>
                <w:color w:val="000000"/>
                <w:kern w:val="0"/>
                <w:sz w:val="20"/>
                <w:szCs w:val="20"/>
                <w:lang w:bidi="ar"/>
              </w:rPr>
            </w:pPr>
            <w:r>
              <w:rPr>
                <w:color w:val="000000"/>
                <w:kern w:val="0"/>
                <w:sz w:val="20"/>
                <w:szCs w:val="20"/>
                <w:lang w:bidi="ar"/>
              </w:rPr>
              <w:t>污水</w:t>
            </w:r>
          </w:p>
        </w:tc>
        <w:tc>
          <w:tcPr>
            <w:tcW w:w="889" w:type="dxa"/>
            <w:vAlign w:val="center"/>
          </w:tcPr>
          <w:p w14:paraId="664F3E6D">
            <w:pPr>
              <w:widowControl/>
              <w:jc w:val="center"/>
              <w:rPr>
                <w:color w:val="000000"/>
                <w:kern w:val="0"/>
                <w:sz w:val="20"/>
                <w:szCs w:val="20"/>
                <w:lang w:bidi="ar"/>
              </w:rPr>
            </w:pPr>
            <w:r>
              <w:rPr>
                <w:color w:val="000000"/>
                <w:kern w:val="0"/>
                <w:sz w:val="20"/>
                <w:szCs w:val="20"/>
                <w:lang w:bidi="ar"/>
              </w:rPr>
              <w:t>废水量</w:t>
            </w:r>
          </w:p>
        </w:tc>
        <w:tc>
          <w:tcPr>
            <w:tcW w:w="1521" w:type="dxa"/>
            <w:vAlign w:val="center"/>
          </w:tcPr>
          <w:p w14:paraId="091AB8D0">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6130B58A">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24B14EE5">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412C5FEA">
            <w:pPr>
              <w:pStyle w:val="36"/>
              <w:spacing w:beforeLines="0" w:afterLines="0" w:line="240" w:lineRule="auto"/>
              <w:rPr>
                <w:rFonts w:ascii="Times New Roman"/>
                <w:snapToGrid w:val="0"/>
                <w:color w:val="000000"/>
                <w:kern w:val="21"/>
                <w:sz w:val="20"/>
              </w:rPr>
            </w:pPr>
            <w:r>
              <w:rPr>
                <w:rFonts w:ascii="Times New Roman"/>
              </w:rPr>
              <w:t>1440 t/a</w:t>
            </w:r>
          </w:p>
        </w:tc>
        <w:tc>
          <w:tcPr>
            <w:tcW w:w="918" w:type="dxa"/>
            <w:vAlign w:val="center"/>
          </w:tcPr>
          <w:p w14:paraId="5E685ABD">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646DF07B">
            <w:pPr>
              <w:pStyle w:val="36"/>
              <w:spacing w:beforeLines="0" w:afterLines="0" w:line="240" w:lineRule="auto"/>
              <w:rPr>
                <w:rFonts w:ascii="Times New Roman"/>
                <w:snapToGrid w:val="0"/>
                <w:color w:val="000000"/>
                <w:kern w:val="21"/>
                <w:sz w:val="20"/>
              </w:rPr>
            </w:pPr>
            <w:r>
              <w:rPr>
                <w:rFonts w:ascii="Times New Roman"/>
              </w:rPr>
              <w:t>1440 t/a</w:t>
            </w:r>
          </w:p>
        </w:tc>
        <w:tc>
          <w:tcPr>
            <w:tcW w:w="1648" w:type="dxa"/>
            <w:vAlign w:val="center"/>
          </w:tcPr>
          <w:p w14:paraId="68AF8722">
            <w:pPr>
              <w:pStyle w:val="36"/>
              <w:spacing w:beforeLines="0" w:afterLines="0" w:line="240" w:lineRule="auto"/>
              <w:rPr>
                <w:rFonts w:ascii="Times New Roman"/>
                <w:snapToGrid w:val="0"/>
                <w:color w:val="000000"/>
                <w:kern w:val="21"/>
                <w:sz w:val="20"/>
              </w:rPr>
            </w:pPr>
            <w:r>
              <w:rPr>
                <w:rFonts w:ascii="Times New Roman"/>
              </w:rPr>
              <w:t>+1440 t/a</w:t>
            </w:r>
          </w:p>
        </w:tc>
      </w:tr>
      <w:tr w14:paraId="3DF40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D31C4C4">
            <w:pPr>
              <w:pStyle w:val="36"/>
              <w:spacing w:beforeLines="0" w:afterLines="0" w:line="240" w:lineRule="auto"/>
              <w:rPr>
                <w:rFonts w:ascii="Times New Roman"/>
                <w:snapToGrid w:val="0"/>
                <w:color w:val="000000"/>
                <w:kern w:val="21"/>
                <w:sz w:val="20"/>
              </w:rPr>
            </w:pPr>
          </w:p>
        </w:tc>
        <w:tc>
          <w:tcPr>
            <w:tcW w:w="708" w:type="dxa"/>
            <w:vMerge w:val="continue"/>
            <w:vAlign w:val="center"/>
          </w:tcPr>
          <w:p w14:paraId="19565DC2">
            <w:pPr>
              <w:pStyle w:val="36"/>
              <w:spacing w:beforeLines="0" w:afterLines="0" w:line="240" w:lineRule="auto"/>
              <w:rPr>
                <w:rFonts w:ascii="Times New Roman"/>
                <w:snapToGrid w:val="0"/>
                <w:color w:val="000000"/>
                <w:kern w:val="21"/>
                <w:sz w:val="20"/>
              </w:rPr>
            </w:pPr>
          </w:p>
        </w:tc>
        <w:tc>
          <w:tcPr>
            <w:tcW w:w="889" w:type="dxa"/>
            <w:vAlign w:val="center"/>
          </w:tcPr>
          <w:p w14:paraId="2157AB0D">
            <w:pPr>
              <w:widowControl/>
              <w:jc w:val="center"/>
              <w:rPr>
                <w:snapToGrid w:val="0"/>
                <w:color w:val="000000"/>
                <w:kern w:val="21"/>
                <w:sz w:val="20"/>
                <w:szCs w:val="20"/>
              </w:rPr>
            </w:pPr>
            <w:r>
              <w:rPr>
                <w:color w:val="000000"/>
                <w:kern w:val="0"/>
                <w:sz w:val="20"/>
                <w:szCs w:val="20"/>
                <w:lang w:bidi="ar"/>
              </w:rPr>
              <w:t>COD</w:t>
            </w:r>
            <w:r>
              <w:rPr>
                <w:color w:val="000000"/>
                <w:kern w:val="0"/>
                <w:sz w:val="20"/>
                <w:szCs w:val="20"/>
                <w:vertAlign w:val="subscript"/>
                <w:lang w:bidi="ar"/>
              </w:rPr>
              <w:t>Cr</w:t>
            </w:r>
          </w:p>
        </w:tc>
        <w:tc>
          <w:tcPr>
            <w:tcW w:w="1521" w:type="dxa"/>
            <w:vAlign w:val="center"/>
          </w:tcPr>
          <w:p w14:paraId="3B49E7D1">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1D4F0B74">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7C772266">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016FAB47">
            <w:pPr>
              <w:pStyle w:val="36"/>
              <w:spacing w:beforeLines="0" w:afterLines="0" w:line="240" w:lineRule="auto"/>
              <w:rPr>
                <w:rFonts w:ascii="Times New Roman"/>
                <w:snapToGrid w:val="0"/>
                <w:color w:val="000000"/>
                <w:kern w:val="21"/>
                <w:sz w:val="20"/>
              </w:rPr>
            </w:pPr>
            <w:r>
              <w:rPr>
                <w:rFonts w:ascii="Times New Roman"/>
              </w:rPr>
              <w:t>0.4608 t/a</w:t>
            </w:r>
          </w:p>
        </w:tc>
        <w:tc>
          <w:tcPr>
            <w:tcW w:w="918" w:type="dxa"/>
            <w:vAlign w:val="center"/>
          </w:tcPr>
          <w:p w14:paraId="340A7EF6">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11B577BE">
            <w:pPr>
              <w:pStyle w:val="36"/>
              <w:spacing w:beforeLines="0" w:afterLines="0" w:line="240" w:lineRule="auto"/>
              <w:rPr>
                <w:rFonts w:ascii="Times New Roman"/>
                <w:snapToGrid w:val="0"/>
                <w:color w:val="000000"/>
                <w:kern w:val="21"/>
                <w:sz w:val="20"/>
              </w:rPr>
            </w:pPr>
            <w:r>
              <w:rPr>
                <w:rFonts w:ascii="Times New Roman"/>
              </w:rPr>
              <w:t>0.4608 t/a</w:t>
            </w:r>
          </w:p>
        </w:tc>
        <w:tc>
          <w:tcPr>
            <w:tcW w:w="1648" w:type="dxa"/>
            <w:vAlign w:val="center"/>
          </w:tcPr>
          <w:p w14:paraId="79BF60DD">
            <w:pPr>
              <w:pStyle w:val="36"/>
              <w:spacing w:beforeLines="0" w:afterLines="0" w:line="240" w:lineRule="auto"/>
              <w:rPr>
                <w:rFonts w:ascii="Times New Roman"/>
                <w:snapToGrid w:val="0"/>
                <w:color w:val="000000"/>
                <w:kern w:val="21"/>
                <w:sz w:val="20"/>
              </w:rPr>
            </w:pPr>
            <w:r>
              <w:rPr>
                <w:rFonts w:ascii="Times New Roman"/>
              </w:rPr>
              <w:t>+0.4608 t/a</w:t>
            </w:r>
          </w:p>
        </w:tc>
      </w:tr>
      <w:tr w14:paraId="4025D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5AEB516">
            <w:pPr>
              <w:pStyle w:val="36"/>
              <w:spacing w:beforeLines="0" w:afterLines="0" w:line="240" w:lineRule="auto"/>
              <w:rPr>
                <w:rFonts w:ascii="Times New Roman"/>
                <w:snapToGrid w:val="0"/>
                <w:color w:val="000000"/>
                <w:kern w:val="21"/>
                <w:sz w:val="20"/>
              </w:rPr>
            </w:pPr>
          </w:p>
        </w:tc>
        <w:tc>
          <w:tcPr>
            <w:tcW w:w="708" w:type="dxa"/>
            <w:vMerge w:val="continue"/>
            <w:vAlign w:val="center"/>
          </w:tcPr>
          <w:p w14:paraId="2A65F718">
            <w:pPr>
              <w:pStyle w:val="36"/>
              <w:spacing w:beforeLines="0" w:afterLines="0" w:line="240" w:lineRule="auto"/>
              <w:rPr>
                <w:rFonts w:ascii="Times New Roman"/>
                <w:snapToGrid w:val="0"/>
                <w:color w:val="000000"/>
                <w:kern w:val="21"/>
                <w:sz w:val="20"/>
              </w:rPr>
            </w:pPr>
          </w:p>
        </w:tc>
        <w:tc>
          <w:tcPr>
            <w:tcW w:w="889" w:type="dxa"/>
            <w:vAlign w:val="center"/>
          </w:tcPr>
          <w:p w14:paraId="24C50EFD">
            <w:pPr>
              <w:widowControl/>
              <w:jc w:val="center"/>
              <w:rPr>
                <w:snapToGrid w:val="0"/>
                <w:color w:val="000000"/>
                <w:kern w:val="21"/>
                <w:sz w:val="20"/>
                <w:szCs w:val="20"/>
              </w:rPr>
            </w:pPr>
            <w:r>
              <w:rPr>
                <w:color w:val="000000"/>
                <w:kern w:val="0"/>
                <w:sz w:val="20"/>
                <w:szCs w:val="20"/>
                <w:lang w:bidi="ar"/>
              </w:rPr>
              <w:t>NH</w:t>
            </w:r>
            <w:r>
              <w:rPr>
                <w:color w:val="000000"/>
                <w:kern w:val="0"/>
                <w:sz w:val="20"/>
                <w:szCs w:val="20"/>
                <w:vertAlign w:val="subscript"/>
                <w:lang w:bidi="ar"/>
              </w:rPr>
              <w:t>3</w:t>
            </w:r>
            <w:r>
              <w:rPr>
                <w:color w:val="000000"/>
                <w:kern w:val="0"/>
                <w:sz w:val="20"/>
                <w:szCs w:val="20"/>
                <w:lang w:bidi="ar"/>
              </w:rPr>
              <w:t>-N</w:t>
            </w:r>
          </w:p>
        </w:tc>
        <w:tc>
          <w:tcPr>
            <w:tcW w:w="1521" w:type="dxa"/>
            <w:vAlign w:val="center"/>
          </w:tcPr>
          <w:p w14:paraId="36DCCD63">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4FC021C3">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18DC04AB">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4BABCAE5">
            <w:pPr>
              <w:pStyle w:val="36"/>
              <w:spacing w:beforeLines="0" w:afterLines="0" w:line="240" w:lineRule="auto"/>
              <w:rPr>
                <w:rFonts w:ascii="Times New Roman"/>
                <w:snapToGrid w:val="0"/>
                <w:color w:val="000000"/>
                <w:kern w:val="21"/>
                <w:sz w:val="20"/>
              </w:rPr>
            </w:pPr>
            <w:r>
              <w:rPr>
                <w:rFonts w:ascii="Times New Roman"/>
              </w:rPr>
              <w:t>0.04608 t/a</w:t>
            </w:r>
          </w:p>
        </w:tc>
        <w:tc>
          <w:tcPr>
            <w:tcW w:w="918" w:type="dxa"/>
            <w:vAlign w:val="center"/>
          </w:tcPr>
          <w:p w14:paraId="18938491">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6E516C30">
            <w:pPr>
              <w:pStyle w:val="36"/>
              <w:spacing w:beforeLines="0" w:afterLines="0" w:line="240" w:lineRule="auto"/>
              <w:rPr>
                <w:rFonts w:ascii="Times New Roman"/>
                <w:snapToGrid w:val="0"/>
                <w:color w:val="000000"/>
                <w:kern w:val="21"/>
                <w:sz w:val="20"/>
              </w:rPr>
            </w:pPr>
            <w:r>
              <w:rPr>
                <w:rFonts w:ascii="Times New Roman"/>
              </w:rPr>
              <w:t>0.04608 t/a</w:t>
            </w:r>
          </w:p>
        </w:tc>
        <w:tc>
          <w:tcPr>
            <w:tcW w:w="1648" w:type="dxa"/>
            <w:vAlign w:val="center"/>
          </w:tcPr>
          <w:p w14:paraId="44B07283">
            <w:pPr>
              <w:pStyle w:val="36"/>
              <w:spacing w:beforeLines="0" w:afterLines="0" w:line="240" w:lineRule="auto"/>
              <w:rPr>
                <w:rFonts w:ascii="Times New Roman"/>
                <w:snapToGrid w:val="0"/>
                <w:color w:val="000000"/>
                <w:kern w:val="21"/>
                <w:sz w:val="20"/>
              </w:rPr>
            </w:pPr>
            <w:r>
              <w:rPr>
                <w:rFonts w:ascii="Times New Roman"/>
              </w:rPr>
              <w:t>+0.04608 t/a</w:t>
            </w:r>
          </w:p>
        </w:tc>
      </w:tr>
      <w:tr w14:paraId="01108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37B09CB9">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固废</w:t>
            </w:r>
          </w:p>
        </w:tc>
        <w:tc>
          <w:tcPr>
            <w:tcW w:w="1597" w:type="dxa"/>
            <w:gridSpan w:val="2"/>
            <w:vAlign w:val="center"/>
          </w:tcPr>
          <w:p w14:paraId="0D792965">
            <w:pPr>
              <w:widowControl/>
              <w:ind w:firstLine="6" w:firstLineChars="3"/>
              <w:jc w:val="center"/>
              <w:rPr>
                <w:snapToGrid w:val="0"/>
                <w:color w:val="000000"/>
                <w:kern w:val="21"/>
                <w:sz w:val="20"/>
                <w:szCs w:val="20"/>
              </w:rPr>
            </w:pPr>
            <w:r>
              <w:rPr>
                <w:color w:val="000000"/>
                <w:kern w:val="0"/>
                <w:sz w:val="20"/>
                <w:szCs w:val="20"/>
                <w:lang w:bidi="ar"/>
              </w:rPr>
              <w:t>边角料</w:t>
            </w:r>
          </w:p>
        </w:tc>
        <w:tc>
          <w:tcPr>
            <w:tcW w:w="1521" w:type="dxa"/>
            <w:vAlign w:val="center"/>
          </w:tcPr>
          <w:p w14:paraId="7C35C667">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36095EE5">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208A4C3D">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749B79DA">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4.5</w:t>
            </w:r>
          </w:p>
        </w:tc>
        <w:tc>
          <w:tcPr>
            <w:tcW w:w="918" w:type="dxa"/>
            <w:vAlign w:val="center"/>
          </w:tcPr>
          <w:p w14:paraId="0B9E9B28">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5EB303DA">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4.5</w:t>
            </w:r>
          </w:p>
        </w:tc>
        <w:tc>
          <w:tcPr>
            <w:tcW w:w="1648" w:type="dxa"/>
            <w:vAlign w:val="center"/>
          </w:tcPr>
          <w:p w14:paraId="14A7B67D">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+4.5</w:t>
            </w:r>
          </w:p>
        </w:tc>
      </w:tr>
      <w:tr w14:paraId="54FD2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88" w:type="dxa"/>
            <w:vMerge w:val="continue"/>
            <w:vAlign w:val="center"/>
          </w:tcPr>
          <w:p w14:paraId="0D393CE8">
            <w:pPr>
              <w:pStyle w:val="36"/>
              <w:spacing w:beforeLines="0" w:afterLines="0" w:line="240" w:lineRule="auto"/>
              <w:rPr>
                <w:rFonts w:ascii="Times New Roman"/>
                <w:snapToGrid w:val="0"/>
                <w:color w:val="000000"/>
                <w:kern w:val="21"/>
                <w:sz w:val="20"/>
              </w:rPr>
            </w:pPr>
          </w:p>
        </w:tc>
        <w:tc>
          <w:tcPr>
            <w:tcW w:w="1597" w:type="dxa"/>
            <w:gridSpan w:val="2"/>
            <w:vAlign w:val="center"/>
          </w:tcPr>
          <w:p w14:paraId="67E247BA">
            <w:pPr>
              <w:widowControl/>
              <w:jc w:val="center"/>
              <w:rPr>
                <w:snapToGrid w:val="0"/>
                <w:color w:val="000000"/>
                <w:kern w:val="21"/>
                <w:sz w:val="20"/>
                <w:szCs w:val="20"/>
              </w:rPr>
            </w:pPr>
            <w:r>
              <w:rPr>
                <w:color w:val="000000"/>
                <w:kern w:val="0"/>
                <w:sz w:val="20"/>
                <w:szCs w:val="20"/>
                <w:lang w:bidi="ar"/>
              </w:rPr>
              <w:t>废包装材料</w:t>
            </w:r>
          </w:p>
        </w:tc>
        <w:tc>
          <w:tcPr>
            <w:tcW w:w="1521" w:type="dxa"/>
            <w:vAlign w:val="center"/>
          </w:tcPr>
          <w:p w14:paraId="6EE6944B">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1ED3E667">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423AB949">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61E30461">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0.8</w:t>
            </w:r>
          </w:p>
        </w:tc>
        <w:tc>
          <w:tcPr>
            <w:tcW w:w="918" w:type="dxa"/>
            <w:vAlign w:val="center"/>
          </w:tcPr>
          <w:p w14:paraId="5D2BD56D">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75A7AEC8">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0.8</w:t>
            </w:r>
          </w:p>
        </w:tc>
        <w:tc>
          <w:tcPr>
            <w:tcW w:w="1648" w:type="dxa"/>
            <w:vAlign w:val="center"/>
          </w:tcPr>
          <w:p w14:paraId="3CE915FC">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+0.8</w:t>
            </w:r>
          </w:p>
        </w:tc>
      </w:tr>
      <w:tr w14:paraId="73AEC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0F584FC8">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危险废物</w:t>
            </w:r>
          </w:p>
        </w:tc>
        <w:tc>
          <w:tcPr>
            <w:tcW w:w="1597" w:type="dxa"/>
            <w:gridSpan w:val="2"/>
            <w:vAlign w:val="center"/>
          </w:tcPr>
          <w:p w14:paraId="49F96C78">
            <w:pPr>
              <w:widowControl/>
              <w:jc w:val="center"/>
              <w:rPr>
                <w:snapToGrid w:val="0"/>
                <w:color w:val="000000"/>
                <w:kern w:val="21"/>
                <w:sz w:val="20"/>
                <w:szCs w:val="20"/>
              </w:rPr>
            </w:pPr>
            <w:r>
              <w:rPr>
                <w:color w:val="000000"/>
                <w:kern w:val="0"/>
                <w:sz w:val="20"/>
                <w:szCs w:val="20"/>
                <w:lang w:bidi="ar"/>
              </w:rPr>
              <w:t>废催化剂</w:t>
            </w:r>
          </w:p>
        </w:tc>
        <w:tc>
          <w:tcPr>
            <w:tcW w:w="1521" w:type="dxa"/>
            <w:vAlign w:val="center"/>
          </w:tcPr>
          <w:p w14:paraId="00C31602">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572FF91B">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66746B5B">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1B47729A">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0.3</w:t>
            </w:r>
          </w:p>
        </w:tc>
        <w:tc>
          <w:tcPr>
            <w:tcW w:w="918" w:type="dxa"/>
            <w:vAlign w:val="center"/>
          </w:tcPr>
          <w:p w14:paraId="1F04510B">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03A5D756">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0.3</w:t>
            </w:r>
          </w:p>
        </w:tc>
        <w:tc>
          <w:tcPr>
            <w:tcW w:w="1648" w:type="dxa"/>
            <w:vAlign w:val="center"/>
          </w:tcPr>
          <w:p w14:paraId="0C42A489">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+0.3</w:t>
            </w:r>
          </w:p>
        </w:tc>
      </w:tr>
      <w:tr w14:paraId="5F5E4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3462197">
            <w:pPr>
              <w:pStyle w:val="36"/>
              <w:spacing w:beforeLines="0" w:afterLines="0" w:line="240" w:lineRule="auto"/>
              <w:rPr>
                <w:rFonts w:ascii="Times New Roman"/>
                <w:snapToGrid w:val="0"/>
                <w:color w:val="000000"/>
                <w:kern w:val="21"/>
                <w:sz w:val="20"/>
              </w:rPr>
            </w:pPr>
          </w:p>
        </w:tc>
        <w:tc>
          <w:tcPr>
            <w:tcW w:w="1597" w:type="dxa"/>
            <w:gridSpan w:val="2"/>
            <w:vAlign w:val="center"/>
          </w:tcPr>
          <w:p w14:paraId="3CB73CD8">
            <w:pPr>
              <w:widowControl/>
              <w:jc w:val="center"/>
              <w:rPr>
                <w:snapToGrid w:val="0"/>
                <w:color w:val="000000"/>
                <w:kern w:val="21"/>
                <w:sz w:val="20"/>
                <w:szCs w:val="20"/>
              </w:rPr>
            </w:pPr>
            <w:r>
              <w:rPr>
                <w:color w:val="000000"/>
                <w:kern w:val="0"/>
                <w:sz w:val="20"/>
                <w:szCs w:val="20"/>
                <w:lang w:bidi="ar"/>
              </w:rPr>
              <w:t>废活性炭</w:t>
            </w:r>
          </w:p>
        </w:tc>
        <w:tc>
          <w:tcPr>
            <w:tcW w:w="1521" w:type="dxa"/>
            <w:vAlign w:val="center"/>
          </w:tcPr>
          <w:p w14:paraId="5CA606B4">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685C183B">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301A7E67">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03700FA3">
            <w:pPr>
              <w:pStyle w:val="36"/>
              <w:spacing w:beforeLines="0" w:afterLines="0" w:line="240" w:lineRule="auto"/>
              <w:rPr>
                <w:rFonts w:ascii="Times New Roman"/>
                <w:snapToGrid w:val="0"/>
                <w:color w:val="000000"/>
                <w:kern w:val="21"/>
                <w:sz w:val="20"/>
              </w:rPr>
            </w:pPr>
            <w:r>
              <w:rPr>
                <w:rFonts w:ascii="Times New Roman"/>
                <w:color w:val="000000"/>
                <w:sz w:val="20"/>
                <w:lang w:bidi="ar"/>
              </w:rPr>
              <w:t>1.024</w:t>
            </w:r>
          </w:p>
        </w:tc>
        <w:tc>
          <w:tcPr>
            <w:tcW w:w="918" w:type="dxa"/>
            <w:vAlign w:val="center"/>
          </w:tcPr>
          <w:p w14:paraId="7D148800">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17B25326">
            <w:pPr>
              <w:pStyle w:val="36"/>
              <w:spacing w:beforeLines="0" w:afterLines="0" w:line="240" w:lineRule="auto"/>
              <w:rPr>
                <w:rFonts w:ascii="Times New Roman"/>
                <w:snapToGrid w:val="0"/>
                <w:color w:val="000000"/>
                <w:kern w:val="21"/>
                <w:sz w:val="20"/>
              </w:rPr>
            </w:pPr>
            <w:r>
              <w:rPr>
                <w:rFonts w:ascii="Times New Roman"/>
                <w:color w:val="000000"/>
                <w:sz w:val="20"/>
                <w:lang w:bidi="ar"/>
              </w:rPr>
              <w:t>1.024</w:t>
            </w:r>
          </w:p>
        </w:tc>
        <w:tc>
          <w:tcPr>
            <w:tcW w:w="1648" w:type="dxa"/>
            <w:vAlign w:val="center"/>
          </w:tcPr>
          <w:p w14:paraId="2F2CA90E">
            <w:pPr>
              <w:pStyle w:val="36"/>
              <w:spacing w:beforeLines="0" w:afterLines="0" w:line="240" w:lineRule="auto"/>
              <w:rPr>
                <w:rFonts w:ascii="Times New Roman"/>
                <w:snapToGrid w:val="0"/>
                <w:color w:val="000000"/>
                <w:kern w:val="21"/>
                <w:sz w:val="20"/>
              </w:rPr>
            </w:pPr>
            <w:r>
              <w:rPr>
                <w:rFonts w:ascii="Times New Roman"/>
                <w:color w:val="000000"/>
                <w:sz w:val="20"/>
                <w:lang w:bidi="ar"/>
              </w:rPr>
              <w:t>+1.024</w:t>
            </w:r>
          </w:p>
        </w:tc>
      </w:tr>
      <w:tr w14:paraId="28475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0655262">
            <w:pPr>
              <w:pStyle w:val="36"/>
              <w:spacing w:beforeLines="0" w:afterLines="0" w:line="240" w:lineRule="auto"/>
              <w:rPr>
                <w:rFonts w:ascii="Times New Roman"/>
                <w:snapToGrid w:val="0"/>
                <w:color w:val="000000"/>
                <w:kern w:val="21"/>
                <w:sz w:val="20"/>
              </w:rPr>
            </w:pPr>
          </w:p>
        </w:tc>
        <w:tc>
          <w:tcPr>
            <w:tcW w:w="1597" w:type="dxa"/>
            <w:gridSpan w:val="2"/>
            <w:vAlign w:val="center"/>
          </w:tcPr>
          <w:p w14:paraId="0A165744">
            <w:pPr>
              <w:widowControl/>
              <w:jc w:val="center"/>
              <w:rPr>
                <w:color w:val="000000"/>
                <w:kern w:val="0"/>
                <w:sz w:val="20"/>
                <w:szCs w:val="20"/>
                <w:lang w:bidi="ar"/>
              </w:rPr>
            </w:pPr>
            <w:r>
              <w:rPr>
                <w:color w:val="000000"/>
                <w:kern w:val="0"/>
                <w:sz w:val="20"/>
                <w:szCs w:val="20"/>
                <w:lang w:bidi="ar"/>
              </w:rPr>
              <w:t>废化学品包装桶</w:t>
            </w:r>
          </w:p>
        </w:tc>
        <w:tc>
          <w:tcPr>
            <w:tcW w:w="1521" w:type="dxa"/>
            <w:vAlign w:val="center"/>
          </w:tcPr>
          <w:p w14:paraId="161E8121">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2B4C9606">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34241F26">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68CBCCC5">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0.2</w:t>
            </w:r>
          </w:p>
        </w:tc>
        <w:tc>
          <w:tcPr>
            <w:tcW w:w="918" w:type="dxa"/>
            <w:vAlign w:val="center"/>
          </w:tcPr>
          <w:p w14:paraId="6D7B84D8">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36A44629">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0.2</w:t>
            </w:r>
          </w:p>
        </w:tc>
        <w:tc>
          <w:tcPr>
            <w:tcW w:w="1648" w:type="dxa"/>
            <w:vAlign w:val="center"/>
          </w:tcPr>
          <w:p w14:paraId="572457C1">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+0.2</w:t>
            </w:r>
          </w:p>
        </w:tc>
      </w:tr>
      <w:tr w14:paraId="74156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C65B91B">
            <w:pPr>
              <w:pStyle w:val="36"/>
              <w:spacing w:beforeLines="0" w:afterLines="0" w:line="240" w:lineRule="auto"/>
              <w:rPr>
                <w:rFonts w:ascii="Times New Roman"/>
                <w:snapToGrid w:val="0"/>
                <w:color w:val="000000"/>
                <w:kern w:val="21"/>
                <w:sz w:val="20"/>
              </w:rPr>
            </w:pPr>
          </w:p>
        </w:tc>
        <w:tc>
          <w:tcPr>
            <w:tcW w:w="1597" w:type="dxa"/>
            <w:gridSpan w:val="2"/>
            <w:vAlign w:val="center"/>
          </w:tcPr>
          <w:p w14:paraId="357AE9F2">
            <w:pPr>
              <w:widowControl/>
              <w:jc w:val="center"/>
              <w:rPr>
                <w:color w:val="000000"/>
                <w:kern w:val="0"/>
                <w:sz w:val="20"/>
                <w:szCs w:val="20"/>
                <w:lang w:bidi="ar"/>
              </w:rPr>
            </w:pPr>
            <w:r>
              <w:rPr>
                <w:color w:val="000000"/>
                <w:kern w:val="0"/>
                <w:sz w:val="20"/>
                <w:szCs w:val="20"/>
                <w:lang w:bidi="ar"/>
              </w:rPr>
              <w:t>废污油</w:t>
            </w:r>
          </w:p>
        </w:tc>
        <w:tc>
          <w:tcPr>
            <w:tcW w:w="1521" w:type="dxa"/>
            <w:vAlign w:val="center"/>
          </w:tcPr>
          <w:p w14:paraId="476DB80A">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573A2A47">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6D74CD0B">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34EB0460">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0.1</w:t>
            </w:r>
          </w:p>
        </w:tc>
        <w:tc>
          <w:tcPr>
            <w:tcW w:w="918" w:type="dxa"/>
            <w:vAlign w:val="center"/>
          </w:tcPr>
          <w:p w14:paraId="3713A793">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08107DEF">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0.1</w:t>
            </w:r>
          </w:p>
        </w:tc>
        <w:tc>
          <w:tcPr>
            <w:tcW w:w="1648" w:type="dxa"/>
            <w:vAlign w:val="center"/>
          </w:tcPr>
          <w:p w14:paraId="7BBBF0E5">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+0.1</w:t>
            </w:r>
          </w:p>
        </w:tc>
      </w:tr>
      <w:tr w14:paraId="711F0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3EB6AF6C">
            <w:pPr>
              <w:widowControl/>
              <w:jc w:val="center"/>
              <w:rPr>
                <w:snapToGrid w:val="0"/>
                <w:color w:val="000000"/>
                <w:kern w:val="21"/>
                <w:sz w:val="20"/>
                <w:szCs w:val="20"/>
              </w:rPr>
            </w:pPr>
            <w:r>
              <w:rPr>
                <w:color w:val="000000"/>
                <w:kern w:val="0"/>
                <w:sz w:val="20"/>
                <w:szCs w:val="20"/>
                <w:lang w:bidi="ar"/>
              </w:rPr>
              <w:t>生活垃圾</w:t>
            </w:r>
          </w:p>
        </w:tc>
        <w:tc>
          <w:tcPr>
            <w:tcW w:w="1597" w:type="dxa"/>
            <w:gridSpan w:val="2"/>
            <w:vAlign w:val="center"/>
          </w:tcPr>
          <w:p w14:paraId="017486DF">
            <w:pPr>
              <w:widowControl/>
              <w:jc w:val="center"/>
              <w:rPr>
                <w:snapToGrid w:val="0"/>
                <w:color w:val="000000"/>
                <w:kern w:val="21"/>
                <w:sz w:val="20"/>
                <w:szCs w:val="20"/>
              </w:rPr>
            </w:pPr>
            <w:r>
              <w:rPr>
                <w:color w:val="000000"/>
                <w:kern w:val="0"/>
                <w:sz w:val="20"/>
                <w:szCs w:val="20"/>
                <w:lang w:bidi="ar"/>
              </w:rPr>
              <w:t>生活垃圾</w:t>
            </w:r>
          </w:p>
        </w:tc>
        <w:tc>
          <w:tcPr>
            <w:tcW w:w="1521" w:type="dxa"/>
            <w:vAlign w:val="center"/>
          </w:tcPr>
          <w:p w14:paraId="6E66DB2C">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276" w:type="dxa"/>
            <w:vAlign w:val="center"/>
          </w:tcPr>
          <w:p w14:paraId="7AF30FBB">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701" w:type="dxa"/>
            <w:vAlign w:val="center"/>
          </w:tcPr>
          <w:p w14:paraId="59AF8220">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559" w:type="dxa"/>
            <w:vAlign w:val="center"/>
          </w:tcPr>
          <w:p w14:paraId="3D1FF5F1">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15</w:t>
            </w:r>
          </w:p>
        </w:tc>
        <w:tc>
          <w:tcPr>
            <w:tcW w:w="918" w:type="dxa"/>
            <w:vAlign w:val="center"/>
          </w:tcPr>
          <w:p w14:paraId="0E2B031C">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w:t>
            </w:r>
          </w:p>
        </w:tc>
        <w:tc>
          <w:tcPr>
            <w:tcW w:w="1980" w:type="dxa"/>
            <w:vAlign w:val="center"/>
          </w:tcPr>
          <w:p w14:paraId="2322F382">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15</w:t>
            </w:r>
          </w:p>
        </w:tc>
        <w:tc>
          <w:tcPr>
            <w:tcW w:w="1648" w:type="dxa"/>
            <w:vAlign w:val="center"/>
          </w:tcPr>
          <w:p w14:paraId="0EE48DC2">
            <w:pPr>
              <w:pStyle w:val="36"/>
              <w:spacing w:beforeLines="0" w:afterLines="0" w:line="240" w:lineRule="auto"/>
              <w:rPr>
                <w:rFonts w:ascii="Times New Roman"/>
                <w:snapToGrid w:val="0"/>
                <w:color w:val="000000"/>
                <w:kern w:val="21"/>
                <w:sz w:val="20"/>
              </w:rPr>
            </w:pPr>
            <w:r>
              <w:rPr>
                <w:rFonts w:ascii="Times New Roman"/>
                <w:snapToGrid w:val="0"/>
                <w:color w:val="000000"/>
                <w:kern w:val="21"/>
                <w:sz w:val="20"/>
              </w:rPr>
              <w:t>+15</w:t>
            </w:r>
          </w:p>
        </w:tc>
      </w:tr>
    </w:tbl>
    <w:p w14:paraId="4DB1A21B">
      <w:pPr>
        <w:pStyle w:val="36"/>
        <w:spacing w:before="192" w:beforeLines="80" w:after="24"/>
        <w:jc w:val="left"/>
        <w:rPr>
          <w:rFonts w:hAnsi="宋体"/>
          <w:snapToGrid w:val="0"/>
          <w:color w:val="000000"/>
          <w:spacing w:val="-6"/>
          <w:kern w:val="21"/>
          <w:szCs w:val="21"/>
        </w:rPr>
      </w:pPr>
      <w:r>
        <w:rPr>
          <w:rFonts w:hAnsi="宋体"/>
          <w:snapToGrid w:val="0"/>
          <w:color w:val="000000"/>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32A4B95B"/>
    <w:p w14:paraId="5B70F125"/>
    <w:p w14:paraId="200A2AEF"/>
    <w:p w14:paraId="335DAF52"/>
    <w:p w14:paraId="3B968E8D"/>
    <w:p w14:paraId="650AF518"/>
    <w:p w14:paraId="19B0D90B"/>
    <w:sectPr>
      <w:footerReference r:id="rId5" w:type="default"/>
      <w:pgSz w:w="16838" w:h="11906" w:orient="landscape"/>
      <w:pgMar w:top="1526" w:right="1699" w:bottom="1526" w:left="1699" w:header="850" w:footer="850"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6332CB-50DB-48E5-A46D-2AA9186F88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embedRegular r:id="rId2" w:fontKey="{8158F6B5-4083-4D8A-8E84-9BF9CF7FFB5B}"/>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7A"/>
    <w:family w:val="script"/>
    <w:pitch w:val="default"/>
    <w:sig w:usb0="A00002BF" w:usb1="38CF7CFA" w:usb2="00082016" w:usb3="00000000" w:csb0="00040001" w:csb1="00000000"/>
    <w:embedRegular r:id="rId3" w:fontKey="{D2244A84-A19C-49D3-AC66-689B75C59A95}"/>
  </w:font>
  <w:font w:name="楷体_GB2312">
    <w:altName w:val="楷体"/>
    <w:panose1 w:val="00000000000000000000"/>
    <w:charset w:val="86"/>
    <w:family w:val="auto"/>
    <w:pitch w:val="default"/>
    <w:sig w:usb0="00000000" w:usb1="00000000" w:usb2="00000000" w:usb3="00000000" w:csb0="00040000" w:csb1="00000000"/>
    <w:embedRegular r:id="rId4" w:fontKey="{2B2E50B6-1168-41C5-B9F9-6B1B2927D8FF}"/>
  </w:font>
  <w:font w:name="仿宋">
    <w:panose1 w:val="02010609060101010101"/>
    <w:charset w:val="86"/>
    <w:family w:val="modern"/>
    <w:pitch w:val="default"/>
    <w:sig w:usb0="800002BF" w:usb1="38CF7CFA" w:usb2="00000016" w:usb3="00000000" w:csb0="00040001" w:csb1="00000000"/>
    <w:embedRegular r:id="rId5" w:fontKey="{076A4C08-B66C-4839-8992-BF707DC3E234}"/>
  </w:font>
  <w:font w:name="PMingLiU">
    <w:altName w:val="Microsoft JhengHei UI"/>
    <w:panose1 w:val="02010601000101010101"/>
    <w:charset w:val="88"/>
    <w:family w:val="roman"/>
    <w:pitch w:val="default"/>
    <w:sig w:usb0="00000000" w:usb1="00000000" w:usb2="00000016" w:usb3="00000000" w:csb0="00100001" w:csb1="00000000"/>
    <w:embedRegular r:id="rId6" w:fontKey="{8E0D79BD-F0C7-42F5-BFF1-0F77499FA000}"/>
  </w:font>
  <w:font w:name="PMingLiU">
    <w:altName w:val="Segoe Print"/>
    <w:panose1 w:val="00000000000000000000"/>
    <w:charset w:val="00"/>
    <w:family w:val="auto"/>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embedRegular r:id="rId7" w:fontKey="{CE518C23-0417-4707-8BE2-3D7513FDB2D1}"/>
  </w:font>
  <w:font w:name="MS Mincho">
    <w:altName w:val="Yu Gothic UI"/>
    <w:panose1 w:val="02020609040205080304"/>
    <w:charset w:val="80"/>
    <w:family w:val="modern"/>
    <w:pitch w:val="default"/>
    <w:sig w:usb0="00000000" w:usb1="00000000" w:usb2="08000012" w:usb3="00000000" w:csb0="0002009F" w:csb1="00000000"/>
    <w:embedRegular r:id="rId8" w:fontKey="{2711FB18-3E84-426F-A01D-F83528A5ECC9}"/>
  </w:font>
  <w:font w:name="ＭＳ 明朝">
    <w:altName w:val="Segoe Print"/>
    <w:panose1 w:val="00000000000000000000"/>
    <w:charset w:val="00"/>
    <w:family w:val="auto"/>
    <w:pitch w:val="default"/>
    <w:sig w:usb0="00000000" w:usb1="00000000" w:usb2="00000000" w:usb3="00000000" w:csb0="00000000" w:csb1="00000000"/>
  </w:font>
  <w:font w:name="瀹嬩綋">
    <w:altName w:val="Segoe Print"/>
    <w:panose1 w:val="00000000000000000000"/>
    <w:charset w:val="00"/>
    <w:family w:val="auto"/>
    <w:pitch w:val="default"/>
    <w:sig w:usb0="00000000" w:usb1="00000000" w:usb2="00000000" w:usb3="00000000" w:csb0="00040001" w:csb1="00000000"/>
    <w:embedRegular r:id="rId9" w:fontKey="{E09F2300-EBF2-4E08-832B-6F1BF20F9319}"/>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embedRegular r:id="rId10" w:fontKey="{87DE9EEB-3D1B-41E9-B7C5-499E3F9D7943}"/>
  </w:font>
  <w:font w:name="Cambria Math">
    <w:panose1 w:val="02040503050406030204"/>
    <w:charset w:val="00"/>
    <w:family w:val="roman"/>
    <w:pitch w:val="default"/>
    <w:sig w:usb0="E00006FF" w:usb1="420024FF" w:usb2="02000000" w:usb3="00000000" w:csb0="2000019F" w:csb1="00000000"/>
    <w:embedRegular r:id="rId11" w:fontKey="{F4BEFE17-EEB3-48D3-85D6-22E21FDD8036}"/>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68364">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148806"/>
      <w:docPartObj>
        <w:docPartGallery w:val="AutoText"/>
      </w:docPartObj>
    </w:sdtPr>
    <w:sdtContent>
      <w:p w14:paraId="14A85D9C">
        <w:pPr>
          <w:pStyle w:val="14"/>
          <w:jc w:val="center"/>
        </w:pPr>
        <w:r>
          <w:fldChar w:fldCharType="begin"/>
        </w:r>
        <w:r>
          <w:instrText xml:space="preserve"> PAGE   \* MERGEFORMAT </w:instrText>
        </w:r>
        <w:r>
          <w:fldChar w:fldCharType="separate"/>
        </w:r>
        <w:r>
          <w:t>2</w:t>
        </w:r>
        <w:r>
          <w:fldChar w:fldCharType="end"/>
        </w:r>
      </w:p>
    </w:sdtContent>
  </w:sdt>
  <w:p w14:paraId="1A1BE08F">
    <w:pPr>
      <w:pStyle w:val="1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9C6E1">
    <w:pPr>
      <w:pStyle w:val="14"/>
      <w:tabs>
        <w:tab w:val="center" w:pos="6720"/>
        <w:tab w:val="left" w:pos="8892"/>
      </w:tabs>
      <w:ind w:right="360" w:firstLine="360"/>
    </w:pPr>
    <w:r>
      <mc:AlternateContent>
        <mc:Choice Requires="wps">
          <w:drawing>
            <wp:anchor distT="0" distB="0" distL="114300" distR="114300" simplePos="0" relativeHeight="251659264" behindDoc="0" locked="0" layoutInCell="1" allowOverlap="1">
              <wp:simplePos x="0" y="0"/>
              <wp:positionH relativeFrom="margin">
                <wp:posOffset>4209415</wp:posOffset>
              </wp:positionH>
              <wp:positionV relativeFrom="paragraph">
                <wp:posOffset>37465</wp:posOffset>
              </wp:positionV>
              <wp:extent cx="304800" cy="167640"/>
              <wp:effectExtent l="0" t="0" r="0" b="3810"/>
              <wp:wrapNone/>
              <wp:docPr id="2132149710" name="Text Box 3"/>
              <wp:cNvGraphicFramePr/>
              <a:graphic xmlns:a="http://schemas.openxmlformats.org/drawingml/2006/main">
                <a:graphicData uri="http://schemas.microsoft.com/office/word/2010/wordprocessingShape">
                  <wps:wsp>
                    <wps:cNvSpPr txBox="1">
                      <a:spLocks noChangeArrowheads="1"/>
                    </wps:cNvSpPr>
                    <wps:spPr bwMode="auto">
                      <a:xfrm>
                        <a:off x="0" y="0"/>
                        <a:ext cx="304800" cy="167640"/>
                      </a:xfrm>
                      <a:prstGeom prst="rect">
                        <a:avLst/>
                      </a:prstGeom>
                      <a:noFill/>
                      <a:ln>
                        <a:noFill/>
                      </a:ln>
                    </wps:spPr>
                    <wps:txbx>
                      <w:txbxContent>
                        <w:p w14:paraId="17749439">
                          <w:pPr>
                            <w:pStyle w:val="14"/>
                          </w:pPr>
                          <w:r>
                            <w:fldChar w:fldCharType="begin"/>
                          </w:r>
                          <w:r>
                            <w:instrText xml:space="preserve"> PAGE  \* MERGEFORMAT </w:instrText>
                          </w:r>
                          <w:r>
                            <w:fldChar w:fldCharType="separate"/>
                          </w:r>
                          <w:r>
                            <w:t>9</w:t>
                          </w:r>
                          <w:r>
                            <w:fldChar w:fldCharType="end"/>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331.45pt;margin-top:2.95pt;height:13.2pt;width:24pt;mso-position-horizontal-relative:margin;z-index:251659264;mso-width-relative:page;mso-height-relative:page;" filled="f" stroked="f" coordsize="21600,21600" o:gfxdata="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krHT1wAAAAgBAAAPAAAAAAAAAAEAIAAAACIAAABkcnMv&#10;ZG93bnJldi54bWxQSwECFAAUAAAACACHTuJAfjNXQAQCAAAMBAAADgAAAAAAAAABACAAAAAmAQAA&#10;ZHJzL2Uyb0RvYy54bWxQSwUGAAAAAAYABgBZAQAAnAUAAAAA&#10;">
              <v:fill on="f" focussize="0,0"/>
              <v:stroke on="f"/>
              <v:imagedata o:title=""/>
              <o:lock v:ext="edit" aspectratio="f"/>
              <v:textbox inset="0mm,0mm,0mm,0mm">
                <w:txbxContent>
                  <w:p w14:paraId="17749439">
                    <w:pPr>
                      <w:pStyle w:val="14"/>
                    </w:pPr>
                    <w:r>
                      <w:fldChar w:fldCharType="begin"/>
                    </w:r>
                    <w:r>
                      <w:instrText xml:space="preserve"> PAGE  \* MERGEFORMAT </w:instrText>
                    </w:r>
                    <w:r>
                      <w:fldChar w:fldCharType="separate"/>
                    </w:r>
                    <w:r>
                      <w:t>9</w:t>
                    </w:r>
                    <w:r>
                      <w:fldChar w:fldCharType="end"/>
                    </w:r>
                  </w:p>
                </w:txbxContent>
              </v:textbox>
            </v:shape>
          </w:pict>
        </mc:Fallback>
      </mc:AlternateContent>
    </w:r>
    <w:r>
      <w:tab/>
    </w:r>
    <w:r>
      <w:tab/>
    </w:r>
    <w:r>
      <w:tab/>
    </w:r>
    <w: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00000002"/>
    <w:multiLevelType w:val="singleLevel"/>
    <w:tmpl w:val="00000002"/>
    <w:lvl w:ilvl="0" w:tentative="0">
      <w:start w:val="2008"/>
      <w:numFmt w:val="decimal"/>
      <w:suff w:val="space"/>
      <w:lvlText w:val="%1)"/>
      <w:lvlJc w:val="left"/>
    </w:lvl>
  </w:abstractNum>
  <w:abstractNum w:abstractNumId="2">
    <w:nsid w:val="00000003"/>
    <w:multiLevelType w:val="singleLevel"/>
    <w:tmpl w:val="00000003"/>
    <w:lvl w:ilvl="0" w:tentative="0">
      <w:start w:val="1"/>
      <w:numFmt w:val="decimal"/>
      <w:suff w:val="nothing"/>
      <w:lvlText w:val="（%1）"/>
      <w:lvlJc w:val="left"/>
    </w:lvl>
  </w:abstractNum>
  <w:abstractNum w:abstractNumId="3">
    <w:nsid w:val="37161126"/>
    <w:multiLevelType w:val="multilevel"/>
    <w:tmpl w:val="3716112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4">
    <w:nsid w:val="3D621910"/>
    <w:multiLevelType w:val="multilevel"/>
    <w:tmpl w:val="3D621910"/>
    <w:lvl w:ilvl="0" w:tentative="0">
      <w:start w:val="3"/>
      <w:numFmt w:val="decimalEnclosedCircle"/>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5">
    <w:nsid w:val="581C73E8"/>
    <w:multiLevelType w:val="singleLevel"/>
    <w:tmpl w:val="581C73E8"/>
    <w:lvl w:ilvl="0" w:tentative="0">
      <w:start w:val="2"/>
      <w:numFmt w:val="decimal"/>
      <w:suff w:val="nothing"/>
      <w:lvlText w:val="%1、"/>
      <w:lvlJc w:val="left"/>
    </w:lvl>
  </w:abstractNum>
  <w:abstractNum w:abstractNumId="6">
    <w:nsid w:val="64FD1C3F"/>
    <w:multiLevelType w:val="multilevel"/>
    <w:tmpl w:val="64FD1C3F"/>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num w:numId="1">
    <w:abstractNumId w:val="5"/>
  </w:num>
  <w:num w:numId="2">
    <w:abstractNumId w:val="0"/>
  </w:num>
  <w:num w:numId="3">
    <w:abstractNumId w:val="2"/>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E63"/>
    <w:rsid w:val="000060B3"/>
    <w:rsid w:val="0000690C"/>
    <w:rsid w:val="000202CC"/>
    <w:rsid w:val="00020489"/>
    <w:rsid w:val="00030D0A"/>
    <w:rsid w:val="00031C15"/>
    <w:rsid w:val="000375DD"/>
    <w:rsid w:val="0004108E"/>
    <w:rsid w:val="000412F0"/>
    <w:rsid w:val="0004364B"/>
    <w:rsid w:val="00043901"/>
    <w:rsid w:val="00050874"/>
    <w:rsid w:val="000513AE"/>
    <w:rsid w:val="0005232B"/>
    <w:rsid w:val="00055AF6"/>
    <w:rsid w:val="00056690"/>
    <w:rsid w:val="00061B1F"/>
    <w:rsid w:val="000646E4"/>
    <w:rsid w:val="0007175D"/>
    <w:rsid w:val="000733C4"/>
    <w:rsid w:val="00074783"/>
    <w:rsid w:val="0008070B"/>
    <w:rsid w:val="000810AC"/>
    <w:rsid w:val="00081A02"/>
    <w:rsid w:val="00082231"/>
    <w:rsid w:val="000854EE"/>
    <w:rsid w:val="00090BD5"/>
    <w:rsid w:val="00092D38"/>
    <w:rsid w:val="0009377B"/>
    <w:rsid w:val="00095E2E"/>
    <w:rsid w:val="000965FD"/>
    <w:rsid w:val="00096FAE"/>
    <w:rsid w:val="00097AE6"/>
    <w:rsid w:val="00097C95"/>
    <w:rsid w:val="000A20C9"/>
    <w:rsid w:val="000A29C6"/>
    <w:rsid w:val="000A2DB9"/>
    <w:rsid w:val="000A3B94"/>
    <w:rsid w:val="000B01FA"/>
    <w:rsid w:val="000B058F"/>
    <w:rsid w:val="000B0744"/>
    <w:rsid w:val="000B0CDD"/>
    <w:rsid w:val="000B216C"/>
    <w:rsid w:val="000B4467"/>
    <w:rsid w:val="000B4DB9"/>
    <w:rsid w:val="000C09AC"/>
    <w:rsid w:val="000C1D18"/>
    <w:rsid w:val="000C280E"/>
    <w:rsid w:val="000C32C7"/>
    <w:rsid w:val="000C46D7"/>
    <w:rsid w:val="000C4C60"/>
    <w:rsid w:val="000C52F0"/>
    <w:rsid w:val="000C558C"/>
    <w:rsid w:val="000C6CE8"/>
    <w:rsid w:val="000C767F"/>
    <w:rsid w:val="000D1D1E"/>
    <w:rsid w:val="000D3C1F"/>
    <w:rsid w:val="000D5A44"/>
    <w:rsid w:val="000D64D7"/>
    <w:rsid w:val="000E3CDF"/>
    <w:rsid w:val="000E3ED2"/>
    <w:rsid w:val="000E4C52"/>
    <w:rsid w:val="000E5826"/>
    <w:rsid w:val="000F321C"/>
    <w:rsid w:val="000F39B4"/>
    <w:rsid w:val="000F4700"/>
    <w:rsid w:val="000F7472"/>
    <w:rsid w:val="000F7DCD"/>
    <w:rsid w:val="00101433"/>
    <w:rsid w:val="00104131"/>
    <w:rsid w:val="00106727"/>
    <w:rsid w:val="00107667"/>
    <w:rsid w:val="00110772"/>
    <w:rsid w:val="00112758"/>
    <w:rsid w:val="001160FB"/>
    <w:rsid w:val="00117C56"/>
    <w:rsid w:val="0012040D"/>
    <w:rsid w:val="00125753"/>
    <w:rsid w:val="00127C54"/>
    <w:rsid w:val="00127F6B"/>
    <w:rsid w:val="00131F42"/>
    <w:rsid w:val="00132CD0"/>
    <w:rsid w:val="001357F1"/>
    <w:rsid w:val="0013714C"/>
    <w:rsid w:val="00140FA8"/>
    <w:rsid w:val="00142FEB"/>
    <w:rsid w:val="00143A2D"/>
    <w:rsid w:val="0014564A"/>
    <w:rsid w:val="00145A41"/>
    <w:rsid w:val="00146ED6"/>
    <w:rsid w:val="0014747D"/>
    <w:rsid w:val="00150C2B"/>
    <w:rsid w:val="00151675"/>
    <w:rsid w:val="00152D9F"/>
    <w:rsid w:val="00153465"/>
    <w:rsid w:val="00153864"/>
    <w:rsid w:val="0015688A"/>
    <w:rsid w:val="001570D4"/>
    <w:rsid w:val="00157435"/>
    <w:rsid w:val="00157CE5"/>
    <w:rsid w:val="001618DC"/>
    <w:rsid w:val="00164496"/>
    <w:rsid w:val="00165311"/>
    <w:rsid w:val="00165FC2"/>
    <w:rsid w:val="0016601D"/>
    <w:rsid w:val="00172A27"/>
    <w:rsid w:val="001740D6"/>
    <w:rsid w:val="0017504D"/>
    <w:rsid w:val="0017671A"/>
    <w:rsid w:val="00177422"/>
    <w:rsid w:val="001778E8"/>
    <w:rsid w:val="00181D87"/>
    <w:rsid w:val="00183025"/>
    <w:rsid w:val="00184590"/>
    <w:rsid w:val="001870D1"/>
    <w:rsid w:val="0018781E"/>
    <w:rsid w:val="0019262D"/>
    <w:rsid w:val="00192960"/>
    <w:rsid w:val="001943AF"/>
    <w:rsid w:val="001A0D30"/>
    <w:rsid w:val="001A1B35"/>
    <w:rsid w:val="001A45B7"/>
    <w:rsid w:val="001A48A2"/>
    <w:rsid w:val="001A6F61"/>
    <w:rsid w:val="001B0390"/>
    <w:rsid w:val="001B0C36"/>
    <w:rsid w:val="001B17C2"/>
    <w:rsid w:val="001B27F9"/>
    <w:rsid w:val="001B4357"/>
    <w:rsid w:val="001B46BD"/>
    <w:rsid w:val="001B72B8"/>
    <w:rsid w:val="001C09AB"/>
    <w:rsid w:val="001C20E7"/>
    <w:rsid w:val="001C2F0A"/>
    <w:rsid w:val="001C6450"/>
    <w:rsid w:val="001C69B3"/>
    <w:rsid w:val="001C70B1"/>
    <w:rsid w:val="001D19EB"/>
    <w:rsid w:val="001D1C32"/>
    <w:rsid w:val="001D2988"/>
    <w:rsid w:val="001D3AA2"/>
    <w:rsid w:val="001D5595"/>
    <w:rsid w:val="001D5D56"/>
    <w:rsid w:val="001D7874"/>
    <w:rsid w:val="001D7F22"/>
    <w:rsid w:val="001E0D6C"/>
    <w:rsid w:val="001E22BB"/>
    <w:rsid w:val="001E3F94"/>
    <w:rsid w:val="001E5A5B"/>
    <w:rsid w:val="001E63BA"/>
    <w:rsid w:val="001E6A3D"/>
    <w:rsid w:val="001F0F17"/>
    <w:rsid w:val="001F20AC"/>
    <w:rsid w:val="001F3347"/>
    <w:rsid w:val="001F5EE6"/>
    <w:rsid w:val="001F69E4"/>
    <w:rsid w:val="00202040"/>
    <w:rsid w:val="00203C01"/>
    <w:rsid w:val="0020471F"/>
    <w:rsid w:val="00210E05"/>
    <w:rsid w:val="00210EF4"/>
    <w:rsid w:val="002125B4"/>
    <w:rsid w:val="00213356"/>
    <w:rsid w:val="00214CE8"/>
    <w:rsid w:val="002155B8"/>
    <w:rsid w:val="002164FB"/>
    <w:rsid w:val="00217A4A"/>
    <w:rsid w:val="0022079B"/>
    <w:rsid w:val="00220B06"/>
    <w:rsid w:val="00221521"/>
    <w:rsid w:val="00222EE8"/>
    <w:rsid w:val="002238A6"/>
    <w:rsid w:val="00224839"/>
    <w:rsid w:val="002249B2"/>
    <w:rsid w:val="00224C0E"/>
    <w:rsid w:val="002255B4"/>
    <w:rsid w:val="00226574"/>
    <w:rsid w:val="002278EC"/>
    <w:rsid w:val="0023280E"/>
    <w:rsid w:val="00233A8F"/>
    <w:rsid w:val="00235069"/>
    <w:rsid w:val="002377D1"/>
    <w:rsid w:val="002426C3"/>
    <w:rsid w:val="002506BC"/>
    <w:rsid w:val="00250AC6"/>
    <w:rsid w:val="00250BB8"/>
    <w:rsid w:val="00251EF2"/>
    <w:rsid w:val="00254345"/>
    <w:rsid w:val="0026217F"/>
    <w:rsid w:val="00262E6B"/>
    <w:rsid w:val="00263BB7"/>
    <w:rsid w:val="00264557"/>
    <w:rsid w:val="00270592"/>
    <w:rsid w:val="0027441F"/>
    <w:rsid w:val="002805AB"/>
    <w:rsid w:val="00280CA0"/>
    <w:rsid w:val="002827D1"/>
    <w:rsid w:val="00282E98"/>
    <w:rsid w:val="0028318D"/>
    <w:rsid w:val="00284204"/>
    <w:rsid w:val="00287AAA"/>
    <w:rsid w:val="00291773"/>
    <w:rsid w:val="00292940"/>
    <w:rsid w:val="002A168C"/>
    <w:rsid w:val="002A2303"/>
    <w:rsid w:val="002A27FF"/>
    <w:rsid w:val="002A327D"/>
    <w:rsid w:val="002A3DC7"/>
    <w:rsid w:val="002A408A"/>
    <w:rsid w:val="002A53A5"/>
    <w:rsid w:val="002A7089"/>
    <w:rsid w:val="002B0C41"/>
    <w:rsid w:val="002B13D3"/>
    <w:rsid w:val="002B27AB"/>
    <w:rsid w:val="002B2912"/>
    <w:rsid w:val="002B3954"/>
    <w:rsid w:val="002B49E2"/>
    <w:rsid w:val="002B68F0"/>
    <w:rsid w:val="002B77CE"/>
    <w:rsid w:val="002B7B00"/>
    <w:rsid w:val="002B7C44"/>
    <w:rsid w:val="002C197B"/>
    <w:rsid w:val="002C2B17"/>
    <w:rsid w:val="002C473C"/>
    <w:rsid w:val="002C599F"/>
    <w:rsid w:val="002C5F8A"/>
    <w:rsid w:val="002D3DD0"/>
    <w:rsid w:val="002D74C5"/>
    <w:rsid w:val="002E1F3A"/>
    <w:rsid w:val="002E298A"/>
    <w:rsid w:val="002E3E92"/>
    <w:rsid w:val="002F12D9"/>
    <w:rsid w:val="002F24BA"/>
    <w:rsid w:val="002F5E4E"/>
    <w:rsid w:val="002F6614"/>
    <w:rsid w:val="002F7AB5"/>
    <w:rsid w:val="00300A5B"/>
    <w:rsid w:val="003013C3"/>
    <w:rsid w:val="00301978"/>
    <w:rsid w:val="00301F02"/>
    <w:rsid w:val="00302137"/>
    <w:rsid w:val="0030308D"/>
    <w:rsid w:val="0030332C"/>
    <w:rsid w:val="00304F43"/>
    <w:rsid w:val="003051C2"/>
    <w:rsid w:val="00307C54"/>
    <w:rsid w:val="00310D7C"/>
    <w:rsid w:val="00312296"/>
    <w:rsid w:val="00314F0E"/>
    <w:rsid w:val="00315A58"/>
    <w:rsid w:val="00320FA2"/>
    <w:rsid w:val="00321D8E"/>
    <w:rsid w:val="00321FD2"/>
    <w:rsid w:val="00325928"/>
    <w:rsid w:val="00325F48"/>
    <w:rsid w:val="00331364"/>
    <w:rsid w:val="00332863"/>
    <w:rsid w:val="003336EE"/>
    <w:rsid w:val="00334565"/>
    <w:rsid w:val="00334592"/>
    <w:rsid w:val="00334DF1"/>
    <w:rsid w:val="0033684D"/>
    <w:rsid w:val="003376D3"/>
    <w:rsid w:val="00337B42"/>
    <w:rsid w:val="00341B42"/>
    <w:rsid w:val="0034348F"/>
    <w:rsid w:val="00343A6D"/>
    <w:rsid w:val="00347527"/>
    <w:rsid w:val="00351ED1"/>
    <w:rsid w:val="00352F81"/>
    <w:rsid w:val="00353590"/>
    <w:rsid w:val="003550BB"/>
    <w:rsid w:val="0035529F"/>
    <w:rsid w:val="00355E94"/>
    <w:rsid w:val="00356653"/>
    <w:rsid w:val="0035743F"/>
    <w:rsid w:val="00357BE2"/>
    <w:rsid w:val="003600F3"/>
    <w:rsid w:val="00360552"/>
    <w:rsid w:val="0036170C"/>
    <w:rsid w:val="00365649"/>
    <w:rsid w:val="00366E0F"/>
    <w:rsid w:val="003676AD"/>
    <w:rsid w:val="00374047"/>
    <w:rsid w:val="00380F5C"/>
    <w:rsid w:val="00381A72"/>
    <w:rsid w:val="00382869"/>
    <w:rsid w:val="00382FC8"/>
    <w:rsid w:val="00384676"/>
    <w:rsid w:val="00384A00"/>
    <w:rsid w:val="00384A5B"/>
    <w:rsid w:val="00384DE2"/>
    <w:rsid w:val="00384FBE"/>
    <w:rsid w:val="00390857"/>
    <w:rsid w:val="00393126"/>
    <w:rsid w:val="0039352E"/>
    <w:rsid w:val="0039505A"/>
    <w:rsid w:val="003A02C2"/>
    <w:rsid w:val="003A062E"/>
    <w:rsid w:val="003A083C"/>
    <w:rsid w:val="003A1893"/>
    <w:rsid w:val="003A4BF3"/>
    <w:rsid w:val="003A5702"/>
    <w:rsid w:val="003B0394"/>
    <w:rsid w:val="003B1C6C"/>
    <w:rsid w:val="003B26B6"/>
    <w:rsid w:val="003B3E67"/>
    <w:rsid w:val="003B420D"/>
    <w:rsid w:val="003B56DF"/>
    <w:rsid w:val="003B76C2"/>
    <w:rsid w:val="003C30F8"/>
    <w:rsid w:val="003C6C16"/>
    <w:rsid w:val="003C6D59"/>
    <w:rsid w:val="003D2F27"/>
    <w:rsid w:val="003D794D"/>
    <w:rsid w:val="003E3058"/>
    <w:rsid w:val="003E6FE8"/>
    <w:rsid w:val="003E76A9"/>
    <w:rsid w:val="003F04EA"/>
    <w:rsid w:val="003F053C"/>
    <w:rsid w:val="003F0809"/>
    <w:rsid w:val="003F140B"/>
    <w:rsid w:val="003F434A"/>
    <w:rsid w:val="003F6A8C"/>
    <w:rsid w:val="003F755C"/>
    <w:rsid w:val="00401191"/>
    <w:rsid w:val="004024B7"/>
    <w:rsid w:val="00402FF4"/>
    <w:rsid w:val="00403B94"/>
    <w:rsid w:val="00404781"/>
    <w:rsid w:val="004063D1"/>
    <w:rsid w:val="00406F01"/>
    <w:rsid w:val="0040755B"/>
    <w:rsid w:val="00410B77"/>
    <w:rsid w:val="004118D6"/>
    <w:rsid w:val="00413DDB"/>
    <w:rsid w:val="00416121"/>
    <w:rsid w:val="00416D50"/>
    <w:rsid w:val="00416FD5"/>
    <w:rsid w:val="00417772"/>
    <w:rsid w:val="00417CC9"/>
    <w:rsid w:val="0042013C"/>
    <w:rsid w:val="00420E6A"/>
    <w:rsid w:val="0042213A"/>
    <w:rsid w:val="00425A9E"/>
    <w:rsid w:val="00425DD4"/>
    <w:rsid w:val="00426D6B"/>
    <w:rsid w:val="0043187C"/>
    <w:rsid w:val="00431E6C"/>
    <w:rsid w:val="00432E98"/>
    <w:rsid w:val="00433CE7"/>
    <w:rsid w:val="00434618"/>
    <w:rsid w:val="00436890"/>
    <w:rsid w:val="00437031"/>
    <w:rsid w:val="004370BC"/>
    <w:rsid w:val="00440F7C"/>
    <w:rsid w:val="004418EB"/>
    <w:rsid w:val="00443747"/>
    <w:rsid w:val="004443FA"/>
    <w:rsid w:val="00444AB1"/>
    <w:rsid w:val="004525B9"/>
    <w:rsid w:val="00452738"/>
    <w:rsid w:val="00452DD0"/>
    <w:rsid w:val="004556CB"/>
    <w:rsid w:val="004559FE"/>
    <w:rsid w:val="00456091"/>
    <w:rsid w:val="00456FE7"/>
    <w:rsid w:val="00457C51"/>
    <w:rsid w:val="00462BDD"/>
    <w:rsid w:val="00464017"/>
    <w:rsid w:val="0046417B"/>
    <w:rsid w:val="00464769"/>
    <w:rsid w:val="00464985"/>
    <w:rsid w:val="0046541A"/>
    <w:rsid w:val="00466321"/>
    <w:rsid w:val="00466558"/>
    <w:rsid w:val="00467F60"/>
    <w:rsid w:val="004715AF"/>
    <w:rsid w:val="00472821"/>
    <w:rsid w:val="00473116"/>
    <w:rsid w:val="0047463D"/>
    <w:rsid w:val="00474A33"/>
    <w:rsid w:val="0047618A"/>
    <w:rsid w:val="0047655D"/>
    <w:rsid w:val="004768A9"/>
    <w:rsid w:val="00477457"/>
    <w:rsid w:val="0048354A"/>
    <w:rsid w:val="00484B9B"/>
    <w:rsid w:val="004855F6"/>
    <w:rsid w:val="00485880"/>
    <w:rsid w:val="0048661E"/>
    <w:rsid w:val="00486B41"/>
    <w:rsid w:val="0049310B"/>
    <w:rsid w:val="00493C79"/>
    <w:rsid w:val="00494670"/>
    <w:rsid w:val="00494B2D"/>
    <w:rsid w:val="004977E5"/>
    <w:rsid w:val="004A1862"/>
    <w:rsid w:val="004A3194"/>
    <w:rsid w:val="004A3823"/>
    <w:rsid w:val="004A443A"/>
    <w:rsid w:val="004A6F36"/>
    <w:rsid w:val="004B0C5A"/>
    <w:rsid w:val="004B2C48"/>
    <w:rsid w:val="004B3C3C"/>
    <w:rsid w:val="004B4B41"/>
    <w:rsid w:val="004C045F"/>
    <w:rsid w:val="004C1C68"/>
    <w:rsid w:val="004C45E0"/>
    <w:rsid w:val="004C5B15"/>
    <w:rsid w:val="004C680C"/>
    <w:rsid w:val="004D238C"/>
    <w:rsid w:val="004D249B"/>
    <w:rsid w:val="004D52DE"/>
    <w:rsid w:val="004D61A8"/>
    <w:rsid w:val="004D61BF"/>
    <w:rsid w:val="004D7BBC"/>
    <w:rsid w:val="004E3204"/>
    <w:rsid w:val="004E341D"/>
    <w:rsid w:val="004E68E5"/>
    <w:rsid w:val="004E6946"/>
    <w:rsid w:val="004E7F3A"/>
    <w:rsid w:val="004F1AD8"/>
    <w:rsid w:val="004F3CD9"/>
    <w:rsid w:val="005039CB"/>
    <w:rsid w:val="00504A2F"/>
    <w:rsid w:val="0050558F"/>
    <w:rsid w:val="00506286"/>
    <w:rsid w:val="00506A61"/>
    <w:rsid w:val="00510813"/>
    <w:rsid w:val="00511990"/>
    <w:rsid w:val="00511DE0"/>
    <w:rsid w:val="00512EFC"/>
    <w:rsid w:val="00514870"/>
    <w:rsid w:val="00514B9B"/>
    <w:rsid w:val="00516244"/>
    <w:rsid w:val="00516BA1"/>
    <w:rsid w:val="00517F02"/>
    <w:rsid w:val="00522F0F"/>
    <w:rsid w:val="00524303"/>
    <w:rsid w:val="005258A2"/>
    <w:rsid w:val="00530831"/>
    <w:rsid w:val="00531806"/>
    <w:rsid w:val="0053242A"/>
    <w:rsid w:val="00535200"/>
    <w:rsid w:val="005373B3"/>
    <w:rsid w:val="005401AE"/>
    <w:rsid w:val="00540A1D"/>
    <w:rsid w:val="00542A0F"/>
    <w:rsid w:val="00542AD5"/>
    <w:rsid w:val="00542CBA"/>
    <w:rsid w:val="00542E07"/>
    <w:rsid w:val="00545424"/>
    <w:rsid w:val="00552D00"/>
    <w:rsid w:val="00554966"/>
    <w:rsid w:val="00554A7B"/>
    <w:rsid w:val="00555713"/>
    <w:rsid w:val="0055572C"/>
    <w:rsid w:val="00556597"/>
    <w:rsid w:val="0056106A"/>
    <w:rsid w:val="005613F3"/>
    <w:rsid w:val="0057105F"/>
    <w:rsid w:val="005720AE"/>
    <w:rsid w:val="00575964"/>
    <w:rsid w:val="0057792C"/>
    <w:rsid w:val="005801EC"/>
    <w:rsid w:val="0058022E"/>
    <w:rsid w:val="00580F0E"/>
    <w:rsid w:val="00583097"/>
    <w:rsid w:val="00591DC8"/>
    <w:rsid w:val="005926BA"/>
    <w:rsid w:val="00594D77"/>
    <w:rsid w:val="005969E4"/>
    <w:rsid w:val="005973C7"/>
    <w:rsid w:val="00597B0E"/>
    <w:rsid w:val="00597F5D"/>
    <w:rsid w:val="005A06B7"/>
    <w:rsid w:val="005A1413"/>
    <w:rsid w:val="005A1759"/>
    <w:rsid w:val="005A68A7"/>
    <w:rsid w:val="005A7AB6"/>
    <w:rsid w:val="005B6B09"/>
    <w:rsid w:val="005C1738"/>
    <w:rsid w:val="005C234F"/>
    <w:rsid w:val="005C346E"/>
    <w:rsid w:val="005C356D"/>
    <w:rsid w:val="005C4807"/>
    <w:rsid w:val="005C52F6"/>
    <w:rsid w:val="005C5E24"/>
    <w:rsid w:val="005C6607"/>
    <w:rsid w:val="005C68AE"/>
    <w:rsid w:val="005C7255"/>
    <w:rsid w:val="005D170F"/>
    <w:rsid w:val="005D321D"/>
    <w:rsid w:val="005D36AB"/>
    <w:rsid w:val="005D3A07"/>
    <w:rsid w:val="005D6B37"/>
    <w:rsid w:val="005E0DDE"/>
    <w:rsid w:val="005E1223"/>
    <w:rsid w:val="005E1EB4"/>
    <w:rsid w:val="005E472D"/>
    <w:rsid w:val="005E7BFA"/>
    <w:rsid w:val="005E7E4A"/>
    <w:rsid w:val="005F279A"/>
    <w:rsid w:val="005F3547"/>
    <w:rsid w:val="005F37B4"/>
    <w:rsid w:val="005F6142"/>
    <w:rsid w:val="00601901"/>
    <w:rsid w:val="00601B49"/>
    <w:rsid w:val="00611E97"/>
    <w:rsid w:val="006127EC"/>
    <w:rsid w:val="00615866"/>
    <w:rsid w:val="00616703"/>
    <w:rsid w:val="00617CC3"/>
    <w:rsid w:val="00620615"/>
    <w:rsid w:val="006208F8"/>
    <w:rsid w:val="00621072"/>
    <w:rsid w:val="00622BC0"/>
    <w:rsid w:val="00624CFC"/>
    <w:rsid w:val="00625EA1"/>
    <w:rsid w:val="00630345"/>
    <w:rsid w:val="00631EE1"/>
    <w:rsid w:val="00632027"/>
    <w:rsid w:val="00632CA7"/>
    <w:rsid w:val="006377A6"/>
    <w:rsid w:val="00637A3D"/>
    <w:rsid w:val="00637E84"/>
    <w:rsid w:val="00640726"/>
    <w:rsid w:val="006411EF"/>
    <w:rsid w:val="00646CFD"/>
    <w:rsid w:val="00647DAF"/>
    <w:rsid w:val="00650BD5"/>
    <w:rsid w:val="00650FD3"/>
    <w:rsid w:val="00653711"/>
    <w:rsid w:val="00655401"/>
    <w:rsid w:val="00657EFB"/>
    <w:rsid w:val="006606D0"/>
    <w:rsid w:val="00660AC0"/>
    <w:rsid w:val="00662C5D"/>
    <w:rsid w:val="006630EF"/>
    <w:rsid w:val="00664194"/>
    <w:rsid w:val="006703D5"/>
    <w:rsid w:val="0067381D"/>
    <w:rsid w:val="006748B8"/>
    <w:rsid w:val="006775C3"/>
    <w:rsid w:val="00680764"/>
    <w:rsid w:val="0068259C"/>
    <w:rsid w:val="006825A6"/>
    <w:rsid w:val="00683343"/>
    <w:rsid w:val="00684117"/>
    <w:rsid w:val="0069290A"/>
    <w:rsid w:val="00693F80"/>
    <w:rsid w:val="00695824"/>
    <w:rsid w:val="00695EBA"/>
    <w:rsid w:val="006964A3"/>
    <w:rsid w:val="006974A9"/>
    <w:rsid w:val="0069775A"/>
    <w:rsid w:val="00697813"/>
    <w:rsid w:val="006A0727"/>
    <w:rsid w:val="006A0E95"/>
    <w:rsid w:val="006A3EE8"/>
    <w:rsid w:val="006A7055"/>
    <w:rsid w:val="006A72BF"/>
    <w:rsid w:val="006B03F2"/>
    <w:rsid w:val="006B05BC"/>
    <w:rsid w:val="006B130C"/>
    <w:rsid w:val="006B37DC"/>
    <w:rsid w:val="006B4F68"/>
    <w:rsid w:val="006B510C"/>
    <w:rsid w:val="006B653B"/>
    <w:rsid w:val="006C01D6"/>
    <w:rsid w:val="006C0592"/>
    <w:rsid w:val="006C272E"/>
    <w:rsid w:val="006C2FDA"/>
    <w:rsid w:val="006C5479"/>
    <w:rsid w:val="006C79B9"/>
    <w:rsid w:val="006D0548"/>
    <w:rsid w:val="006D10B1"/>
    <w:rsid w:val="006D13B5"/>
    <w:rsid w:val="006D2EA6"/>
    <w:rsid w:val="006D3C6D"/>
    <w:rsid w:val="006D6D1D"/>
    <w:rsid w:val="006D79DE"/>
    <w:rsid w:val="006E0F8B"/>
    <w:rsid w:val="006E12FF"/>
    <w:rsid w:val="006E13B5"/>
    <w:rsid w:val="006E4CC0"/>
    <w:rsid w:val="006E5753"/>
    <w:rsid w:val="006E607E"/>
    <w:rsid w:val="006E7B9D"/>
    <w:rsid w:val="006F2413"/>
    <w:rsid w:val="006F424B"/>
    <w:rsid w:val="006F6A90"/>
    <w:rsid w:val="006F7F4D"/>
    <w:rsid w:val="007018FE"/>
    <w:rsid w:val="0070594C"/>
    <w:rsid w:val="00706C5D"/>
    <w:rsid w:val="00710046"/>
    <w:rsid w:val="0071179F"/>
    <w:rsid w:val="007132A2"/>
    <w:rsid w:val="00713608"/>
    <w:rsid w:val="0071385B"/>
    <w:rsid w:val="00714C71"/>
    <w:rsid w:val="00717BAD"/>
    <w:rsid w:val="0072243F"/>
    <w:rsid w:val="00723575"/>
    <w:rsid w:val="00724E51"/>
    <w:rsid w:val="00726596"/>
    <w:rsid w:val="00726CCD"/>
    <w:rsid w:val="007318A6"/>
    <w:rsid w:val="00731F57"/>
    <w:rsid w:val="00732922"/>
    <w:rsid w:val="00733C03"/>
    <w:rsid w:val="00735CE3"/>
    <w:rsid w:val="00737448"/>
    <w:rsid w:val="00740B09"/>
    <w:rsid w:val="007417CE"/>
    <w:rsid w:val="007468C9"/>
    <w:rsid w:val="00746925"/>
    <w:rsid w:val="00750584"/>
    <w:rsid w:val="0075162E"/>
    <w:rsid w:val="00751702"/>
    <w:rsid w:val="00751F70"/>
    <w:rsid w:val="007529BA"/>
    <w:rsid w:val="00753705"/>
    <w:rsid w:val="00754034"/>
    <w:rsid w:val="00756556"/>
    <w:rsid w:val="00756781"/>
    <w:rsid w:val="00756C45"/>
    <w:rsid w:val="0076088A"/>
    <w:rsid w:val="00760AF9"/>
    <w:rsid w:val="00760E99"/>
    <w:rsid w:val="007618C4"/>
    <w:rsid w:val="0076598D"/>
    <w:rsid w:val="00767980"/>
    <w:rsid w:val="00770B19"/>
    <w:rsid w:val="0077463F"/>
    <w:rsid w:val="0077784F"/>
    <w:rsid w:val="007832D9"/>
    <w:rsid w:val="007836EA"/>
    <w:rsid w:val="00783EF5"/>
    <w:rsid w:val="00784CDA"/>
    <w:rsid w:val="00784D9C"/>
    <w:rsid w:val="00787C6B"/>
    <w:rsid w:val="007906C4"/>
    <w:rsid w:val="0079183C"/>
    <w:rsid w:val="007940EA"/>
    <w:rsid w:val="007967E8"/>
    <w:rsid w:val="0079697F"/>
    <w:rsid w:val="00797495"/>
    <w:rsid w:val="007A2170"/>
    <w:rsid w:val="007A22BF"/>
    <w:rsid w:val="007A26C8"/>
    <w:rsid w:val="007A3323"/>
    <w:rsid w:val="007A39E8"/>
    <w:rsid w:val="007A3E7C"/>
    <w:rsid w:val="007A4D16"/>
    <w:rsid w:val="007A7ACA"/>
    <w:rsid w:val="007B0ED4"/>
    <w:rsid w:val="007B1F73"/>
    <w:rsid w:val="007B5B12"/>
    <w:rsid w:val="007B5FF3"/>
    <w:rsid w:val="007B6BBE"/>
    <w:rsid w:val="007B72B8"/>
    <w:rsid w:val="007B78C2"/>
    <w:rsid w:val="007B7A58"/>
    <w:rsid w:val="007C21B5"/>
    <w:rsid w:val="007C2E8F"/>
    <w:rsid w:val="007C5C1F"/>
    <w:rsid w:val="007D27DE"/>
    <w:rsid w:val="007D30A0"/>
    <w:rsid w:val="007D354A"/>
    <w:rsid w:val="007D3C2D"/>
    <w:rsid w:val="007E0895"/>
    <w:rsid w:val="007E1291"/>
    <w:rsid w:val="007E17D6"/>
    <w:rsid w:val="007E1E12"/>
    <w:rsid w:val="007E4BD2"/>
    <w:rsid w:val="007E6961"/>
    <w:rsid w:val="007F0E77"/>
    <w:rsid w:val="007F2BED"/>
    <w:rsid w:val="007F32B6"/>
    <w:rsid w:val="007F3569"/>
    <w:rsid w:val="007F3DF6"/>
    <w:rsid w:val="007F4272"/>
    <w:rsid w:val="007F428F"/>
    <w:rsid w:val="007F4B43"/>
    <w:rsid w:val="007F4D7E"/>
    <w:rsid w:val="007F4FA2"/>
    <w:rsid w:val="00801393"/>
    <w:rsid w:val="00802EE2"/>
    <w:rsid w:val="00802EEA"/>
    <w:rsid w:val="00802F2C"/>
    <w:rsid w:val="00802F88"/>
    <w:rsid w:val="00803357"/>
    <w:rsid w:val="00811627"/>
    <w:rsid w:val="0081293E"/>
    <w:rsid w:val="00815465"/>
    <w:rsid w:val="00817E9A"/>
    <w:rsid w:val="008213B8"/>
    <w:rsid w:val="00821B02"/>
    <w:rsid w:val="008232FB"/>
    <w:rsid w:val="00823904"/>
    <w:rsid w:val="00824069"/>
    <w:rsid w:val="00824D40"/>
    <w:rsid w:val="008257AD"/>
    <w:rsid w:val="0083014B"/>
    <w:rsid w:val="00830168"/>
    <w:rsid w:val="008306BD"/>
    <w:rsid w:val="00831A80"/>
    <w:rsid w:val="00833743"/>
    <w:rsid w:val="008340A4"/>
    <w:rsid w:val="00834D47"/>
    <w:rsid w:val="00836685"/>
    <w:rsid w:val="00837397"/>
    <w:rsid w:val="008407AC"/>
    <w:rsid w:val="008425D0"/>
    <w:rsid w:val="0084285B"/>
    <w:rsid w:val="008429D9"/>
    <w:rsid w:val="00843ECD"/>
    <w:rsid w:val="008466CF"/>
    <w:rsid w:val="00852CDD"/>
    <w:rsid w:val="0085409A"/>
    <w:rsid w:val="00854967"/>
    <w:rsid w:val="0085690E"/>
    <w:rsid w:val="00862B4E"/>
    <w:rsid w:val="00865F8A"/>
    <w:rsid w:val="00867115"/>
    <w:rsid w:val="00870E66"/>
    <w:rsid w:val="0087135F"/>
    <w:rsid w:val="00872D94"/>
    <w:rsid w:val="00876008"/>
    <w:rsid w:val="00880364"/>
    <w:rsid w:val="00883EE7"/>
    <w:rsid w:val="00884A69"/>
    <w:rsid w:val="0088680A"/>
    <w:rsid w:val="00891592"/>
    <w:rsid w:val="00891E9E"/>
    <w:rsid w:val="0089536A"/>
    <w:rsid w:val="00895787"/>
    <w:rsid w:val="00896BC9"/>
    <w:rsid w:val="008A210E"/>
    <w:rsid w:val="008A2F68"/>
    <w:rsid w:val="008A45BE"/>
    <w:rsid w:val="008A6C2C"/>
    <w:rsid w:val="008B03BD"/>
    <w:rsid w:val="008B0EA8"/>
    <w:rsid w:val="008B2FDE"/>
    <w:rsid w:val="008B4BEC"/>
    <w:rsid w:val="008B4FA6"/>
    <w:rsid w:val="008B5282"/>
    <w:rsid w:val="008B64A8"/>
    <w:rsid w:val="008B7C17"/>
    <w:rsid w:val="008C2D01"/>
    <w:rsid w:val="008C31D8"/>
    <w:rsid w:val="008C40E6"/>
    <w:rsid w:val="008C4527"/>
    <w:rsid w:val="008C67BE"/>
    <w:rsid w:val="008D0F7A"/>
    <w:rsid w:val="008D413B"/>
    <w:rsid w:val="008D6118"/>
    <w:rsid w:val="008D68E4"/>
    <w:rsid w:val="008D6C7E"/>
    <w:rsid w:val="008E0506"/>
    <w:rsid w:val="008E0C6E"/>
    <w:rsid w:val="008E0CFF"/>
    <w:rsid w:val="008E41C2"/>
    <w:rsid w:val="008E4500"/>
    <w:rsid w:val="008E5D6B"/>
    <w:rsid w:val="008E76F0"/>
    <w:rsid w:val="008F15FE"/>
    <w:rsid w:val="008F1BE4"/>
    <w:rsid w:val="008F2D29"/>
    <w:rsid w:val="008F5187"/>
    <w:rsid w:val="008F60D8"/>
    <w:rsid w:val="008F6BB1"/>
    <w:rsid w:val="00902727"/>
    <w:rsid w:val="0090312B"/>
    <w:rsid w:val="0090324D"/>
    <w:rsid w:val="009055E6"/>
    <w:rsid w:val="00906D77"/>
    <w:rsid w:val="00910880"/>
    <w:rsid w:val="009132EB"/>
    <w:rsid w:val="00913370"/>
    <w:rsid w:val="0091527B"/>
    <w:rsid w:val="0091583A"/>
    <w:rsid w:val="00915C95"/>
    <w:rsid w:val="00915F5F"/>
    <w:rsid w:val="009162EF"/>
    <w:rsid w:val="00916525"/>
    <w:rsid w:val="0091736D"/>
    <w:rsid w:val="00920924"/>
    <w:rsid w:val="00920F52"/>
    <w:rsid w:val="009219EE"/>
    <w:rsid w:val="0092392D"/>
    <w:rsid w:val="009240B2"/>
    <w:rsid w:val="00924AA3"/>
    <w:rsid w:val="009302E4"/>
    <w:rsid w:val="0093037A"/>
    <w:rsid w:val="0093288A"/>
    <w:rsid w:val="00932A92"/>
    <w:rsid w:val="00934288"/>
    <w:rsid w:val="00934743"/>
    <w:rsid w:val="00934D75"/>
    <w:rsid w:val="00935035"/>
    <w:rsid w:val="00936810"/>
    <w:rsid w:val="00936A0F"/>
    <w:rsid w:val="00937277"/>
    <w:rsid w:val="00940AE2"/>
    <w:rsid w:val="0094154D"/>
    <w:rsid w:val="0094212E"/>
    <w:rsid w:val="009429E3"/>
    <w:rsid w:val="009437EB"/>
    <w:rsid w:val="0094600C"/>
    <w:rsid w:val="0095155F"/>
    <w:rsid w:val="00953039"/>
    <w:rsid w:val="00953798"/>
    <w:rsid w:val="00954429"/>
    <w:rsid w:val="0095516C"/>
    <w:rsid w:val="009563CE"/>
    <w:rsid w:val="009578C4"/>
    <w:rsid w:val="00960470"/>
    <w:rsid w:val="00960EA7"/>
    <w:rsid w:val="00961190"/>
    <w:rsid w:val="00961B02"/>
    <w:rsid w:val="00962579"/>
    <w:rsid w:val="009627B3"/>
    <w:rsid w:val="00971CB6"/>
    <w:rsid w:val="00971F2E"/>
    <w:rsid w:val="0097279B"/>
    <w:rsid w:val="00974276"/>
    <w:rsid w:val="009742F2"/>
    <w:rsid w:val="009754E3"/>
    <w:rsid w:val="0097602C"/>
    <w:rsid w:val="00976328"/>
    <w:rsid w:val="0097666B"/>
    <w:rsid w:val="0097680D"/>
    <w:rsid w:val="00976F08"/>
    <w:rsid w:val="00977F5B"/>
    <w:rsid w:val="0098078A"/>
    <w:rsid w:val="00980908"/>
    <w:rsid w:val="00982438"/>
    <w:rsid w:val="0098404C"/>
    <w:rsid w:val="00984C7E"/>
    <w:rsid w:val="00985283"/>
    <w:rsid w:val="00987C0C"/>
    <w:rsid w:val="00990BD7"/>
    <w:rsid w:val="0099393D"/>
    <w:rsid w:val="00994FAE"/>
    <w:rsid w:val="009953E9"/>
    <w:rsid w:val="00995992"/>
    <w:rsid w:val="00996991"/>
    <w:rsid w:val="009974C1"/>
    <w:rsid w:val="00997659"/>
    <w:rsid w:val="009A03E5"/>
    <w:rsid w:val="009A0F3B"/>
    <w:rsid w:val="009A12A2"/>
    <w:rsid w:val="009A1BB4"/>
    <w:rsid w:val="009A2628"/>
    <w:rsid w:val="009A3200"/>
    <w:rsid w:val="009A4DAA"/>
    <w:rsid w:val="009B0897"/>
    <w:rsid w:val="009B2B2F"/>
    <w:rsid w:val="009B7BD9"/>
    <w:rsid w:val="009B7D06"/>
    <w:rsid w:val="009C2633"/>
    <w:rsid w:val="009C4894"/>
    <w:rsid w:val="009C56EC"/>
    <w:rsid w:val="009C7B24"/>
    <w:rsid w:val="009C7DD5"/>
    <w:rsid w:val="009D1BE6"/>
    <w:rsid w:val="009D49B2"/>
    <w:rsid w:val="009D5237"/>
    <w:rsid w:val="009D7443"/>
    <w:rsid w:val="009D754F"/>
    <w:rsid w:val="009E227D"/>
    <w:rsid w:val="009E28EE"/>
    <w:rsid w:val="009E29AC"/>
    <w:rsid w:val="009E2E31"/>
    <w:rsid w:val="009E5019"/>
    <w:rsid w:val="009E560E"/>
    <w:rsid w:val="009F2A3A"/>
    <w:rsid w:val="009F2F27"/>
    <w:rsid w:val="00A047E1"/>
    <w:rsid w:val="00A04F1B"/>
    <w:rsid w:val="00A0501B"/>
    <w:rsid w:val="00A05EEF"/>
    <w:rsid w:val="00A06703"/>
    <w:rsid w:val="00A0764F"/>
    <w:rsid w:val="00A0780D"/>
    <w:rsid w:val="00A1105C"/>
    <w:rsid w:val="00A14947"/>
    <w:rsid w:val="00A21EFD"/>
    <w:rsid w:val="00A21F3C"/>
    <w:rsid w:val="00A22089"/>
    <w:rsid w:val="00A2216B"/>
    <w:rsid w:val="00A22A3A"/>
    <w:rsid w:val="00A22A5D"/>
    <w:rsid w:val="00A22D8F"/>
    <w:rsid w:val="00A25CE1"/>
    <w:rsid w:val="00A26F3B"/>
    <w:rsid w:val="00A27C40"/>
    <w:rsid w:val="00A32A83"/>
    <w:rsid w:val="00A33ADA"/>
    <w:rsid w:val="00A34B9F"/>
    <w:rsid w:val="00A34E31"/>
    <w:rsid w:val="00A364AC"/>
    <w:rsid w:val="00A368DB"/>
    <w:rsid w:val="00A36A05"/>
    <w:rsid w:val="00A40E5A"/>
    <w:rsid w:val="00A41B9F"/>
    <w:rsid w:val="00A423AA"/>
    <w:rsid w:val="00A43FBC"/>
    <w:rsid w:val="00A4406A"/>
    <w:rsid w:val="00A50308"/>
    <w:rsid w:val="00A50749"/>
    <w:rsid w:val="00A527EE"/>
    <w:rsid w:val="00A53E2B"/>
    <w:rsid w:val="00A53EC6"/>
    <w:rsid w:val="00A53EE9"/>
    <w:rsid w:val="00A55C0F"/>
    <w:rsid w:val="00A55D8B"/>
    <w:rsid w:val="00A6057C"/>
    <w:rsid w:val="00A60E50"/>
    <w:rsid w:val="00A6114B"/>
    <w:rsid w:val="00A61E52"/>
    <w:rsid w:val="00A634BD"/>
    <w:rsid w:val="00A6411D"/>
    <w:rsid w:val="00A64432"/>
    <w:rsid w:val="00A65E4E"/>
    <w:rsid w:val="00A662B0"/>
    <w:rsid w:val="00A673C2"/>
    <w:rsid w:val="00A73DED"/>
    <w:rsid w:val="00A75DD4"/>
    <w:rsid w:val="00A77DAA"/>
    <w:rsid w:val="00A8233D"/>
    <w:rsid w:val="00A85223"/>
    <w:rsid w:val="00A8713F"/>
    <w:rsid w:val="00A874D7"/>
    <w:rsid w:val="00A908CA"/>
    <w:rsid w:val="00A90BA1"/>
    <w:rsid w:val="00A90EBE"/>
    <w:rsid w:val="00A91FBA"/>
    <w:rsid w:val="00A923C8"/>
    <w:rsid w:val="00A92CEC"/>
    <w:rsid w:val="00A97227"/>
    <w:rsid w:val="00A9730F"/>
    <w:rsid w:val="00A97A9A"/>
    <w:rsid w:val="00AA0529"/>
    <w:rsid w:val="00AA0671"/>
    <w:rsid w:val="00AA14EA"/>
    <w:rsid w:val="00AA2531"/>
    <w:rsid w:val="00AA30BC"/>
    <w:rsid w:val="00AA42CD"/>
    <w:rsid w:val="00AA55B7"/>
    <w:rsid w:val="00AA6E16"/>
    <w:rsid w:val="00AA7F2E"/>
    <w:rsid w:val="00AB1E09"/>
    <w:rsid w:val="00AB5330"/>
    <w:rsid w:val="00AB7747"/>
    <w:rsid w:val="00AC14CE"/>
    <w:rsid w:val="00AC193D"/>
    <w:rsid w:val="00AC2A56"/>
    <w:rsid w:val="00AC54A9"/>
    <w:rsid w:val="00AC6DC2"/>
    <w:rsid w:val="00AD055E"/>
    <w:rsid w:val="00AD47A7"/>
    <w:rsid w:val="00AD4E17"/>
    <w:rsid w:val="00AD5FDD"/>
    <w:rsid w:val="00AE044F"/>
    <w:rsid w:val="00AE267E"/>
    <w:rsid w:val="00AE3E96"/>
    <w:rsid w:val="00AE4C13"/>
    <w:rsid w:val="00AE647C"/>
    <w:rsid w:val="00AE691F"/>
    <w:rsid w:val="00AF0CBF"/>
    <w:rsid w:val="00AF234A"/>
    <w:rsid w:val="00AF257F"/>
    <w:rsid w:val="00AF33CF"/>
    <w:rsid w:val="00AF4525"/>
    <w:rsid w:val="00AF4D50"/>
    <w:rsid w:val="00AF6179"/>
    <w:rsid w:val="00AF6612"/>
    <w:rsid w:val="00AF6E44"/>
    <w:rsid w:val="00B02D91"/>
    <w:rsid w:val="00B04899"/>
    <w:rsid w:val="00B06739"/>
    <w:rsid w:val="00B0763B"/>
    <w:rsid w:val="00B11028"/>
    <w:rsid w:val="00B1295A"/>
    <w:rsid w:val="00B142B5"/>
    <w:rsid w:val="00B14FAE"/>
    <w:rsid w:val="00B1595B"/>
    <w:rsid w:val="00B16ACA"/>
    <w:rsid w:val="00B17BD7"/>
    <w:rsid w:val="00B2098E"/>
    <w:rsid w:val="00B20A45"/>
    <w:rsid w:val="00B22C5C"/>
    <w:rsid w:val="00B24D14"/>
    <w:rsid w:val="00B24F30"/>
    <w:rsid w:val="00B2591D"/>
    <w:rsid w:val="00B26C28"/>
    <w:rsid w:val="00B26FA8"/>
    <w:rsid w:val="00B31ABF"/>
    <w:rsid w:val="00B32312"/>
    <w:rsid w:val="00B3247A"/>
    <w:rsid w:val="00B33BE3"/>
    <w:rsid w:val="00B34A9A"/>
    <w:rsid w:val="00B36A4C"/>
    <w:rsid w:val="00B40CE0"/>
    <w:rsid w:val="00B40EA2"/>
    <w:rsid w:val="00B41C38"/>
    <w:rsid w:val="00B47E50"/>
    <w:rsid w:val="00B5034F"/>
    <w:rsid w:val="00B50FA5"/>
    <w:rsid w:val="00B5266E"/>
    <w:rsid w:val="00B52F21"/>
    <w:rsid w:val="00B53B5D"/>
    <w:rsid w:val="00B5646E"/>
    <w:rsid w:val="00B56A61"/>
    <w:rsid w:val="00B56F4B"/>
    <w:rsid w:val="00B6055E"/>
    <w:rsid w:val="00B60F20"/>
    <w:rsid w:val="00B62755"/>
    <w:rsid w:val="00B6317D"/>
    <w:rsid w:val="00B66098"/>
    <w:rsid w:val="00B671C0"/>
    <w:rsid w:val="00B67442"/>
    <w:rsid w:val="00B7192D"/>
    <w:rsid w:val="00B7497D"/>
    <w:rsid w:val="00B74C12"/>
    <w:rsid w:val="00B763E2"/>
    <w:rsid w:val="00B7723F"/>
    <w:rsid w:val="00B80534"/>
    <w:rsid w:val="00B81343"/>
    <w:rsid w:val="00B8433C"/>
    <w:rsid w:val="00B87491"/>
    <w:rsid w:val="00B9007F"/>
    <w:rsid w:val="00B903D8"/>
    <w:rsid w:val="00B9625D"/>
    <w:rsid w:val="00B97D16"/>
    <w:rsid w:val="00BA1015"/>
    <w:rsid w:val="00BA1A3D"/>
    <w:rsid w:val="00BA22A0"/>
    <w:rsid w:val="00BA29E9"/>
    <w:rsid w:val="00BA7142"/>
    <w:rsid w:val="00BA7315"/>
    <w:rsid w:val="00BB10FB"/>
    <w:rsid w:val="00BB237C"/>
    <w:rsid w:val="00BB32CE"/>
    <w:rsid w:val="00BB41A3"/>
    <w:rsid w:val="00BB56F2"/>
    <w:rsid w:val="00BC0992"/>
    <w:rsid w:val="00BC0AB9"/>
    <w:rsid w:val="00BC0FD6"/>
    <w:rsid w:val="00BC32DC"/>
    <w:rsid w:val="00BC35B6"/>
    <w:rsid w:val="00BC35CD"/>
    <w:rsid w:val="00BC4D61"/>
    <w:rsid w:val="00BD1B51"/>
    <w:rsid w:val="00BD22F1"/>
    <w:rsid w:val="00BD3CB7"/>
    <w:rsid w:val="00BD4596"/>
    <w:rsid w:val="00BD4662"/>
    <w:rsid w:val="00BD63FC"/>
    <w:rsid w:val="00BD7FA9"/>
    <w:rsid w:val="00BE1405"/>
    <w:rsid w:val="00BE312D"/>
    <w:rsid w:val="00BE482B"/>
    <w:rsid w:val="00BE7450"/>
    <w:rsid w:val="00BE7D9A"/>
    <w:rsid w:val="00BF0B27"/>
    <w:rsid w:val="00BF0BBA"/>
    <w:rsid w:val="00BF1C20"/>
    <w:rsid w:val="00BF2213"/>
    <w:rsid w:val="00BF2791"/>
    <w:rsid w:val="00BF31D4"/>
    <w:rsid w:val="00BF38FA"/>
    <w:rsid w:val="00BF64BC"/>
    <w:rsid w:val="00C0098D"/>
    <w:rsid w:val="00C03CE7"/>
    <w:rsid w:val="00C06F3B"/>
    <w:rsid w:val="00C10462"/>
    <w:rsid w:val="00C10578"/>
    <w:rsid w:val="00C11F2F"/>
    <w:rsid w:val="00C12625"/>
    <w:rsid w:val="00C12725"/>
    <w:rsid w:val="00C135BC"/>
    <w:rsid w:val="00C15C95"/>
    <w:rsid w:val="00C16412"/>
    <w:rsid w:val="00C17170"/>
    <w:rsid w:val="00C22D83"/>
    <w:rsid w:val="00C23584"/>
    <w:rsid w:val="00C24BA6"/>
    <w:rsid w:val="00C2596A"/>
    <w:rsid w:val="00C2601D"/>
    <w:rsid w:val="00C26617"/>
    <w:rsid w:val="00C26987"/>
    <w:rsid w:val="00C27537"/>
    <w:rsid w:val="00C31363"/>
    <w:rsid w:val="00C315E7"/>
    <w:rsid w:val="00C328FE"/>
    <w:rsid w:val="00C33507"/>
    <w:rsid w:val="00C335B5"/>
    <w:rsid w:val="00C34BF4"/>
    <w:rsid w:val="00C352BE"/>
    <w:rsid w:val="00C369C8"/>
    <w:rsid w:val="00C40CEE"/>
    <w:rsid w:val="00C43CF0"/>
    <w:rsid w:val="00C4409D"/>
    <w:rsid w:val="00C44E72"/>
    <w:rsid w:val="00C45518"/>
    <w:rsid w:val="00C45A06"/>
    <w:rsid w:val="00C47E5B"/>
    <w:rsid w:val="00C47F81"/>
    <w:rsid w:val="00C51D09"/>
    <w:rsid w:val="00C54582"/>
    <w:rsid w:val="00C5589F"/>
    <w:rsid w:val="00C55C7F"/>
    <w:rsid w:val="00C60B7C"/>
    <w:rsid w:val="00C61E4B"/>
    <w:rsid w:val="00C64BFF"/>
    <w:rsid w:val="00C704C2"/>
    <w:rsid w:val="00C704E9"/>
    <w:rsid w:val="00C71524"/>
    <w:rsid w:val="00C732E4"/>
    <w:rsid w:val="00C74904"/>
    <w:rsid w:val="00C757F9"/>
    <w:rsid w:val="00C763C9"/>
    <w:rsid w:val="00C76637"/>
    <w:rsid w:val="00C80057"/>
    <w:rsid w:val="00C80BFE"/>
    <w:rsid w:val="00C82232"/>
    <w:rsid w:val="00C82913"/>
    <w:rsid w:val="00C85535"/>
    <w:rsid w:val="00C86450"/>
    <w:rsid w:val="00C867F6"/>
    <w:rsid w:val="00C87B47"/>
    <w:rsid w:val="00C91F24"/>
    <w:rsid w:val="00C92FB0"/>
    <w:rsid w:val="00C94B53"/>
    <w:rsid w:val="00C972B1"/>
    <w:rsid w:val="00C977D7"/>
    <w:rsid w:val="00C97D85"/>
    <w:rsid w:val="00CA1FD4"/>
    <w:rsid w:val="00CA2CCE"/>
    <w:rsid w:val="00CA3CBF"/>
    <w:rsid w:val="00CA43FD"/>
    <w:rsid w:val="00CA5269"/>
    <w:rsid w:val="00CA5363"/>
    <w:rsid w:val="00CA6C7C"/>
    <w:rsid w:val="00CA7EF8"/>
    <w:rsid w:val="00CB446A"/>
    <w:rsid w:val="00CB5D6D"/>
    <w:rsid w:val="00CB5E85"/>
    <w:rsid w:val="00CB6A9C"/>
    <w:rsid w:val="00CC2859"/>
    <w:rsid w:val="00CC2FE0"/>
    <w:rsid w:val="00CC489B"/>
    <w:rsid w:val="00CC6C19"/>
    <w:rsid w:val="00CD045E"/>
    <w:rsid w:val="00CD1A05"/>
    <w:rsid w:val="00CD24FD"/>
    <w:rsid w:val="00CD2AAB"/>
    <w:rsid w:val="00CD2BCD"/>
    <w:rsid w:val="00CD3A4C"/>
    <w:rsid w:val="00CD3F4D"/>
    <w:rsid w:val="00CD405B"/>
    <w:rsid w:val="00CD40CC"/>
    <w:rsid w:val="00CD6E3F"/>
    <w:rsid w:val="00CE10E9"/>
    <w:rsid w:val="00CE2910"/>
    <w:rsid w:val="00CE3F05"/>
    <w:rsid w:val="00CE5393"/>
    <w:rsid w:val="00CE63A9"/>
    <w:rsid w:val="00CE71BF"/>
    <w:rsid w:val="00CE7219"/>
    <w:rsid w:val="00CE7706"/>
    <w:rsid w:val="00CF1A7B"/>
    <w:rsid w:val="00CF36BE"/>
    <w:rsid w:val="00CF5F44"/>
    <w:rsid w:val="00CF6000"/>
    <w:rsid w:val="00D0003E"/>
    <w:rsid w:val="00D00250"/>
    <w:rsid w:val="00D003F3"/>
    <w:rsid w:val="00D0047A"/>
    <w:rsid w:val="00D013AD"/>
    <w:rsid w:val="00D0364F"/>
    <w:rsid w:val="00D06834"/>
    <w:rsid w:val="00D07C27"/>
    <w:rsid w:val="00D12523"/>
    <w:rsid w:val="00D14DA9"/>
    <w:rsid w:val="00D171F8"/>
    <w:rsid w:val="00D21C25"/>
    <w:rsid w:val="00D25B2D"/>
    <w:rsid w:val="00D308ED"/>
    <w:rsid w:val="00D336CE"/>
    <w:rsid w:val="00D34FF1"/>
    <w:rsid w:val="00D358D8"/>
    <w:rsid w:val="00D36497"/>
    <w:rsid w:val="00D36D86"/>
    <w:rsid w:val="00D4157A"/>
    <w:rsid w:val="00D423A2"/>
    <w:rsid w:val="00D428AA"/>
    <w:rsid w:val="00D42DC7"/>
    <w:rsid w:val="00D4384A"/>
    <w:rsid w:val="00D50A34"/>
    <w:rsid w:val="00D51090"/>
    <w:rsid w:val="00D52582"/>
    <w:rsid w:val="00D53EFA"/>
    <w:rsid w:val="00D5476B"/>
    <w:rsid w:val="00D67E58"/>
    <w:rsid w:val="00D71663"/>
    <w:rsid w:val="00D71C81"/>
    <w:rsid w:val="00D7245C"/>
    <w:rsid w:val="00D81CE5"/>
    <w:rsid w:val="00D83A33"/>
    <w:rsid w:val="00D87078"/>
    <w:rsid w:val="00D901C6"/>
    <w:rsid w:val="00D92B0F"/>
    <w:rsid w:val="00D93195"/>
    <w:rsid w:val="00D94A7C"/>
    <w:rsid w:val="00D95896"/>
    <w:rsid w:val="00D9643C"/>
    <w:rsid w:val="00DB08E3"/>
    <w:rsid w:val="00DB2983"/>
    <w:rsid w:val="00DB3998"/>
    <w:rsid w:val="00DB477A"/>
    <w:rsid w:val="00DB4A80"/>
    <w:rsid w:val="00DB592C"/>
    <w:rsid w:val="00DB5F87"/>
    <w:rsid w:val="00DB747A"/>
    <w:rsid w:val="00DC0713"/>
    <w:rsid w:val="00DC1257"/>
    <w:rsid w:val="00DC2D28"/>
    <w:rsid w:val="00DC3C3B"/>
    <w:rsid w:val="00DC3DC0"/>
    <w:rsid w:val="00DC4AD1"/>
    <w:rsid w:val="00DC5B2B"/>
    <w:rsid w:val="00DC6B69"/>
    <w:rsid w:val="00DD132C"/>
    <w:rsid w:val="00DD318D"/>
    <w:rsid w:val="00DD4260"/>
    <w:rsid w:val="00DD45F1"/>
    <w:rsid w:val="00DE3379"/>
    <w:rsid w:val="00DE34A8"/>
    <w:rsid w:val="00DE51B5"/>
    <w:rsid w:val="00DF0562"/>
    <w:rsid w:val="00DF2E12"/>
    <w:rsid w:val="00DF3377"/>
    <w:rsid w:val="00DF514A"/>
    <w:rsid w:val="00DF55A1"/>
    <w:rsid w:val="00DF6690"/>
    <w:rsid w:val="00DF6804"/>
    <w:rsid w:val="00E009ED"/>
    <w:rsid w:val="00E01976"/>
    <w:rsid w:val="00E01D9D"/>
    <w:rsid w:val="00E02416"/>
    <w:rsid w:val="00E02431"/>
    <w:rsid w:val="00E0358D"/>
    <w:rsid w:val="00E04323"/>
    <w:rsid w:val="00E070A2"/>
    <w:rsid w:val="00E0750B"/>
    <w:rsid w:val="00E103BB"/>
    <w:rsid w:val="00E16C6E"/>
    <w:rsid w:val="00E2656A"/>
    <w:rsid w:val="00E26EE2"/>
    <w:rsid w:val="00E34981"/>
    <w:rsid w:val="00E367F0"/>
    <w:rsid w:val="00E412D0"/>
    <w:rsid w:val="00E45B65"/>
    <w:rsid w:val="00E46DBC"/>
    <w:rsid w:val="00E5065E"/>
    <w:rsid w:val="00E51231"/>
    <w:rsid w:val="00E53815"/>
    <w:rsid w:val="00E56322"/>
    <w:rsid w:val="00E56A39"/>
    <w:rsid w:val="00E574D0"/>
    <w:rsid w:val="00E60982"/>
    <w:rsid w:val="00E61856"/>
    <w:rsid w:val="00E6276E"/>
    <w:rsid w:val="00E62C62"/>
    <w:rsid w:val="00E62E91"/>
    <w:rsid w:val="00E654C1"/>
    <w:rsid w:val="00E65D97"/>
    <w:rsid w:val="00E6791E"/>
    <w:rsid w:val="00E70034"/>
    <w:rsid w:val="00E72A5A"/>
    <w:rsid w:val="00E73354"/>
    <w:rsid w:val="00E736F9"/>
    <w:rsid w:val="00E76A30"/>
    <w:rsid w:val="00E83180"/>
    <w:rsid w:val="00E864D6"/>
    <w:rsid w:val="00E9242D"/>
    <w:rsid w:val="00E932C0"/>
    <w:rsid w:val="00E932E3"/>
    <w:rsid w:val="00E94C95"/>
    <w:rsid w:val="00E959C1"/>
    <w:rsid w:val="00E96909"/>
    <w:rsid w:val="00EA4384"/>
    <w:rsid w:val="00EA4812"/>
    <w:rsid w:val="00EB038C"/>
    <w:rsid w:val="00EB3217"/>
    <w:rsid w:val="00EB3314"/>
    <w:rsid w:val="00EB42FF"/>
    <w:rsid w:val="00EB5255"/>
    <w:rsid w:val="00EB558B"/>
    <w:rsid w:val="00EB5819"/>
    <w:rsid w:val="00EB5C47"/>
    <w:rsid w:val="00EC05A9"/>
    <w:rsid w:val="00EC3062"/>
    <w:rsid w:val="00EC40B4"/>
    <w:rsid w:val="00EC5D71"/>
    <w:rsid w:val="00EC72F8"/>
    <w:rsid w:val="00EC73E4"/>
    <w:rsid w:val="00ED0639"/>
    <w:rsid w:val="00ED10C1"/>
    <w:rsid w:val="00ED1E70"/>
    <w:rsid w:val="00ED2510"/>
    <w:rsid w:val="00ED2A1F"/>
    <w:rsid w:val="00ED52E9"/>
    <w:rsid w:val="00ED794B"/>
    <w:rsid w:val="00EE0ADE"/>
    <w:rsid w:val="00EE3C9C"/>
    <w:rsid w:val="00EE5694"/>
    <w:rsid w:val="00EF29F1"/>
    <w:rsid w:val="00EF322C"/>
    <w:rsid w:val="00EF4373"/>
    <w:rsid w:val="00EF4755"/>
    <w:rsid w:val="00EF64F7"/>
    <w:rsid w:val="00EF7135"/>
    <w:rsid w:val="00EF740B"/>
    <w:rsid w:val="00F00ED9"/>
    <w:rsid w:val="00F027DB"/>
    <w:rsid w:val="00F06238"/>
    <w:rsid w:val="00F0626B"/>
    <w:rsid w:val="00F10044"/>
    <w:rsid w:val="00F13031"/>
    <w:rsid w:val="00F14160"/>
    <w:rsid w:val="00F1496C"/>
    <w:rsid w:val="00F14A7A"/>
    <w:rsid w:val="00F2005B"/>
    <w:rsid w:val="00F22985"/>
    <w:rsid w:val="00F24A8C"/>
    <w:rsid w:val="00F254F2"/>
    <w:rsid w:val="00F337A9"/>
    <w:rsid w:val="00F3383E"/>
    <w:rsid w:val="00F37AB4"/>
    <w:rsid w:val="00F40166"/>
    <w:rsid w:val="00F40E1C"/>
    <w:rsid w:val="00F41397"/>
    <w:rsid w:val="00F43FF3"/>
    <w:rsid w:val="00F46156"/>
    <w:rsid w:val="00F465A7"/>
    <w:rsid w:val="00F4782E"/>
    <w:rsid w:val="00F503F7"/>
    <w:rsid w:val="00F50B7C"/>
    <w:rsid w:val="00F52654"/>
    <w:rsid w:val="00F5388C"/>
    <w:rsid w:val="00F5473B"/>
    <w:rsid w:val="00F550E6"/>
    <w:rsid w:val="00F55318"/>
    <w:rsid w:val="00F60660"/>
    <w:rsid w:val="00F61E05"/>
    <w:rsid w:val="00F621B3"/>
    <w:rsid w:val="00F65373"/>
    <w:rsid w:val="00F70944"/>
    <w:rsid w:val="00F71DAE"/>
    <w:rsid w:val="00F74345"/>
    <w:rsid w:val="00F74F7E"/>
    <w:rsid w:val="00F75414"/>
    <w:rsid w:val="00F7544A"/>
    <w:rsid w:val="00F76A33"/>
    <w:rsid w:val="00F7754C"/>
    <w:rsid w:val="00F804F2"/>
    <w:rsid w:val="00F80A0A"/>
    <w:rsid w:val="00F82B19"/>
    <w:rsid w:val="00F852D8"/>
    <w:rsid w:val="00F87AB6"/>
    <w:rsid w:val="00F906BE"/>
    <w:rsid w:val="00F91046"/>
    <w:rsid w:val="00F9212D"/>
    <w:rsid w:val="00F92C86"/>
    <w:rsid w:val="00F965DA"/>
    <w:rsid w:val="00F9749B"/>
    <w:rsid w:val="00FA0445"/>
    <w:rsid w:val="00FA406A"/>
    <w:rsid w:val="00FB1230"/>
    <w:rsid w:val="00FB282D"/>
    <w:rsid w:val="00FB503A"/>
    <w:rsid w:val="00FB516C"/>
    <w:rsid w:val="00FB5290"/>
    <w:rsid w:val="00FB5A38"/>
    <w:rsid w:val="00FB744E"/>
    <w:rsid w:val="00FC32C6"/>
    <w:rsid w:val="00FC3BD1"/>
    <w:rsid w:val="00FC50AA"/>
    <w:rsid w:val="00FC6F7A"/>
    <w:rsid w:val="00FC743D"/>
    <w:rsid w:val="00FD0236"/>
    <w:rsid w:val="00FD18F4"/>
    <w:rsid w:val="00FD54D9"/>
    <w:rsid w:val="00FD54DB"/>
    <w:rsid w:val="00FD619F"/>
    <w:rsid w:val="00FD666D"/>
    <w:rsid w:val="00FE3AA8"/>
    <w:rsid w:val="00FE4866"/>
    <w:rsid w:val="00FE55C3"/>
    <w:rsid w:val="00FE61B7"/>
    <w:rsid w:val="00FF778A"/>
    <w:rsid w:val="012313A8"/>
    <w:rsid w:val="01290F7E"/>
    <w:rsid w:val="015A4046"/>
    <w:rsid w:val="015D1E09"/>
    <w:rsid w:val="015D7501"/>
    <w:rsid w:val="017052C2"/>
    <w:rsid w:val="01830099"/>
    <w:rsid w:val="021533E7"/>
    <w:rsid w:val="02697903"/>
    <w:rsid w:val="027A76EE"/>
    <w:rsid w:val="02B475FB"/>
    <w:rsid w:val="02F96569"/>
    <w:rsid w:val="032C124E"/>
    <w:rsid w:val="036C2A9F"/>
    <w:rsid w:val="037107B6"/>
    <w:rsid w:val="03774592"/>
    <w:rsid w:val="03892A60"/>
    <w:rsid w:val="03D251BA"/>
    <w:rsid w:val="03EA7B21"/>
    <w:rsid w:val="042E0790"/>
    <w:rsid w:val="04406715"/>
    <w:rsid w:val="052D4EEB"/>
    <w:rsid w:val="055204AE"/>
    <w:rsid w:val="05E7509A"/>
    <w:rsid w:val="05F83EAE"/>
    <w:rsid w:val="063E7D85"/>
    <w:rsid w:val="069D1BFD"/>
    <w:rsid w:val="07293586"/>
    <w:rsid w:val="07295285"/>
    <w:rsid w:val="073F4A62"/>
    <w:rsid w:val="074B3407"/>
    <w:rsid w:val="07636392"/>
    <w:rsid w:val="076E3F95"/>
    <w:rsid w:val="07770C56"/>
    <w:rsid w:val="077961C6"/>
    <w:rsid w:val="079C1EB4"/>
    <w:rsid w:val="07B436A2"/>
    <w:rsid w:val="07C35693"/>
    <w:rsid w:val="080F08D8"/>
    <w:rsid w:val="083112AF"/>
    <w:rsid w:val="083A2988"/>
    <w:rsid w:val="08A93562"/>
    <w:rsid w:val="08EB4EA1"/>
    <w:rsid w:val="092217DD"/>
    <w:rsid w:val="093A7294"/>
    <w:rsid w:val="093F6CA9"/>
    <w:rsid w:val="09B3229D"/>
    <w:rsid w:val="09D04097"/>
    <w:rsid w:val="09DE0562"/>
    <w:rsid w:val="0A1102E2"/>
    <w:rsid w:val="0A155C52"/>
    <w:rsid w:val="0A263993"/>
    <w:rsid w:val="0A2D3AC2"/>
    <w:rsid w:val="0A4F320E"/>
    <w:rsid w:val="0A917CCA"/>
    <w:rsid w:val="0AA479FE"/>
    <w:rsid w:val="0AA755DF"/>
    <w:rsid w:val="0ABA7F9D"/>
    <w:rsid w:val="0AE01453"/>
    <w:rsid w:val="0B120D44"/>
    <w:rsid w:val="0B680A2B"/>
    <w:rsid w:val="0BA17A99"/>
    <w:rsid w:val="0BB86D3D"/>
    <w:rsid w:val="0BD27BF6"/>
    <w:rsid w:val="0C3B3C7D"/>
    <w:rsid w:val="0C3E79DE"/>
    <w:rsid w:val="0CAB2EAE"/>
    <w:rsid w:val="0CBE5B95"/>
    <w:rsid w:val="0CC7352F"/>
    <w:rsid w:val="0CE560AB"/>
    <w:rsid w:val="0CF54541"/>
    <w:rsid w:val="0CFF716D"/>
    <w:rsid w:val="0D3112F1"/>
    <w:rsid w:val="0D49488C"/>
    <w:rsid w:val="0D621C7D"/>
    <w:rsid w:val="0D660F9A"/>
    <w:rsid w:val="0D770F78"/>
    <w:rsid w:val="0D910EBF"/>
    <w:rsid w:val="0E2D1AB8"/>
    <w:rsid w:val="0E6D0370"/>
    <w:rsid w:val="0E73034D"/>
    <w:rsid w:val="0ED71A24"/>
    <w:rsid w:val="0EF16F8A"/>
    <w:rsid w:val="0F13775A"/>
    <w:rsid w:val="0F3B0205"/>
    <w:rsid w:val="0F4B48EC"/>
    <w:rsid w:val="0F4F43AA"/>
    <w:rsid w:val="0F5F45FE"/>
    <w:rsid w:val="0F600702"/>
    <w:rsid w:val="0F704352"/>
    <w:rsid w:val="0F9A112B"/>
    <w:rsid w:val="10635C65"/>
    <w:rsid w:val="106D2F64"/>
    <w:rsid w:val="10B63710"/>
    <w:rsid w:val="10F10820"/>
    <w:rsid w:val="110A7E8F"/>
    <w:rsid w:val="111C2F7A"/>
    <w:rsid w:val="112371A2"/>
    <w:rsid w:val="11665CA1"/>
    <w:rsid w:val="11890E40"/>
    <w:rsid w:val="119D6F55"/>
    <w:rsid w:val="12282CC2"/>
    <w:rsid w:val="125735A8"/>
    <w:rsid w:val="12A367ED"/>
    <w:rsid w:val="12B80580"/>
    <w:rsid w:val="12CD5618"/>
    <w:rsid w:val="13166FBF"/>
    <w:rsid w:val="13390EFF"/>
    <w:rsid w:val="13951726"/>
    <w:rsid w:val="13AA7707"/>
    <w:rsid w:val="13E56991"/>
    <w:rsid w:val="142850A5"/>
    <w:rsid w:val="14396509"/>
    <w:rsid w:val="14D7452C"/>
    <w:rsid w:val="14DD2C3C"/>
    <w:rsid w:val="14E54E9B"/>
    <w:rsid w:val="14F74BCE"/>
    <w:rsid w:val="15190FE8"/>
    <w:rsid w:val="152A6D51"/>
    <w:rsid w:val="152D6842"/>
    <w:rsid w:val="1537146E"/>
    <w:rsid w:val="15A87C92"/>
    <w:rsid w:val="15BF0958"/>
    <w:rsid w:val="15FF01DE"/>
    <w:rsid w:val="16087E1D"/>
    <w:rsid w:val="16096967"/>
    <w:rsid w:val="160F7CF5"/>
    <w:rsid w:val="16315EBE"/>
    <w:rsid w:val="16842491"/>
    <w:rsid w:val="16D11F3F"/>
    <w:rsid w:val="17487963"/>
    <w:rsid w:val="17701D14"/>
    <w:rsid w:val="17735226"/>
    <w:rsid w:val="1780534F"/>
    <w:rsid w:val="17C0574B"/>
    <w:rsid w:val="181D0DEF"/>
    <w:rsid w:val="189F624C"/>
    <w:rsid w:val="18BD228D"/>
    <w:rsid w:val="18C63235"/>
    <w:rsid w:val="19766A09"/>
    <w:rsid w:val="197E141A"/>
    <w:rsid w:val="19A03A86"/>
    <w:rsid w:val="19D96F98"/>
    <w:rsid w:val="19E35721"/>
    <w:rsid w:val="1A1C66C0"/>
    <w:rsid w:val="1A361CF4"/>
    <w:rsid w:val="1A367F46"/>
    <w:rsid w:val="1A42393B"/>
    <w:rsid w:val="1A564145"/>
    <w:rsid w:val="1AAD45DE"/>
    <w:rsid w:val="1AC06856"/>
    <w:rsid w:val="1AC76DF0"/>
    <w:rsid w:val="1B046F80"/>
    <w:rsid w:val="1B3267B5"/>
    <w:rsid w:val="1B40161D"/>
    <w:rsid w:val="1B441859"/>
    <w:rsid w:val="1B593EEC"/>
    <w:rsid w:val="1B636B19"/>
    <w:rsid w:val="1B6606B1"/>
    <w:rsid w:val="1B882A24"/>
    <w:rsid w:val="1BFD6F6E"/>
    <w:rsid w:val="1C5E7925"/>
    <w:rsid w:val="1CF55E97"/>
    <w:rsid w:val="1CFD070F"/>
    <w:rsid w:val="1D0B56BA"/>
    <w:rsid w:val="1D266050"/>
    <w:rsid w:val="1D484E43"/>
    <w:rsid w:val="1D5F6196"/>
    <w:rsid w:val="1D6132A5"/>
    <w:rsid w:val="1D882C4D"/>
    <w:rsid w:val="1D8E56D5"/>
    <w:rsid w:val="1DD91315"/>
    <w:rsid w:val="1E605592"/>
    <w:rsid w:val="1E7A43DA"/>
    <w:rsid w:val="1E7D6144"/>
    <w:rsid w:val="1EA47B74"/>
    <w:rsid w:val="1FD75D28"/>
    <w:rsid w:val="1FE7539E"/>
    <w:rsid w:val="20671BE0"/>
    <w:rsid w:val="20963CB8"/>
    <w:rsid w:val="20A81A1B"/>
    <w:rsid w:val="20B07FB6"/>
    <w:rsid w:val="20B646FB"/>
    <w:rsid w:val="20FC79B3"/>
    <w:rsid w:val="21050673"/>
    <w:rsid w:val="213B74B1"/>
    <w:rsid w:val="213F01B2"/>
    <w:rsid w:val="215A2310"/>
    <w:rsid w:val="215C7FCD"/>
    <w:rsid w:val="217F0425"/>
    <w:rsid w:val="21BE719F"/>
    <w:rsid w:val="21DC5877"/>
    <w:rsid w:val="21DE318A"/>
    <w:rsid w:val="21EF5B80"/>
    <w:rsid w:val="22525B39"/>
    <w:rsid w:val="22576990"/>
    <w:rsid w:val="22C81958"/>
    <w:rsid w:val="22D34CDA"/>
    <w:rsid w:val="22F4099F"/>
    <w:rsid w:val="22F47480"/>
    <w:rsid w:val="230841CD"/>
    <w:rsid w:val="234C4337"/>
    <w:rsid w:val="235D6544"/>
    <w:rsid w:val="2366364A"/>
    <w:rsid w:val="23D22A8E"/>
    <w:rsid w:val="23DE1C48"/>
    <w:rsid w:val="23F35277"/>
    <w:rsid w:val="24003A12"/>
    <w:rsid w:val="240210CD"/>
    <w:rsid w:val="248A16D1"/>
    <w:rsid w:val="2492046F"/>
    <w:rsid w:val="24BF09F7"/>
    <w:rsid w:val="252D53FE"/>
    <w:rsid w:val="257A518B"/>
    <w:rsid w:val="25AA1888"/>
    <w:rsid w:val="25EC2D81"/>
    <w:rsid w:val="26282E39"/>
    <w:rsid w:val="26F251F5"/>
    <w:rsid w:val="271E248E"/>
    <w:rsid w:val="276C4FA7"/>
    <w:rsid w:val="277057A2"/>
    <w:rsid w:val="284122BA"/>
    <w:rsid w:val="287265EE"/>
    <w:rsid w:val="28982538"/>
    <w:rsid w:val="28D728F5"/>
    <w:rsid w:val="28E026ED"/>
    <w:rsid w:val="29206EB8"/>
    <w:rsid w:val="29220014"/>
    <w:rsid w:val="2959155B"/>
    <w:rsid w:val="29595666"/>
    <w:rsid w:val="29604CAB"/>
    <w:rsid w:val="29874881"/>
    <w:rsid w:val="29CC4423"/>
    <w:rsid w:val="29E325E0"/>
    <w:rsid w:val="2A452503"/>
    <w:rsid w:val="2A540E87"/>
    <w:rsid w:val="2A84085A"/>
    <w:rsid w:val="2AE8528D"/>
    <w:rsid w:val="2AEF2177"/>
    <w:rsid w:val="2B326508"/>
    <w:rsid w:val="2BA74800"/>
    <w:rsid w:val="2BA936A8"/>
    <w:rsid w:val="2C315A5A"/>
    <w:rsid w:val="2C3342E6"/>
    <w:rsid w:val="2C475FE3"/>
    <w:rsid w:val="2C4B1C25"/>
    <w:rsid w:val="2C8608B9"/>
    <w:rsid w:val="2CBC252D"/>
    <w:rsid w:val="2D574004"/>
    <w:rsid w:val="2D9E56F5"/>
    <w:rsid w:val="2DF31F7F"/>
    <w:rsid w:val="2E3F6F72"/>
    <w:rsid w:val="2E667F96"/>
    <w:rsid w:val="2E8226AB"/>
    <w:rsid w:val="2E862DF3"/>
    <w:rsid w:val="2EAB2859"/>
    <w:rsid w:val="2EE30245"/>
    <w:rsid w:val="2F3E191F"/>
    <w:rsid w:val="2F6B65FA"/>
    <w:rsid w:val="2FAD3B85"/>
    <w:rsid w:val="2FCD34FF"/>
    <w:rsid w:val="2FD065E6"/>
    <w:rsid w:val="2FD96870"/>
    <w:rsid w:val="300A7A53"/>
    <w:rsid w:val="30112B90"/>
    <w:rsid w:val="302F3016"/>
    <w:rsid w:val="30470360"/>
    <w:rsid w:val="304B42F4"/>
    <w:rsid w:val="30580BC9"/>
    <w:rsid w:val="30BA3228"/>
    <w:rsid w:val="311E2ED7"/>
    <w:rsid w:val="315619EE"/>
    <w:rsid w:val="315C449C"/>
    <w:rsid w:val="31B732C3"/>
    <w:rsid w:val="31B82709"/>
    <w:rsid w:val="31D05482"/>
    <w:rsid w:val="323A4620"/>
    <w:rsid w:val="32400B34"/>
    <w:rsid w:val="32427031"/>
    <w:rsid w:val="329E6876"/>
    <w:rsid w:val="32E93950"/>
    <w:rsid w:val="3320141F"/>
    <w:rsid w:val="33260700"/>
    <w:rsid w:val="333015F2"/>
    <w:rsid w:val="334B6320"/>
    <w:rsid w:val="33A1422B"/>
    <w:rsid w:val="33A83767"/>
    <w:rsid w:val="33C5616B"/>
    <w:rsid w:val="33D77C4D"/>
    <w:rsid w:val="33D934D4"/>
    <w:rsid w:val="33E46962"/>
    <w:rsid w:val="33E74334"/>
    <w:rsid w:val="33FE2F6A"/>
    <w:rsid w:val="33FF18B6"/>
    <w:rsid w:val="340E07E5"/>
    <w:rsid w:val="34120C85"/>
    <w:rsid w:val="34235BF7"/>
    <w:rsid w:val="348A2F11"/>
    <w:rsid w:val="34A264AC"/>
    <w:rsid w:val="34B13DAC"/>
    <w:rsid w:val="34C208FD"/>
    <w:rsid w:val="35496928"/>
    <w:rsid w:val="356419B4"/>
    <w:rsid w:val="3571066A"/>
    <w:rsid w:val="35777939"/>
    <w:rsid w:val="358C5FA8"/>
    <w:rsid w:val="35C15DF1"/>
    <w:rsid w:val="35C366DA"/>
    <w:rsid w:val="36074A7F"/>
    <w:rsid w:val="36252EF1"/>
    <w:rsid w:val="36323860"/>
    <w:rsid w:val="36923549"/>
    <w:rsid w:val="36B75FBF"/>
    <w:rsid w:val="36BD0C45"/>
    <w:rsid w:val="36F6488E"/>
    <w:rsid w:val="37481C54"/>
    <w:rsid w:val="37562238"/>
    <w:rsid w:val="37BE35FD"/>
    <w:rsid w:val="37E00298"/>
    <w:rsid w:val="38545D10"/>
    <w:rsid w:val="385F23EF"/>
    <w:rsid w:val="38657F1D"/>
    <w:rsid w:val="387C0DC3"/>
    <w:rsid w:val="38B302F9"/>
    <w:rsid w:val="38F12CD3"/>
    <w:rsid w:val="38F94775"/>
    <w:rsid w:val="392971ED"/>
    <w:rsid w:val="39325651"/>
    <w:rsid w:val="39455658"/>
    <w:rsid w:val="3A1B3E0B"/>
    <w:rsid w:val="3A872856"/>
    <w:rsid w:val="3A8B353F"/>
    <w:rsid w:val="3ACA4067"/>
    <w:rsid w:val="3B0F5F1E"/>
    <w:rsid w:val="3B3763D1"/>
    <w:rsid w:val="3B903503"/>
    <w:rsid w:val="3BE178BA"/>
    <w:rsid w:val="3BEB24E7"/>
    <w:rsid w:val="3BF27D19"/>
    <w:rsid w:val="3C2F6E1E"/>
    <w:rsid w:val="3C4F64BA"/>
    <w:rsid w:val="3C700C3E"/>
    <w:rsid w:val="3C814BF9"/>
    <w:rsid w:val="3C9C7C85"/>
    <w:rsid w:val="3CA24923"/>
    <w:rsid w:val="3CC176EC"/>
    <w:rsid w:val="3CDA245A"/>
    <w:rsid w:val="3D1E06B7"/>
    <w:rsid w:val="3D762284"/>
    <w:rsid w:val="3DD75419"/>
    <w:rsid w:val="3DE74F30"/>
    <w:rsid w:val="3E09759C"/>
    <w:rsid w:val="3E0B50C2"/>
    <w:rsid w:val="3E6F38A3"/>
    <w:rsid w:val="3E79027E"/>
    <w:rsid w:val="3ECC7453"/>
    <w:rsid w:val="3EDA0523"/>
    <w:rsid w:val="3EEB4A2C"/>
    <w:rsid w:val="3F051B12"/>
    <w:rsid w:val="3F3423F7"/>
    <w:rsid w:val="3F402B4A"/>
    <w:rsid w:val="3F6525B0"/>
    <w:rsid w:val="3F656A54"/>
    <w:rsid w:val="3F93536F"/>
    <w:rsid w:val="3F984734"/>
    <w:rsid w:val="40363F4D"/>
    <w:rsid w:val="407A6407"/>
    <w:rsid w:val="40CA57C2"/>
    <w:rsid w:val="40CB6D8B"/>
    <w:rsid w:val="41994793"/>
    <w:rsid w:val="41D67795"/>
    <w:rsid w:val="41E00614"/>
    <w:rsid w:val="4200449D"/>
    <w:rsid w:val="423A3BCC"/>
    <w:rsid w:val="42442951"/>
    <w:rsid w:val="424E57D2"/>
    <w:rsid w:val="42A87384"/>
    <w:rsid w:val="42B26C49"/>
    <w:rsid w:val="433A6FE6"/>
    <w:rsid w:val="43480868"/>
    <w:rsid w:val="4350713C"/>
    <w:rsid w:val="436653E0"/>
    <w:rsid w:val="43C4431A"/>
    <w:rsid w:val="449A0F4E"/>
    <w:rsid w:val="44A21BB1"/>
    <w:rsid w:val="44B951CC"/>
    <w:rsid w:val="44CD14E0"/>
    <w:rsid w:val="44D073C1"/>
    <w:rsid w:val="44F20B0B"/>
    <w:rsid w:val="45097E82"/>
    <w:rsid w:val="452E5F4C"/>
    <w:rsid w:val="45612018"/>
    <w:rsid w:val="456F4189"/>
    <w:rsid w:val="458946E9"/>
    <w:rsid w:val="45A47C0E"/>
    <w:rsid w:val="45F428E0"/>
    <w:rsid w:val="46577FD6"/>
    <w:rsid w:val="4678706D"/>
    <w:rsid w:val="46D955A7"/>
    <w:rsid w:val="47133957"/>
    <w:rsid w:val="47A07E0C"/>
    <w:rsid w:val="4870272E"/>
    <w:rsid w:val="491A08B0"/>
    <w:rsid w:val="49373210"/>
    <w:rsid w:val="49743555"/>
    <w:rsid w:val="49DA3B9B"/>
    <w:rsid w:val="49DC7715"/>
    <w:rsid w:val="49EA64D4"/>
    <w:rsid w:val="4A023139"/>
    <w:rsid w:val="4A314103"/>
    <w:rsid w:val="4A7B576F"/>
    <w:rsid w:val="4AF561A9"/>
    <w:rsid w:val="4BBD35D6"/>
    <w:rsid w:val="4C4A0649"/>
    <w:rsid w:val="4C7E5ECA"/>
    <w:rsid w:val="4C876AA5"/>
    <w:rsid w:val="4D0E00FB"/>
    <w:rsid w:val="4D176606"/>
    <w:rsid w:val="4D945F56"/>
    <w:rsid w:val="4D956757"/>
    <w:rsid w:val="4DA30E74"/>
    <w:rsid w:val="4DEC4FB0"/>
    <w:rsid w:val="4E075D8A"/>
    <w:rsid w:val="4E131B97"/>
    <w:rsid w:val="4E454114"/>
    <w:rsid w:val="4EC00FAD"/>
    <w:rsid w:val="4F950C90"/>
    <w:rsid w:val="4F9843DC"/>
    <w:rsid w:val="4FC16619"/>
    <w:rsid w:val="4FC62A8C"/>
    <w:rsid w:val="4FE20F0D"/>
    <w:rsid w:val="4FE51552"/>
    <w:rsid w:val="50504C4B"/>
    <w:rsid w:val="509C6E7C"/>
    <w:rsid w:val="511300BE"/>
    <w:rsid w:val="51542485"/>
    <w:rsid w:val="5162104E"/>
    <w:rsid w:val="51BA49DE"/>
    <w:rsid w:val="52397FF8"/>
    <w:rsid w:val="525C5A95"/>
    <w:rsid w:val="52B61649"/>
    <w:rsid w:val="531445C2"/>
    <w:rsid w:val="53A039CC"/>
    <w:rsid w:val="53A1505A"/>
    <w:rsid w:val="53C13FA0"/>
    <w:rsid w:val="53E144A4"/>
    <w:rsid w:val="53ED395A"/>
    <w:rsid w:val="53FA7313"/>
    <w:rsid w:val="54063E08"/>
    <w:rsid w:val="5415414D"/>
    <w:rsid w:val="543437E8"/>
    <w:rsid w:val="546450D5"/>
    <w:rsid w:val="54B55930"/>
    <w:rsid w:val="54F73313"/>
    <w:rsid w:val="54F80955"/>
    <w:rsid w:val="555170A7"/>
    <w:rsid w:val="55766E6E"/>
    <w:rsid w:val="5587536D"/>
    <w:rsid w:val="559B174B"/>
    <w:rsid w:val="55B47996"/>
    <w:rsid w:val="55C73B6D"/>
    <w:rsid w:val="55CE0CF4"/>
    <w:rsid w:val="56496330"/>
    <w:rsid w:val="569362AA"/>
    <w:rsid w:val="56AD2D63"/>
    <w:rsid w:val="56B22A9C"/>
    <w:rsid w:val="56F24C1A"/>
    <w:rsid w:val="56F73FDE"/>
    <w:rsid w:val="57B72A76"/>
    <w:rsid w:val="57C3426C"/>
    <w:rsid w:val="57CE1F93"/>
    <w:rsid w:val="57D8557B"/>
    <w:rsid w:val="586456A3"/>
    <w:rsid w:val="586B4C84"/>
    <w:rsid w:val="587B479B"/>
    <w:rsid w:val="588743D1"/>
    <w:rsid w:val="5887701A"/>
    <w:rsid w:val="58B71C77"/>
    <w:rsid w:val="58D26AB1"/>
    <w:rsid w:val="593257A1"/>
    <w:rsid w:val="59C0439F"/>
    <w:rsid w:val="59E720E8"/>
    <w:rsid w:val="5AAC3332"/>
    <w:rsid w:val="5ABE2233"/>
    <w:rsid w:val="5AE05D8F"/>
    <w:rsid w:val="5AF27E32"/>
    <w:rsid w:val="5B21787C"/>
    <w:rsid w:val="5B4D241F"/>
    <w:rsid w:val="5B9F7BC4"/>
    <w:rsid w:val="5BDF5D95"/>
    <w:rsid w:val="5BFE196B"/>
    <w:rsid w:val="5BFE7528"/>
    <w:rsid w:val="5C0E6052"/>
    <w:rsid w:val="5C3F445D"/>
    <w:rsid w:val="5C902F0B"/>
    <w:rsid w:val="5D477C52"/>
    <w:rsid w:val="5D683540"/>
    <w:rsid w:val="5D83037A"/>
    <w:rsid w:val="5DA54794"/>
    <w:rsid w:val="5DD5494D"/>
    <w:rsid w:val="5E2467F1"/>
    <w:rsid w:val="5EEE084A"/>
    <w:rsid w:val="5F1A2B43"/>
    <w:rsid w:val="5F2416E8"/>
    <w:rsid w:val="5F3C2ED6"/>
    <w:rsid w:val="5F5C5FB8"/>
    <w:rsid w:val="5FB837BB"/>
    <w:rsid w:val="5FCF78A6"/>
    <w:rsid w:val="6027098D"/>
    <w:rsid w:val="60CC405A"/>
    <w:rsid w:val="60E5134B"/>
    <w:rsid w:val="60E97F02"/>
    <w:rsid w:val="60F31CBA"/>
    <w:rsid w:val="6115317F"/>
    <w:rsid w:val="615C33BC"/>
    <w:rsid w:val="616404C2"/>
    <w:rsid w:val="61774699"/>
    <w:rsid w:val="61970898"/>
    <w:rsid w:val="61E215D8"/>
    <w:rsid w:val="621B3775"/>
    <w:rsid w:val="62364782"/>
    <w:rsid w:val="62A07D66"/>
    <w:rsid w:val="62A25746"/>
    <w:rsid w:val="6394356A"/>
    <w:rsid w:val="63C61B2C"/>
    <w:rsid w:val="63D40BE9"/>
    <w:rsid w:val="64102431"/>
    <w:rsid w:val="642A4B42"/>
    <w:rsid w:val="642D44E6"/>
    <w:rsid w:val="645167CF"/>
    <w:rsid w:val="64A5243A"/>
    <w:rsid w:val="64F531DE"/>
    <w:rsid w:val="64F658D5"/>
    <w:rsid w:val="65297A59"/>
    <w:rsid w:val="652C12F7"/>
    <w:rsid w:val="65373578"/>
    <w:rsid w:val="659716A8"/>
    <w:rsid w:val="65F067C8"/>
    <w:rsid w:val="66344907"/>
    <w:rsid w:val="66A01F9C"/>
    <w:rsid w:val="66F9345B"/>
    <w:rsid w:val="66FE3944"/>
    <w:rsid w:val="671F124A"/>
    <w:rsid w:val="675A65EF"/>
    <w:rsid w:val="677A33C6"/>
    <w:rsid w:val="681F6961"/>
    <w:rsid w:val="6831647E"/>
    <w:rsid w:val="68610A2F"/>
    <w:rsid w:val="68805514"/>
    <w:rsid w:val="689E395E"/>
    <w:rsid w:val="68CF1BD1"/>
    <w:rsid w:val="69006B8C"/>
    <w:rsid w:val="69236EB5"/>
    <w:rsid w:val="69316E2F"/>
    <w:rsid w:val="69450BD9"/>
    <w:rsid w:val="694E2071"/>
    <w:rsid w:val="69766163"/>
    <w:rsid w:val="697A3B33"/>
    <w:rsid w:val="69B47B0D"/>
    <w:rsid w:val="69D44760"/>
    <w:rsid w:val="6A1E5937"/>
    <w:rsid w:val="6A520EC7"/>
    <w:rsid w:val="6A5F3F1C"/>
    <w:rsid w:val="6AAB0B17"/>
    <w:rsid w:val="6AF87E20"/>
    <w:rsid w:val="6AFF4E74"/>
    <w:rsid w:val="6B166CD1"/>
    <w:rsid w:val="6B256F14"/>
    <w:rsid w:val="6B322639"/>
    <w:rsid w:val="6B633598"/>
    <w:rsid w:val="6BD5497A"/>
    <w:rsid w:val="6BE97F42"/>
    <w:rsid w:val="6C636C38"/>
    <w:rsid w:val="6C6400AB"/>
    <w:rsid w:val="6C81461E"/>
    <w:rsid w:val="6CA43E69"/>
    <w:rsid w:val="6CDC7AA6"/>
    <w:rsid w:val="6CE30E35"/>
    <w:rsid w:val="6CF070AE"/>
    <w:rsid w:val="6D254FA9"/>
    <w:rsid w:val="6DB34098"/>
    <w:rsid w:val="6DB545B6"/>
    <w:rsid w:val="6DE02FB4"/>
    <w:rsid w:val="6E514CED"/>
    <w:rsid w:val="6EB563D5"/>
    <w:rsid w:val="6ED92677"/>
    <w:rsid w:val="6EF2710D"/>
    <w:rsid w:val="6EF56BFD"/>
    <w:rsid w:val="6F1277AF"/>
    <w:rsid w:val="6F225983"/>
    <w:rsid w:val="6FD26F3F"/>
    <w:rsid w:val="6FF2313D"/>
    <w:rsid w:val="6FFC5590"/>
    <w:rsid w:val="704A2F79"/>
    <w:rsid w:val="70622071"/>
    <w:rsid w:val="706D1DD0"/>
    <w:rsid w:val="70856B87"/>
    <w:rsid w:val="70B07280"/>
    <w:rsid w:val="70D527EE"/>
    <w:rsid w:val="70F76C5D"/>
    <w:rsid w:val="715B5300"/>
    <w:rsid w:val="71D27F8A"/>
    <w:rsid w:val="724E1E5D"/>
    <w:rsid w:val="724F4877"/>
    <w:rsid w:val="72553024"/>
    <w:rsid w:val="73122968"/>
    <w:rsid w:val="731F5D5E"/>
    <w:rsid w:val="73AD7AA7"/>
    <w:rsid w:val="73C51AD5"/>
    <w:rsid w:val="741E793C"/>
    <w:rsid w:val="74321F08"/>
    <w:rsid w:val="745E3944"/>
    <w:rsid w:val="74624195"/>
    <w:rsid w:val="74806F69"/>
    <w:rsid w:val="74DA48CB"/>
    <w:rsid w:val="75CF01A8"/>
    <w:rsid w:val="75EB2B08"/>
    <w:rsid w:val="7635099D"/>
    <w:rsid w:val="764B35A7"/>
    <w:rsid w:val="77057BFA"/>
    <w:rsid w:val="7764193B"/>
    <w:rsid w:val="77762421"/>
    <w:rsid w:val="77B56B1F"/>
    <w:rsid w:val="77E85551"/>
    <w:rsid w:val="780F09F4"/>
    <w:rsid w:val="786F17CF"/>
    <w:rsid w:val="78A90480"/>
    <w:rsid w:val="78BC253A"/>
    <w:rsid w:val="78EA354B"/>
    <w:rsid w:val="78EC72C3"/>
    <w:rsid w:val="795F7A95"/>
    <w:rsid w:val="79943E73"/>
    <w:rsid w:val="79A33E26"/>
    <w:rsid w:val="7A364017"/>
    <w:rsid w:val="7A460BE1"/>
    <w:rsid w:val="7A48677B"/>
    <w:rsid w:val="7A803559"/>
    <w:rsid w:val="7A8265E1"/>
    <w:rsid w:val="7ACF0C4A"/>
    <w:rsid w:val="7B007056"/>
    <w:rsid w:val="7B686D42"/>
    <w:rsid w:val="7B7B048A"/>
    <w:rsid w:val="7B831749"/>
    <w:rsid w:val="7B841746"/>
    <w:rsid w:val="7B9A4DB4"/>
    <w:rsid w:val="7C02295A"/>
    <w:rsid w:val="7C336153"/>
    <w:rsid w:val="7C6C5AC7"/>
    <w:rsid w:val="7C887303"/>
    <w:rsid w:val="7CC6544B"/>
    <w:rsid w:val="7CEC7892"/>
    <w:rsid w:val="7D0239FF"/>
    <w:rsid w:val="7D0A41BC"/>
    <w:rsid w:val="7D3D605E"/>
    <w:rsid w:val="7D567401"/>
    <w:rsid w:val="7D5E40CD"/>
    <w:rsid w:val="7D6C2781"/>
    <w:rsid w:val="7DA56991"/>
    <w:rsid w:val="7DCD56F2"/>
    <w:rsid w:val="7F001CE7"/>
    <w:rsid w:val="7F5434CC"/>
    <w:rsid w:val="7F7D2A23"/>
    <w:rsid w:val="7FD12D6F"/>
    <w:rsid w:val="7FE47E5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96"/>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qFormat/>
    <w:uiPriority w:val="0"/>
    <w:pPr>
      <w:keepNext/>
      <w:widowControl/>
      <w:spacing w:before="240" w:after="60"/>
      <w:jc w:val="left"/>
      <w:outlineLvl w:val="3"/>
    </w:pPr>
    <w:rPr>
      <w:rFonts w:ascii="Calibri" w:hAnsi="Calibri"/>
      <w:b/>
      <w:bCs/>
      <w:kern w:val="0"/>
      <w:sz w:val="28"/>
      <w:szCs w:val="28"/>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List 3"/>
    <w:basedOn w:val="1"/>
    <w:qFormat/>
    <w:uiPriority w:val="0"/>
  </w:style>
  <w:style w:type="paragraph" w:styleId="5">
    <w:name w:val="Normal Indent"/>
    <w:basedOn w:val="1"/>
    <w:next w:val="6"/>
    <w:qFormat/>
    <w:uiPriority w:val="0"/>
    <w:pPr>
      <w:ind w:firstLine="420" w:firstLineChars="200"/>
    </w:pPr>
    <w:rPr>
      <w:kern w:val="0"/>
      <w:sz w:val="20"/>
    </w:rPr>
  </w:style>
  <w:style w:type="paragraph" w:styleId="6">
    <w:name w:val="Body Text First Indent 2"/>
    <w:basedOn w:val="3"/>
    <w:uiPriority w:val="0"/>
    <w:pPr>
      <w:ind w:firstLine="420" w:firstLineChars="200"/>
    </w:pPr>
    <w:rPr>
      <w:szCs w:val="22"/>
    </w:rPr>
  </w:style>
  <w:style w:type="paragraph" w:styleId="7">
    <w:name w:val="annotation text"/>
    <w:basedOn w:val="1"/>
    <w:link w:val="29"/>
    <w:qFormat/>
    <w:uiPriority w:val="0"/>
    <w:pPr>
      <w:jc w:val="left"/>
    </w:pPr>
    <w:rPr>
      <w:kern w:val="0"/>
      <w:sz w:val="24"/>
      <w:szCs w:val="20"/>
    </w:rPr>
  </w:style>
  <w:style w:type="paragraph" w:styleId="8">
    <w:name w:val="Salutation"/>
    <w:basedOn w:val="1"/>
    <w:next w:val="1"/>
    <w:uiPriority w:val="0"/>
  </w:style>
  <w:style w:type="paragraph" w:styleId="9">
    <w:name w:val="Body Text"/>
    <w:basedOn w:val="1"/>
    <w:link w:val="31"/>
    <w:qFormat/>
    <w:uiPriority w:val="0"/>
    <w:pPr>
      <w:widowControl/>
      <w:snapToGrid w:val="0"/>
      <w:spacing w:before="60" w:after="160" w:line="259" w:lineRule="auto"/>
      <w:ind w:right="113"/>
    </w:pPr>
    <w:rPr>
      <w:kern w:val="0"/>
      <w:sz w:val="18"/>
      <w:szCs w:val="20"/>
    </w:rPr>
  </w:style>
  <w:style w:type="paragraph" w:styleId="10">
    <w:name w:val="Body Text Indent"/>
    <w:basedOn w:val="1"/>
    <w:link w:val="37"/>
    <w:qFormat/>
    <w:uiPriority w:val="0"/>
    <w:pPr>
      <w:spacing w:after="120"/>
      <w:ind w:left="420" w:leftChars="200"/>
    </w:pPr>
    <w:rPr>
      <w:kern w:val="0"/>
      <w:sz w:val="24"/>
      <w:szCs w:val="20"/>
    </w:rPr>
  </w:style>
  <w:style w:type="paragraph" w:styleId="11">
    <w:name w:val="Plain Text"/>
    <w:basedOn w:val="1"/>
    <w:next w:val="8"/>
    <w:uiPriority w:val="0"/>
    <w:rPr>
      <w:rFonts w:ascii="宋体" w:hAnsi="Courier New"/>
      <w:kern w:val="0"/>
      <w:sz w:val="20"/>
      <w:szCs w:val="20"/>
    </w:rPr>
  </w:style>
  <w:style w:type="paragraph" w:styleId="12">
    <w:name w:val="Date"/>
    <w:basedOn w:val="1"/>
    <w:next w:val="1"/>
    <w:link w:val="38"/>
    <w:uiPriority w:val="0"/>
    <w:pPr>
      <w:ind w:left="100" w:leftChars="2500"/>
    </w:pPr>
    <w:rPr>
      <w:kern w:val="0"/>
      <w:sz w:val="24"/>
      <w:szCs w:val="20"/>
    </w:rPr>
  </w:style>
  <w:style w:type="paragraph" w:styleId="13">
    <w:name w:val="Balloon Text"/>
    <w:basedOn w:val="1"/>
    <w:link w:val="39"/>
    <w:uiPriority w:val="0"/>
    <w:rPr>
      <w:kern w:val="0"/>
      <w:sz w:val="18"/>
      <w:szCs w:val="20"/>
    </w:rPr>
  </w:style>
  <w:style w:type="paragraph" w:styleId="14">
    <w:name w:val="footer"/>
    <w:basedOn w:val="1"/>
    <w:link w:val="28"/>
    <w:qFormat/>
    <w:uiPriority w:val="99"/>
    <w:pPr>
      <w:tabs>
        <w:tab w:val="center" w:pos="4153"/>
        <w:tab w:val="right" w:pos="8306"/>
      </w:tabs>
      <w:snapToGrid w:val="0"/>
      <w:jc w:val="left"/>
    </w:pPr>
    <w:rPr>
      <w:kern w:val="0"/>
      <w:sz w:val="18"/>
      <w:szCs w:val="20"/>
    </w:rPr>
  </w:style>
  <w:style w:type="paragraph" w:styleId="15">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autoRedefine/>
    <w:unhideWhenUsed/>
    <w:qFormat/>
    <w:uiPriority w:val="39"/>
    <w:pPr>
      <w:spacing w:after="100"/>
    </w:pPr>
  </w:style>
  <w:style w:type="paragraph" w:styleId="17">
    <w:name w:val="toc 9"/>
    <w:basedOn w:val="1"/>
    <w:next w:val="1"/>
    <w:qFormat/>
    <w:uiPriority w:val="0"/>
    <w:pPr>
      <w:wordWrap w:val="0"/>
      <w:ind w:left="2975"/>
    </w:pPr>
    <w:rPr>
      <w:szCs w:val="22"/>
    </w:rPr>
  </w:style>
  <w:style w:type="paragraph" w:styleId="18">
    <w:name w:val="Body Text 2"/>
    <w:basedOn w:val="1"/>
    <w:link w:val="61"/>
    <w:semiHidden/>
    <w:unhideWhenUsed/>
    <w:qFormat/>
    <w:uiPriority w:val="99"/>
    <w:pPr>
      <w:spacing w:after="120" w:line="480" w:lineRule="auto"/>
    </w:pPr>
  </w:style>
  <w:style w:type="paragraph" w:styleId="19">
    <w:name w:val="Normal (Web)"/>
    <w:basedOn w:val="1"/>
    <w:link w:val="30"/>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7"/>
    <w:next w:val="7"/>
    <w:link w:val="41"/>
    <w:uiPriority w:val="0"/>
    <w:rPr>
      <w:b/>
      <w:kern w:val="2"/>
    </w:rPr>
  </w:style>
  <w:style w:type="paragraph" w:styleId="21">
    <w:name w:val="Body Text First Indent"/>
    <w:basedOn w:val="9"/>
    <w:next w:val="1"/>
    <w:qFormat/>
    <w:uiPriority w:val="0"/>
    <w:pPr>
      <w:widowControl w:val="0"/>
      <w:snapToGrid/>
      <w:spacing w:before="0" w:after="120" w:line="240" w:lineRule="auto"/>
      <w:ind w:right="0" w:firstLine="420" w:firstLineChars="100"/>
    </w:pPr>
    <w:rPr>
      <w:sz w:val="20"/>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qFormat/>
    <w:uiPriority w:val="0"/>
    <w:rPr>
      <w:rFonts w:ascii="Times New Roman" w:hAnsi="Times New Roman" w:eastAsia="宋体" w:cs="Times New Roman"/>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uiPriority w:val="0"/>
    <w:rPr>
      <w:rFonts w:ascii="Times New Roman" w:hAnsi="Times New Roman" w:eastAsia="宋体" w:cs="Times New Roman"/>
      <w:sz w:val="21"/>
    </w:rPr>
  </w:style>
  <w:style w:type="character" w:customStyle="1" w:styleId="28">
    <w:name w:val="Footer Char"/>
    <w:link w:val="14"/>
    <w:qFormat/>
    <w:uiPriority w:val="99"/>
    <w:rPr>
      <w:rFonts w:ascii="Times New Roman" w:hAnsi="Times New Roman" w:eastAsia="宋体" w:cs="Times New Roman"/>
      <w:sz w:val="18"/>
    </w:rPr>
  </w:style>
  <w:style w:type="character" w:customStyle="1" w:styleId="29">
    <w:name w:val="Comment Text Char"/>
    <w:link w:val="7"/>
    <w:qFormat/>
    <w:uiPriority w:val="0"/>
    <w:rPr>
      <w:rFonts w:ascii="Times New Roman" w:hAnsi="Times New Roman" w:eastAsia="宋体" w:cs="Times New Roman"/>
      <w:sz w:val="24"/>
    </w:rPr>
  </w:style>
  <w:style w:type="character" w:customStyle="1" w:styleId="30">
    <w:name w:val="Normal (Web) Char"/>
    <w:link w:val="19"/>
    <w:qFormat/>
    <w:uiPriority w:val="0"/>
    <w:rPr>
      <w:rFonts w:ascii="宋体" w:hAnsi="宋体" w:eastAsia="宋体" w:cs="Times New Roman"/>
      <w:sz w:val="24"/>
    </w:rPr>
  </w:style>
  <w:style w:type="character" w:customStyle="1" w:styleId="31">
    <w:name w:val="Body Text Char"/>
    <w:link w:val="9"/>
    <w:uiPriority w:val="0"/>
    <w:rPr>
      <w:rFonts w:ascii="Times New Roman" w:hAnsi="Times New Roman" w:eastAsia="宋体" w:cs="Times New Roman"/>
      <w:sz w:val="18"/>
    </w:rPr>
  </w:style>
  <w:style w:type="paragraph" w:customStyle="1" w:styleId="32">
    <w:name w:val="小四表文左齐"/>
    <w:basedOn w:val="1"/>
    <w:qFormat/>
    <w:uiPriority w:val="0"/>
    <w:pPr>
      <w:adjustRightInd w:val="0"/>
      <w:snapToGrid w:val="0"/>
      <w:jc w:val="center"/>
    </w:pPr>
    <w:rPr>
      <w:rFonts w:ascii="宋体" w:hAnsi="宋体"/>
    </w:rPr>
  </w:style>
  <w:style w:type="paragraph" w:customStyle="1" w:styleId="33">
    <w:name w:val="4"/>
    <w:basedOn w:val="1"/>
    <w:next w:val="11"/>
    <w:qFormat/>
    <w:uiPriority w:val="0"/>
    <w:rPr>
      <w:rFonts w:ascii="宋体" w:hAnsi="Courier New" w:cs="Courier New"/>
      <w:szCs w:val="21"/>
    </w:rPr>
  </w:style>
  <w:style w:type="paragraph" w:customStyle="1" w:styleId="34">
    <w:name w:val="报告表正文"/>
    <w:basedOn w:val="1"/>
    <w:qFormat/>
    <w:uiPriority w:val="0"/>
    <w:pPr>
      <w:widowControl/>
      <w:adjustRightInd w:val="0"/>
      <w:spacing w:line="312" w:lineRule="auto"/>
      <w:ind w:left="113" w:right="113" w:firstLine="482"/>
      <w:jc w:val="left"/>
      <w:textAlignment w:val="baseline"/>
    </w:pPr>
    <w:rPr>
      <w:rFonts w:ascii="Calibri" w:hAnsi="Calibri"/>
      <w:kern w:val="0"/>
      <w:sz w:val="24"/>
      <w:szCs w:val="20"/>
    </w:rPr>
  </w:style>
  <w:style w:type="character" w:customStyle="1" w:styleId="35">
    <w:name w:val="表格 Char"/>
    <w:link w:val="36"/>
    <w:uiPriority w:val="0"/>
    <w:rPr>
      <w:rFonts w:ascii="宋体" w:hAnsi="Times New Roman" w:eastAsia="宋体" w:cs="Times New Roman"/>
      <w:sz w:val="21"/>
    </w:rPr>
  </w:style>
  <w:style w:type="paragraph" w:customStyle="1" w:styleId="36">
    <w:name w:val="表格"/>
    <w:basedOn w:val="1"/>
    <w:next w:val="1"/>
    <w:link w:val="35"/>
    <w:uiPriority w:val="0"/>
    <w:pPr>
      <w:adjustRightInd w:val="0"/>
      <w:snapToGrid w:val="0"/>
      <w:spacing w:beforeLines="10" w:afterLines="10" w:line="259" w:lineRule="auto"/>
      <w:jc w:val="center"/>
    </w:pPr>
    <w:rPr>
      <w:rFonts w:ascii="宋体"/>
      <w:kern w:val="0"/>
      <w:szCs w:val="20"/>
    </w:rPr>
  </w:style>
  <w:style w:type="character" w:customStyle="1" w:styleId="37">
    <w:name w:val="Body Text Indent Char"/>
    <w:link w:val="10"/>
    <w:qFormat/>
    <w:uiPriority w:val="0"/>
    <w:rPr>
      <w:rFonts w:ascii="Times New Roman" w:hAnsi="Times New Roman" w:eastAsia="宋体" w:cs="Times New Roman"/>
      <w:sz w:val="24"/>
    </w:rPr>
  </w:style>
  <w:style w:type="character" w:customStyle="1" w:styleId="38">
    <w:name w:val="Date Char"/>
    <w:link w:val="12"/>
    <w:qFormat/>
    <w:uiPriority w:val="0"/>
    <w:rPr>
      <w:rFonts w:ascii="Times New Roman" w:hAnsi="Times New Roman" w:eastAsia="宋体" w:cs="Times New Roman"/>
      <w:sz w:val="24"/>
    </w:rPr>
  </w:style>
  <w:style w:type="character" w:customStyle="1" w:styleId="39">
    <w:name w:val="Balloon Text Char"/>
    <w:link w:val="13"/>
    <w:qFormat/>
    <w:uiPriority w:val="0"/>
    <w:rPr>
      <w:rFonts w:ascii="Times New Roman" w:hAnsi="Times New Roman" w:eastAsia="宋体" w:cs="Times New Roman"/>
      <w:sz w:val="18"/>
    </w:rPr>
  </w:style>
  <w:style w:type="character" w:customStyle="1" w:styleId="40">
    <w:name w:val="Header Char"/>
    <w:link w:val="15"/>
    <w:qFormat/>
    <w:uiPriority w:val="0"/>
    <w:rPr>
      <w:rFonts w:ascii="Times New Roman" w:hAnsi="Times New Roman" w:eastAsia="宋体" w:cs="Times New Roman"/>
      <w:sz w:val="18"/>
    </w:rPr>
  </w:style>
  <w:style w:type="character" w:customStyle="1" w:styleId="41">
    <w:name w:val="Comment Subject Char"/>
    <w:link w:val="20"/>
    <w:qFormat/>
    <w:uiPriority w:val="0"/>
    <w:rPr>
      <w:rFonts w:ascii="Times New Roman" w:hAnsi="Times New Roman" w:eastAsia="宋体" w:cs="Times New Roman"/>
      <w:b/>
      <w:kern w:val="2"/>
      <w:sz w:val="24"/>
    </w:rPr>
  </w:style>
  <w:style w:type="character" w:customStyle="1" w:styleId="42">
    <w:name w:val="页脚 字符"/>
    <w:qFormat/>
    <w:uiPriority w:val="0"/>
    <w:rPr>
      <w:rFonts w:ascii="Times New Roman" w:hAnsi="Times New Roman" w:eastAsia="宋体" w:cs="Times New Roman"/>
    </w:rPr>
  </w:style>
  <w:style w:type="character" w:customStyle="1" w:styleId="43">
    <w:name w:val="正文文本 字符1"/>
    <w:qFormat/>
    <w:uiPriority w:val="0"/>
    <w:rPr>
      <w:rFonts w:ascii="Times New Roman" w:hAnsi="Times New Roman" w:eastAsia="宋体" w:cs="Times New Roman"/>
      <w:sz w:val="24"/>
    </w:rPr>
  </w:style>
  <w:style w:type="character" w:customStyle="1" w:styleId="44">
    <w:name w:val="日期 字符"/>
    <w:qFormat/>
    <w:uiPriority w:val="0"/>
    <w:rPr>
      <w:rFonts w:ascii="Times New Roman" w:hAnsi="Times New Roman" w:eastAsia="宋体" w:cs="Times New Roman"/>
      <w:sz w:val="24"/>
    </w:rPr>
  </w:style>
  <w:style w:type="character" w:customStyle="1" w:styleId="45">
    <w:name w:val="批注文字 字符1"/>
    <w:qFormat/>
    <w:uiPriority w:val="0"/>
    <w:rPr>
      <w:rFonts w:ascii="Times New Roman" w:hAnsi="Times New Roman" w:eastAsia="宋体" w:cs="Times New Roman"/>
      <w:sz w:val="24"/>
    </w:rPr>
  </w:style>
  <w:style w:type="paragraph" w:customStyle="1" w:styleId="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8">
    <w:name w:val="5正文"/>
    <w:uiPriority w:val="0"/>
    <w:pPr>
      <w:widowControl w:val="0"/>
      <w:spacing w:line="52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9">
    <w:name w:val="简单回函地址"/>
    <w:basedOn w:val="1"/>
    <w:uiPriority w:val="0"/>
    <w:rPr>
      <w:sz w:val="24"/>
      <w:szCs w:val="20"/>
    </w:rPr>
  </w:style>
  <w:style w:type="paragraph" w:styleId="50">
    <w:name w:val="List Paragraph"/>
    <w:basedOn w:val="1"/>
    <w:qFormat/>
    <w:uiPriority w:val="34"/>
    <w:pPr>
      <w:ind w:left="720"/>
      <w:contextualSpacing/>
    </w:pPr>
  </w:style>
  <w:style w:type="paragraph" w:customStyle="1" w:styleId="51">
    <w:name w:val="Default"/>
    <w:basedOn w:val="1"/>
    <w:next w:val="52"/>
    <w:qFormat/>
    <w:uiPriority w:val="0"/>
    <w:pPr>
      <w:autoSpaceDE w:val="0"/>
      <w:autoSpaceDN w:val="0"/>
      <w:adjustRightInd w:val="0"/>
      <w:spacing w:line="360" w:lineRule="auto"/>
      <w:jc w:val="left"/>
    </w:pPr>
    <w:rPr>
      <w:rFonts w:ascii="Calibri" w:hAnsi="Calibri"/>
      <w:b/>
      <w:color w:val="000000"/>
      <w:sz w:val="24"/>
    </w:rPr>
  </w:style>
  <w:style w:type="paragraph" w:customStyle="1" w:styleId="52">
    <w:name w:val="样式35"/>
    <w:basedOn w:val="1"/>
    <w:qFormat/>
    <w:uiPriority w:val="0"/>
    <w:pPr>
      <w:adjustRightInd w:val="0"/>
      <w:spacing w:line="312" w:lineRule="auto"/>
      <w:ind w:firstLine="567"/>
    </w:pPr>
    <w:rPr>
      <w:rFonts w:ascii="宋体"/>
      <w:kern w:val="0"/>
      <w:sz w:val="28"/>
      <w:szCs w:val="20"/>
    </w:rPr>
  </w:style>
  <w:style w:type="table" w:customStyle="1" w:styleId="53">
    <w:name w:val="Table Normal1"/>
    <w:basedOn w:val="22"/>
    <w:autoRedefine/>
    <w:qFormat/>
    <w:uiPriority w:val="0"/>
    <w:tblPr>
      <w:tblCellMar>
        <w:left w:w="0" w:type="dxa"/>
        <w:right w:w="0" w:type="dxa"/>
      </w:tblCellMar>
    </w:tblPr>
  </w:style>
  <w:style w:type="paragraph" w:customStyle="1" w:styleId="54">
    <w:name w:val="正文_3"/>
    <w:qFormat/>
    <w:uiPriority w:val="0"/>
    <w:pPr>
      <w:widowControl w:val="0"/>
      <w:jc w:val="both"/>
    </w:pPr>
    <w:rPr>
      <w:rFonts w:ascii="Calibri" w:hAnsi="Calibri" w:eastAsia="宋体" w:cs="Times New Roman"/>
      <w:kern w:val="2"/>
      <w:sz w:val="21"/>
      <w:lang w:val="en-US" w:eastAsia="zh-CN" w:bidi="ar-SA"/>
    </w:rPr>
  </w:style>
  <w:style w:type="paragraph" w:customStyle="1" w:styleId="55">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56">
    <w:name w:val="正文_14"/>
    <w:qFormat/>
    <w:uiPriority w:val="0"/>
    <w:pPr>
      <w:widowControl w:val="0"/>
      <w:jc w:val="both"/>
    </w:pPr>
    <w:rPr>
      <w:rFonts w:ascii="Calibri" w:hAnsi="Calibri" w:eastAsia="宋体" w:cs="Times New Roman"/>
      <w:kern w:val="2"/>
      <w:sz w:val="21"/>
      <w:lang w:val="en-US" w:eastAsia="zh-CN" w:bidi="ar-SA"/>
    </w:rPr>
  </w:style>
  <w:style w:type="paragraph" w:customStyle="1" w:styleId="57">
    <w:name w:val="正文_12"/>
    <w:qFormat/>
    <w:uiPriority w:val="0"/>
    <w:pPr>
      <w:widowControl w:val="0"/>
      <w:jc w:val="both"/>
    </w:pPr>
    <w:rPr>
      <w:rFonts w:ascii="Calibri" w:hAnsi="Calibri" w:eastAsia="宋体" w:cs="Times New Roman"/>
      <w:kern w:val="2"/>
      <w:sz w:val="21"/>
      <w:lang w:val="en-US" w:eastAsia="zh-CN" w:bidi="ar-SA"/>
    </w:rPr>
  </w:style>
  <w:style w:type="paragraph" w:customStyle="1" w:styleId="58">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59">
    <w:name w:val="正文_16"/>
    <w:qFormat/>
    <w:uiPriority w:val="0"/>
    <w:pPr>
      <w:widowControl w:val="0"/>
      <w:jc w:val="both"/>
    </w:pPr>
    <w:rPr>
      <w:rFonts w:ascii="Calibri" w:hAnsi="Calibri" w:eastAsia="宋体" w:cs="Times New Roman"/>
      <w:kern w:val="2"/>
      <w:sz w:val="21"/>
      <w:lang w:val="en-US" w:eastAsia="zh-CN" w:bidi="ar-SA"/>
    </w:rPr>
  </w:style>
  <w:style w:type="paragraph" w:customStyle="1" w:styleId="60">
    <w:name w:val="TOC Heading"/>
    <w:basedOn w:val="2"/>
    <w:next w:val="1"/>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F5597" w:themeColor="accent1" w:themeShade="BF"/>
      <w:kern w:val="0"/>
      <w:sz w:val="32"/>
      <w:szCs w:val="32"/>
      <w:lang w:eastAsia="en-US"/>
    </w:rPr>
  </w:style>
  <w:style w:type="character" w:customStyle="1" w:styleId="61">
    <w:name w:val="Body Text 2 Char"/>
    <w:basedOn w:val="24"/>
    <w:link w:val="18"/>
    <w:semiHidden/>
    <w:qFormat/>
    <w:uiPriority w:val="99"/>
    <w:rPr>
      <w:kern w:val="2"/>
      <w:sz w:val="21"/>
      <w:szCs w:val="24"/>
    </w:rPr>
  </w:style>
  <w:style w:type="paragraph" w:customStyle="1" w:styleId="62">
    <w:name w:val="表格正文"/>
    <w:basedOn w:val="5"/>
    <w:qFormat/>
    <w:uiPriority w:val="0"/>
    <w:pPr>
      <w:widowControl/>
      <w:spacing w:line="360" w:lineRule="exact"/>
      <w:ind w:firstLine="0" w:firstLineChars="0"/>
      <w:jc w:val="center"/>
    </w:pPr>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file:///C:\Documents\WeChat%252520Files\wxid_tht3bf8np7ci22\ADMINI~1\AppData\Local\Temp\ksohtml2428\wps1.png" TargetMode="External"/><Relationship Id="rId26" Type="http://schemas.openxmlformats.org/officeDocument/2006/relationships/image" Target="media/image17.png"/><Relationship Id="rId25" Type="http://schemas.openxmlformats.org/officeDocument/2006/relationships/image" Target="file:///C:\Documents\WeChat%252520Files\wxid_tht3bf8np7ci22\ADMINI~1\AppData\Local\Temp\ksohtml2428\wps2.png" TargetMode="Externa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package" Target="embeddings/Microsoft_Visio___2.vsdx"/><Relationship Id="rId14" Type="http://schemas.openxmlformats.org/officeDocument/2006/relationships/image" Target="media/image7.emf"/><Relationship Id="rId13" Type="http://schemas.openxmlformats.org/officeDocument/2006/relationships/package" Target="embeddings/Microsoft_Visio___1.vsdx"/><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74427A-54AF-4535-9FF5-8F16A6E76BA8}">
  <ds:schemaRefs/>
</ds:datastoreItem>
</file>

<file path=customXml/itemProps3.xml><?xml version="1.0" encoding="utf-8"?>
<ds:datastoreItem xmlns:ds="http://schemas.openxmlformats.org/officeDocument/2006/customXml" ds:itemID="{F1BEDC9A-457C-4D50-81F4-4535456842A5}">
  <ds:schemaRefs/>
</ds:datastoreItem>
</file>

<file path=docProps/app.xml><?xml version="1.0" encoding="utf-8"?>
<Properties xmlns="http://schemas.openxmlformats.org/officeDocument/2006/extended-properties" xmlns:vt="http://schemas.openxmlformats.org/officeDocument/2006/docPropsVTypes">
  <Template>wdzx97</Template>
  <Pages>71</Pages>
  <Words>8291</Words>
  <Characters>8871</Characters>
  <Lines>320</Lines>
  <Paragraphs>90</Paragraphs>
  <TotalTime>3058</TotalTime>
  <ScaleCrop>false</ScaleCrop>
  <LinksUpToDate>false</LinksUpToDate>
  <CharactersWithSpaces>9071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2024-11-20T08:30:00Z</dcterms:created>
  <dc:creator>WPS_1705030010</dc:creator>
  <cp:lastModifiedBy>三生万物</cp:lastModifiedBy>
  <cp:lastPrinted>2025-07-16T06:07:00Z</cp:lastPrinted>
  <dcterms:modified xsi:type="dcterms:W3CDTF">2025-07-24T00:46:07Z</dcterms:modified>
  <cp:revision>866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A8BEED2E73D3415D8392A3F3CC22AF84_13</vt:lpwstr>
  </property>
  <property fmtid="{D5CDD505-2E9C-101B-9397-08002B2CF9AE}" pid="4" name="KSOTemplateDocerSaveRecord">
    <vt:lpwstr>eyJoZGlkIjoiODlhZmY0MDU3YmNhYjcwYTRhNjYyYjQyNmNiOWI0NjUiLCJ1c2VySWQiOiI4Njg3MzU3MzIifQ==</vt:lpwstr>
  </property>
</Properties>
</file>