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C5ED4">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0"/>
          <w:sz w:val="44"/>
          <w:szCs w:val="44"/>
          <w:shd w:val="clear" w:color="auto" w:fill="FFFFFF"/>
          <w:lang w:val="en-US" w:eastAsia="zh-CN" w:bidi="ar"/>
        </w:rPr>
      </w:pPr>
      <w:r>
        <w:rPr>
          <w:rFonts w:hint="eastAsia" w:ascii="方正小标宋简体" w:hAnsi="方正小标宋简体" w:eastAsia="方正小标宋简体" w:cs="方正小标宋简体"/>
          <w:color w:val="auto"/>
          <w:kern w:val="0"/>
          <w:sz w:val="44"/>
          <w:szCs w:val="44"/>
          <w:shd w:val="clear" w:color="auto" w:fill="FFFFFF"/>
          <w:lang w:val="en-US" w:eastAsia="zh-CN" w:bidi="ar"/>
        </w:rPr>
        <w:t>金寨县审计局2021年政府信息公开工作</w:t>
      </w:r>
    </w:p>
    <w:p w14:paraId="4679FE4D">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0"/>
          <w:sz w:val="44"/>
          <w:szCs w:val="44"/>
          <w:shd w:val="clear" w:color="auto" w:fill="FFFFFF"/>
          <w:lang w:val="en-US" w:eastAsia="zh-CN" w:bidi="ar"/>
        </w:rPr>
      </w:pPr>
      <w:r>
        <w:rPr>
          <w:rFonts w:hint="eastAsia" w:ascii="方正小标宋简体" w:hAnsi="方正小标宋简体" w:eastAsia="方正小标宋简体" w:cs="方正小标宋简体"/>
          <w:color w:val="auto"/>
          <w:kern w:val="0"/>
          <w:sz w:val="44"/>
          <w:szCs w:val="44"/>
          <w:shd w:val="clear" w:color="auto" w:fill="FFFFFF"/>
          <w:lang w:val="en-US" w:eastAsia="zh-CN" w:bidi="ar"/>
        </w:rPr>
        <w:t>年度报告</w:t>
      </w:r>
    </w:p>
    <w:p w14:paraId="07B0F0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pPr>
      <w:r>
        <w:rPr>
          <w:rFonts w:ascii="仿宋_GB2312" w:hAnsi="宋体" w:eastAsia="仿宋_GB2312" w:cs="仿宋_GB2312"/>
          <w:color w:val="000000"/>
          <w:kern w:val="2"/>
          <w:sz w:val="32"/>
          <w:szCs w:val="32"/>
          <w:shd w:val="clear" w:fill="FFFFFF"/>
          <w:lang w:val="en-US" w:eastAsia="zh-CN" w:bidi="ar"/>
        </w:rPr>
        <w:t>本报告依据《中华人民共和国政府信息公开条例》（国务院令第</w:t>
      </w:r>
      <w:r>
        <w:rPr>
          <w:rFonts w:hint="eastAsia" w:ascii="仿宋_GB2312" w:hAnsi="宋体" w:eastAsia="仿宋_GB2312" w:cs="仿宋_GB2312"/>
          <w:color w:val="000000"/>
          <w:kern w:val="2"/>
          <w:sz w:val="32"/>
          <w:szCs w:val="32"/>
          <w:shd w:val="clear" w:fill="FFFFFF"/>
          <w:lang w:val="en-US" w:eastAsia="zh-CN" w:bidi="ar"/>
        </w:rPr>
        <w:t>711号，以下简称（新《条例》）》)和《六安市政务公开办公室关于做好政府信息公开年度报告编制和发布工作的通知》(六政务公开办〔2021]64号)要求编制而成。报告主要包括：总体情况、行政机关主动公开政府信息情况、</w:t>
      </w:r>
      <w:r>
        <w:rPr>
          <w:rFonts w:hint="eastAsia" w:ascii="仿宋_GB2312" w:hAnsi="Times New Roman" w:eastAsia="仿宋_GB2312" w:cs="仿宋_GB2312"/>
          <w:color w:val="000000"/>
          <w:kern w:val="2"/>
          <w:sz w:val="32"/>
          <w:szCs w:val="32"/>
          <w:shd w:val="clear" w:fill="FFFFFF"/>
          <w:lang w:val="en-US" w:eastAsia="zh-CN" w:bidi="ar"/>
        </w:rPr>
        <w:t>收到和处理政府信息公开申请情况、政府信息公开行政复议、行政诉讼情况、政府信息公开工作存在的主要问题及改进情况和其他需要报告的事项。</w:t>
      </w:r>
      <w:r>
        <w:rPr>
          <w:rFonts w:hint="eastAsia" w:ascii="仿宋_GB2312" w:hAnsi="Calibri" w:eastAsia="仿宋_GB2312" w:cs="仿宋_GB2312"/>
          <w:color w:val="000000"/>
          <w:kern w:val="0"/>
          <w:sz w:val="32"/>
          <w:szCs w:val="32"/>
          <w:shd w:val="clear" w:fill="FFFFFF"/>
          <w:lang w:val="en-US" w:eastAsia="zh-CN" w:bidi="ar"/>
        </w:rPr>
        <w:t>本报告中使用数据统计期限为2021年1月1日至12月31日，报告的电子版可在金寨县审计局信息公开平台下载。如对本报告有任何疑问，请与金寨县审计局办公室联系(地址：金寨县行政中心510室，电话：7062358，邮编：237300）。</w:t>
      </w:r>
    </w:p>
    <w:p w14:paraId="0D477E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pPr>
      <w:r>
        <w:rPr>
          <w:rFonts w:ascii="黑体" w:hAnsi="宋体" w:eastAsia="黑体" w:cs="黑体"/>
          <w:b w:val="0"/>
          <w:bCs w:val="0"/>
          <w:kern w:val="2"/>
          <w:sz w:val="32"/>
          <w:szCs w:val="32"/>
          <w:lang w:val="en-US" w:eastAsia="zh-CN" w:bidi="ar"/>
        </w:rPr>
        <w:t>一、总体情况</w:t>
      </w:r>
    </w:p>
    <w:p w14:paraId="0A7149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pPr>
      <w:r>
        <w:rPr>
          <w:rFonts w:hint="eastAsia" w:ascii="仿宋_GB2312" w:hAnsi="Times New Roman" w:eastAsia="仿宋_GB2312" w:cs="仿宋_GB2312"/>
          <w:kern w:val="2"/>
          <w:sz w:val="32"/>
          <w:szCs w:val="32"/>
          <w:lang w:val="en-US" w:eastAsia="zh-CN" w:bidi="ar"/>
        </w:rPr>
        <w:t>2021年，我局严格执行《金寨县人民政府办公室关于印发金寨县2021年政务公开重点工作任务分工的通知》，认真落实县政府信息公开相关工作要求，结合审计法定职责，不断规范依申请公开工作，全面推进决策、执行、管理、服务、结果公开，政府信息公开网站信息发布227条。</w:t>
      </w:r>
    </w:p>
    <w:p w14:paraId="0CA9D9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left"/>
        <w:textAlignment w:val="auto"/>
      </w:pPr>
      <w:r>
        <w:rPr>
          <w:rFonts w:ascii="楷体_GB2312" w:hAnsi="Times New Roman" w:eastAsia="楷体_GB2312" w:cs="楷体_GB2312"/>
          <w:b/>
          <w:bCs/>
          <w:kern w:val="2"/>
          <w:sz w:val="32"/>
          <w:szCs w:val="32"/>
          <w:lang w:val="en-US" w:eastAsia="zh-CN" w:bidi="ar"/>
        </w:rPr>
        <w:t>（一）主动公开</w:t>
      </w:r>
      <w:r>
        <w:rPr>
          <w:rFonts w:hint="eastAsia" w:ascii="楷体_GB2312" w:hAnsi="Times New Roman" w:eastAsia="楷体_GB2312" w:cs="楷体_GB2312"/>
          <w:b/>
          <w:bCs/>
          <w:kern w:val="2"/>
          <w:sz w:val="32"/>
          <w:szCs w:val="32"/>
          <w:lang w:val="en-US" w:eastAsia="zh-CN" w:bidi="ar"/>
        </w:rPr>
        <w:t>情况。</w:t>
      </w:r>
    </w:p>
    <w:p w14:paraId="2D83533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楷体_GB2312" w:hAnsi="宋体" w:eastAsia="楷体_GB2312" w:cs="楷体_GB2312"/>
          <w:b/>
          <w:bCs/>
          <w:kern w:val="0"/>
          <w:sz w:val="32"/>
          <w:szCs w:val="32"/>
          <w:shd w:val="clear" w:fill="FFFFFF"/>
          <w:lang w:val="en-US" w:eastAsia="zh-CN" w:bidi="ar"/>
        </w:rPr>
        <w:t>一是</w:t>
      </w:r>
      <w:r>
        <w:rPr>
          <w:rFonts w:hint="eastAsia" w:ascii="仿宋_GB2312" w:hAnsi="Calibri" w:eastAsia="仿宋_GB2312" w:cs="仿宋_GB2312"/>
          <w:b w:val="0"/>
          <w:bCs w:val="0"/>
          <w:kern w:val="0"/>
          <w:sz w:val="32"/>
          <w:szCs w:val="32"/>
          <w:shd w:val="clear" w:fill="FFFFFF"/>
          <w:lang w:val="en-US" w:eastAsia="zh-CN" w:bidi="ar"/>
        </w:rPr>
        <w:t>公开预算执行和其他财政收支审计结果。</w:t>
      </w:r>
      <w:r>
        <w:rPr>
          <w:rFonts w:hint="eastAsia" w:ascii="仿宋_GB2312" w:hAnsi="Calibri" w:eastAsia="仿宋_GB2312" w:cs="仿宋_GB2312"/>
          <w:kern w:val="0"/>
          <w:sz w:val="32"/>
          <w:szCs w:val="32"/>
          <w:shd w:val="clear" w:fill="FFFFFF"/>
          <w:lang w:val="en-US" w:eastAsia="zh-CN" w:bidi="ar"/>
        </w:rPr>
        <w:t>县本级预算执行审计重点关注“全口径”预算管理、存量资金统筹盘活、政府债务风险防范、重点专项支出绩效等情况，按照规定在政府信息公开网公布了《金寨县2020年度县本级财政预算执行及其他财政收支情况审计报告》。</w:t>
      </w:r>
      <w:r>
        <w:rPr>
          <w:rFonts w:hint="eastAsia" w:ascii="楷体_GB2312" w:hAnsi="宋体" w:eastAsia="楷体_GB2312" w:cs="楷体_GB2312"/>
          <w:b/>
          <w:bCs/>
          <w:kern w:val="0"/>
          <w:sz w:val="32"/>
          <w:szCs w:val="32"/>
          <w:lang w:val="en-US" w:eastAsia="zh-CN" w:bidi="ar"/>
        </w:rPr>
        <w:t>二是</w:t>
      </w:r>
      <w:r>
        <w:rPr>
          <w:rFonts w:hint="eastAsia" w:ascii="仿宋_GB2312" w:hAnsi="宋体" w:eastAsia="仿宋_GB2312" w:cs="仿宋_GB2312"/>
          <w:kern w:val="0"/>
          <w:sz w:val="32"/>
          <w:szCs w:val="32"/>
          <w:lang w:val="en-US" w:eastAsia="zh-CN" w:bidi="ar"/>
        </w:rPr>
        <w:t>落实保密审查机制。按照“谁主管、谁负责”的原则，要求必须做到信息发布和信息审查责任，把好保密审查关。发现涉及敏感关键词的信息，提示相关人员再次审查，今年以来，未发生失泄密事件。</w:t>
      </w:r>
      <w:r>
        <w:rPr>
          <w:rFonts w:hint="eastAsia" w:ascii="楷体_GB2312" w:hAnsi="宋体" w:eastAsia="楷体_GB2312" w:cs="楷体_GB2312"/>
          <w:b/>
          <w:bCs/>
          <w:kern w:val="0"/>
          <w:sz w:val="32"/>
          <w:szCs w:val="32"/>
          <w:lang w:val="en-US" w:eastAsia="zh-CN" w:bidi="ar"/>
        </w:rPr>
        <w:t>三是</w:t>
      </w:r>
      <w:r>
        <w:rPr>
          <w:rFonts w:hint="eastAsia" w:ascii="仿宋_GB2312" w:hAnsi="宋体" w:eastAsia="仿宋_GB2312" w:cs="仿宋_GB2312"/>
          <w:kern w:val="0"/>
          <w:sz w:val="32"/>
          <w:szCs w:val="32"/>
          <w:lang w:val="en-US" w:eastAsia="zh-CN" w:bidi="ar"/>
        </w:rPr>
        <w:t>转载审计署、省审计厅和市审计局的上级政策解读6件，本级政策解读6件，通过新闻发布会就金寨县2020年本级预算执行和其他财政收支审计情况进行了介绍并回答记者提问。充分利用信息公开网、简报、专报等形式和载体，及时发布审计工作信息、政策解读及回应关切，宣传审计成果，加强了与公众的交流，增进了公众对审计的理解和支持，维护审计公信力</w:t>
      </w:r>
    </w:p>
    <w:p w14:paraId="39B7946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楷体_GB2312" w:hAnsi="Calibri" w:eastAsia="楷体_GB2312" w:cs="楷体_GB2312"/>
          <w:b/>
          <w:bCs/>
          <w:kern w:val="0"/>
          <w:sz w:val="32"/>
          <w:szCs w:val="32"/>
          <w:shd w:val="clear" w:fill="FFFFFF"/>
          <w:lang w:val="en-US" w:eastAsia="zh-CN" w:bidi="ar"/>
        </w:rPr>
        <w:t>（二）依申请公开。</w:t>
      </w:r>
    </w:p>
    <w:p w14:paraId="45FD72F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pPr>
      <w:r>
        <w:rPr>
          <w:rFonts w:hint="eastAsia" w:ascii="仿宋_GB2312" w:hAnsi="Calibri" w:eastAsia="仿宋_GB2312" w:cs="仿宋_GB2312"/>
          <w:kern w:val="0"/>
          <w:sz w:val="32"/>
          <w:szCs w:val="32"/>
          <w:shd w:val="clear" w:fill="FFFFFF"/>
          <w:lang w:val="en-US" w:eastAsia="zh-CN" w:bidi="ar"/>
        </w:rPr>
        <w:t>参加全市新依申请公开平台培训，根据县政务公开办要求，对本部门依申请公开信息及时迁移到依申请公开平台，对公开指南中的依申请内容进行修改完善，2021年我局无依申请公开信息。</w:t>
      </w:r>
    </w:p>
    <w:p w14:paraId="5649831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楷体_GB2312" w:hAnsi="Calibri" w:eastAsia="楷体_GB2312" w:cs="楷体_GB2312"/>
          <w:b/>
          <w:bCs/>
          <w:kern w:val="0"/>
          <w:sz w:val="32"/>
          <w:szCs w:val="32"/>
          <w:shd w:val="clear" w:fill="FFFFFF"/>
          <w:lang w:val="en-US" w:eastAsia="zh-CN" w:bidi="ar"/>
        </w:rPr>
        <w:t>（三）政府信息管理。</w:t>
      </w:r>
    </w:p>
    <w:p w14:paraId="143E586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pPr>
      <w:r>
        <w:rPr>
          <w:rFonts w:hint="eastAsia" w:ascii="仿宋_GB2312" w:hAnsi="Calibri" w:eastAsia="仿宋_GB2312" w:cs="仿宋_GB2312"/>
          <w:kern w:val="0"/>
          <w:sz w:val="32"/>
          <w:szCs w:val="32"/>
          <w:shd w:val="clear" w:fill="FFFFFF"/>
          <w:lang w:val="en-US" w:eastAsia="zh-CN" w:bidi="ar"/>
        </w:rPr>
        <w:t>建立科室信息公开联动机制，按照公开目录清单，将信息内容分解到责任科室，按照责任科室提供、分管领导审核、信息员发布、主要领导审批四级发布流程进行公开，不断增强信息发布的时效性、全面性和准确性。</w:t>
      </w:r>
    </w:p>
    <w:p w14:paraId="78389EF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楷体_GB2312" w:hAnsi="Calibri" w:eastAsia="楷体_GB2312" w:cs="楷体_GB2312"/>
          <w:b/>
          <w:bCs/>
          <w:kern w:val="0"/>
          <w:sz w:val="32"/>
          <w:szCs w:val="32"/>
          <w:shd w:val="clear" w:fill="FFFFFF"/>
          <w:lang w:val="en-US" w:eastAsia="zh-CN" w:bidi="ar"/>
        </w:rPr>
        <w:t>（四）政府信息公开平台建设情况。</w:t>
      </w:r>
    </w:p>
    <w:p w14:paraId="00F2AF2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pPr>
      <w:r>
        <w:rPr>
          <w:rFonts w:hint="eastAsia" w:ascii="仿宋_GB2312" w:hAnsi="Calibri" w:eastAsia="仿宋_GB2312" w:cs="仿宋_GB2312"/>
          <w:kern w:val="0"/>
          <w:sz w:val="32"/>
          <w:szCs w:val="32"/>
          <w:shd w:val="clear" w:fill="FFFFFF"/>
          <w:lang w:val="en-US" w:eastAsia="zh-CN" w:bidi="ar"/>
        </w:rPr>
        <w:t>在《关于做好政府信息主动公开目录调整工作的通知》（六政务公开办〔2019〕9号）文件基础上，结合每季度测评指标体系，对照最新版政府信息主动公开基本目录，不断对本单位信息公开栏目进行编制、调整和规范。</w:t>
      </w:r>
    </w:p>
    <w:p w14:paraId="03A33E5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楷体_GB2312" w:hAnsi="Calibri" w:eastAsia="楷体_GB2312" w:cs="楷体_GB2312"/>
          <w:b/>
          <w:bCs/>
          <w:kern w:val="0"/>
          <w:sz w:val="32"/>
          <w:szCs w:val="32"/>
          <w:shd w:val="clear" w:fill="FFFFFF"/>
          <w:lang w:val="en-US" w:eastAsia="zh-CN" w:bidi="ar"/>
        </w:rPr>
        <w:t>（五）监督保障。</w:t>
      </w:r>
    </w:p>
    <w:p w14:paraId="48EC68A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pPr>
      <w:r>
        <w:rPr>
          <w:rFonts w:hint="eastAsia" w:ascii="仿宋_GB2312" w:hAnsi="Calibri" w:eastAsia="仿宋_GB2312" w:cs="仿宋_GB2312"/>
          <w:kern w:val="0"/>
          <w:sz w:val="32"/>
          <w:szCs w:val="32"/>
          <w:shd w:val="clear" w:fill="FFFFFF"/>
          <w:lang w:val="en-US" w:eastAsia="zh-CN" w:bidi="ar"/>
        </w:rPr>
        <w:t>建立健全政府信息公开审查机制,紧紧围绕公开内容，每月定期对所有公开目录进行巡检，做到查漏补缺，及时更新完善信息，针对各级监测反馈情况，及时整改到位。</w:t>
      </w:r>
    </w:p>
    <w:p w14:paraId="0FED6DCE">
      <w:pPr>
        <w:pStyle w:val="8"/>
        <w:keepNext w:val="0"/>
        <w:keepLines w:val="0"/>
        <w:widowControl w:val="0"/>
        <w:numPr>
          <w:numId w:val="0"/>
        </w:numPr>
        <w:suppressLineNumbers w:val="0"/>
        <w:spacing w:before="0" w:beforeAutospacing="0" w:after="0" w:afterAutospacing="0"/>
        <w:ind w:left="0" w:right="0" w:firstLine="640" w:firstLineChars="200"/>
        <w:jc w:val="both"/>
      </w:pPr>
      <w:r>
        <w:rPr>
          <w:rFonts w:hint="eastAsia" w:ascii="黑体" w:hAnsi="宋体" w:eastAsia="黑体" w:cs="黑体"/>
          <w:b w:val="0"/>
          <w:bCs w:val="0"/>
          <w:kern w:val="0"/>
          <w:sz w:val="32"/>
          <w:szCs w:val="32"/>
          <w:shd w:val="clear" w:fill="FFFFFF"/>
          <w:lang w:val="en-US" w:eastAsia="zh-CN" w:bidi="ar"/>
        </w:rPr>
        <w:t>二、主动公开政府信息情况</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2435"/>
        <w:gridCol w:w="2435"/>
        <w:gridCol w:w="2435"/>
        <w:gridCol w:w="2435"/>
      </w:tblGrid>
      <w:tr w14:paraId="2FBFE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0ECF361B">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第二十条第（一）项</w:t>
            </w:r>
          </w:p>
        </w:tc>
      </w:tr>
      <w:tr w14:paraId="00290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322326FC">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信息内容</w:t>
            </w:r>
          </w:p>
        </w:tc>
        <w:tc>
          <w:tcPr>
            <w:tcW w:w="2435" w:type="dxa"/>
            <w:tcBorders>
              <w:top w:val="single" w:color="auto" w:sz="8" w:space="0"/>
              <w:left w:val="nil"/>
              <w:bottom w:val="single" w:color="auto" w:sz="8" w:space="0"/>
              <w:right w:val="single" w:color="auto" w:sz="8" w:space="0"/>
            </w:tcBorders>
            <w:shd w:val="clear"/>
            <w:tcMar>
              <w:left w:w="57" w:type="dxa"/>
              <w:right w:w="57" w:type="dxa"/>
            </w:tcMar>
            <w:vAlign w:val="center"/>
          </w:tcPr>
          <w:p w14:paraId="3C5141C6">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本年制发件数</w:t>
            </w:r>
          </w:p>
        </w:tc>
        <w:tc>
          <w:tcPr>
            <w:tcW w:w="2435" w:type="dxa"/>
            <w:tcBorders>
              <w:top w:val="single" w:color="auto" w:sz="8" w:space="0"/>
              <w:left w:val="nil"/>
              <w:bottom w:val="single" w:color="auto" w:sz="8" w:space="0"/>
              <w:right w:val="single" w:color="auto" w:sz="8" w:space="0"/>
            </w:tcBorders>
            <w:shd w:val="clear"/>
            <w:tcMar>
              <w:left w:w="57" w:type="dxa"/>
              <w:right w:w="57" w:type="dxa"/>
            </w:tcMar>
            <w:vAlign w:val="center"/>
          </w:tcPr>
          <w:p w14:paraId="3B0A9A00">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tcMar>
              <w:left w:w="57" w:type="dxa"/>
              <w:right w:w="57" w:type="dxa"/>
            </w:tcMar>
            <w:vAlign w:val="center"/>
          </w:tcPr>
          <w:p w14:paraId="238B8B65">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现行有效件数</w:t>
            </w:r>
          </w:p>
        </w:tc>
      </w:tr>
      <w:tr w14:paraId="1F565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306CD80C">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规章</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29FE6275">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 xml:space="preserve"> 0</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1A4DF0A9">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 xml:space="preserve"> 0 </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24AD9EDF">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0</w:t>
            </w:r>
          </w:p>
        </w:tc>
      </w:tr>
      <w:tr w14:paraId="2538F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71D5715A">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行政规范性文件</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21A47363">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 xml:space="preserve"> 0</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037D896F">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 xml:space="preserve"> 0</w:t>
            </w:r>
          </w:p>
        </w:tc>
        <w:tc>
          <w:tcPr>
            <w:tcW w:w="2435" w:type="dxa"/>
            <w:tcBorders>
              <w:top w:val="nil"/>
              <w:left w:val="nil"/>
              <w:bottom w:val="single" w:color="auto" w:sz="8" w:space="0"/>
              <w:right w:val="single" w:color="auto" w:sz="8" w:space="0"/>
            </w:tcBorders>
            <w:shd w:val="clear"/>
            <w:tcMar>
              <w:left w:w="57" w:type="dxa"/>
              <w:right w:w="57" w:type="dxa"/>
            </w:tcMar>
            <w:vAlign w:val="center"/>
          </w:tcPr>
          <w:p w14:paraId="0BC4EA35">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0</w:t>
            </w:r>
          </w:p>
        </w:tc>
      </w:tr>
      <w:tr w14:paraId="12D9C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0D9B46C4">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第二十条第（五）项</w:t>
            </w:r>
          </w:p>
        </w:tc>
      </w:tr>
      <w:tr w14:paraId="25946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3941B9B1">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信息内容</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1C138C39">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本年处理决定数量</w:t>
            </w:r>
          </w:p>
        </w:tc>
      </w:tr>
      <w:tr w14:paraId="49C0B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4111916E">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行政许可</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080C98D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1"/>
                <w:szCs w:val="21"/>
                <w:bdr w:val="none" w:color="auto" w:sz="0" w:space="0"/>
                <w:lang w:val="en-US" w:eastAsia="zh-CN" w:bidi="ar"/>
              </w:rPr>
              <w:t>0</w:t>
            </w:r>
          </w:p>
        </w:tc>
      </w:tr>
      <w:tr w14:paraId="70F17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77C96302">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第二十条第（六）项</w:t>
            </w:r>
          </w:p>
        </w:tc>
      </w:tr>
      <w:tr w14:paraId="14BBC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245013B8">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tcMar>
              <w:left w:w="57" w:type="dxa"/>
              <w:right w:w="57" w:type="dxa"/>
            </w:tcMar>
            <w:vAlign w:val="center"/>
          </w:tcPr>
          <w:p w14:paraId="4416E4AB">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本年处理决定数量</w:t>
            </w:r>
          </w:p>
        </w:tc>
      </w:tr>
      <w:tr w14:paraId="6869A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14"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6FA06255">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行政处罚</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30619A13">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0　</w:t>
            </w:r>
          </w:p>
        </w:tc>
      </w:tr>
      <w:tr w14:paraId="731AD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3BF82AA7">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行政强制</w:t>
            </w:r>
          </w:p>
        </w:tc>
        <w:tc>
          <w:tcPr>
            <w:tcW w:w="7305" w:type="dxa"/>
            <w:gridSpan w:val="3"/>
            <w:tcBorders>
              <w:top w:val="nil"/>
              <w:left w:val="nil"/>
              <w:bottom w:val="single" w:color="auto" w:sz="8" w:space="0"/>
              <w:right w:val="single" w:color="auto" w:sz="8" w:space="0"/>
            </w:tcBorders>
            <w:shd w:val="clear"/>
            <w:tcMar>
              <w:left w:w="57" w:type="dxa"/>
              <w:right w:w="57" w:type="dxa"/>
            </w:tcMar>
            <w:vAlign w:val="center"/>
          </w:tcPr>
          <w:p w14:paraId="6784F368">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0　</w:t>
            </w:r>
          </w:p>
        </w:tc>
      </w:tr>
      <w:tr w14:paraId="2C1E4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46673561">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第二十条第（八）项</w:t>
            </w:r>
          </w:p>
        </w:tc>
      </w:tr>
      <w:tr w14:paraId="6BFFD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70C9E9EB">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信息内容</w:t>
            </w:r>
          </w:p>
        </w:tc>
        <w:tc>
          <w:tcPr>
            <w:tcW w:w="7305" w:type="dxa"/>
            <w:gridSpan w:val="3"/>
            <w:tcBorders>
              <w:top w:val="nil"/>
              <w:left w:val="nil"/>
              <w:bottom w:val="single" w:color="auto" w:sz="8" w:space="0"/>
              <w:right w:val="single" w:color="000000" w:sz="8" w:space="0"/>
            </w:tcBorders>
            <w:shd w:val="clear"/>
            <w:tcMar>
              <w:left w:w="57" w:type="dxa"/>
              <w:right w:w="57" w:type="dxa"/>
            </w:tcMar>
            <w:vAlign w:val="center"/>
          </w:tcPr>
          <w:p w14:paraId="717342DB">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本年收费金额（单位：万元）</w:t>
            </w:r>
          </w:p>
        </w:tc>
      </w:tr>
      <w:tr w14:paraId="0B136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tcMar>
              <w:left w:w="57" w:type="dxa"/>
              <w:right w:w="57" w:type="dxa"/>
            </w:tcMar>
            <w:vAlign w:val="center"/>
          </w:tcPr>
          <w:p w14:paraId="073EBFA1">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行政事业性收费</w:t>
            </w:r>
          </w:p>
        </w:tc>
        <w:tc>
          <w:tcPr>
            <w:tcW w:w="7305" w:type="dxa"/>
            <w:gridSpan w:val="3"/>
            <w:tcBorders>
              <w:top w:val="nil"/>
              <w:left w:val="nil"/>
              <w:bottom w:val="single" w:color="auto" w:sz="8" w:space="0"/>
              <w:right w:val="single" w:color="000000" w:sz="8" w:space="0"/>
            </w:tcBorders>
            <w:shd w:val="clear"/>
            <w:tcMar>
              <w:left w:w="57" w:type="dxa"/>
              <w:right w:w="57" w:type="dxa"/>
            </w:tcMar>
            <w:vAlign w:val="center"/>
          </w:tcPr>
          <w:p w14:paraId="2F4499DF">
            <w:pPr>
              <w:keepNext w:val="0"/>
              <w:keepLines w:val="0"/>
              <w:widowControl w:val="0"/>
              <w:suppressLineNumbers w:val="0"/>
              <w:spacing w:before="0" w:beforeAutospacing="1" w:after="0" w:afterAutospacing="1"/>
              <w:ind w:left="0" w:right="0"/>
              <w:jc w:val="center"/>
            </w:pPr>
            <w:r>
              <w:rPr>
                <w:rFonts w:hint="eastAsia" w:ascii="宋体" w:hAnsi="宋体" w:eastAsia="宋体" w:cs="宋体"/>
                <w:kern w:val="2"/>
                <w:sz w:val="24"/>
                <w:szCs w:val="24"/>
                <w:bdr w:val="none" w:color="auto" w:sz="0" w:space="0"/>
                <w:lang w:val="en-US" w:eastAsia="zh-CN" w:bidi="ar"/>
              </w:rPr>
              <w:t>0</w:t>
            </w:r>
          </w:p>
        </w:tc>
      </w:tr>
    </w:tbl>
    <w:p w14:paraId="07E7C235">
      <w:pPr>
        <w:pStyle w:val="8"/>
        <w:keepNext w:val="0"/>
        <w:keepLines w:val="0"/>
        <w:widowControl w:val="0"/>
        <w:numPr>
          <w:numId w:val="0"/>
        </w:numPr>
        <w:suppressLineNumbers w:val="0"/>
        <w:spacing w:before="0" w:beforeAutospacing="0" w:after="0" w:afterAutospacing="0"/>
        <w:ind w:left="0" w:leftChars="0" w:right="0" w:firstLine="640" w:firstLineChars="200"/>
        <w:jc w:val="both"/>
      </w:pPr>
      <w:r>
        <w:rPr>
          <w:rFonts w:hint="eastAsia" w:ascii="黑体" w:hAnsi="宋体" w:eastAsia="黑体" w:cs="黑体"/>
          <w:b w:val="0"/>
          <w:bCs w:val="0"/>
          <w:kern w:val="0"/>
          <w:sz w:val="32"/>
          <w:szCs w:val="32"/>
          <w:shd w:val="clear" w:fill="FFFFFF"/>
          <w:lang w:val="en-US" w:eastAsia="zh-CN" w:bidi="ar"/>
        </w:rPr>
        <w:t>三、收到和处理政府信息公开申请情况</w:t>
      </w:r>
    </w:p>
    <w:tbl>
      <w:tblPr>
        <w:tblW w:w="9745"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767"/>
        <w:gridCol w:w="943"/>
        <w:gridCol w:w="3219"/>
        <w:gridCol w:w="688"/>
        <w:gridCol w:w="688"/>
        <w:gridCol w:w="688"/>
        <w:gridCol w:w="688"/>
        <w:gridCol w:w="688"/>
        <w:gridCol w:w="688"/>
        <w:gridCol w:w="688"/>
      </w:tblGrid>
      <w:tr w14:paraId="0C04A40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29" w:type="dxa"/>
            <w:gridSpan w:val="3"/>
            <w:vMerge w:val="restart"/>
            <w:tcBorders>
              <w:top w:val="single" w:color="auto" w:sz="8" w:space="0"/>
              <w:left w:val="single" w:color="auto" w:sz="8" w:space="0"/>
              <w:bottom w:val="outset" w:color="auto" w:sz="8" w:space="0"/>
              <w:right w:val="single" w:color="auto" w:sz="8" w:space="0"/>
            </w:tcBorders>
            <w:shd w:val="clear"/>
            <w:tcMar>
              <w:left w:w="108" w:type="dxa"/>
              <w:right w:w="108" w:type="dxa"/>
            </w:tcMar>
            <w:vAlign w:val="center"/>
          </w:tcPr>
          <w:p w14:paraId="382D33B4">
            <w:pPr>
              <w:keepNext w:val="0"/>
              <w:keepLines w:val="0"/>
              <w:widowControl/>
              <w:suppressLineNumbers w:val="0"/>
              <w:spacing w:before="0" w:beforeAutospacing="1" w:after="0" w:afterAutospacing="1"/>
              <w:ind w:left="0" w:right="0"/>
              <w:jc w:val="left"/>
            </w:pPr>
            <w:r>
              <w:rPr>
                <w:rFonts w:ascii="楷体" w:hAnsi="楷体" w:eastAsia="楷体" w:cs="楷体"/>
                <w:kern w:val="0"/>
                <w:sz w:val="20"/>
                <w:szCs w:val="20"/>
                <w:bdr w:val="none" w:color="auto" w:sz="0" w:space="0"/>
                <w:lang w:val="en-US" w:eastAsia="zh-CN" w:bidi="ar"/>
              </w:rPr>
              <w:t>（本列数据的勾稽关系为：第一项加第二项之和，等于第三项加第四项之和）</w:t>
            </w:r>
          </w:p>
        </w:tc>
        <w:tc>
          <w:tcPr>
            <w:tcW w:w="4816" w:type="dxa"/>
            <w:gridSpan w:val="7"/>
            <w:tcBorders>
              <w:top w:val="single" w:color="auto" w:sz="8" w:space="0"/>
              <w:left w:val="nil"/>
              <w:bottom w:val="single" w:color="auto" w:sz="8" w:space="0"/>
              <w:right w:val="single" w:color="auto" w:sz="8" w:space="0"/>
            </w:tcBorders>
            <w:shd w:val="clear"/>
            <w:tcMar>
              <w:left w:w="57" w:type="dxa"/>
              <w:right w:w="57" w:type="dxa"/>
            </w:tcMar>
            <w:vAlign w:val="center"/>
          </w:tcPr>
          <w:p w14:paraId="2628AF53">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申请人情况</w:t>
            </w:r>
          </w:p>
        </w:tc>
      </w:tr>
      <w:tr w14:paraId="45A472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shd w:val="clear"/>
            <w:tcMar>
              <w:left w:w="108" w:type="dxa"/>
              <w:right w:w="108" w:type="dxa"/>
            </w:tcMar>
            <w:vAlign w:val="center"/>
          </w:tcPr>
          <w:p w14:paraId="03BCBD25">
            <w:pPr>
              <w:rPr>
                <w:rFonts w:hint="eastAsia" w:ascii="宋体"/>
                <w:sz w:val="24"/>
                <w:szCs w:val="24"/>
              </w:rPr>
            </w:pPr>
          </w:p>
        </w:tc>
        <w:tc>
          <w:tcPr>
            <w:tcW w:w="688" w:type="dxa"/>
            <w:vMerge w:val="restart"/>
            <w:tcBorders>
              <w:top w:val="nil"/>
              <w:left w:val="nil"/>
              <w:bottom w:val="single" w:color="auto" w:sz="8" w:space="0"/>
              <w:right w:val="single" w:color="auto" w:sz="8" w:space="0"/>
            </w:tcBorders>
            <w:shd w:val="clear"/>
            <w:tcMar>
              <w:left w:w="57" w:type="dxa"/>
              <w:right w:w="57" w:type="dxa"/>
            </w:tcMar>
            <w:vAlign w:val="center"/>
          </w:tcPr>
          <w:p w14:paraId="0AC66A37">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自然人</w:t>
            </w:r>
          </w:p>
        </w:tc>
        <w:tc>
          <w:tcPr>
            <w:tcW w:w="3440" w:type="dxa"/>
            <w:gridSpan w:val="5"/>
            <w:tcBorders>
              <w:top w:val="single" w:color="auto" w:sz="8" w:space="0"/>
              <w:left w:val="nil"/>
              <w:bottom w:val="single" w:color="auto" w:sz="8" w:space="0"/>
              <w:right w:val="single" w:color="auto" w:sz="8" w:space="0"/>
            </w:tcBorders>
            <w:shd w:val="clear"/>
            <w:tcMar>
              <w:left w:w="57" w:type="dxa"/>
              <w:right w:w="57" w:type="dxa"/>
            </w:tcMar>
            <w:vAlign w:val="center"/>
          </w:tcPr>
          <w:p w14:paraId="63177BB8">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法人或其他组织</w:t>
            </w:r>
          </w:p>
        </w:tc>
        <w:tc>
          <w:tcPr>
            <w:tcW w:w="688" w:type="dxa"/>
            <w:vMerge w:val="restart"/>
            <w:tcBorders>
              <w:top w:val="single" w:color="auto" w:sz="8" w:space="0"/>
              <w:left w:val="nil"/>
              <w:bottom w:val="outset" w:color="auto" w:sz="8" w:space="0"/>
              <w:right w:val="single" w:color="auto" w:sz="8" w:space="0"/>
            </w:tcBorders>
            <w:shd w:val="clear"/>
            <w:tcMar>
              <w:left w:w="57" w:type="dxa"/>
              <w:right w:w="57" w:type="dxa"/>
            </w:tcMar>
            <w:vAlign w:val="center"/>
          </w:tcPr>
          <w:p w14:paraId="64C615C1">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总计</w:t>
            </w:r>
          </w:p>
        </w:tc>
      </w:tr>
      <w:tr w14:paraId="4499BC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shd w:val="clear"/>
            <w:tcMar>
              <w:left w:w="108" w:type="dxa"/>
              <w:right w:w="108" w:type="dxa"/>
            </w:tcMar>
            <w:vAlign w:val="center"/>
          </w:tcPr>
          <w:p w14:paraId="1319B02A">
            <w:pPr>
              <w:rPr>
                <w:rFonts w:hint="eastAsia" w:ascii="宋体"/>
                <w:sz w:val="24"/>
                <w:szCs w:val="24"/>
              </w:rPr>
            </w:pPr>
          </w:p>
        </w:tc>
        <w:tc>
          <w:tcPr>
            <w:tcW w:w="688" w:type="dxa"/>
            <w:vMerge w:val="continue"/>
            <w:tcBorders>
              <w:top w:val="nil"/>
              <w:left w:val="nil"/>
              <w:bottom w:val="single" w:color="auto" w:sz="8" w:space="0"/>
              <w:right w:val="single" w:color="auto" w:sz="8" w:space="0"/>
            </w:tcBorders>
            <w:shd w:val="clear"/>
            <w:tcMar>
              <w:left w:w="57" w:type="dxa"/>
              <w:right w:w="57" w:type="dxa"/>
            </w:tcMar>
            <w:vAlign w:val="center"/>
          </w:tcPr>
          <w:p w14:paraId="775D3B6D">
            <w:pPr>
              <w:rPr>
                <w:rFonts w:hint="eastAsia" w:ascii="宋体"/>
                <w:sz w:val="24"/>
                <w:szCs w:val="24"/>
              </w:rPr>
            </w:pP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15084B5">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商业</w:t>
            </w:r>
          </w:p>
          <w:p w14:paraId="1947D14C">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企业</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4D21753">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科研</w:t>
            </w:r>
          </w:p>
          <w:p w14:paraId="75DA2D33">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机构</w:t>
            </w:r>
          </w:p>
        </w:tc>
        <w:tc>
          <w:tcPr>
            <w:tcW w:w="688" w:type="dxa"/>
            <w:tcBorders>
              <w:top w:val="single" w:color="auto" w:sz="8" w:space="0"/>
              <w:left w:val="nil"/>
              <w:bottom w:val="single" w:color="auto" w:sz="8" w:space="0"/>
              <w:right w:val="single" w:color="auto" w:sz="8" w:space="0"/>
            </w:tcBorders>
            <w:shd w:val="clear"/>
            <w:tcMar>
              <w:left w:w="57" w:type="dxa"/>
              <w:right w:w="57" w:type="dxa"/>
            </w:tcMar>
            <w:vAlign w:val="center"/>
          </w:tcPr>
          <w:p w14:paraId="31ED5D84">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社会公益组织</w:t>
            </w:r>
          </w:p>
        </w:tc>
        <w:tc>
          <w:tcPr>
            <w:tcW w:w="688" w:type="dxa"/>
            <w:tcBorders>
              <w:top w:val="single" w:color="auto" w:sz="8" w:space="0"/>
              <w:left w:val="nil"/>
              <w:bottom w:val="single" w:color="auto" w:sz="8" w:space="0"/>
              <w:right w:val="single" w:color="auto" w:sz="8" w:space="0"/>
            </w:tcBorders>
            <w:shd w:val="clear"/>
            <w:tcMar>
              <w:left w:w="57" w:type="dxa"/>
              <w:right w:w="57" w:type="dxa"/>
            </w:tcMar>
            <w:vAlign w:val="center"/>
          </w:tcPr>
          <w:p w14:paraId="2E611E60">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法律服务机构</w:t>
            </w:r>
          </w:p>
        </w:tc>
        <w:tc>
          <w:tcPr>
            <w:tcW w:w="688" w:type="dxa"/>
            <w:tcBorders>
              <w:top w:val="single" w:color="auto" w:sz="8" w:space="0"/>
              <w:left w:val="nil"/>
              <w:bottom w:val="single" w:color="auto" w:sz="8" w:space="0"/>
              <w:right w:val="single" w:color="auto" w:sz="8" w:space="0"/>
            </w:tcBorders>
            <w:shd w:val="clear"/>
            <w:tcMar>
              <w:left w:w="57" w:type="dxa"/>
              <w:right w:w="57" w:type="dxa"/>
            </w:tcMar>
            <w:vAlign w:val="center"/>
          </w:tcPr>
          <w:p w14:paraId="47C10A71">
            <w:pPr>
              <w:keepNext w:val="0"/>
              <w:keepLines w:val="0"/>
              <w:widowControl/>
              <w:suppressLineNumbers w:val="0"/>
              <w:spacing w:before="0" w:beforeAutospacing="1" w:after="0" w:afterAutospacing="1"/>
              <w:ind w:left="0" w:right="0"/>
              <w:jc w:val="center"/>
            </w:pPr>
            <w:r>
              <w:rPr>
                <w:rFonts w:hint="eastAsia" w:ascii="宋体" w:hAnsi="宋体" w:eastAsia="宋体" w:cs="宋体"/>
                <w:kern w:val="0"/>
                <w:sz w:val="20"/>
                <w:szCs w:val="20"/>
                <w:bdr w:val="none" w:color="auto" w:sz="0" w:space="0"/>
                <w:lang w:val="en-US" w:eastAsia="zh-CN" w:bidi="ar"/>
              </w:rPr>
              <w:t>其他</w:t>
            </w:r>
          </w:p>
        </w:tc>
        <w:tc>
          <w:tcPr>
            <w:tcW w:w="688" w:type="dxa"/>
            <w:vMerge w:val="continue"/>
            <w:tcBorders>
              <w:top w:val="single" w:color="auto" w:sz="8" w:space="0"/>
              <w:left w:val="nil"/>
              <w:bottom w:val="outset" w:color="auto" w:sz="8" w:space="0"/>
              <w:right w:val="single" w:color="auto" w:sz="8" w:space="0"/>
            </w:tcBorders>
            <w:shd w:val="clear"/>
            <w:tcMar>
              <w:left w:w="57" w:type="dxa"/>
              <w:right w:w="57" w:type="dxa"/>
            </w:tcMar>
            <w:vAlign w:val="center"/>
          </w:tcPr>
          <w:p w14:paraId="156269BD">
            <w:pPr>
              <w:rPr>
                <w:rFonts w:hint="eastAsia" w:ascii="宋体"/>
                <w:sz w:val="24"/>
                <w:szCs w:val="24"/>
              </w:rPr>
            </w:pPr>
          </w:p>
        </w:tc>
      </w:tr>
      <w:tr w14:paraId="5E38AD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tcMar>
              <w:left w:w="57" w:type="dxa"/>
              <w:right w:w="57" w:type="dxa"/>
            </w:tcMar>
            <w:vAlign w:val="center"/>
          </w:tcPr>
          <w:p w14:paraId="155DA163">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一、本年新收政府信息公开申请数量</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A75FE3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13A5967">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68BA3D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548697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D32ADB3">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6F3DC0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4047D05">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r>
      <w:tr w14:paraId="402563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tcMar>
              <w:left w:w="57" w:type="dxa"/>
              <w:right w:w="57" w:type="dxa"/>
            </w:tcMar>
            <w:vAlign w:val="center"/>
          </w:tcPr>
          <w:p w14:paraId="6E222D69">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二、上年结转政府信息公开申请数量</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3B7366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08A9CE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BDC5D9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2C111C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A5A9C84">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DCAF4EE">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5C8DC91">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r>
      <w:tr w14:paraId="3708F5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restart"/>
            <w:tcBorders>
              <w:top w:val="nil"/>
              <w:left w:val="single" w:color="auto" w:sz="8" w:space="0"/>
              <w:bottom w:val="outset" w:color="auto" w:sz="8" w:space="0"/>
              <w:right w:val="single" w:color="auto" w:sz="8" w:space="0"/>
            </w:tcBorders>
            <w:shd w:val="clear"/>
            <w:tcMar>
              <w:left w:w="57" w:type="dxa"/>
              <w:right w:w="57" w:type="dxa"/>
            </w:tcMar>
            <w:vAlign w:val="center"/>
          </w:tcPr>
          <w:p w14:paraId="46128510">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三、本年度办理结果</w:t>
            </w:r>
          </w:p>
        </w:tc>
        <w:tc>
          <w:tcPr>
            <w:tcW w:w="4162" w:type="dxa"/>
            <w:gridSpan w:val="2"/>
            <w:tcBorders>
              <w:top w:val="nil"/>
              <w:left w:val="nil"/>
              <w:bottom w:val="single" w:color="auto" w:sz="8" w:space="0"/>
              <w:right w:val="single" w:color="auto" w:sz="8" w:space="0"/>
            </w:tcBorders>
            <w:shd w:val="clear"/>
            <w:tcMar>
              <w:left w:w="57" w:type="dxa"/>
              <w:right w:w="57" w:type="dxa"/>
            </w:tcMar>
            <w:vAlign w:val="center"/>
          </w:tcPr>
          <w:p w14:paraId="286EBE53">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（一）予以公开</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CB80877">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D51067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8CBFACC">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9DECFD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248339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5A31DD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single" w:color="auto" w:sz="8" w:space="0"/>
              <w:left w:val="nil"/>
              <w:bottom w:val="single" w:color="auto" w:sz="8" w:space="0"/>
              <w:right w:val="single" w:color="auto" w:sz="8" w:space="0"/>
            </w:tcBorders>
            <w:shd w:val="clear"/>
            <w:tcMar>
              <w:left w:w="57" w:type="dxa"/>
              <w:right w:w="57" w:type="dxa"/>
            </w:tcMar>
            <w:vAlign w:val="top"/>
          </w:tcPr>
          <w:p w14:paraId="542F51C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r>
      <w:tr w14:paraId="1DBCD1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4B626E58">
            <w:pPr>
              <w:rPr>
                <w:rFonts w:hint="eastAsia" w:ascii="宋体"/>
                <w:sz w:val="24"/>
                <w:szCs w:val="24"/>
              </w:rPr>
            </w:pPr>
          </w:p>
        </w:tc>
        <w:tc>
          <w:tcPr>
            <w:tcW w:w="4162" w:type="dxa"/>
            <w:gridSpan w:val="2"/>
            <w:tcBorders>
              <w:top w:val="nil"/>
              <w:left w:val="nil"/>
              <w:bottom w:val="single" w:color="auto" w:sz="8" w:space="0"/>
              <w:right w:val="single" w:color="auto" w:sz="8" w:space="0"/>
            </w:tcBorders>
            <w:shd w:val="clear"/>
            <w:tcMar>
              <w:left w:w="57" w:type="dxa"/>
              <w:right w:w="57" w:type="dxa"/>
            </w:tcMar>
            <w:vAlign w:val="center"/>
          </w:tcPr>
          <w:p w14:paraId="02B76DD7">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（二）部分公开</w:t>
            </w:r>
            <w:r>
              <w:rPr>
                <w:rFonts w:hint="eastAsia" w:ascii="楷体" w:hAnsi="楷体" w:eastAsia="楷体" w:cs="楷体"/>
                <w:kern w:val="0"/>
                <w:sz w:val="20"/>
                <w:szCs w:val="20"/>
                <w:bdr w:val="none" w:color="auto" w:sz="0" w:space="0"/>
                <w:lang w:val="en-US" w:eastAsia="zh-CN" w:bidi="ar"/>
              </w:rPr>
              <w:t>（区分处理的，只计这一情形，不计其他情形）</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A4C2B1E">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0C4181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A9C931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D90C4D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09758BC">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0ABE74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6BEF361">
            <w:pPr>
              <w:keepNext w:val="0"/>
              <w:keepLines w:val="0"/>
              <w:widowControl/>
              <w:suppressLineNumbers w:val="0"/>
              <w:spacing w:before="0" w:beforeAutospacing="1" w:after="0" w:afterAutospacing="1"/>
              <w:ind w:left="0" w:right="0"/>
              <w:jc w:val="both"/>
            </w:pPr>
            <w:r>
              <w:rPr>
                <w:rFonts w:hint="default" w:ascii="Calibri" w:hAnsi="Calibri" w:eastAsia="仿宋_GB2312" w:cs="Calibri"/>
                <w:kern w:val="0"/>
                <w:sz w:val="20"/>
                <w:szCs w:val="20"/>
                <w:bdr w:val="none" w:color="auto" w:sz="0" w:space="0"/>
                <w:lang w:val="en-US" w:eastAsia="zh-CN" w:bidi="ar"/>
              </w:rPr>
              <w:t>0</w:t>
            </w:r>
          </w:p>
        </w:tc>
      </w:tr>
      <w:tr w14:paraId="4C6CF1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163D45E0">
            <w:pPr>
              <w:rPr>
                <w:rFonts w:hint="eastAsia" w:ascii="宋体"/>
                <w:sz w:val="24"/>
                <w:szCs w:val="24"/>
              </w:rPr>
            </w:pPr>
          </w:p>
        </w:tc>
        <w:tc>
          <w:tcPr>
            <w:tcW w:w="943" w:type="dxa"/>
            <w:vMerge w:val="restart"/>
            <w:tcBorders>
              <w:top w:val="nil"/>
              <w:left w:val="nil"/>
              <w:bottom w:val="outset" w:color="auto" w:sz="8" w:space="0"/>
              <w:right w:val="single" w:color="auto" w:sz="8" w:space="0"/>
            </w:tcBorders>
            <w:shd w:val="clear"/>
            <w:tcMar>
              <w:left w:w="57" w:type="dxa"/>
              <w:right w:w="57" w:type="dxa"/>
            </w:tcMar>
            <w:vAlign w:val="center"/>
          </w:tcPr>
          <w:p w14:paraId="0660A4F4">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（三）不予公开</w:t>
            </w:r>
          </w:p>
        </w:tc>
        <w:tc>
          <w:tcPr>
            <w:tcW w:w="3219" w:type="dxa"/>
            <w:tcBorders>
              <w:top w:val="nil"/>
              <w:left w:val="nil"/>
              <w:bottom w:val="single" w:color="auto" w:sz="8" w:space="0"/>
              <w:right w:val="single" w:color="auto" w:sz="8" w:space="0"/>
            </w:tcBorders>
            <w:shd w:val="clear"/>
            <w:tcMar>
              <w:left w:w="57" w:type="dxa"/>
              <w:right w:w="57" w:type="dxa"/>
            </w:tcMar>
            <w:vAlign w:val="top"/>
          </w:tcPr>
          <w:p w14:paraId="5671076D">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1.属于国家秘密</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B711CC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389F6D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4CD56B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6DF04143">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16404AA">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CCCBFF6">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single" w:color="auto" w:sz="8" w:space="0"/>
              <w:left w:val="nil"/>
              <w:bottom w:val="single" w:color="auto" w:sz="8" w:space="0"/>
              <w:right w:val="single" w:color="auto" w:sz="8" w:space="0"/>
            </w:tcBorders>
            <w:shd w:val="clear"/>
            <w:tcMar>
              <w:left w:w="57" w:type="dxa"/>
              <w:right w:w="57" w:type="dxa"/>
            </w:tcMar>
            <w:vAlign w:val="top"/>
          </w:tcPr>
          <w:p w14:paraId="7A9F039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r>
      <w:tr w14:paraId="569D6D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6695ACE2">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234FA6D2">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2F84F56C">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2.其他法律行政法规禁止公开</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DB97E3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AA80DB7">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B90269E">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99214E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6FE7D88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166333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DBF7615">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1ADEF90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2F3602E6">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0CD8152C">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50324AD1">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3.危及“三安全一稳定”</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2DD0717">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001EA8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9AE5624">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63DDE5EE">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536D2B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E33E23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EC00BD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658275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258FB48E">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08DCFEC4">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0CDC0700">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4.保护第三方合法权益</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577277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83ABFC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FE0730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16EE3A6">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A3CDB5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0E8484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90D0A41">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54C5AFF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769A2919">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3E422D15">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5895FF19">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5.属于三类内部事务信息</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FDFF31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AAD3F9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61592715">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77A3B05">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10E52B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A90259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9F9AFCE">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5D973D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0BF3E3D4">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7D9EB825">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5234387D">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6.属于四类过程性信息</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3329E7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C329833">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C60A20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582C965">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2A6BCB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67D894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56CEEB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254A59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3EFA27A6">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41890AF4">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721FACA4">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7.属于行政执法案卷</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61AA7A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4814CE6">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6F3D6E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66696D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1A8284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3C74A3C">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17213E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27A615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29DC9966">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000A6A83">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790B6F64">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8.属于行政查询事项</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3723EA4">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65D61616">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1E7726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4710111">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F65C8E4">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8133DD7">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3A63E14">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7E128C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672A260D">
            <w:pPr>
              <w:rPr>
                <w:rFonts w:hint="eastAsia" w:ascii="宋体"/>
                <w:sz w:val="24"/>
                <w:szCs w:val="24"/>
              </w:rPr>
            </w:pPr>
          </w:p>
        </w:tc>
        <w:tc>
          <w:tcPr>
            <w:tcW w:w="943" w:type="dxa"/>
            <w:vMerge w:val="restart"/>
            <w:tcBorders>
              <w:top w:val="nil"/>
              <w:left w:val="nil"/>
              <w:bottom w:val="outset" w:color="auto" w:sz="8" w:space="0"/>
              <w:right w:val="single" w:color="auto" w:sz="8" w:space="0"/>
            </w:tcBorders>
            <w:shd w:val="clear"/>
            <w:tcMar>
              <w:left w:w="57" w:type="dxa"/>
              <w:right w:w="57" w:type="dxa"/>
            </w:tcMar>
            <w:vAlign w:val="center"/>
          </w:tcPr>
          <w:p w14:paraId="642A1EB5">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（四）无法提供</w:t>
            </w:r>
          </w:p>
        </w:tc>
        <w:tc>
          <w:tcPr>
            <w:tcW w:w="3219" w:type="dxa"/>
            <w:tcBorders>
              <w:top w:val="nil"/>
              <w:left w:val="nil"/>
              <w:bottom w:val="single" w:color="auto" w:sz="8" w:space="0"/>
              <w:right w:val="single" w:color="auto" w:sz="8" w:space="0"/>
            </w:tcBorders>
            <w:shd w:val="clear"/>
            <w:tcMar>
              <w:left w:w="57" w:type="dxa"/>
              <w:right w:w="57" w:type="dxa"/>
            </w:tcMar>
            <w:vAlign w:val="top"/>
          </w:tcPr>
          <w:p w14:paraId="2D08B57F">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1.本机关不掌握相关政府信息</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5F7D37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EA9AF0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6A8CE99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300FC5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7F74104">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B79B30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8373C5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6E587E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20F46F96">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3A1DE49B">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30FEA544">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2.没有现成信息需要另行制作</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1142EB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2B70CBE">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4BE94F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691CEB1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8FE00BA">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C5B2D2C">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61F68E7">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02331F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41F24934">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76D7AABF">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05679B8D">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3.补正后申请内容仍不明确</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A1FE33C">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98C758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DF7464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02A4C4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7EBE30C">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6C99C61">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951F13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12834E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2A690B03">
            <w:pPr>
              <w:rPr>
                <w:rFonts w:hint="eastAsia" w:ascii="宋体"/>
                <w:sz w:val="24"/>
                <w:szCs w:val="24"/>
              </w:rPr>
            </w:pPr>
          </w:p>
        </w:tc>
        <w:tc>
          <w:tcPr>
            <w:tcW w:w="943" w:type="dxa"/>
            <w:vMerge w:val="restart"/>
            <w:tcBorders>
              <w:top w:val="nil"/>
              <w:left w:val="nil"/>
              <w:bottom w:val="outset" w:color="auto" w:sz="8" w:space="0"/>
              <w:right w:val="single" w:color="auto" w:sz="8" w:space="0"/>
            </w:tcBorders>
            <w:shd w:val="clear"/>
            <w:tcMar>
              <w:left w:w="57" w:type="dxa"/>
              <w:right w:w="57" w:type="dxa"/>
            </w:tcMar>
            <w:vAlign w:val="center"/>
          </w:tcPr>
          <w:p w14:paraId="27646FDF">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（五）不予处理</w:t>
            </w:r>
          </w:p>
        </w:tc>
        <w:tc>
          <w:tcPr>
            <w:tcW w:w="3219" w:type="dxa"/>
            <w:tcBorders>
              <w:top w:val="nil"/>
              <w:left w:val="nil"/>
              <w:bottom w:val="single" w:color="auto" w:sz="8" w:space="0"/>
              <w:right w:val="single" w:color="auto" w:sz="8" w:space="0"/>
            </w:tcBorders>
            <w:shd w:val="clear"/>
            <w:tcMar>
              <w:left w:w="57" w:type="dxa"/>
              <w:right w:w="57" w:type="dxa"/>
            </w:tcMar>
            <w:vAlign w:val="top"/>
          </w:tcPr>
          <w:p w14:paraId="7F89A2BD">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1.信访举报投诉类申请</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7597E3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21C58D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4120CAC">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26E3F8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A3B9BC7">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FEA96D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6CB09785">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63B2DB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0BA17998">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3D22CF81">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017282A7">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2.重复申请</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F76A213">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AA2C05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DD64953">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48B25D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B8B6837">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23888D6">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FE57A1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3C613DC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56E1AFD5">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18F748FD">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40FC4947">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3.要求提供公开出版物</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6C8258F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F78B15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DE07CF3">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6F36E3B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D2EAF7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A3CEC4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3071171">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1BAB185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6DDAC07F">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123A24C5">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top"/>
          </w:tcPr>
          <w:p w14:paraId="7CC65A97">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4.无正当理由大量反复申请</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337E6353">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06D535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568A57B5">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30DE933">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708305F1">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220C01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7900F7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6946FE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425BB0AD">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77824344">
            <w:pPr>
              <w:rPr>
                <w:rFonts w:hint="eastAsia" w:ascii="宋体"/>
                <w:sz w:val="24"/>
                <w:szCs w:val="24"/>
              </w:rPr>
            </w:pPr>
          </w:p>
        </w:tc>
        <w:tc>
          <w:tcPr>
            <w:tcW w:w="3219" w:type="dxa"/>
            <w:tcBorders>
              <w:top w:val="nil"/>
              <w:left w:val="nil"/>
              <w:bottom w:val="outset" w:color="auto" w:sz="8" w:space="0"/>
              <w:right w:val="single" w:color="auto" w:sz="8" w:space="0"/>
            </w:tcBorders>
            <w:shd w:val="clear"/>
            <w:tcMar>
              <w:left w:w="57" w:type="dxa"/>
              <w:right w:w="57" w:type="dxa"/>
            </w:tcMar>
            <w:vAlign w:val="center"/>
          </w:tcPr>
          <w:p w14:paraId="447421B7">
            <w:pPr>
              <w:keepNext w:val="0"/>
              <w:keepLines w:val="0"/>
              <w:widowControl/>
              <w:suppressLineNumbers w:val="0"/>
              <w:spacing w:before="0" w:beforeAutospacing="1" w:after="0" w:afterAutospacing="1"/>
              <w:ind w:left="0" w:right="0"/>
              <w:jc w:val="both"/>
            </w:pPr>
            <w:r>
              <w:rPr>
                <w:rFonts w:hint="eastAsia" w:ascii="宋体" w:hAnsi="宋体" w:eastAsia="宋体" w:cs="宋体"/>
                <w:kern w:val="0"/>
                <w:sz w:val="20"/>
                <w:szCs w:val="20"/>
                <w:bdr w:val="none" w:color="auto" w:sz="0" w:space="0"/>
                <w:lang w:val="en-US" w:eastAsia="zh-CN" w:bidi="ar"/>
              </w:rPr>
              <w:t>5.要求行政机关确认或重新出具已获取信息</w:t>
            </w:r>
          </w:p>
        </w:tc>
        <w:tc>
          <w:tcPr>
            <w:tcW w:w="688" w:type="dxa"/>
            <w:tcBorders>
              <w:top w:val="nil"/>
              <w:left w:val="nil"/>
              <w:bottom w:val="outset" w:color="auto" w:sz="8" w:space="0"/>
              <w:right w:val="single" w:color="auto" w:sz="8" w:space="0"/>
            </w:tcBorders>
            <w:shd w:val="clear"/>
            <w:tcMar>
              <w:left w:w="57" w:type="dxa"/>
              <w:right w:w="57" w:type="dxa"/>
            </w:tcMar>
            <w:vAlign w:val="top"/>
          </w:tcPr>
          <w:p w14:paraId="6BE4D87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outset" w:color="auto" w:sz="8" w:space="0"/>
              <w:right w:val="single" w:color="auto" w:sz="8" w:space="0"/>
            </w:tcBorders>
            <w:shd w:val="clear"/>
            <w:tcMar>
              <w:left w:w="57" w:type="dxa"/>
              <w:right w:w="57" w:type="dxa"/>
            </w:tcMar>
            <w:vAlign w:val="top"/>
          </w:tcPr>
          <w:p w14:paraId="17D945CC">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outset" w:color="auto" w:sz="8" w:space="0"/>
              <w:right w:val="single" w:color="auto" w:sz="8" w:space="0"/>
            </w:tcBorders>
            <w:shd w:val="clear"/>
            <w:tcMar>
              <w:left w:w="57" w:type="dxa"/>
              <w:right w:w="57" w:type="dxa"/>
            </w:tcMar>
            <w:vAlign w:val="top"/>
          </w:tcPr>
          <w:p w14:paraId="58CFD6C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outset" w:color="auto" w:sz="8" w:space="0"/>
              <w:right w:val="single" w:color="auto" w:sz="8" w:space="0"/>
            </w:tcBorders>
            <w:shd w:val="clear"/>
            <w:tcMar>
              <w:left w:w="57" w:type="dxa"/>
              <w:right w:w="57" w:type="dxa"/>
            </w:tcMar>
            <w:vAlign w:val="top"/>
          </w:tcPr>
          <w:p w14:paraId="4367506D">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outset" w:color="auto" w:sz="8" w:space="0"/>
              <w:right w:val="single" w:color="auto" w:sz="8" w:space="0"/>
            </w:tcBorders>
            <w:shd w:val="clear"/>
            <w:tcMar>
              <w:left w:w="57" w:type="dxa"/>
              <w:right w:w="57" w:type="dxa"/>
            </w:tcMar>
            <w:vAlign w:val="top"/>
          </w:tcPr>
          <w:p w14:paraId="026D505C">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outset" w:color="auto" w:sz="8" w:space="0"/>
              <w:right w:val="single" w:color="auto" w:sz="8" w:space="0"/>
            </w:tcBorders>
            <w:shd w:val="clear"/>
            <w:tcMar>
              <w:left w:w="57" w:type="dxa"/>
              <w:right w:w="57" w:type="dxa"/>
            </w:tcMar>
            <w:vAlign w:val="top"/>
          </w:tcPr>
          <w:p w14:paraId="54979ED7">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outset" w:color="auto" w:sz="8" w:space="0"/>
              <w:right w:val="single" w:color="auto" w:sz="8" w:space="0"/>
            </w:tcBorders>
            <w:shd w:val="clear"/>
            <w:tcMar>
              <w:left w:w="57" w:type="dxa"/>
              <w:right w:w="57" w:type="dxa"/>
            </w:tcMar>
            <w:vAlign w:val="top"/>
          </w:tcPr>
          <w:p w14:paraId="7FF88966">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r>
      <w:tr w14:paraId="18F923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263DEC1E">
            <w:pPr>
              <w:rPr>
                <w:rFonts w:hint="eastAsia" w:ascii="宋体"/>
                <w:sz w:val="24"/>
                <w:szCs w:val="24"/>
              </w:rPr>
            </w:pPr>
          </w:p>
        </w:tc>
        <w:tc>
          <w:tcPr>
            <w:tcW w:w="943" w:type="dxa"/>
            <w:vMerge w:val="restart"/>
            <w:tcBorders>
              <w:top w:val="nil"/>
              <w:left w:val="nil"/>
              <w:bottom w:val="outset" w:color="auto" w:sz="8" w:space="0"/>
              <w:right w:val="single" w:color="auto" w:sz="8" w:space="0"/>
            </w:tcBorders>
            <w:shd w:val="clear"/>
            <w:tcMar>
              <w:left w:w="57" w:type="dxa"/>
              <w:right w:w="57" w:type="dxa"/>
            </w:tcMar>
            <w:vAlign w:val="center"/>
          </w:tcPr>
          <w:p w14:paraId="3D0CF26D">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（六）其他处理</w:t>
            </w:r>
          </w:p>
        </w:tc>
        <w:tc>
          <w:tcPr>
            <w:tcW w:w="3219" w:type="dxa"/>
            <w:tcBorders>
              <w:top w:val="nil"/>
              <w:left w:val="nil"/>
              <w:bottom w:val="single" w:color="auto" w:sz="8" w:space="0"/>
              <w:right w:val="single" w:color="auto" w:sz="8" w:space="0"/>
            </w:tcBorders>
            <w:shd w:val="clear"/>
            <w:tcMar>
              <w:left w:w="57" w:type="dxa"/>
              <w:right w:w="57" w:type="dxa"/>
            </w:tcMar>
            <w:vAlign w:val="center"/>
          </w:tcPr>
          <w:p w14:paraId="0C59AF10">
            <w:pPr>
              <w:keepNext w:val="0"/>
              <w:keepLines w:val="0"/>
              <w:widowControl/>
              <w:suppressLineNumbers w:val="0"/>
              <w:spacing w:before="0" w:beforeAutospacing="1" w:after="0" w:afterAutospacing="1"/>
              <w:ind w:left="0" w:right="0"/>
              <w:jc w:val="both"/>
            </w:pPr>
            <w:r>
              <w:rPr>
                <w:rFonts w:hint="eastAsia" w:ascii="宋体" w:hAnsi="宋体" w:eastAsia="宋体" w:cs="宋体"/>
                <w:kern w:val="0"/>
                <w:sz w:val="20"/>
                <w:szCs w:val="20"/>
                <w:bdr w:val="none" w:color="auto" w:sz="0" w:space="0"/>
                <w:lang w:val="en-US" w:eastAsia="zh-CN" w:bidi="ar"/>
              </w:rPr>
              <w:t>1.申请人无正当理由逾期不补正、行政机关不再处理其政府信息公开申请</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3113786">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4EF2A53">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67A428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F10477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1C96441F">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AAE3D3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0AAA79FE">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r w14:paraId="0E36560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40528C2D">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55CA8C5D">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center"/>
          </w:tcPr>
          <w:p w14:paraId="130B0C3D">
            <w:pPr>
              <w:keepNext w:val="0"/>
              <w:keepLines w:val="0"/>
              <w:widowControl/>
              <w:suppressLineNumbers w:val="0"/>
              <w:spacing w:before="0" w:beforeAutospacing="1" w:after="0" w:afterAutospacing="1"/>
              <w:ind w:left="0" w:right="0"/>
              <w:jc w:val="both"/>
            </w:pPr>
            <w:r>
              <w:rPr>
                <w:rFonts w:hint="eastAsia" w:ascii="宋体" w:hAnsi="宋体" w:eastAsia="宋体" w:cs="宋体"/>
                <w:kern w:val="0"/>
                <w:sz w:val="20"/>
                <w:szCs w:val="20"/>
                <w:bdr w:val="none" w:color="auto" w:sz="0" w:space="0"/>
                <w:lang w:val="en-US" w:eastAsia="zh-CN" w:bidi="ar"/>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DDEEC93">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203920E">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461F871">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1F67094">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BC5FD1A">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2B21B2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4688AED9">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r>
      <w:tr w14:paraId="4950BB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05DA7642">
            <w:pPr>
              <w:rPr>
                <w:rFonts w:hint="eastAsia" w:ascii="宋体"/>
                <w:sz w:val="24"/>
                <w:szCs w:val="24"/>
              </w:rPr>
            </w:pPr>
          </w:p>
        </w:tc>
        <w:tc>
          <w:tcPr>
            <w:tcW w:w="943" w:type="dxa"/>
            <w:vMerge w:val="continue"/>
            <w:tcBorders>
              <w:top w:val="nil"/>
              <w:left w:val="nil"/>
              <w:bottom w:val="outset" w:color="auto" w:sz="8" w:space="0"/>
              <w:right w:val="single" w:color="auto" w:sz="8" w:space="0"/>
            </w:tcBorders>
            <w:shd w:val="clear"/>
            <w:tcMar>
              <w:left w:w="57" w:type="dxa"/>
              <w:right w:w="57" w:type="dxa"/>
            </w:tcMar>
            <w:vAlign w:val="center"/>
          </w:tcPr>
          <w:p w14:paraId="7A6E5A66">
            <w:pPr>
              <w:rPr>
                <w:rFonts w:hint="eastAsia" w:ascii="宋体"/>
                <w:sz w:val="24"/>
                <w:szCs w:val="24"/>
              </w:rPr>
            </w:pPr>
          </w:p>
        </w:tc>
        <w:tc>
          <w:tcPr>
            <w:tcW w:w="3219" w:type="dxa"/>
            <w:tcBorders>
              <w:top w:val="nil"/>
              <w:left w:val="nil"/>
              <w:bottom w:val="single" w:color="auto" w:sz="8" w:space="0"/>
              <w:right w:val="single" w:color="auto" w:sz="8" w:space="0"/>
            </w:tcBorders>
            <w:shd w:val="clear"/>
            <w:tcMar>
              <w:left w:w="57" w:type="dxa"/>
              <w:right w:w="57" w:type="dxa"/>
            </w:tcMar>
            <w:vAlign w:val="center"/>
          </w:tcPr>
          <w:p w14:paraId="2F785083">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3.其他</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45294A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AD8D375">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81C2372">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EB185C4">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293352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55BD14A">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18A6EE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r>
      <w:tr w14:paraId="4FBC45A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shd w:val="clear"/>
            <w:tcMar>
              <w:left w:w="57" w:type="dxa"/>
              <w:right w:w="57" w:type="dxa"/>
            </w:tcMar>
            <w:vAlign w:val="center"/>
          </w:tcPr>
          <w:p w14:paraId="08EDC6C5">
            <w:pPr>
              <w:rPr>
                <w:rFonts w:hint="eastAsia" w:ascii="宋体"/>
                <w:sz w:val="24"/>
                <w:szCs w:val="24"/>
              </w:rPr>
            </w:pPr>
          </w:p>
        </w:tc>
        <w:tc>
          <w:tcPr>
            <w:tcW w:w="4162" w:type="dxa"/>
            <w:gridSpan w:val="2"/>
            <w:tcBorders>
              <w:top w:val="nil"/>
              <w:left w:val="nil"/>
              <w:bottom w:val="single" w:color="auto" w:sz="8" w:space="0"/>
              <w:right w:val="single" w:color="auto" w:sz="8" w:space="0"/>
            </w:tcBorders>
            <w:shd w:val="clear"/>
            <w:tcMar>
              <w:left w:w="57" w:type="dxa"/>
              <w:right w:w="57" w:type="dxa"/>
            </w:tcMar>
            <w:vAlign w:val="center"/>
          </w:tcPr>
          <w:p w14:paraId="0D676AA3">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（七）总计</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538BC811">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22D89FB">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09A24768">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746C0A5">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0693E06">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E9F22A7">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1A7BDC1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r>
      <w:tr w14:paraId="578428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shd w:val="clear"/>
            <w:tcMar>
              <w:left w:w="57" w:type="dxa"/>
              <w:right w:w="57" w:type="dxa"/>
            </w:tcMar>
            <w:vAlign w:val="center"/>
          </w:tcPr>
          <w:p w14:paraId="2357B7CB">
            <w:pPr>
              <w:keepNext w:val="0"/>
              <w:keepLines w:val="0"/>
              <w:widowControl/>
              <w:suppressLineNumbers w:val="0"/>
              <w:spacing w:before="0" w:beforeAutospacing="1" w:after="0" w:afterAutospacing="1"/>
              <w:ind w:left="0" w:right="0"/>
              <w:jc w:val="left"/>
            </w:pPr>
            <w:r>
              <w:rPr>
                <w:rFonts w:hint="eastAsia" w:ascii="宋体" w:hAnsi="宋体" w:eastAsia="宋体" w:cs="宋体"/>
                <w:kern w:val="0"/>
                <w:sz w:val="20"/>
                <w:szCs w:val="20"/>
                <w:bdr w:val="none" w:color="auto" w:sz="0" w:space="0"/>
                <w:lang w:val="en-US" w:eastAsia="zh-CN" w:bidi="ar"/>
              </w:rPr>
              <w:t>四、结转下年度继续办理</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351D97B6">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470C005E">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8FE52FE">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6A9D6E20">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 0</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2CC3847C">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center"/>
          </w:tcPr>
          <w:p w14:paraId="7D052FE1">
            <w:pPr>
              <w:keepNext w:val="0"/>
              <w:keepLines w:val="0"/>
              <w:widowControl/>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0 </w:t>
            </w:r>
          </w:p>
        </w:tc>
        <w:tc>
          <w:tcPr>
            <w:tcW w:w="688" w:type="dxa"/>
            <w:tcBorders>
              <w:top w:val="nil"/>
              <w:left w:val="nil"/>
              <w:bottom w:val="single" w:color="auto" w:sz="8" w:space="0"/>
              <w:right w:val="single" w:color="auto" w:sz="8" w:space="0"/>
            </w:tcBorders>
            <w:shd w:val="clear"/>
            <w:tcMar>
              <w:left w:w="57" w:type="dxa"/>
              <w:right w:w="57" w:type="dxa"/>
            </w:tcMar>
            <w:vAlign w:val="top"/>
          </w:tcPr>
          <w:p w14:paraId="2299A8C8">
            <w:pPr>
              <w:keepNext w:val="0"/>
              <w:keepLines w:val="0"/>
              <w:widowControl w:val="0"/>
              <w:suppressLineNumbers w:val="0"/>
              <w:spacing w:before="0" w:beforeAutospacing="1" w:after="0" w:afterAutospacing="1"/>
              <w:ind w:left="0" w:right="0"/>
              <w:jc w:val="center"/>
            </w:pPr>
            <w:r>
              <w:rPr>
                <w:rFonts w:hint="default" w:ascii="Calibri" w:hAnsi="Calibri" w:eastAsia="仿宋_GB2312" w:cs="Calibri"/>
                <w:kern w:val="0"/>
                <w:sz w:val="20"/>
                <w:szCs w:val="20"/>
                <w:bdr w:val="none" w:color="auto" w:sz="0" w:space="0"/>
                <w:lang w:val="en-US" w:eastAsia="zh-CN" w:bidi="ar"/>
              </w:rPr>
              <w:t>0</w:t>
            </w:r>
          </w:p>
        </w:tc>
      </w:tr>
    </w:tbl>
    <w:p w14:paraId="228F76AB">
      <w:pPr>
        <w:pStyle w:val="8"/>
        <w:keepNext w:val="0"/>
        <w:keepLines w:val="0"/>
        <w:widowControl w:val="0"/>
        <w:suppressLineNumbers w:val="0"/>
        <w:spacing w:before="0" w:beforeAutospacing="0" w:after="0" w:afterAutospacing="0"/>
        <w:ind w:left="0" w:right="0" w:firstLine="640" w:firstLineChars="200"/>
        <w:jc w:val="both"/>
      </w:pPr>
      <w:r>
        <w:rPr>
          <w:rFonts w:hint="eastAsia" w:ascii="黑体" w:hAnsi="宋体" w:eastAsia="黑体" w:cs="黑体"/>
          <w:b w:val="0"/>
          <w:bCs w:val="0"/>
          <w:kern w:val="0"/>
          <w:sz w:val="32"/>
          <w:szCs w:val="32"/>
          <w:shd w:val="clear" w:fill="FFFFFF"/>
          <w:lang w:val="en-US" w:eastAsia="zh-CN" w:bidi="ar"/>
        </w:rPr>
        <w:t>四、政府信息公开行政复议、行政诉讼情况</w:t>
      </w:r>
    </w:p>
    <w:tbl>
      <w:tblPr>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0"/>
        <w:gridCol w:w="650"/>
        <w:gridCol w:w="650"/>
        <w:gridCol w:w="650"/>
        <w:gridCol w:w="650"/>
      </w:tblGrid>
      <w:tr w14:paraId="49B9DF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14:paraId="77E13243">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行政复议</w:t>
            </w:r>
          </w:p>
        </w:tc>
        <w:tc>
          <w:tcPr>
            <w:tcW w:w="6498" w:type="dxa"/>
            <w:gridSpan w:val="10"/>
            <w:tcBorders>
              <w:top w:val="single" w:color="auto" w:sz="8" w:space="0"/>
              <w:left w:val="nil"/>
              <w:bottom w:val="single" w:color="auto" w:sz="8" w:space="0"/>
              <w:right w:val="single" w:color="auto" w:sz="8" w:space="0"/>
            </w:tcBorders>
            <w:shd w:val="clear"/>
            <w:tcMar>
              <w:left w:w="108" w:type="dxa"/>
              <w:right w:w="108" w:type="dxa"/>
            </w:tcMar>
            <w:vAlign w:val="center"/>
          </w:tcPr>
          <w:p w14:paraId="60B704F1">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行政诉讼</w:t>
            </w:r>
          </w:p>
        </w:tc>
      </w:tr>
      <w:tr w14:paraId="2A2DDF5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14:paraId="3A28FBBD">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结果维持</w:t>
            </w:r>
          </w:p>
        </w:tc>
        <w:tc>
          <w:tcPr>
            <w:tcW w:w="649" w:type="dxa"/>
            <w:vMerge w:val="restart"/>
            <w:tcBorders>
              <w:top w:val="nil"/>
              <w:left w:val="nil"/>
              <w:bottom w:val="single" w:color="auto" w:sz="8" w:space="0"/>
              <w:right w:val="single" w:color="auto" w:sz="8" w:space="0"/>
            </w:tcBorders>
            <w:shd w:val="clear"/>
            <w:tcMar>
              <w:left w:w="108" w:type="dxa"/>
              <w:right w:w="108" w:type="dxa"/>
            </w:tcMar>
            <w:vAlign w:val="center"/>
          </w:tcPr>
          <w:p w14:paraId="2A8620CF">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结果</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纠正</w:t>
            </w:r>
          </w:p>
        </w:tc>
        <w:tc>
          <w:tcPr>
            <w:tcW w:w="649"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14:paraId="61A9B5E6">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其他</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结果</w:t>
            </w:r>
          </w:p>
        </w:tc>
        <w:tc>
          <w:tcPr>
            <w:tcW w:w="649"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14:paraId="5582F57B">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尚未</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审结</w:t>
            </w:r>
          </w:p>
        </w:tc>
        <w:tc>
          <w:tcPr>
            <w:tcW w:w="649"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14:paraId="0573C8C2">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总计</w:t>
            </w:r>
          </w:p>
        </w:tc>
        <w:tc>
          <w:tcPr>
            <w:tcW w:w="3248"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14:paraId="5D4CFD4C">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未经复议直接起诉</w:t>
            </w:r>
          </w:p>
        </w:tc>
        <w:tc>
          <w:tcPr>
            <w:tcW w:w="3250"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14:paraId="17F43113">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复议后起诉</w:t>
            </w:r>
          </w:p>
        </w:tc>
      </w:tr>
      <w:tr w14:paraId="3C736A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14:paraId="715E2FCB">
            <w:pPr>
              <w:rPr>
                <w:rFonts w:hint="eastAsia" w:ascii="宋体"/>
                <w:sz w:val="24"/>
                <w:szCs w:val="24"/>
              </w:rPr>
            </w:pPr>
          </w:p>
        </w:tc>
        <w:tc>
          <w:tcPr>
            <w:tcW w:w="649" w:type="dxa"/>
            <w:vMerge w:val="continue"/>
            <w:tcBorders>
              <w:top w:val="nil"/>
              <w:left w:val="nil"/>
              <w:bottom w:val="single" w:color="auto" w:sz="8" w:space="0"/>
              <w:right w:val="single" w:color="auto" w:sz="8" w:space="0"/>
            </w:tcBorders>
            <w:shd w:val="clear"/>
            <w:tcMar>
              <w:left w:w="108" w:type="dxa"/>
              <w:right w:w="108" w:type="dxa"/>
            </w:tcMar>
            <w:vAlign w:val="center"/>
          </w:tcPr>
          <w:p w14:paraId="2FEA7E42">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14:paraId="7571E19C">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14:paraId="4A041F1C">
            <w:pPr>
              <w:rPr>
                <w:rFonts w:hint="eastAsia" w:ascii="宋体"/>
                <w:sz w:val="24"/>
                <w:szCs w:val="24"/>
              </w:rPr>
            </w:pPr>
          </w:p>
        </w:tc>
        <w:tc>
          <w:tcPr>
            <w:tcW w:w="649"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14:paraId="16493FC9">
            <w:pPr>
              <w:rPr>
                <w:rFonts w:hint="eastAsia" w:ascii="宋体"/>
                <w:sz w:val="24"/>
                <w:szCs w:val="24"/>
              </w:rPr>
            </w:pP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3CAEC010">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结果</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维持</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1DF19B74">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结果</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纠正</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67B94957">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其他</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结果</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5FD811EB">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尚未</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审结</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23F9A000">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总计</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0393D8C0">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结果</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维持</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761A220C">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结果</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纠正</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6CAFFDFD">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其他</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结果</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12C41832">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尚未</w:t>
            </w:r>
            <w:r>
              <w:rPr>
                <w:rFonts w:hint="eastAsia" w:ascii="宋体" w:hAnsi="宋体" w:eastAsia="宋体" w:cs="宋体"/>
                <w:kern w:val="0"/>
                <w:sz w:val="20"/>
                <w:szCs w:val="20"/>
                <w:bdr w:val="none" w:color="auto" w:sz="0" w:space="0"/>
                <w:lang w:val="en-US" w:eastAsia="zh-CN" w:bidi="ar"/>
              </w:rPr>
              <w:br w:type="textWrapping"/>
            </w:r>
            <w:r>
              <w:rPr>
                <w:rFonts w:hint="eastAsia" w:ascii="宋体" w:hAnsi="宋体" w:eastAsia="宋体" w:cs="宋体"/>
                <w:kern w:val="0"/>
                <w:sz w:val="20"/>
                <w:szCs w:val="20"/>
                <w:bdr w:val="none" w:color="auto" w:sz="0" w:space="0"/>
                <w:lang w:val="en-US" w:eastAsia="zh-CN" w:bidi="ar"/>
              </w:rPr>
              <w:t>审结</w:t>
            </w:r>
          </w:p>
        </w:tc>
        <w:tc>
          <w:tcPr>
            <w:tcW w:w="650" w:type="dxa"/>
            <w:tcBorders>
              <w:top w:val="single" w:color="auto" w:sz="8" w:space="0"/>
              <w:left w:val="nil"/>
              <w:bottom w:val="single" w:color="auto" w:sz="8" w:space="0"/>
              <w:right w:val="single" w:color="auto" w:sz="8" w:space="0"/>
            </w:tcBorders>
            <w:shd w:val="clear"/>
            <w:tcMar>
              <w:left w:w="108" w:type="dxa"/>
              <w:right w:w="108" w:type="dxa"/>
            </w:tcMar>
            <w:vAlign w:val="center"/>
          </w:tcPr>
          <w:p w14:paraId="38328952">
            <w:pPr>
              <w:keepNext w:val="0"/>
              <w:keepLines w:val="0"/>
              <w:widowControl/>
              <w:suppressLineNumbers w:val="0"/>
              <w:spacing w:before="0" w:beforeAutospacing="1" w:after="0" w:afterAutospacing="1"/>
              <w:ind w:left="0" w:right="0" w:firstLine="0"/>
              <w:jc w:val="center"/>
            </w:pPr>
            <w:r>
              <w:rPr>
                <w:rFonts w:hint="eastAsia" w:ascii="宋体" w:hAnsi="宋体" w:eastAsia="宋体" w:cs="宋体"/>
                <w:kern w:val="0"/>
                <w:sz w:val="20"/>
                <w:szCs w:val="20"/>
                <w:bdr w:val="none" w:color="auto" w:sz="0" w:space="0"/>
                <w:lang w:val="en-US" w:eastAsia="zh-CN" w:bidi="ar"/>
              </w:rPr>
              <w:t>总计</w:t>
            </w:r>
          </w:p>
        </w:tc>
      </w:tr>
      <w:tr w14:paraId="46766F9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12" w:hRule="atLeast"/>
          <w:jc w:val="center"/>
        </w:trPr>
        <w:tc>
          <w:tcPr>
            <w:tcW w:w="649" w:type="dxa"/>
            <w:tcBorders>
              <w:top w:val="nil"/>
              <w:left w:val="single" w:color="auto" w:sz="8" w:space="0"/>
              <w:bottom w:val="single" w:color="auto" w:sz="8" w:space="0"/>
              <w:right w:val="single" w:color="auto" w:sz="8" w:space="0"/>
            </w:tcBorders>
            <w:shd w:val="clear"/>
            <w:tcMar>
              <w:left w:w="108" w:type="dxa"/>
              <w:right w:w="108" w:type="dxa"/>
            </w:tcMar>
            <w:vAlign w:val="center"/>
          </w:tcPr>
          <w:p w14:paraId="18D692CA">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3C74C281">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3D5BEBE0">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0C191701">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0EE10049">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7570F2F3">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49" w:type="dxa"/>
            <w:tcBorders>
              <w:top w:val="nil"/>
              <w:left w:val="nil"/>
              <w:bottom w:val="single" w:color="auto" w:sz="8" w:space="0"/>
              <w:right w:val="single" w:color="auto" w:sz="8" w:space="0"/>
            </w:tcBorders>
            <w:shd w:val="clear"/>
            <w:tcMar>
              <w:left w:w="108" w:type="dxa"/>
              <w:right w:w="108" w:type="dxa"/>
            </w:tcMar>
            <w:vAlign w:val="center"/>
          </w:tcPr>
          <w:p w14:paraId="190B9A4B">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29228D11">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794F676F">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6DB149F6">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7D3615F3">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23CD04AA">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0CB33703">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377C4FDC">
            <w:pPr>
              <w:keepNext w:val="0"/>
              <w:keepLines w:val="0"/>
              <w:widowControl/>
              <w:suppressLineNumbers w:val="0"/>
              <w:spacing w:before="0" w:beforeAutospacing="1" w:after="0" w:afterAutospacing="1"/>
              <w:ind w:left="0" w:right="0" w:firstLine="0"/>
              <w:jc w:val="center"/>
            </w:pPr>
            <w:r>
              <w:rPr>
                <w:rFonts w:hint="eastAsia" w:ascii="黑体" w:hAnsi="宋体" w:eastAsia="黑体" w:cs="黑体"/>
                <w:kern w:val="0"/>
                <w:sz w:val="20"/>
                <w:szCs w:val="20"/>
                <w:bdr w:val="none" w:color="auto" w:sz="0" w:space="0"/>
                <w:lang w:val="en-US" w:eastAsia="zh-CN" w:bidi="ar"/>
              </w:rPr>
              <w:t>0</w:t>
            </w:r>
          </w:p>
        </w:tc>
        <w:tc>
          <w:tcPr>
            <w:tcW w:w="650" w:type="dxa"/>
            <w:tcBorders>
              <w:top w:val="nil"/>
              <w:left w:val="nil"/>
              <w:bottom w:val="single" w:color="auto" w:sz="8" w:space="0"/>
              <w:right w:val="single" w:color="auto" w:sz="8" w:space="0"/>
            </w:tcBorders>
            <w:shd w:val="clear"/>
            <w:tcMar>
              <w:left w:w="108" w:type="dxa"/>
              <w:right w:w="108" w:type="dxa"/>
            </w:tcMar>
            <w:vAlign w:val="center"/>
          </w:tcPr>
          <w:p w14:paraId="5FD00275">
            <w:pPr>
              <w:keepNext w:val="0"/>
              <w:keepLines w:val="0"/>
              <w:widowControl w:val="0"/>
              <w:suppressLineNumbers w:val="0"/>
              <w:spacing w:before="0" w:beforeAutospacing="1" w:after="0" w:afterAutospacing="1"/>
              <w:ind w:left="0" w:right="0"/>
              <w:jc w:val="center"/>
            </w:pPr>
            <w:r>
              <w:rPr>
                <w:rFonts w:hint="eastAsia" w:ascii="黑体" w:hAnsi="宋体" w:eastAsia="黑体" w:cs="黑体"/>
                <w:kern w:val="0"/>
                <w:sz w:val="20"/>
                <w:szCs w:val="20"/>
                <w:bdr w:val="none" w:color="auto" w:sz="0" w:space="0"/>
                <w:lang w:val="en-US" w:eastAsia="zh-CN" w:bidi="ar"/>
              </w:rPr>
              <w:t>0</w:t>
            </w:r>
          </w:p>
        </w:tc>
      </w:tr>
    </w:tbl>
    <w:p w14:paraId="76EDC0D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pPr>
      <w:r>
        <w:rPr>
          <w:rFonts w:hint="eastAsia" w:ascii="黑体" w:hAnsi="宋体" w:eastAsia="黑体" w:cs="黑体"/>
          <w:b w:val="0"/>
          <w:bCs w:val="0"/>
          <w:kern w:val="0"/>
          <w:sz w:val="32"/>
          <w:szCs w:val="32"/>
          <w:shd w:val="clear" w:fill="FFFFFF"/>
          <w:lang w:val="en-US" w:eastAsia="zh-CN" w:bidi="ar"/>
        </w:rPr>
        <w:t>五、存在的主要问题及改进情况</w:t>
      </w:r>
    </w:p>
    <w:p w14:paraId="0B20F9E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楷体_GB2312" w:hAnsi="Calibri" w:eastAsia="楷体_GB2312" w:cs="楷体_GB2312"/>
          <w:b/>
          <w:bCs/>
          <w:kern w:val="0"/>
          <w:sz w:val="32"/>
          <w:szCs w:val="32"/>
          <w:shd w:val="clear" w:fill="FFFFFF"/>
          <w:lang w:val="en-US" w:eastAsia="zh-CN" w:bidi="ar"/>
        </w:rPr>
        <w:t>（一）存在问题。</w:t>
      </w:r>
    </w:p>
    <w:p w14:paraId="1BB54CDC">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pPr>
      <w:r>
        <w:rPr>
          <w:rFonts w:hint="eastAsia" w:ascii="仿宋_GB2312" w:hAnsi="Calibri" w:eastAsia="仿宋_GB2312" w:cs="仿宋_GB2312"/>
          <w:kern w:val="0"/>
          <w:sz w:val="32"/>
          <w:szCs w:val="32"/>
          <w:shd w:val="clear" w:fill="FFFFFF"/>
          <w:lang w:val="en-US" w:eastAsia="zh-CN" w:bidi="ar"/>
        </w:rPr>
        <w:t>2021年，我局以习近平新时代中国特色社会主义思想为指导，深入贯彻落实县政府关于政府信息公开的工作部署，政务公开工作取得了较好成效。同时还存在一定问题，主要表现在：社会公众对申请政府信息公开认识不足，申请政府信息公开的数量较少；由于审计工作的特殊性和专业性特点，可供公开的信息内容有限，公开范围不广；审计结果公告格式性较强，可读性有待加强。</w:t>
      </w:r>
    </w:p>
    <w:p w14:paraId="07BFC75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楷体_GB2312" w:hAnsi="Calibri" w:eastAsia="楷体_GB2312" w:cs="楷体_GB2312"/>
          <w:b/>
          <w:bCs/>
          <w:kern w:val="0"/>
          <w:sz w:val="32"/>
          <w:szCs w:val="32"/>
          <w:shd w:val="clear" w:fill="FFFFFF"/>
          <w:lang w:val="en-US" w:eastAsia="zh-CN" w:bidi="ar"/>
        </w:rPr>
        <w:t>（二）改进情况。</w:t>
      </w:r>
    </w:p>
    <w:p w14:paraId="110C9AD8">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rightChars="0" w:firstLine="643" w:firstLineChars="200"/>
        <w:jc w:val="both"/>
        <w:textAlignment w:val="auto"/>
      </w:pPr>
      <w:r>
        <w:rPr>
          <w:rFonts w:hint="eastAsia" w:ascii="仿宋_GB2312" w:hAnsi="Calibri" w:eastAsia="仿宋_GB2312" w:cs="仿宋_GB2312"/>
          <w:b/>
          <w:bCs/>
          <w:kern w:val="0"/>
          <w:sz w:val="32"/>
          <w:szCs w:val="32"/>
          <w:shd w:val="clear" w:fill="FFFFFF"/>
          <w:lang w:val="en-US" w:eastAsia="zh-CN" w:bidi="ar"/>
        </w:rPr>
        <w:t>一是</w:t>
      </w:r>
      <w:r>
        <w:rPr>
          <w:rFonts w:hint="eastAsia" w:ascii="仿宋_GB2312" w:hAnsi="Calibri" w:eastAsia="仿宋_GB2312" w:cs="仿宋_GB2312"/>
          <w:kern w:val="0"/>
          <w:sz w:val="32"/>
          <w:szCs w:val="32"/>
          <w:shd w:val="clear" w:fill="FFFFFF"/>
          <w:lang w:val="en-US" w:eastAsia="zh-CN" w:bidi="ar"/>
        </w:rPr>
        <w:t>加强巡检，要求信息员加强公开栏目的信息摸排巡查，对空白栏目及时更新，对不符合规范的栏目及时更改。</w:t>
      </w:r>
    </w:p>
    <w:p w14:paraId="22B1CAE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rightChars="0" w:firstLine="643" w:firstLineChars="200"/>
        <w:jc w:val="both"/>
        <w:textAlignment w:val="auto"/>
      </w:pPr>
      <w:r>
        <w:rPr>
          <w:rFonts w:hint="eastAsia" w:ascii="仿宋_GB2312" w:hAnsi="Calibri" w:eastAsia="仿宋_GB2312" w:cs="仿宋_GB2312"/>
          <w:b/>
          <w:bCs/>
          <w:kern w:val="0"/>
          <w:sz w:val="32"/>
          <w:szCs w:val="32"/>
          <w:shd w:val="clear" w:fill="FFFFFF"/>
          <w:lang w:val="en-US" w:eastAsia="zh-CN" w:bidi="ar"/>
        </w:rPr>
        <w:t>二是</w:t>
      </w:r>
      <w:r>
        <w:rPr>
          <w:rFonts w:hint="eastAsia" w:ascii="仿宋_GB2312" w:hAnsi="Calibri" w:eastAsia="仿宋_GB2312" w:cs="仿宋_GB2312"/>
          <w:kern w:val="0"/>
          <w:sz w:val="32"/>
          <w:szCs w:val="32"/>
          <w:shd w:val="clear" w:fill="FFFFFF"/>
          <w:lang w:val="en-US" w:eastAsia="zh-CN" w:bidi="ar"/>
        </w:rPr>
        <w:t>规范流程，依据政务公开目录，建立健全单位公开目录清单，明确公开类别、时间、内容，规范公开程序。</w:t>
      </w:r>
    </w:p>
    <w:p w14:paraId="47BB8AF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rightChars="0" w:firstLine="643" w:firstLineChars="200"/>
        <w:jc w:val="both"/>
        <w:textAlignment w:val="auto"/>
      </w:pPr>
      <w:r>
        <w:rPr>
          <w:rFonts w:hint="eastAsia" w:ascii="仿宋_GB2312" w:hAnsi="Calibri" w:eastAsia="仿宋_GB2312" w:cs="仿宋_GB2312"/>
          <w:b/>
          <w:bCs/>
          <w:kern w:val="0"/>
          <w:sz w:val="32"/>
          <w:szCs w:val="32"/>
          <w:shd w:val="clear" w:fill="FFFFFF"/>
          <w:lang w:val="en-US" w:eastAsia="zh-CN" w:bidi="ar"/>
        </w:rPr>
        <w:t>三是</w:t>
      </w:r>
      <w:r>
        <w:rPr>
          <w:rFonts w:hint="eastAsia" w:ascii="仿宋_GB2312" w:hAnsi="Calibri" w:eastAsia="仿宋_GB2312" w:cs="仿宋_GB2312"/>
          <w:kern w:val="0"/>
          <w:sz w:val="32"/>
          <w:szCs w:val="32"/>
          <w:shd w:val="clear" w:fill="FFFFFF"/>
          <w:lang w:val="en-US" w:eastAsia="zh-CN" w:bidi="ar"/>
        </w:rPr>
        <w:t>强化考核，制定单位政务公开工作方案，明确信息提供责任科室，同时将政务公开工作纳入到单位干部职工及科室考核指标中。</w:t>
      </w:r>
    </w:p>
    <w:p w14:paraId="4527FA00">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楷体_GB2312" w:hAnsi="Calibri" w:eastAsia="楷体_GB2312" w:cs="楷体_GB2312"/>
          <w:b/>
          <w:bCs/>
          <w:kern w:val="0"/>
          <w:sz w:val="32"/>
          <w:szCs w:val="32"/>
          <w:shd w:val="clear" w:fill="FFFFFF"/>
          <w:lang w:val="en-US" w:eastAsia="zh-CN" w:bidi="ar"/>
        </w:rPr>
        <w:t>（三）下一步打算。</w:t>
      </w:r>
    </w:p>
    <w:p w14:paraId="7BD007C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仿宋_GB2312" w:hAnsi="Calibri" w:eastAsia="仿宋_GB2312" w:cs="仿宋_GB2312"/>
          <w:b/>
          <w:bCs/>
          <w:kern w:val="0"/>
          <w:sz w:val="32"/>
          <w:szCs w:val="32"/>
          <w:shd w:val="clear" w:fill="FFFFFF"/>
          <w:lang w:val="en-US" w:eastAsia="zh-CN" w:bidi="ar"/>
        </w:rPr>
        <w:t>一是</w:t>
      </w:r>
      <w:r>
        <w:rPr>
          <w:rFonts w:hint="eastAsia" w:ascii="仿宋_GB2312" w:hAnsi="Calibri" w:eastAsia="仿宋_GB2312" w:cs="仿宋_GB2312"/>
          <w:kern w:val="0"/>
          <w:sz w:val="32"/>
          <w:szCs w:val="32"/>
          <w:shd w:val="clear" w:fill="FFFFFF"/>
          <w:lang w:val="en-US" w:eastAsia="zh-CN" w:bidi="ar"/>
        </w:rPr>
        <w:t>进一步加大信息公开力度，尤其是审计重点领域信息公开力度。充分利用审计成果，重点抓好审计结果和审计整改、重大政策措施落实审计、民生资金项目专项审计、政府投资审计等情况的相关信息公开。</w:t>
      </w:r>
    </w:p>
    <w:p w14:paraId="73F1DB8B">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仿宋_GB2312" w:hAnsi="Calibri" w:eastAsia="仿宋_GB2312" w:cs="仿宋_GB2312"/>
          <w:b/>
          <w:bCs/>
          <w:kern w:val="0"/>
          <w:sz w:val="32"/>
          <w:szCs w:val="32"/>
          <w:shd w:val="clear" w:fill="FFFFFF"/>
          <w:lang w:val="en-US" w:eastAsia="zh-CN" w:bidi="ar"/>
        </w:rPr>
        <w:t>二是</w:t>
      </w:r>
      <w:r>
        <w:rPr>
          <w:rFonts w:hint="eastAsia" w:ascii="仿宋_GB2312" w:hAnsi="Calibri" w:eastAsia="仿宋_GB2312" w:cs="仿宋_GB2312"/>
          <w:kern w:val="0"/>
          <w:sz w:val="32"/>
          <w:szCs w:val="32"/>
          <w:shd w:val="clear" w:fill="FFFFFF"/>
          <w:lang w:val="en-US" w:eastAsia="zh-CN" w:bidi="ar"/>
        </w:rPr>
        <w:t>进一步加强政策解读</w:t>
      </w:r>
      <w:bookmarkStart w:id="0" w:name="_GoBack"/>
      <w:bookmarkEnd w:id="0"/>
      <w:r>
        <w:rPr>
          <w:rFonts w:hint="eastAsia" w:ascii="仿宋_GB2312" w:hAnsi="Calibri" w:eastAsia="仿宋_GB2312" w:cs="仿宋_GB2312"/>
          <w:kern w:val="0"/>
          <w:sz w:val="32"/>
          <w:szCs w:val="32"/>
          <w:shd w:val="clear" w:fill="FFFFFF"/>
          <w:lang w:val="en-US" w:eastAsia="zh-CN" w:bidi="ar"/>
        </w:rPr>
        <w:t>信息发布。在做好本级政策文件解读相关信息发布的基础上，加入对审计署、省审计厅、市审计局出台重要政策文件的解读，不断丰富解读的形式、方式和内容。</w:t>
      </w:r>
    </w:p>
    <w:p w14:paraId="1E2E714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pPr>
      <w:r>
        <w:rPr>
          <w:rFonts w:hint="eastAsia" w:ascii="仿宋_GB2312" w:hAnsi="Calibri" w:eastAsia="仿宋_GB2312" w:cs="仿宋_GB2312"/>
          <w:b/>
          <w:bCs/>
          <w:kern w:val="0"/>
          <w:sz w:val="32"/>
          <w:szCs w:val="32"/>
          <w:shd w:val="clear" w:fill="FFFFFF"/>
          <w:lang w:val="en-US" w:eastAsia="zh-CN" w:bidi="ar"/>
        </w:rPr>
        <w:t>三是</w:t>
      </w:r>
      <w:r>
        <w:rPr>
          <w:rFonts w:hint="eastAsia" w:ascii="仿宋_GB2312" w:hAnsi="Calibri" w:eastAsia="仿宋_GB2312" w:cs="仿宋_GB2312"/>
          <w:kern w:val="0"/>
          <w:sz w:val="32"/>
          <w:szCs w:val="32"/>
          <w:shd w:val="clear" w:fill="FFFFFF"/>
          <w:lang w:val="en-US" w:eastAsia="zh-CN" w:bidi="ar"/>
        </w:rPr>
        <w:t>进一步发挥新媒体和信息平台作用。加强对“互联网+”、微博、微信等新技术、新媒体的学习和应用，推进互联网和政府信息公开工作的深度融合，运用微博、微信主动及时向社会群众公开热点信息，创新公开方式方法，提升政务公开水平和工作成效。</w:t>
      </w:r>
    </w:p>
    <w:p w14:paraId="427D5BA5">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pPr>
      <w:r>
        <w:rPr>
          <w:rFonts w:hint="eastAsia" w:ascii="黑体" w:hAnsi="宋体" w:eastAsia="黑体" w:cs="黑体"/>
          <w:b w:val="0"/>
          <w:bCs w:val="0"/>
          <w:kern w:val="0"/>
          <w:sz w:val="32"/>
          <w:szCs w:val="32"/>
          <w:shd w:val="clear" w:fill="FFFFFF"/>
          <w:lang w:val="en-US" w:eastAsia="zh-CN" w:bidi="ar"/>
        </w:rPr>
        <w:t>六、其他需要报告的事项</w:t>
      </w:r>
    </w:p>
    <w:p w14:paraId="5A71B4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Times New Roman" w:eastAsia="仿宋_GB2312" w:cs="仿宋_GB2312"/>
          <w:kern w:val="2"/>
          <w:sz w:val="32"/>
          <w:szCs w:val="32"/>
          <w:lang w:val="en-US" w:eastAsia="zh-CN" w:bidi="ar"/>
        </w:rPr>
        <w:t>按照《国务院办公厅关于印发〈政府信息公开信息处理费管理办法〉的通知》（国办函〔2020〕109号）规定的按件、按量收费标准，本年度没有产生信息公开处理费。</w:t>
      </w:r>
    </w:p>
    <w:p w14:paraId="66FACB74">
      <w:pPr>
        <w:pStyle w:val="2"/>
        <w:ind w:left="0" w:leftChars="0" w:firstLine="0" w:firstLineChars="0"/>
        <w:rPr>
          <w:rFonts w:hint="eastAsia" w:ascii="宋体" w:hAnsi="宋体" w:eastAsia="宋体" w:cs="宋体"/>
          <w:i w:val="0"/>
          <w:caps w:val="0"/>
          <w:color w:val="auto"/>
          <w:spacing w:val="0"/>
          <w:kern w:val="0"/>
          <w:sz w:val="24"/>
          <w:szCs w:val="24"/>
          <w:shd w:val="clear" w:color="auto" w:fill="FFFFFF"/>
          <w:lang w:val="en-US" w:eastAsia="zh-CN" w:bidi="ar"/>
        </w:rPr>
      </w:pPr>
    </w:p>
    <w:sectPr>
      <w:pgSz w:w="11906" w:h="16838"/>
      <w:pgMar w:top="1701" w:right="1587" w:bottom="1701" w:left="1587" w:header="851" w:footer="992" w:gutter="0"/>
      <w:cols w:space="0" w:num="1"/>
      <w:rtlGutter w:val="0"/>
      <w:docGrid w:type="lines" w:linePitch="44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hMDZjMjc2MTEwZmY1YTMwNDAzMzlmM2M0NDdjODkifQ=="/>
  </w:docVars>
  <w:rsids>
    <w:rsidRoot w:val="2F0B6118"/>
    <w:rsid w:val="01900A3E"/>
    <w:rsid w:val="0A8529F1"/>
    <w:rsid w:val="163C4DDE"/>
    <w:rsid w:val="1BF718C8"/>
    <w:rsid w:val="265C336E"/>
    <w:rsid w:val="26E37FD5"/>
    <w:rsid w:val="2F0B6118"/>
    <w:rsid w:val="2FD84249"/>
    <w:rsid w:val="47FC3321"/>
    <w:rsid w:val="4FB37368"/>
    <w:rsid w:val="50F14504"/>
    <w:rsid w:val="54FB0EAB"/>
    <w:rsid w:val="58EA13C8"/>
    <w:rsid w:val="678E6DE6"/>
    <w:rsid w:val="6DA66FC1"/>
    <w:rsid w:val="6EAA2497"/>
    <w:rsid w:val="750B6C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Times New Roman" w:eastAsia="仿宋_GB2312" w:cs="Times New Roman"/>
      <w:kern w:val="2"/>
      <w:sz w:val="32"/>
      <w:szCs w:val="32"/>
      <w:lang w:val="en-US" w:eastAsia="zh-CN" w:bidi="ar-SA"/>
    </w:rPr>
  </w:style>
  <w:style w:type="paragraph" w:styleId="4">
    <w:name w:val="heading 1"/>
    <w:basedOn w:val="1"/>
    <w:next w:val="1"/>
    <w:autoRedefine/>
    <w:qFormat/>
    <w:uiPriority w:val="0"/>
    <w:pPr>
      <w:keepNext/>
      <w:keepLines/>
      <w:spacing w:beforeLines="0" w:beforeAutospacing="0" w:afterLines="0" w:afterAutospacing="0" w:line="600" w:lineRule="exact"/>
      <w:ind w:firstLine="0" w:firstLineChars="0"/>
      <w:jc w:val="center"/>
      <w:outlineLvl w:val="0"/>
    </w:pPr>
    <w:rPr>
      <w:rFonts w:ascii="方正小标宋简体" w:hAnsi="方正小标宋简体" w:eastAsia="方正小标宋简体" w:cs="方正小标宋简体"/>
      <w:kern w:val="44"/>
      <w:sz w:val="44"/>
      <w:szCs w:val="44"/>
    </w:rPr>
  </w:style>
  <w:style w:type="paragraph" w:styleId="5">
    <w:name w:val="heading 2"/>
    <w:basedOn w:val="1"/>
    <w:next w:val="1"/>
    <w:autoRedefine/>
    <w:semiHidden/>
    <w:unhideWhenUsed/>
    <w:qFormat/>
    <w:uiPriority w:val="0"/>
    <w:pPr>
      <w:keepNext/>
      <w:keepLines/>
      <w:spacing w:beforeLines="0" w:beforeAutospacing="0" w:afterLines="0" w:afterAutospacing="0" w:line="600" w:lineRule="exact"/>
      <w:outlineLvl w:val="1"/>
    </w:pPr>
    <w:rPr>
      <w:rFonts w:ascii="黑体" w:hAnsi="黑体" w:eastAsia="黑体" w:cs="黑体"/>
    </w:rPr>
  </w:style>
  <w:style w:type="paragraph" w:styleId="6">
    <w:name w:val="heading 3"/>
    <w:basedOn w:val="1"/>
    <w:next w:val="1"/>
    <w:autoRedefine/>
    <w:semiHidden/>
    <w:unhideWhenUsed/>
    <w:qFormat/>
    <w:uiPriority w:val="0"/>
    <w:pPr>
      <w:keepNext/>
      <w:keepLines/>
      <w:spacing w:beforeLines="0" w:beforeAutospacing="0" w:afterLines="0" w:afterAutospacing="0" w:line="600" w:lineRule="exact"/>
      <w:outlineLvl w:val="2"/>
    </w:pPr>
    <w:rPr>
      <w:rFonts w:ascii="楷体_GB2312" w:hAnsi="楷体_GB2312" w:eastAsia="楷体_GB2312" w:cs="楷体_GB2312"/>
      <w:b/>
      <w:bCs/>
    </w:rPr>
  </w:style>
  <w:style w:type="paragraph" w:styleId="7">
    <w:name w:val="heading 4"/>
    <w:basedOn w:val="1"/>
    <w:next w:val="1"/>
    <w:autoRedefine/>
    <w:semiHidden/>
    <w:unhideWhenUsed/>
    <w:qFormat/>
    <w:uiPriority w:val="0"/>
    <w:pPr>
      <w:keepNext/>
      <w:keepLines/>
      <w:spacing w:beforeLines="0" w:beforeAutospacing="0" w:afterLines="0" w:afterAutospacing="0" w:line="600" w:lineRule="exact"/>
      <w:outlineLvl w:val="3"/>
    </w:pPr>
    <w:rPr>
      <w:rFonts w:ascii="仿宋_GB2312" w:hAnsi="仿宋_GB2312" w:eastAsia="仿宋_GB2312"/>
      <w:sz w:val="32"/>
    </w:rPr>
  </w:style>
  <w:style w:type="character" w:default="1" w:styleId="10">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BodyText1I2"/>
    <w:basedOn w:val="3"/>
    <w:autoRedefine/>
    <w:qFormat/>
    <w:uiPriority w:val="0"/>
    <w:pPr>
      <w:keepNext w:val="0"/>
      <w:keepLines w:val="0"/>
      <w:widowControl w:val="0"/>
      <w:suppressLineNumbers w:val="0"/>
      <w:spacing w:before="0" w:beforeAutospacing="0" w:after="0" w:afterAutospacing="0" w:line="360" w:lineRule="auto"/>
      <w:ind w:left="0" w:right="0" w:firstLine="420" w:firstLineChars="200"/>
      <w:jc w:val="left"/>
    </w:pPr>
    <w:rPr>
      <w:rFonts w:hint="default" w:ascii="Times New Roman" w:hAnsi="Times New Roman" w:eastAsia="宋体" w:cs="Times New Roman"/>
      <w:kern w:val="0"/>
      <w:sz w:val="24"/>
      <w:szCs w:val="24"/>
      <w:lang w:val="en-US" w:eastAsia="zh-CN" w:bidi="ar"/>
    </w:rPr>
  </w:style>
  <w:style w:type="paragraph" w:customStyle="1" w:styleId="3">
    <w:name w:val="BodyTextIndent"/>
    <w:basedOn w:val="1"/>
    <w:autoRedefine/>
    <w:qFormat/>
    <w:uiPriority w:val="0"/>
    <w:pPr>
      <w:spacing w:line="360" w:lineRule="auto"/>
      <w:ind w:firstLine="480"/>
      <w:jc w:val="left"/>
    </w:pPr>
    <w:rPr>
      <w:rFonts w:ascii="Calibri" w:hAnsi="Calibri" w:eastAsia="宋体" w:cs="仿宋_GB2312"/>
      <w:kern w:val="0"/>
      <w:sz w:val="20"/>
      <w:szCs w:val="20"/>
    </w:rPr>
  </w:style>
  <w:style w:type="paragraph" w:styleId="8">
    <w:name w:val="Normal (Web)"/>
    <w:basedOn w:val="1"/>
    <w:autoRedefine/>
    <w:qFormat/>
    <w:uiPriority w:val="0"/>
    <w:pPr>
      <w:widowControl/>
      <w:spacing w:before="100" w:beforeAutospacing="1" w:after="100" w:afterAutospacing="1"/>
      <w:ind w:left="0" w:right="0"/>
      <w:jc w:val="left"/>
    </w:pPr>
    <w:rPr>
      <w:rFonts w:hint="default"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2707</Words>
  <Characters>2774</Characters>
  <Lines>0</Lines>
  <Paragraphs>0</Paragraphs>
  <TotalTime>103</TotalTime>
  <ScaleCrop>false</ScaleCrop>
  <LinksUpToDate>false</LinksUpToDate>
  <CharactersWithSpaces>2774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2023-01-12T00:38:00Z</dcterms:created>
  <dc:creator>孤城</dc:creator>
  <cp:lastModifiedBy>企业用户_393110752</cp:lastModifiedBy>
  <cp:lastPrinted>2023-01-18T00:16:00Z</cp:lastPrinted>
  <dcterms:modified xsi:type="dcterms:W3CDTF">2025-08-13T02:35:17Z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775E7E68EEFD485B95F8D0D83E6DC446_13</vt:lpwstr>
  </property>
  <property fmtid="{D5CDD505-2E9C-101B-9397-08002B2CF9AE}" pid="4" name="KSOTemplateDocerSaveRecord">
    <vt:lpwstr>eyJoZGlkIjoiMDRiZGY5Y2I2YjUyMGU4ZTcyOWU4YjhjZjU0Y2Q5NzEiLCJ1c2VySWQiOiIxNTg2MDI3Njk2In0=</vt:lpwstr>
  </property>
</Properties>
</file>