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8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41" w:beforeAutospacing="0" w:after="141"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kern w:val="44"/>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44"/>
          <w:sz w:val="44"/>
          <w:szCs w:val="44"/>
          <w:shd w:val="clear" w:fill="FFFFFF"/>
          <w:lang w:val="en-US" w:eastAsia="zh-CN" w:bidi="ar"/>
        </w:rPr>
        <w:t>金寨县住房和城乡建设局2022年政府信息公开工作年度报告</w:t>
      </w:r>
    </w:p>
    <w:p w14:paraId="144CD1BF">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ascii="仿宋_GB2312" w:hAnsi="Times New Roman" w:eastAsia="仿宋_GB2312" w:cs="仿宋_GB2312"/>
          <w:kern w:val="2"/>
          <w:sz w:val="32"/>
          <w:szCs w:val="32"/>
          <w:lang w:val="en-US" w:eastAsia="zh-CN" w:bidi="ar"/>
        </w:rPr>
      </w:pPr>
    </w:p>
    <w:p w14:paraId="302CB38B">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ascii="仿宋_GB2312" w:hAnsi="Times New Roman" w:eastAsia="仿宋_GB2312" w:cs="仿宋_GB2312"/>
          <w:kern w:val="2"/>
          <w:sz w:val="32"/>
          <w:szCs w:val="32"/>
          <w:lang w:val="en-US" w:eastAsia="zh-CN" w:bidi="ar"/>
        </w:rPr>
        <w:t>本报告依据《中华人民共和国政府信息公开条例》（国务院令第</w:t>
      </w:r>
      <w:r>
        <w:rPr>
          <w:rFonts w:hint="default" w:ascii="Times New Roman" w:hAnsi="Times New Roman" w:eastAsia="仿宋_GB2312" w:cs="Times New Roman"/>
          <w:kern w:val="2"/>
          <w:sz w:val="32"/>
          <w:szCs w:val="32"/>
          <w:lang w:val="en-US" w:eastAsia="zh-CN" w:bidi="ar"/>
        </w:rPr>
        <w:t>711</w:t>
      </w:r>
      <w:r>
        <w:rPr>
          <w:rFonts w:hint="eastAsia" w:ascii="仿宋_GB2312" w:hAnsi="Times New Roman" w:eastAsia="仿宋_GB2312" w:cs="仿宋_GB2312"/>
          <w:kern w:val="2"/>
          <w:sz w:val="32"/>
          <w:szCs w:val="32"/>
          <w:lang w:val="en-US" w:eastAsia="zh-CN" w:bidi="ar"/>
        </w:rPr>
        <w:t>号，以下简称《条例》</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和《金寨县政务公开办公室关于做好</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年度政府信息公开年度报告编制和发布工作的通知》</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金政公开〔</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号</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要求编制而成。报告主要包括：总体情况、主动公开政府信息情况、收到和处理政府信息公开申请情况、政府信息公开行政复议和行政诉讼情况、政府信息公开工作存在的主要问题及改进情况和其他需要报告事项。本报告中使用数据统计期限为</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日至</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仿宋_GB2312" w:hAnsi="Times New Roman" w:eastAsia="仿宋_GB2312" w:cs="仿宋_GB2312"/>
          <w:kern w:val="2"/>
          <w:sz w:val="32"/>
          <w:szCs w:val="32"/>
          <w:lang w:val="en-US" w:eastAsia="zh-CN" w:bidi="ar"/>
        </w:rPr>
        <w:t>日。报告电子版可在金寨县人民政府信息公开网（</w:t>
      </w:r>
      <w:r>
        <w:rPr>
          <w:rFonts w:hint="default" w:ascii="Times New Roman" w:hAnsi="Times New Roman" w:eastAsia="仿宋_GB2312" w:cs="Times New Roman"/>
          <w:kern w:val="2"/>
          <w:sz w:val="32"/>
          <w:szCs w:val="32"/>
          <w:lang w:val="en-US" w:eastAsia="zh-CN" w:bidi="ar"/>
        </w:rPr>
        <w:t>https://www.ahjinzhai.gov.cn/public/column/6596281?type=3&amp;action=list&amp;nav=3&amp;title=2022</w:t>
      </w:r>
      <w:r>
        <w:rPr>
          <w:rFonts w:hint="eastAsia" w:ascii="仿宋_GB2312" w:hAnsi="Times New Roman" w:eastAsia="仿宋_GB2312" w:cs="仿宋_GB2312"/>
          <w:kern w:val="2"/>
          <w:sz w:val="32"/>
          <w:szCs w:val="32"/>
          <w:lang w:val="en-US" w:eastAsia="zh-CN" w:bidi="ar"/>
        </w:rPr>
        <w:t>）下载。如对本报告有任何疑问，请与金寨县住房和城乡建设局办公室联系（地址：金寨县新城区莲花山路住房和城乡建设局办公大楼三楼，电话：</w:t>
      </w:r>
      <w:r>
        <w:rPr>
          <w:rFonts w:hint="default" w:ascii="Times New Roman" w:hAnsi="Times New Roman" w:eastAsia="仿宋_GB2312" w:cs="Times New Roman"/>
          <w:kern w:val="2"/>
          <w:sz w:val="32"/>
          <w:szCs w:val="32"/>
          <w:lang w:val="en-US" w:eastAsia="zh-CN" w:bidi="ar"/>
        </w:rPr>
        <w:t>0564—7359232</w:t>
      </w:r>
      <w:r>
        <w:rPr>
          <w:rFonts w:hint="eastAsia" w:ascii="仿宋_GB2312" w:hAnsi="Times New Roman" w:eastAsia="仿宋_GB2312" w:cs="仿宋_GB2312"/>
          <w:kern w:val="2"/>
          <w:sz w:val="32"/>
          <w:szCs w:val="32"/>
          <w:lang w:val="en-US" w:eastAsia="zh-CN" w:bidi="ar"/>
        </w:rPr>
        <w:t>，邮箱</w:t>
      </w:r>
      <w:r>
        <w:rPr>
          <w:rFonts w:hint="default" w:ascii="Times New Roman" w:hAnsi="Times New Roman" w:eastAsia="仿宋_GB2312" w:cs="Times New Roman"/>
          <w:kern w:val="2"/>
          <w:sz w:val="32"/>
          <w:szCs w:val="32"/>
          <w:lang w:val="en-US" w:eastAsia="zh-CN" w:bidi="ar"/>
        </w:rPr>
        <w:t>jinzhaijianshe@163.com</w:t>
      </w:r>
      <w:r>
        <w:rPr>
          <w:rFonts w:hint="eastAsia" w:ascii="仿宋_GB2312" w:hAnsi="Times New Roman" w:eastAsia="仿宋_GB2312" w:cs="仿宋_GB2312"/>
          <w:kern w:val="2"/>
          <w:sz w:val="32"/>
          <w:szCs w:val="32"/>
          <w:lang w:val="en-US" w:eastAsia="zh-CN" w:bidi="ar"/>
        </w:rPr>
        <w:t>，邮编：</w:t>
      </w:r>
      <w:r>
        <w:rPr>
          <w:rFonts w:hint="default" w:ascii="Times New Roman" w:hAnsi="Times New Roman" w:eastAsia="仿宋_GB2312" w:cs="Times New Roman"/>
          <w:kern w:val="2"/>
          <w:sz w:val="32"/>
          <w:szCs w:val="32"/>
          <w:lang w:val="en-US" w:eastAsia="zh-CN" w:bidi="ar"/>
        </w:rPr>
        <w:t>237300</w:t>
      </w:r>
      <w:r>
        <w:rPr>
          <w:rFonts w:hint="eastAsia" w:ascii="仿宋_GB2312" w:hAnsi="Times New Roman" w:eastAsia="仿宋_GB2312" w:cs="仿宋_GB2312"/>
          <w:kern w:val="2"/>
          <w:sz w:val="32"/>
          <w:szCs w:val="32"/>
          <w:lang w:val="en-US" w:eastAsia="zh-CN" w:bidi="ar"/>
        </w:rPr>
        <w:t>）。</w:t>
      </w:r>
    </w:p>
    <w:p w14:paraId="2CF69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both"/>
      </w:pPr>
      <w:r>
        <w:rPr>
          <w:rFonts w:ascii="黑体" w:hAnsi="宋体" w:eastAsia="黑体" w:cs="黑体"/>
          <w:i w:val="0"/>
          <w:iCs w:val="0"/>
          <w:caps w:val="0"/>
          <w:color w:val="333333"/>
          <w:spacing w:val="0"/>
          <w:kern w:val="0"/>
          <w:sz w:val="32"/>
          <w:szCs w:val="32"/>
          <w:shd w:val="clear" w:fill="FFFFFF"/>
        </w:rPr>
        <w:t>一、总体情况</w:t>
      </w:r>
    </w:p>
    <w:p w14:paraId="188F1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jc w:val="both"/>
      </w:pPr>
      <w:r>
        <w:rPr>
          <w:rFonts w:hint="default" w:ascii="Times New Roman" w:hAnsi="Times New Roman" w:eastAsia="仿宋_GB2312" w:cs="Times New Roman"/>
          <w:kern w:val="2"/>
          <w:sz w:val="32"/>
          <w:szCs w:val="32"/>
          <w:shd w:val="clear" w:fill="FFFFFF"/>
        </w:rPr>
        <w:t>2022</w:t>
      </w:r>
      <w:r>
        <w:rPr>
          <w:rFonts w:hint="eastAsia" w:ascii="仿宋_GB2312" w:hAnsi="Times New Roman" w:eastAsia="仿宋_GB2312" w:cs="仿宋_GB2312"/>
          <w:kern w:val="2"/>
          <w:sz w:val="32"/>
          <w:szCs w:val="32"/>
          <w:shd w:val="clear" w:fill="FFFFFF"/>
        </w:rPr>
        <w:t>年，我局政务公开工作始终坚持以习近平新时代中国特色社会主义思想和党的二十大精神为指导，按照县委、县政府和县政务公开办关于政府信息公开工作的部署，拓宽公开渠道，提高服务效能，围绕金寨县住房城乡建设重点领域，</w:t>
      </w:r>
      <w:r>
        <w:rPr>
          <w:rFonts w:hint="eastAsia" w:ascii="仿宋_GB2312" w:hAnsi="Times New Roman" w:eastAsia="仿宋_GB2312" w:cs="仿宋_GB2312"/>
          <w:i w:val="0"/>
          <w:iCs w:val="0"/>
          <w:caps w:val="0"/>
          <w:color w:val="000000"/>
          <w:spacing w:val="0"/>
          <w:kern w:val="0"/>
          <w:sz w:val="32"/>
          <w:szCs w:val="32"/>
          <w:shd w:val="clear" w:fill="FFFFFF"/>
        </w:rPr>
        <w:t>扎实开展政务信息公开工作，全年主动公开</w:t>
      </w:r>
      <w:r>
        <w:rPr>
          <w:rFonts w:hint="default" w:ascii="Times New Roman" w:hAnsi="Times New Roman" w:eastAsia="仿宋_GB2312" w:cs="Times New Roman"/>
          <w:i w:val="0"/>
          <w:iCs w:val="0"/>
          <w:caps w:val="0"/>
          <w:color w:val="000000"/>
          <w:spacing w:val="0"/>
          <w:kern w:val="0"/>
          <w:sz w:val="32"/>
          <w:szCs w:val="32"/>
          <w:shd w:val="clear" w:fill="FFFFFF"/>
        </w:rPr>
        <w:t>649</w:t>
      </w:r>
      <w:r>
        <w:rPr>
          <w:rFonts w:hint="eastAsia" w:ascii="仿宋_GB2312" w:hAnsi="Times New Roman" w:eastAsia="仿宋_GB2312" w:cs="仿宋_GB2312"/>
          <w:i w:val="0"/>
          <w:iCs w:val="0"/>
          <w:caps w:val="0"/>
          <w:color w:val="000000"/>
          <w:spacing w:val="0"/>
          <w:kern w:val="0"/>
          <w:sz w:val="32"/>
          <w:szCs w:val="32"/>
          <w:shd w:val="clear" w:fill="FFFFFF"/>
        </w:rPr>
        <w:t>件各类信息。</w:t>
      </w:r>
    </w:p>
    <w:p w14:paraId="66E97CAB">
      <w:pPr>
        <w:keepNext w:val="0"/>
        <w:keepLines w:val="0"/>
        <w:widowControl w:val="0"/>
        <w:suppressLineNumbers w:val="0"/>
        <w:autoSpaceDE w:val="0"/>
        <w:autoSpaceDN/>
        <w:spacing w:before="0" w:beforeAutospacing="0" w:after="0" w:afterAutospacing="0" w:line="560" w:lineRule="exact"/>
        <w:ind w:left="0" w:right="0" w:firstLine="643" w:firstLineChars="200"/>
        <w:jc w:val="left"/>
      </w:pPr>
      <w:r>
        <w:rPr>
          <w:rFonts w:ascii="楷体_GB2312" w:hAnsi="Times New Roman" w:eastAsia="楷体_GB2312" w:cs="楷体_GB2312"/>
          <w:b/>
          <w:bCs/>
          <w:i w:val="0"/>
          <w:iCs w:val="0"/>
          <w:caps w:val="0"/>
          <w:color w:val="000000"/>
          <w:spacing w:val="0"/>
          <w:kern w:val="0"/>
          <w:sz w:val="32"/>
          <w:szCs w:val="32"/>
          <w:shd w:val="clear" w:fill="FFFFFF"/>
          <w:lang w:val="en-US" w:eastAsia="zh-CN" w:bidi="ar"/>
        </w:rPr>
        <w:t>1.</w:t>
      </w:r>
      <w:r>
        <w:rPr>
          <w:rFonts w:hint="eastAsia" w:ascii="楷体_GB2312" w:hAnsi="Times New Roman" w:eastAsia="楷体_GB2312" w:cs="楷体_GB2312"/>
          <w:b/>
          <w:bCs/>
          <w:i w:val="0"/>
          <w:iCs w:val="0"/>
          <w:caps w:val="0"/>
          <w:color w:val="000000"/>
          <w:spacing w:val="0"/>
          <w:kern w:val="0"/>
          <w:sz w:val="32"/>
          <w:szCs w:val="32"/>
          <w:shd w:val="clear" w:fill="FFFFFF"/>
          <w:lang w:val="en-US" w:eastAsia="zh-CN" w:bidi="ar"/>
        </w:rPr>
        <w:t>主动公开情况</w:t>
      </w:r>
    </w:p>
    <w:p w14:paraId="65E1E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jc w:val="both"/>
      </w:pPr>
      <w:r>
        <w:rPr>
          <w:rFonts w:hint="eastAsia" w:ascii="仿宋_GB2312" w:hAnsi="Times New Roman" w:eastAsia="仿宋_GB2312" w:cs="仿宋_GB2312"/>
          <w:i w:val="0"/>
          <w:iCs w:val="0"/>
          <w:caps w:val="0"/>
          <w:color w:val="000000"/>
          <w:spacing w:val="0"/>
          <w:kern w:val="0"/>
          <w:sz w:val="32"/>
          <w:szCs w:val="32"/>
          <w:shd w:val="clear" w:fill="FFFFFF"/>
        </w:rPr>
        <w:t>一是依照规范性文件最新要求及时完善规范性文件，做好规范性文件征求意见、反馈意见、文件发布、政策解读全流程工作。二是全面推进基层</w:t>
      </w:r>
      <w:bookmarkStart w:id="0" w:name="_GoBack"/>
      <w:bookmarkEnd w:id="0"/>
      <w:r>
        <w:rPr>
          <w:rFonts w:hint="eastAsia" w:ascii="仿宋_GB2312" w:hAnsi="Times New Roman" w:eastAsia="仿宋_GB2312" w:cs="仿宋_GB2312"/>
          <w:i w:val="0"/>
          <w:iCs w:val="0"/>
          <w:caps w:val="0"/>
          <w:color w:val="000000"/>
          <w:spacing w:val="0"/>
          <w:kern w:val="0"/>
          <w:sz w:val="32"/>
          <w:szCs w:val="32"/>
          <w:shd w:val="clear" w:fill="FFFFFF"/>
        </w:rPr>
        <w:t>政务公开专题建设，本年度保障性住房、农村危房改造栏目共发布信息</w:t>
      </w:r>
      <w:r>
        <w:rPr>
          <w:rFonts w:hint="default" w:ascii="Times New Roman" w:hAnsi="Times New Roman" w:eastAsia="仿宋_GB2312" w:cs="Times New Roman"/>
          <w:i w:val="0"/>
          <w:iCs w:val="0"/>
          <w:caps w:val="0"/>
          <w:color w:val="000000"/>
          <w:spacing w:val="0"/>
          <w:kern w:val="0"/>
          <w:sz w:val="32"/>
          <w:szCs w:val="32"/>
          <w:shd w:val="clear" w:fill="FFFFFF"/>
        </w:rPr>
        <w:t>282</w:t>
      </w:r>
      <w:r>
        <w:rPr>
          <w:rFonts w:hint="eastAsia" w:ascii="仿宋_GB2312" w:hAnsi="Times New Roman" w:eastAsia="仿宋_GB2312" w:cs="仿宋_GB2312"/>
          <w:i w:val="0"/>
          <w:iCs w:val="0"/>
          <w:caps w:val="0"/>
          <w:color w:val="000000"/>
          <w:spacing w:val="0"/>
          <w:kern w:val="0"/>
          <w:sz w:val="32"/>
          <w:szCs w:val="32"/>
          <w:shd w:val="clear" w:fill="FFFFFF"/>
        </w:rPr>
        <w:t>条，每月常态化更新相关信息，做好专题建设。三是做好县本级栏目信息发布，</w:t>
      </w:r>
      <w:r>
        <w:rPr>
          <w:rFonts w:hint="default" w:ascii="Times New Roman" w:hAnsi="Times New Roman" w:eastAsia="仿宋_GB2312" w:cs="Times New Roman"/>
          <w:i w:val="0"/>
          <w:iCs w:val="0"/>
          <w:caps w:val="0"/>
          <w:color w:val="000000"/>
          <w:spacing w:val="0"/>
          <w:kern w:val="0"/>
          <w:sz w:val="32"/>
          <w:szCs w:val="32"/>
          <w:shd w:val="clear" w:fill="FFFFFF"/>
        </w:rPr>
        <w:t>2022</w:t>
      </w:r>
      <w:r>
        <w:rPr>
          <w:rFonts w:hint="eastAsia" w:ascii="仿宋_GB2312" w:hAnsi="Times New Roman" w:eastAsia="仿宋_GB2312" w:cs="仿宋_GB2312"/>
          <w:i w:val="0"/>
          <w:iCs w:val="0"/>
          <w:caps w:val="0"/>
          <w:color w:val="000000"/>
          <w:spacing w:val="0"/>
          <w:kern w:val="0"/>
          <w:sz w:val="32"/>
          <w:szCs w:val="32"/>
          <w:shd w:val="clear" w:fill="FFFFFF"/>
        </w:rPr>
        <w:t>年主动回应群众来信</w:t>
      </w:r>
      <w:r>
        <w:rPr>
          <w:rFonts w:hint="default" w:ascii="Times New Roman" w:hAnsi="Times New Roman" w:eastAsia="仿宋_GB2312" w:cs="Times New Roman"/>
          <w:b w:val="0"/>
          <w:bCs w:val="0"/>
          <w:i w:val="0"/>
          <w:iCs w:val="0"/>
          <w:caps w:val="0"/>
          <w:color w:val="000000"/>
          <w:spacing w:val="0"/>
          <w:kern w:val="0"/>
          <w:sz w:val="32"/>
          <w:szCs w:val="32"/>
          <w:shd w:val="clear" w:fill="FFFFFF"/>
        </w:rPr>
        <w:t>297</w:t>
      </w:r>
      <w:r>
        <w:rPr>
          <w:rFonts w:hint="eastAsia" w:ascii="仿宋_GB2312" w:hAnsi="Times New Roman" w:eastAsia="仿宋_GB2312" w:cs="仿宋_GB2312"/>
          <w:i w:val="0"/>
          <w:iCs w:val="0"/>
          <w:caps w:val="0"/>
          <w:color w:val="000000"/>
          <w:spacing w:val="0"/>
          <w:kern w:val="0"/>
          <w:sz w:val="32"/>
          <w:szCs w:val="32"/>
          <w:shd w:val="clear" w:fill="FFFFFF"/>
        </w:rPr>
        <w:t>件，</w:t>
      </w:r>
      <w:r>
        <w:rPr>
          <w:rFonts w:hint="eastAsia" w:ascii="仿宋_GB2312" w:hAnsi="Times New Roman" w:eastAsia="仿宋_GB2312" w:cs="仿宋_GB2312"/>
          <w:kern w:val="2"/>
          <w:sz w:val="32"/>
          <w:szCs w:val="32"/>
          <w:shd w:val="clear" w:fill="FFFFFF"/>
        </w:rPr>
        <w:t>公开财务预决算、财政专项经费管理使用和</w:t>
      </w:r>
      <w:r>
        <w:rPr>
          <w:rFonts w:hint="default" w:ascii="Times New Roman" w:hAnsi="Times New Roman" w:eastAsia="仿宋_GB2312" w:cs="Times New Roman"/>
          <w:kern w:val="2"/>
          <w:sz w:val="32"/>
          <w:szCs w:val="32"/>
          <w:shd w:val="clear" w:fill="FFFFFF"/>
        </w:rPr>
        <w:t>“</w:t>
      </w:r>
      <w:r>
        <w:rPr>
          <w:rFonts w:hint="eastAsia" w:ascii="仿宋_GB2312" w:hAnsi="Times New Roman" w:eastAsia="仿宋_GB2312" w:cs="仿宋_GB2312"/>
          <w:kern w:val="2"/>
          <w:sz w:val="32"/>
          <w:szCs w:val="32"/>
          <w:shd w:val="clear" w:fill="FFFFFF"/>
        </w:rPr>
        <w:t>三公</w:t>
      </w:r>
      <w:r>
        <w:rPr>
          <w:rFonts w:hint="default" w:ascii="Times New Roman" w:hAnsi="Times New Roman" w:eastAsia="仿宋_GB2312" w:cs="Times New Roman"/>
          <w:kern w:val="2"/>
          <w:sz w:val="32"/>
          <w:szCs w:val="32"/>
          <w:shd w:val="clear" w:fill="FFFFFF"/>
        </w:rPr>
        <w:t>”</w:t>
      </w:r>
      <w:r>
        <w:rPr>
          <w:rFonts w:hint="eastAsia" w:ascii="仿宋_GB2312" w:hAnsi="Times New Roman" w:eastAsia="仿宋_GB2312" w:cs="仿宋_GB2312"/>
          <w:kern w:val="2"/>
          <w:sz w:val="32"/>
          <w:szCs w:val="32"/>
          <w:shd w:val="clear" w:fill="FFFFFF"/>
        </w:rPr>
        <w:t>经费信息</w:t>
      </w:r>
      <w:r>
        <w:rPr>
          <w:rFonts w:hint="default" w:ascii="Times New Roman" w:hAnsi="Times New Roman" w:eastAsia="仿宋_GB2312" w:cs="Times New Roman"/>
          <w:b w:val="0"/>
          <w:bCs w:val="0"/>
          <w:kern w:val="2"/>
          <w:sz w:val="32"/>
          <w:szCs w:val="32"/>
          <w:shd w:val="clear" w:fill="FFFFFF"/>
        </w:rPr>
        <w:t>44</w:t>
      </w:r>
      <w:r>
        <w:rPr>
          <w:rFonts w:hint="eastAsia" w:ascii="仿宋_GB2312" w:hAnsi="Times New Roman" w:eastAsia="仿宋_GB2312" w:cs="仿宋_GB2312"/>
          <w:kern w:val="2"/>
          <w:sz w:val="32"/>
          <w:szCs w:val="32"/>
          <w:shd w:val="clear" w:fill="FFFFFF"/>
        </w:rPr>
        <w:t>条，部门项目信息</w:t>
      </w:r>
      <w:r>
        <w:rPr>
          <w:rFonts w:hint="default" w:ascii="Times New Roman" w:hAnsi="Times New Roman" w:eastAsia="仿宋_GB2312" w:cs="Times New Roman"/>
          <w:b w:val="0"/>
          <w:bCs w:val="0"/>
          <w:kern w:val="2"/>
          <w:sz w:val="32"/>
          <w:szCs w:val="32"/>
          <w:shd w:val="clear" w:fill="FFFFFF"/>
        </w:rPr>
        <w:t>8</w:t>
      </w:r>
      <w:r>
        <w:rPr>
          <w:rFonts w:hint="eastAsia" w:ascii="仿宋_GB2312" w:hAnsi="Times New Roman" w:eastAsia="仿宋_GB2312" w:cs="仿宋_GB2312"/>
          <w:kern w:val="2"/>
          <w:sz w:val="32"/>
          <w:szCs w:val="32"/>
          <w:shd w:val="clear" w:fill="FFFFFF"/>
        </w:rPr>
        <w:t>条，政策解读</w:t>
      </w:r>
      <w:r>
        <w:rPr>
          <w:rFonts w:hint="default" w:ascii="Times New Roman" w:hAnsi="Times New Roman" w:eastAsia="仿宋_GB2312" w:cs="Times New Roman"/>
          <w:kern w:val="2"/>
          <w:sz w:val="32"/>
          <w:szCs w:val="32"/>
          <w:shd w:val="clear" w:fill="FFFFFF"/>
        </w:rPr>
        <w:t>23</w:t>
      </w:r>
      <w:r>
        <w:rPr>
          <w:rFonts w:hint="eastAsia" w:ascii="仿宋_GB2312" w:hAnsi="Times New Roman" w:eastAsia="仿宋_GB2312" w:cs="仿宋_GB2312"/>
          <w:kern w:val="2"/>
          <w:sz w:val="32"/>
          <w:szCs w:val="32"/>
          <w:shd w:val="clear" w:fill="FFFFFF"/>
        </w:rPr>
        <w:t>条，机构领导、机构设置及人事信息</w:t>
      </w:r>
      <w:r>
        <w:rPr>
          <w:rFonts w:hint="default" w:ascii="Times New Roman" w:hAnsi="Times New Roman" w:eastAsia="仿宋_GB2312" w:cs="Times New Roman"/>
          <w:kern w:val="2"/>
          <w:sz w:val="32"/>
          <w:szCs w:val="32"/>
          <w:shd w:val="clear" w:fill="FFFFFF"/>
        </w:rPr>
        <w:t>40</w:t>
      </w:r>
      <w:r>
        <w:rPr>
          <w:rFonts w:hint="eastAsia" w:ascii="仿宋_GB2312" w:hAnsi="Times New Roman" w:eastAsia="仿宋_GB2312" w:cs="仿宋_GB2312"/>
          <w:kern w:val="2"/>
          <w:sz w:val="32"/>
          <w:szCs w:val="32"/>
          <w:shd w:val="clear" w:fill="FFFFFF"/>
        </w:rPr>
        <w:t>条，</w:t>
      </w:r>
      <w:r>
        <w:rPr>
          <w:rFonts w:hint="eastAsia" w:ascii="仿宋_GB2312" w:hAnsi="Times New Roman" w:eastAsia="仿宋_GB2312" w:cs="仿宋_GB2312"/>
          <w:i w:val="0"/>
          <w:iCs w:val="0"/>
          <w:caps w:val="0"/>
          <w:color w:val="000000"/>
          <w:spacing w:val="0"/>
          <w:kern w:val="0"/>
          <w:sz w:val="32"/>
          <w:szCs w:val="32"/>
          <w:shd w:val="clear" w:fill="FFFFFF"/>
        </w:rPr>
        <w:t>定期公示近期工作督办情况、政府工作报告落实情况、人大政协提案办理等部门常规工作。</w:t>
      </w:r>
    </w:p>
    <w:p w14:paraId="77EF2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3"/>
        <w:jc w:val="both"/>
      </w:pPr>
      <w:r>
        <w:rPr>
          <w:rFonts w:hint="eastAsia" w:ascii="楷体_GB2312" w:hAnsi="Times New Roman" w:eastAsia="楷体_GB2312" w:cs="楷体_GB2312"/>
          <w:b/>
          <w:bCs/>
          <w:i w:val="0"/>
          <w:iCs w:val="0"/>
          <w:caps w:val="0"/>
          <w:color w:val="000000"/>
          <w:spacing w:val="0"/>
          <w:kern w:val="0"/>
          <w:sz w:val="32"/>
          <w:szCs w:val="32"/>
          <w:shd w:val="clear" w:fill="FFFFFF"/>
        </w:rPr>
        <w:t>2、依申请公开情况</w:t>
      </w:r>
    </w:p>
    <w:p w14:paraId="2A15C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jc w:val="both"/>
      </w:pPr>
      <w:r>
        <w:rPr>
          <w:rFonts w:hint="eastAsia" w:ascii="仿宋_GB2312" w:hAnsi="Times New Roman" w:eastAsia="仿宋_GB2312" w:cs="仿宋_GB2312"/>
          <w:i w:val="0"/>
          <w:iCs w:val="0"/>
          <w:caps w:val="0"/>
          <w:color w:val="000000"/>
          <w:spacing w:val="0"/>
          <w:kern w:val="0"/>
          <w:sz w:val="32"/>
          <w:szCs w:val="32"/>
          <w:shd w:val="clear" w:fill="FFFFFF"/>
        </w:rPr>
        <w:t>认真学习贯彻《安徽省政府信息公开申请办理答复规范》，明确依申请公开分管领导和具体负责人，全面规范办理程序。本年度共受理依申请公开</w:t>
      </w:r>
      <w:r>
        <w:rPr>
          <w:rFonts w:hint="default" w:ascii="Times New Roman" w:hAnsi="Times New Roman" w:eastAsia="仿宋_GB2312" w:cs="Times New Roman"/>
          <w:i w:val="0"/>
          <w:iCs w:val="0"/>
          <w:caps w:val="0"/>
          <w:color w:val="000000"/>
          <w:spacing w:val="0"/>
          <w:kern w:val="0"/>
          <w:sz w:val="32"/>
          <w:szCs w:val="32"/>
          <w:shd w:val="clear" w:fill="FFFFFF"/>
        </w:rPr>
        <w:t>4</w:t>
      </w:r>
      <w:r>
        <w:rPr>
          <w:rFonts w:hint="eastAsia" w:ascii="仿宋_GB2312" w:hAnsi="Times New Roman" w:eastAsia="仿宋_GB2312" w:cs="仿宋_GB2312"/>
          <w:i w:val="0"/>
          <w:iCs w:val="0"/>
          <w:caps w:val="0"/>
          <w:color w:val="000000"/>
          <w:spacing w:val="0"/>
          <w:kern w:val="0"/>
          <w:sz w:val="32"/>
          <w:szCs w:val="32"/>
          <w:shd w:val="clear" w:fill="FFFFFF"/>
        </w:rPr>
        <w:t>件，其中线上申请</w:t>
      </w:r>
      <w:r>
        <w:rPr>
          <w:rFonts w:hint="default" w:ascii="Times New Roman" w:hAnsi="Times New Roman" w:eastAsia="仿宋_GB2312" w:cs="Times New Roman"/>
          <w:i w:val="0"/>
          <w:iCs w:val="0"/>
          <w:caps w:val="0"/>
          <w:color w:val="000000"/>
          <w:spacing w:val="0"/>
          <w:kern w:val="0"/>
          <w:sz w:val="32"/>
          <w:szCs w:val="32"/>
          <w:shd w:val="clear" w:fill="FFFFFF"/>
        </w:rPr>
        <w:t>2</w:t>
      </w:r>
      <w:r>
        <w:rPr>
          <w:rFonts w:hint="eastAsia" w:ascii="仿宋_GB2312" w:hAnsi="Times New Roman" w:eastAsia="仿宋_GB2312" w:cs="仿宋_GB2312"/>
          <w:i w:val="0"/>
          <w:iCs w:val="0"/>
          <w:caps w:val="0"/>
          <w:color w:val="000000"/>
          <w:spacing w:val="0"/>
          <w:kern w:val="0"/>
          <w:sz w:val="32"/>
          <w:szCs w:val="32"/>
          <w:shd w:val="clear" w:fill="FFFFFF"/>
        </w:rPr>
        <w:t>件，线下申请</w:t>
      </w:r>
      <w:r>
        <w:rPr>
          <w:rFonts w:hint="default" w:ascii="Times New Roman" w:hAnsi="Times New Roman" w:eastAsia="仿宋_GB2312" w:cs="Times New Roman"/>
          <w:i w:val="0"/>
          <w:iCs w:val="0"/>
          <w:caps w:val="0"/>
          <w:color w:val="000000"/>
          <w:spacing w:val="0"/>
          <w:kern w:val="0"/>
          <w:sz w:val="32"/>
          <w:szCs w:val="32"/>
          <w:shd w:val="clear" w:fill="FFFFFF"/>
        </w:rPr>
        <w:t>2</w:t>
      </w:r>
      <w:r>
        <w:rPr>
          <w:rFonts w:hint="eastAsia" w:ascii="仿宋_GB2312" w:hAnsi="Times New Roman" w:eastAsia="仿宋_GB2312" w:cs="仿宋_GB2312"/>
          <w:i w:val="0"/>
          <w:iCs w:val="0"/>
          <w:caps w:val="0"/>
          <w:color w:val="000000"/>
          <w:spacing w:val="0"/>
          <w:kern w:val="0"/>
          <w:sz w:val="32"/>
          <w:szCs w:val="32"/>
          <w:shd w:val="clear" w:fill="FFFFFF"/>
        </w:rPr>
        <w:t>件，不予公开</w:t>
      </w:r>
      <w:r>
        <w:rPr>
          <w:rFonts w:hint="default" w:ascii="Times New Roman" w:hAnsi="Times New Roman" w:eastAsia="仿宋_GB2312" w:cs="Times New Roman"/>
          <w:i w:val="0"/>
          <w:iCs w:val="0"/>
          <w:caps w:val="0"/>
          <w:color w:val="000000"/>
          <w:spacing w:val="0"/>
          <w:kern w:val="0"/>
          <w:sz w:val="32"/>
          <w:szCs w:val="32"/>
          <w:shd w:val="clear" w:fill="FFFFFF"/>
        </w:rPr>
        <w:t>1</w:t>
      </w:r>
      <w:r>
        <w:rPr>
          <w:rFonts w:hint="eastAsia" w:ascii="仿宋_GB2312" w:hAnsi="Times New Roman" w:eastAsia="仿宋_GB2312" w:cs="仿宋_GB2312"/>
          <w:i w:val="0"/>
          <w:iCs w:val="0"/>
          <w:caps w:val="0"/>
          <w:color w:val="000000"/>
          <w:spacing w:val="0"/>
          <w:kern w:val="0"/>
          <w:sz w:val="32"/>
          <w:szCs w:val="32"/>
          <w:shd w:val="clear" w:fill="FFFFFF"/>
        </w:rPr>
        <w:t>件（保护第三方合法权益），无法提供</w:t>
      </w:r>
      <w:r>
        <w:rPr>
          <w:rFonts w:hint="default" w:ascii="Times New Roman" w:hAnsi="Times New Roman" w:eastAsia="仿宋_GB2312" w:cs="Times New Roman"/>
          <w:i w:val="0"/>
          <w:iCs w:val="0"/>
          <w:caps w:val="0"/>
          <w:color w:val="000000"/>
          <w:spacing w:val="0"/>
          <w:kern w:val="0"/>
          <w:sz w:val="32"/>
          <w:szCs w:val="32"/>
          <w:shd w:val="clear" w:fill="FFFFFF"/>
        </w:rPr>
        <w:t>3</w:t>
      </w:r>
      <w:r>
        <w:rPr>
          <w:rFonts w:hint="eastAsia" w:ascii="仿宋_GB2312" w:hAnsi="Times New Roman" w:eastAsia="仿宋_GB2312" w:cs="仿宋_GB2312"/>
          <w:i w:val="0"/>
          <w:iCs w:val="0"/>
          <w:caps w:val="0"/>
          <w:color w:val="000000"/>
          <w:spacing w:val="0"/>
          <w:kern w:val="0"/>
          <w:sz w:val="32"/>
          <w:szCs w:val="32"/>
          <w:shd w:val="clear" w:fill="FFFFFF"/>
        </w:rPr>
        <w:t>件（本机关不掌握相关政府信息）。本年度因依申请公开引起的行政诉讼案件</w:t>
      </w:r>
      <w:r>
        <w:rPr>
          <w:rFonts w:hint="default" w:ascii="Times New Roman" w:hAnsi="Times New Roman" w:eastAsia="仿宋_GB2312" w:cs="Times New Roman"/>
          <w:i w:val="0"/>
          <w:iCs w:val="0"/>
          <w:caps w:val="0"/>
          <w:color w:val="000000"/>
          <w:spacing w:val="0"/>
          <w:kern w:val="0"/>
          <w:sz w:val="32"/>
          <w:szCs w:val="32"/>
          <w:shd w:val="clear" w:fill="FFFFFF"/>
        </w:rPr>
        <w:t>0</w:t>
      </w:r>
      <w:r>
        <w:rPr>
          <w:rFonts w:hint="eastAsia" w:ascii="仿宋_GB2312" w:hAnsi="Times New Roman" w:eastAsia="仿宋_GB2312" w:cs="仿宋_GB2312"/>
          <w:i w:val="0"/>
          <w:iCs w:val="0"/>
          <w:caps w:val="0"/>
          <w:color w:val="000000"/>
          <w:spacing w:val="0"/>
          <w:kern w:val="0"/>
          <w:sz w:val="32"/>
          <w:szCs w:val="32"/>
          <w:shd w:val="clear" w:fill="FFFFFF"/>
        </w:rPr>
        <w:t>件，行政复议</w:t>
      </w:r>
      <w:r>
        <w:rPr>
          <w:rFonts w:hint="default" w:ascii="Times New Roman" w:hAnsi="Times New Roman" w:eastAsia="仿宋_GB2312" w:cs="Times New Roman"/>
          <w:i w:val="0"/>
          <w:iCs w:val="0"/>
          <w:caps w:val="0"/>
          <w:color w:val="000000"/>
          <w:spacing w:val="0"/>
          <w:kern w:val="0"/>
          <w:sz w:val="32"/>
          <w:szCs w:val="32"/>
          <w:shd w:val="clear" w:fill="FFFFFF"/>
        </w:rPr>
        <w:t>0</w:t>
      </w:r>
      <w:r>
        <w:rPr>
          <w:rFonts w:hint="eastAsia" w:ascii="仿宋_GB2312" w:hAnsi="Times New Roman" w:eastAsia="仿宋_GB2312" w:cs="仿宋_GB2312"/>
          <w:i w:val="0"/>
          <w:iCs w:val="0"/>
          <w:caps w:val="0"/>
          <w:color w:val="000000"/>
          <w:spacing w:val="0"/>
          <w:kern w:val="0"/>
          <w:sz w:val="32"/>
          <w:szCs w:val="32"/>
          <w:shd w:val="clear" w:fill="FFFFFF"/>
        </w:rPr>
        <w:t>件。</w:t>
      </w:r>
    </w:p>
    <w:p w14:paraId="7CECD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3"/>
        <w:jc w:val="both"/>
      </w:pPr>
      <w:r>
        <w:rPr>
          <w:rFonts w:hint="eastAsia" w:ascii="楷体_GB2312" w:hAnsi="Times New Roman" w:eastAsia="楷体_GB2312" w:cs="楷体_GB2312"/>
          <w:b/>
          <w:bCs/>
          <w:i w:val="0"/>
          <w:iCs w:val="0"/>
          <w:caps w:val="0"/>
          <w:color w:val="000000"/>
          <w:spacing w:val="0"/>
          <w:kern w:val="0"/>
          <w:sz w:val="32"/>
          <w:szCs w:val="32"/>
          <w:shd w:val="clear" w:fill="FFFFFF"/>
        </w:rPr>
        <w:t>3、政府信息管理情况</w:t>
      </w:r>
    </w:p>
    <w:p w14:paraId="552CDC17">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以制度化建设提升公开的质量和实效，进一步规范公文公开属性审查流程，严格落实“三审”制，不断加强政务公开审查，严格执行保密审查制度，确保</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涉密不上网、上网不涉密</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，明确信息发布责任主体，注重信息公开质量，每季度隐私排查情况报告及时在监督保障栏目进行公布。</w:t>
      </w:r>
    </w:p>
    <w:p w14:paraId="2EDA322F">
      <w:pPr>
        <w:keepNext w:val="0"/>
        <w:keepLines w:val="0"/>
        <w:widowControl w:val="0"/>
        <w:suppressLineNumbers w:val="0"/>
        <w:autoSpaceDE w:val="0"/>
        <w:autoSpaceDN/>
        <w:spacing w:before="0" w:beforeAutospacing="0" w:after="0" w:afterAutospacing="0" w:line="560" w:lineRule="exact"/>
        <w:ind w:left="0" w:right="0" w:firstLine="643" w:firstLineChars="200"/>
        <w:jc w:val="left"/>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4</w:t>
      </w:r>
      <w:r>
        <w:rPr>
          <w:rFonts w:hint="eastAsia" w:ascii="楷体_GB2312" w:hAnsi="Times New Roman" w:eastAsia="楷体_GB2312" w:cs="楷体_GB2312"/>
          <w:b/>
          <w:bCs/>
          <w:i w:val="0"/>
          <w:iCs w:val="0"/>
          <w:caps w:val="0"/>
          <w:color w:val="000000"/>
          <w:spacing w:val="0"/>
          <w:kern w:val="0"/>
          <w:sz w:val="32"/>
          <w:szCs w:val="32"/>
          <w:shd w:val="clear" w:fill="FFFFFF"/>
          <w:lang w:val="en-US" w:eastAsia="zh-CN" w:bidi="ar"/>
        </w:rPr>
        <w:t>、政府信息公开平台建设情况</w:t>
      </w:r>
    </w:p>
    <w:p w14:paraId="64DA5C65">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在完善政务公开栏目的公开形式基础上，按照透明、公开、实用、有效的原则，积极整合信息，全面优化网站栏目设置。同时，根据上级文件要求和本地工作实际，动态调整优化目录设置。</w:t>
      </w:r>
    </w:p>
    <w:p w14:paraId="703B9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3" w:firstLineChars="200"/>
        <w:jc w:val="both"/>
      </w:pPr>
      <w:r>
        <w:rPr>
          <w:rFonts w:hint="default" w:ascii="Times New Roman" w:hAnsi="Times New Roman" w:eastAsia="楷体_GB2312" w:cs="Times New Roman"/>
          <w:b/>
          <w:bCs/>
          <w:i w:val="0"/>
          <w:iCs w:val="0"/>
          <w:caps w:val="0"/>
          <w:color w:val="000000"/>
          <w:spacing w:val="0"/>
          <w:kern w:val="0"/>
          <w:sz w:val="32"/>
          <w:szCs w:val="32"/>
          <w:shd w:val="clear" w:fill="FFFFFF"/>
        </w:rPr>
        <w:t>5</w:t>
      </w:r>
      <w:r>
        <w:rPr>
          <w:rFonts w:hint="eastAsia" w:ascii="楷体_GB2312" w:hAnsi="Times New Roman" w:eastAsia="楷体_GB2312" w:cs="楷体_GB2312"/>
          <w:b/>
          <w:bCs/>
          <w:i w:val="0"/>
          <w:iCs w:val="0"/>
          <w:caps w:val="0"/>
          <w:color w:val="000000"/>
          <w:spacing w:val="0"/>
          <w:kern w:val="0"/>
          <w:sz w:val="32"/>
          <w:szCs w:val="32"/>
          <w:shd w:val="clear" w:fill="FFFFFF"/>
        </w:rPr>
        <w:t>、监督保障</w:t>
      </w:r>
    </w:p>
    <w:p w14:paraId="39068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both"/>
      </w:pPr>
      <w:r>
        <w:rPr>
          <w:rFonts w:hint="eastAsia" w:ascii="仿宋_GB2312" w:hAnsi="Times New Roman" w:eastAsia="仿宋_GB2312" w:cs="仿宋_GB2312"/>
          <w:i w:val="0"/>
          <w:iCs w:val="0"/>
          <w:caps w:val="0"/>
          <w:color w:val="000000"/>
          <w:spacing w:val="0"/>
          <w:kern w:val="0"/>
          <w:sz w:val="32"/>
          <w:szCs w:val="32"/>
          <w:shd w:val="clear" w:fill="FFFFFF"/>
        </w:rPr>
        <w:t>建立监督保障机制，明确职责分工。根据人事变动及时调整局政务公开工作领导组成员，调整充实各股室政务公开工作人员，全面加强政务公开工作力量配置建设。并根据县政务公开办和第三方测评中反馈的问题，认真制定整改清单，明确整改时限和整改责任人，确保整改工作落实到位，并将整改情况报告及时公布。同时，将政务公开工作纳入机关目标管理考评内容，形成</w:t>
      </w:r>
      <w:r>
        <w:rPr>
          <w:rFonts w:hint="default" w:ascii="Times New Roman" w:hAnsi="Times New Roman" w:eastAsia="仿宋_GB2312" w:cs="Times New Roman"/>
          <w:i w:val="0"/>
          <w:iCs w:val="0"/>
          <w:caps w:val="0"/>
          <w:color w:val="000000"/>
          <w:spacing w:val="0"/>
          <w:kern w:val="0"/>
          <w:sz w:val="32"/>
          <w:szCs w:val="32"/>
          <w:shd w:val="clear" w:fill="FFFFFF"/>
        </w:rPr>
        <w:t>“</w:t>
      </w:r>
      <w:r>
        <w:rPr>
          <w:rFonts w:hint="eastAsia" w:ascii="仿宋_GB2312" w:hAnsi="Times New Roman" w:eastAsia="仿宋_GB2312" w:cs="仿宋_GB2312"/>
          <w:i w:val="0"/>
          <w:iCs w:val="0"/>
          <w:caps w:val="0"/>
          <w:color w:val="000000"/>
          <w:spacing w:val="0"/>
          <w:kern w:val="0"/>
          <w:sz w:val="32"/>
          <w:szCs w:val="32"/>
          <w:shd w:val="clear" w:fill="FFFFFF"/>
        </w:rPr>
        <w:t>三到位</w:t>
      </w:r>
      <w:r>
        <w:rPr>
          <w:rFonts w:hint="default" w:ascii="Times New Roman" w:hAnsi="Times New Roman" w:eastAsia="仿宋_GB2312" w:cs="Times New Roman"/>
          <w:i w:val="0"/>
          <w:iCs w:val="0"/>
          <w:caps w:val="0"/>
          <w:color w:val="000000"/>
          <w:spacing w:val="0"/>
          <w:kern w:val="0"/>
          <w:sz w:val="32"/>
          <w:szCs w:val="32"/>
          <w:shd w:val="clear" w:fill="FFFFFF"/>
        </w:rPr>
        <w:t>”</w:t>
      </w:r>
      <w:r>
        <w:rPr>
          <w:rFonts w:hint="eastAsia" w:ascii="仿宋_GB2312" w:hAnsi="Times New Roman" w:eastAsia="仿宋_GB2312" w:cs="仿宋_GB2312"/>
          <w:i w:val="0"/>
          <w:iCs w:val="0"/>
          <w:caps w:val="0"/>
          <w:color w:val="000000"/>
          <w:spacing w:val="0"/>
          <w:kern w:val="0"/>
          <w:sz w:val="32"/>
          <w:szCs w:val="32"/>
          <w:shd w:val="clear" w:fill="FFFFFF"/>
        </w:rPr>
        <w:t>的工作机制。</w:t>
      </w:r>
    </w:p>
    <w:p w14:paraId="3CA67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exact"/>
        <w:ind w:left="0" w:right="0" w:firstLine="640" w:firstLineChars="200"/>
        <w:jc w:val="both"/>
      </w:pPr>
      <w:r>
        <w:rPr>
          <w:rFonts w:hint="eastAsia" w:ascii="黑体" w:hAnsi="宋体" w:eastAsia="黑体" w:cs="黑体"/>
          <w:i w:val="0"/>
          <w:iCs w:val="0"/>
          <w:caps w:val="0"/>
          <w:color w:val="333333"/>
          <w:spacing w:val="0"/>
          <w:kern w:val="0"/>
          <w:sz w:val="32"/>
          <w:szCs w:val="32"/>
          <w:shd w:val="clear" w:fill="FFFFFF"/>
        </w:rPr>
        <w:t>二、主动公开政府信息情况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23"/>
        <w:gridCol w:w="2132"/>
        <w:gridCol w:w="2132"/>
        <w:gridCol w:w="2133"/>
      </w:tblGrid>
      <w:tr w14:paraId="600D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93BA723">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第二十条第（一）项</w:t>
            </w:r>
          </w:p>
        </w:tc>
      </w:tr>
      <w:tr w14:paraId="6791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41B057">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4DC5A2">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3F0AB48">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479C04">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14:paraId="7A9F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6FDA1DE">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8DAB3BB">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75A121D">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9F62C8E">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r>
      <w:tr w14:paraId="7505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854471">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F7E8EEC">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C315F30">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6C196A4">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w:t>
            </w:r>
          </w:p>
        </w:tc>
      </w:tr>
      <w:tr w14:paraId="24AA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C1C5D0">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第二十条第（五）项</w:t>
            </w:r>
          </w:p>
        </w:tc>
      </w:tr>
      <w:tr w14:paraId="76F0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D1B7B82">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9725D19">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本年处理决定数量</w:t>
            </w:r>
          </w:p>
        </w:tc>
      </w:tr>
      <w:tr w14:paraId="1AD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A1DA3E">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82AB7C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1"/>
                <w:szCs w:val="21"/>
              </w:rPr>
              <w:t>37</w:t>
            </w:r>
          </w:p>
        </w:tc>
      </w:tr>
      <w:tr w14:paraId="32D8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E768E8E">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第二十条第（六）项</w:t>
            </w:r>
          </w:p>
        </w:tc>
      </w:tr>
      <w:tr w14:paraId="0E39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D6BCF45">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D4B63A">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rPr>
              <w:t>本年处理决定数量</w:t>
            </w:r>
          </w:p>
        </w:tc>
      </w:tr>
      <w:tr w14:paraId="6F59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6ACD02">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30B1CC7">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18　</w:t>
            </w:r>
          </w:p>
        </w:tc>
      </w:tr>
      <w:tr w14:paraId="6F30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A67B950">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A9CDA14">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0　</w:t>
            </w:r>
          </w:p>
        </w:tc>
      </w:tr>
      <w:tr w14:paraId="587A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C3CC3B8">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第二十条第（八）项</w:t>
            </w:r>
          </w:p>
        </w:tc>
      </w:tr>
      <w:tr w14:paraId="2309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6182554">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6EB9ED6">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rPr>
              <w:t>本年收费金额（单位：万元）</w:t>
            </w:r>
          </w:p>
        </w:tc>
      </w:tr>
      <w:tr w14:paraId="0051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BADC4A">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1041BDA">
            <w:pPr>
              <w:pStyle w:val="2"/>
              <w:keepNext w:val="0"/>
              <w:keepLines w:val="0"/>
              <w:widowControl/>
              <w:suppressLineNumbers w:val="0"/>
              <w:wordWrap w:val="0"/>
              <w:spacing w:before="0" w:beforeAutospacing="0" w:after="0" w:afterAutospacing="0"/>
              <w:ind w:left="0" w:right="0" w:firstLine="2400"/>
              <w:jc w:val="both"/>
            </w:pPr>
            <w:r>
              <w:rPr>
                <w:rFonts w:hint="eastAsia" w:ascii="宋体" w:hAnsi="宋体" w:eastAsia="宋体" w:cs="宋体"/>
                <w:kern w:val="0"/>
                <w:sz w:val="24"/>
                <w:szCs w:val="24"/>
              </w:rPr>
              <w:t>7942.07</w:t>
            </w:r>
          </w:p>
        </w:tc>
      </w:tr>
    </w:tbl>
    <w:p w14:paraId="6995F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r>
        <w:rPr>
          <w:rFonts w:hint="eastAsia" w:ascii="仿宋" w:hAnsi="仿宋" w:eastAsia="仿宋" w:cs="仿宋"/>
          <w:i w:val="0"/>
          <w:iCs w:val="0"/>
          <w:caps w:val="0"/>
          <w:color w:val="333333"/>
          <w:spacing w:val="0"/>
          <w:kern w:val="0"/>
          <w:sz w:val="32"/>
          <w:szCs w:val="32"/>
          <w:shd w:val="clear" w:fill="FFFFFF"/>
        </w:rPr>
        <w:t xml:space="preserve"> </w:t>
      </w:r>
    </w:p>
    <w:p w14:paraId="56974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r>
        <w:rPr>
          <w:rFonts w:hint="eastAsia" w:ascii="黑体" w:hAnsi="宋体" w:eastAsia="黑体" w:cs="黑体"/>
          <w:i w:val="0"/>
          <w:iCs w:val="0"/>
          <w:caps w:val="0"/>
          <w:color w:val="333333"/>
          <w:spacing w:val="0"/>
          <w:kern w:val="0"/>
          <w:sz w:val="32"/>
          <w:szCs w:val="32"/>
          <w:shd w:val="clear" w:fill="FFFFFF"/>
        </w:rPr>
        <w:t> 三、收到和处理政府信息公开申请情况</w:t>
      </w:r>
    </w:p>
    <w:tbl>
      <w:tblPr>
        <w:tblStyle w:val="3"/>
        <w:tblW w:w="97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4E94C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A531667">
            <w:pPr>
              <w:pStyle w:val="2"/>
              <w:keepNext w:val="0"/>
              <w:keepLines w:val="0"/>
              <w:widowControl/>
              <w:suppressLineNumbers w:val="0"/>
              <w:wordWrap w:val="0"/>
              <w:spacing w:before="0" w:beforeAutospacing="0" w:after="0" w:afterAutospacing="0"/>
              <w:ind w:left="0" w:right="0"/>
              <w:jc w:val="left"/>
            </w:pPr>
            <w:r>
              <w:rPr>
                <w:rFonts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243C8DA">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申请人情况</w:t>
            </w:r>
          </w:p>
        </w:tc>
      </w:tr>
      <w:tr w14:paraId="53AC8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D6D135F">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9FA5753">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601018">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DA11BEE">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总计</w:t>
            </w:r>
          </w:p>
        </w:tc>
      </w:tr>
      <w:tr w14:paraId="01D83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B181E7C">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72F4780D">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C849DA">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商业</w:t>
            </w:r>
          </w:p>
          <w:p w14:paraId="7904EB31">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28012B">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科研</w:t>
            </w:r>
          </w:p>
          <w:p w14:paraId="2B7DB20F">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D3FD243">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929CE45">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67929AB">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D25B080">
            <w:pPr>
              <w:rPr>
                <w:rFonts w:hint="eastAsia" w:ascii="宋体"/>
                <w:sz w:val="24"/>
                <w:szCs w:val="24"/>
              </w:rPr>
            </w:pPr>
          </w:p>
        </w:tc>
      </w:tr>
      <w:tr w14:paraId="0591D3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D18978">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6E328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36F8E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198D3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F55AB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66600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6C38C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76993C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4</w:t>
            </w:r>
          </w:p>
        </w:tc>
      </w:tr>
      <w:tr w14:paraId="0433F5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7A8E47">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A118F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95A94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99104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5AEEE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7CCE6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96BBE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B1BFAE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r>
      <w:tr w14:paraId="230D4E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B5ADEDB">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3153145">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C3751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35057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C0FB5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6CCF9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A3389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BF20E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007AC23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r>
      <w:tr w14:paraId="1E2B02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D4A3E70">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F04594A">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1331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57BFC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F57DC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047D0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09F0E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BC38F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D1B77C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1791D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36E9E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431D621">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（三）不予公开</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D7905F2">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50D3B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24419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6271C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361C0B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6C01C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29EA5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69A74E0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731F4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9F52B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8079FCC">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47E8184">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557F4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7388A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76663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531F20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77433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85E26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0EC6D3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6EF7E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111AE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421CC73">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09427555">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DAB44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AF4E4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05FBC17">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08E0E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3EE5E0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35A5CE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A85D6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05A33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CC7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D0B1C6">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503716D">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1176B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8C11EC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7C2039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8B569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88C22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3EC0E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221DB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1 </w:t>
            </w:r>
          </w:p>
        </w:tc>
      </w:tr>
      <w:tr w14:paraId="11F8D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64C28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6F00322">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6DE4C39">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D56B42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B9F02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F39752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49DDF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1B57A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CDCB8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B50FF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12663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ECB9A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A7F083">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0C3F4F4F">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A9934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D41BC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EBE73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001FB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3889287">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40660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771C1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1DFC7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74D29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7EB7CE8">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E4C4BD1">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11D8E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4FAA07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C4F747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63238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FF433E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4D7BE7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DC92D8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588E2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F08181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90D1F25">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88FFDC6">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7B536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32B9E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308F2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DC2C5A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F58EB1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C0AE34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BFB65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7D54D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BBE12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1019099">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（四）无法提供</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289A986">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A3B81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FBF03A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32B13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B99DD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74587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17B4E8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347B4A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3</w:t>
            </w:r>
          </w:p>
        </w:tc>
      </w:tr>
      <w:tr w14:paraId="07470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A216A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C849B5E">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E030BD6">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076B10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B3E29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031184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F7A555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72819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61A054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C03FE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31C19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46949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6C213F5">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73A844D">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1BF23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82923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77E31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1BAAA7">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3B1C3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E206C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7E563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6E14F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3C214E">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775C4B0">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（五）不予处理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A5D464D">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4FC63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74D941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F93CE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1F40A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21EE7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D121D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BA84F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25C65F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8E1AC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F34E113">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304925B">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415FBC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DEE7D3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95A32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F6945B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E8B69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30F678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1F6F84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72E35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15FCB3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7BDB65B">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5BCCF89">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9C6308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8C15BC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107D29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A865CD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9C1D8A">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EDA88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71CD20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35C94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FEA420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AF51B21">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5086F0A">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F839C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204E95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1CE2C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565B0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C477D9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593B2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BCCF28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00C610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7" w:hRule="atLeast"/>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2044F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8F87103">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auto"/>
            <w:tcMar>
              <w:left w:w="57" w:type="dxa"/>
              <w:right w:w="57" w:type="dxa"/>
            </w:tcMar>
            <w:vAlign w:val="center"/>
          </w:tcPr>
          <w:p w14:paraId="05B71ACD">
            <w:pPr>
              <w:pStyle w:val="2"/>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E9E03D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7541BB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C1A46E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EA02B2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2E56419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EC84B1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8576F4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6CF438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391854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46CD939">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（六）其他处理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0788A98F">
            <w:pPr>
              <w:pStyle w:val="2"/>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D66DF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BFF399">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E1304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FBB5A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0578B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55B23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493F9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5505E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466FEB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9C4A5A">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37E14C65">
            <w:pPr>
              <w:pStyle w:val="2"/>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F8B5A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40F5C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58DEC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52D32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89E81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3975B3">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42D93E">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 </w:t>
            </w:r>
          </w:p>
        </w:tc>
      </w:tr>
      <w:tr w14:paraId="1F817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565B2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035BC4E">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0A9CAD7E">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8D034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D869BC">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013D5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7B068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52D2E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6758FD">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7337E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r>
      <w:tr w14:paraId="61776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66C2E0">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8DA8A1D">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250D4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2C6778">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6C0235">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35BF3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072EA6">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F19E8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1C90FB">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4</w:t>
            </w:r>
          </w:p>
        </w:tc>
      </w:tr>
      <w:tr w14:paraId="36B78C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628837">
            <w:pPr>
              <w:pStyle w:val="2"/>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1C09C2">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D3AA7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D58A44">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23F6FF">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5E7880">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CD51F1">
            <w:pPr>
              <w:pStyle w:val="2"/>
              <w:keepNext w:val="0"/>
              <w:keepLines w:val="0"/>
              <w:widowControl/>
              <w:suppressLineNumbers w:val="0"/>
              <w:wordWrap w:val="0"/>
              <w:spacing w:before="0" w:beforeAutospacing="0" w:after="0" w:afterAutospacing="0"/>
              <w:ind w:left="0" w:right="0"/>
              <w:jc w:val="center"/>
            </w:pPr>
            <w:r>
              <w:rPr>
                <w:rFonts w:hint="default" w:ascii="Calibri" w:hAnsi="Calibri" w:eastAsia="仿宋" w:cs="Calibri"/>
                <w:kern w:val="0"/>
                <w:sz w:val="20"/>
                <w:szCs w:val="20"/>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7CDDDA">
            <w:pPr>
              <w:pStyle w:val="2"/>
              <w:keepNext w:val="0"/>
              <w:keepLines w:val="0"/>
              <w:widowControl/>
              <w:suppressLineNumbers w:val="0"/>
              <w:wordWrap w:val="0"/>
              <w:spacing w:before="0" w:beforeAutospacing="0" w:after="0" w:afterAutospacing="0"/>
              <w:ind w:left="0" w:right="0" w:firstLine="200" w:firstLineChars="100"/>
              <w:jc w:val="both"/>
            </w:pPr>
            <w:r>
              <w:rPr>
                <w:rFonts w:hint="default" w:ascii="Calibri" w:hAnsi="Calibri" w:eastAsia="仿宋" w:cs="Calibri"/>
                <w:kern w:val="0"/>
                <w:sz w:val="20"/>
                <w:szCs w:val="20"/>
              </w:rPr>
              <w:t>0</w:t>
            </w:r>
          </w:p>
        </w:tc>
      </w:tr>
    </w:tbl>
    <w:p w14:paraId="0A6CE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pPr>
      <w:r>
        <w:rPr>
          <w:rFonts w:hint="eastAsia" w:ascii="黑体" w:hAnsi="宋体" w:eastAsia="黑体" w:cs="黑体"/>
          <w:i w:val="0"/>
          <w:iCs w:val="0"/>
          <w:caps w:val="0"/>
          <w:color w:val="333333"/>
          <w:spacing w:val="0"/>
          <w:kern w:val="0"/>
          <w:sz w:val="32"/>
          <w:szCs w:val="32"/>
          <w:shd w:val="clear" w:fill="FFFFFF"/>
        </w:rPr>
        <w:t xml:space="preserve"> </w:t>
      </w:r>
    </w:p>
    <w:p w14:paraId="03FA7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pPr>
      <w:r>
        <w:rPr>
          <w:rFonts w:hint="eastAsia" w:ascii="黑体" w:hAnsi="宋体" w:eastAsia="黑体" w:cs="黑体"/>
          <w:i w:val="0"/>
          <w:iCs w:val="0"/>
          <w:caps w:val="0"/>
          <w:color w:val="333333"/>
          <w:spacing w:val="0"/>
          <w:kern w:val="0"/>
          <w:sz w:val="32"/>
          <w:szCs w:val="32"/>
          <w:shd w:val="clear" w:fill="FFFFFF"/>
        </w:rPr>
        <w:t>四、政府信息公开行政复议、行政诉讼情况</w:t>
      </w:r>
    </w:p>
    <w:p w14:paraId="32E32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pPr>
      <w:r>
        <w:rPr>
          <w:rFonts w:hint="eastAsia" w:ascii="宋体" w:hAnsi="宋体" w:eastAsia="宋体" w:cs="宋体"/>
          <w:i w:val="0"/>
          <w:iCs w:val="0"/>
          <w:caps w:val="0"/>
          <w:color w:val="333333"/>
          <w:spacing w:val="0"/>
          <w:kern w:val="0"/>
          <w:sz w:val="24"/>
          <w:szCs w:val="24"/>
          <w:shd w:val="clear" w:fill="FFFFFF"/>
        </w:rPr>
        <w:t xml:space="preserve"> </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2"/>
        <w:gridCol w:w="572"/>
        <w:gridCol w:w="572"/>
        <w:gridCol w:w="572"/>
        <w:gridCol w:w="572"/>
        <w:gridCol w:w="572"/>
        <w:gridCol w:w="572"/>
        <w:gridCol w:w="572"/>
        <w:gridCol w:w="572"/>
        <w:gridCol w:w="572"/>
        <w:gridCol w:w="572"/>
        <w:gridCol w:w="572"/>
        <w:gridCol w:w="572"/>
        <w:gridCol w:w="572"/>
        <w:gridCol w:w="514"/>
      </w:tblGrid>
      <w:tr w14:paraId="3819E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25C4E7">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7FDD7D">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行政诉讼</w:t>
            </w:r>
          </w:p>
        </w:tc>
      </w:tr>
      <w:tr w14:paraId="605B1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7FE499">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0AB58D8">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1C3DF1">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6F3B31">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8378C4">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66A520">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未经复议直接起诉</w:t>
            </w:r>
          </w:p>
        </w:tc>
        <w:tc>
          <w:tcPr>
            <w:tcW w:w="325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EB2DD0">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复议后起诉</w:t>
            </w:r>
          </w:p>
        </w:tc>
      </w:tr>
      <w:tr w14:paraId="102F6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CB4FF1">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050AFB4">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4ACDA">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18C7D9">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616841">
            <w:pPr>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1190C4E7">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A5B4F2B">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9AC66A">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0F7DBE">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BB70F6">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rPr>
              <w:t>总计</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55C7B6">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3262D8">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4DE35">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D72BD6">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73D822">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rPr>
              <w:t>总计</w:t>
            </w:r>
          </w:p>
        </w:tc>
      </w:tr>
      <w:tr w14:paraId="6F6A9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6F611">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6EB77026">
            <w:pPr>
              <w:pStyle w:val="2"/>
              <w:keepNext w:val="0"/>
              <w:keepLines w:val="0"/>
              <w:widowControl/>
              <w:suppressLineNumbers w:val="0"/>
              <w:wordWrap w:val="0"/>
              <w:spacing w:before="0" w:beforeAutospacing="0" w:after="0" w:afterAutospacing="0"/>
              <w:ind w:left="0" w:right="0" w:firstLine="0"/>
              <w:jc w:val="center"/>
            </w:pPr>
            <w:r>
              <w:rPr>
                <w:rFonts w:hint="eastAsia" w:ascii="黑体" w:hAnsi="宋体" w:eastAsia="黑体" w:cs="黑体"/>
                <w:kern w:val="0"/>
                <w:sz w:val="20"/>
                <w:szCs w:val="20"/>
              </w:rPr>
              <w:t>0</w:t>
            </w:r>
            <w:r>
              <w:rPr>
                <w:rFonts w:hint="eastAsia" w:ascii="宋体" w:hAnsi="宋体" w:eastAsia="宋体" w:cs="宋体"/>
                <w:kern w:val="0"/>
                <w:sz w:val="20"/>
                <w:szCs w:val="20"/>
              </w:rPr>
              <w:t> </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02F7C134">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0E3BFB1B">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3C83E71D">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45D3AB15">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4874C3E">
            <w:pPr>
              <w:pStyle w:val="2"/>
              <w:keepNext w:val="0"/>
              <w:keepLines w:val="0"/>
              <w:widowControl/>
              <w:suppressLineNumbers w:val="0"/>
              <w:wordWrap w:val="0"/>
              <w:spacing w:before="0" w:beforeAutospacing="0" w:after="0" w:afterAutospacing="0"/>
              <w:ind w:left="0" w:right="0" w:firstLine="0"/>
              <w:jc w:val="center"/>
            </w:pPr>
            <w:r>
              <w:rPr>
                <w:rFonts w:hint="eastAsia" w:ascii="黑体" w:hAnsi="宋体" w:eastAsia="黑体" w:cs="黑体"/>
                <w:kern w:val="0"/>
                <w:sz w:val="20"/>
                <w:szCs w:val="20"/>
              </w:rPr>
              <w:t>0</w:t>
            </w:r>
            <w:r>
              <w:rPr>
                <w:rFonts w:hint="eastAsia" w:ascii="宋体" w:hAnsi="宋体" w:eastAsia="宋体" w:cs="宋体"/>
                <w:kern w:val="0"/>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E22FB14">
            <w:pPr>
              <w:pStyle w:val="2"/>
              <w:keepNext w:val="0"/>
              <w:keepLines w:val="0"/>
              <w:widowControl/>
              <w:suppressLineNumbers w:val="0"/>
              <w:wordWrap w:val="0"/>
              <w:spacing w:before="0" w:beforeAutospacing="0" w:after="0" w:afterAutospacing="0"/>
              <w:ind w:left="0" w:right="0" w:firstLine="0"/>
              <w:jc w:val="center"/>
            </w:pPr>
            <w:r>
              <w:rPr>
                <w:rFonts w:hint="eastAsia" w:ascii="黑体" w:hAnsi="宋体" w:eastAsia="黑体" w:cs="黑体"/>
                <w:kern w:val="0"/>
                <w:sz w:val="20"/>
                <w:szCs w:val="20"/>
              </w:rPr>
              <w:t>0</w:t>
            </w:r>
            <w:r>
              <w:rPr>
                <w:rFonts w:hint="eastAsia" w:ascii="宋体" w:hAnsi="宋体" w:eastAsia="宋体" w:cs="宋体"/>
                <w:kern w:val="0"/>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3B63F6A">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9FA7368">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288E62E">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B8F2D7E">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6A08E61">
            <w:pPr>
              <w:pStyle w:val="2"/>
              <w:keepNext w:val="0"/>
              <w:keepLines w:val="0"/>
              <w:widowControl/>
              <w:suppressLineNumbers w:val="0"/>
              <w:wordWrap w:val="0"/>
              <w:spacing w:before="0" w:beforeAutospacing="0" w:after="0" w:afterAutospacing="0"/>
              <w:ind w:left="0" w:right="0" w:firstLine="0"/>
              <w:jc w:val="center"/>
            </w:pPr>
            <w:r>
              <w:rPr>
                <w:rFonts w:hint="eastAsia" w:ascii="黑体" w:hAnsi="宋体" w:eastAsia="黑体" w:cs="黑体"/>
                <w:kern w:val="0"/>
                <w:sz w:val="20"/>
                <w:szCs w:val="20"/>
              </w:rPr>
              <w:t>0</w:t>
            </w:r>
            <w:r>
              <w:rPr>
                <w:rFonts w:hint="eastAsia" w:ascii="宋体" w:hAnsi="宋体" w:eastAsia="宋体" w:cs="宋体"/>
                <w:kern w:val="0"/>
                <w:sz w:val="20"/>
                <w:szCs w:val="20"/>
              </w:rPr>
              <w:t> </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A9E0FDF">
            <w:pPr>
              <w:pStyle w:val="2"/>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rPr>
              <w:t> </w:t>
            </w:r>
            <w:r>
              <w:rPr>
                <w:rFonts w:hint="eastAsia" w:ascii="黑体" w:hAnsi="宋体" w:eastAsia="黑体" w:cs="黑体"/>
                <w:kern w:val="0"/>
                <w:sz w:val="20"/>
                <w:szCs w:val="20"/>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7EF98AD">
            <w:pPr>
              <w:pStyle w:val="2"/>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4"/>
                <w:szCs w:val="24"/>
              </w:rPr>
              <w:t>0</w:t>
            </w:r>
          </w:p>
        </w:tc>
      </w:tr>
    </w:tbl>
    <w:p w14:paraId="24BB30EF">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黑体" w:hAnsi="宋体" w:eastAsia="黑体" w:cs="黑体"/>
          <w:kern w:val="2"/>
          <w:sz w:val="32"/>
          <w:szCs w:val="32"/>
          <w:lang w:val="en-US" w:eastAsia="zh-CN" w:bidi="ar"/>
        </w:rPr>
        <w:t>五、存在的主要问题及改进情况</w:t>
      </w:r>
    </w:p>
    <w:p w14:paraId="1D288C26">
      <w:pPr>
        <w:keepNext w:val="0"/>
        <w:keepLines w:val="0"/>
        <w:widowControl w:val="0"/>
        <w:suppressLineNumbers w:val="0"/>
        <w:autoSpaceDE w:val="0"/>
        <w:autoSpaceDN/>
        <w:spacing w:before="0" w:beforeAutospacing="0" w:after="0" w:afterAutospacing="0" w:line="560" w:lineRule="exact"/>
        <w:ind w:left="0" w:right="0" w:firstLine="643" w:firstLineChars="200"/>
        <w:jc w:val="left"/>
      </w:pPr>
      <w:r>
        <w:rPr>
          <w:rFonts w:hint="eastAsia" w:ascii="仿宋_GB2312" w:hAnsi="Times New Roman" w:eastAsia="仿宋_GB2312" w:cs="仿宋_GB2312"/>
          <w:b/>
          <w:bCs/>
          <w:kern w:val="2"/>
          <w:sz w:val="32"/>
          <w:szCs w:val="32"/>
          <w:lang w:val="en-US" w:eastAsia="zh-CN" w:bidi="ar"/>
        </w:rPr>
        <w:t>存在问题：</w:t>
      </w:r>
      <w:r>
        <w:rPr>
          <w:rFonts w:hint="eastAsia" w:ascii="仿宋_GB2312" w:hAnsi="Times New Roman" w:eastAsia="仿宋_GB2312" w:cs="仿宋_GB2312"/>
          <w:kern w:val="2"/>
          <w:sz w:val="32"/>
          <w:szCs w:val="32"/>
          <w:lang w:val="en-US" w:eastAsia="zh-CN" w:bidi="ar"/>
        </w:rPr>
        <w:t>一是政务公开工作经办人员的业务能力水平还有待提高，相关经办业务股室对公开的各要素要求掌握不全面，缺乏系统的学习。二是政策解读信息内容不丰富，形式较为单一，解读质量不高，缺少专家、媒体、音频视频解读。</w:t>
      </w:r>
    </w:p>
    <w:p w14:paraId="69C39C96">
      <w:pPr>
        <w:keepNext w:val="0"/>
        <w:keepLines w:val="0"/>
        <w:widowControl w:val="0"/>
        <w:suppressLineNumbers w:val="0"/>
        <w:autoSpaceDE w:val="0"/>
        <w:autoSpaceDN/>
        <w:spacing w:before="0" w:beforeAutospacing="0" w:after="0" w:afterAutospacing="0" w:line="560" w:lineRule="exact"/>
        <w:ind w:left="0" w:right="0" w:firstLine="643" w:firstLineChars="200"/>
        <w:jc w:val="left"/>
      </w:pPr>
      <w:r>
        <w:rPr>
          <w:rFonts w:hint="eastAsia" w:ascii="仿宋_GB2312" w:hAnsi="Times New Roman" w:eastAsia="仿宋_GB2312" w:cs="仿宋_GB2312"/>
          <w:b/>
          <w:bCs/>
          <w:kern w:val="2"/>
          <w:sz w:val="32"/>
          <w:szCs w:val="32"/>
          <w:lang w:val="en-US" w:eastAsia="zh-CN" w:bidi="ar"/>
        </w:rPr>
        <w:t>改进情况：</w:t>
      </w:r>
      <w:r>
        <w:rPr>
          <w:rFonts w:hint="eastAsia" w:ascii="仿宋_GB2312" w:hAnsi="Times New Roman" w:eastAsia="仿宋_GB2312" w:cs="仿宋_GB2312"/>
          <w:kern w:val="2"/>
          <w:sz w:val="32"/>
          <w:szCs w:val="32"/>
          <w:lang w:val="en-US" w:eastAsia="zh-CN" w:bidi="ar"/>
        </w:rPr>
        <w:t>一是进一步加强经办股室业务能力提升，认真研究学习上级有关文件精神，掌握最新工作标准要求，积极参加市、县政务公开业务培训活动，不断提升业务水平，并加强和机关各股室的交流沟通，及时获取信息汇总发布。二是积极学习先进单位的政策解读，不断丰富解读方式，运用图表、动漫图片等民众喜闻乐见的方式来进行解读，提高政策的针对性、科学性、权威性和实效性。</w:t>
      </w:r>
    </w:p>
    <w:p w14:paraId="6342A254">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黑体" w:hAnsi="宋体" w:eastAsia="黑体" w:cs="黑体"/>
          <w:kern w:val="2"/>
          <w:sz w:val="32"/>
          <w:szCs w:val="32"/>
          <w:lang w:val="en-US" w:eastAsia="zh-CN" w:bidi="ar"/>
        </w:rPr>
        <w:t>六、其他需要报告的事项</w:t>
      </w:r>
    </w:p>
    <w:p w14:paraId="3CF4059B">
      <w:pPr>
        <w:keepNext w:val="0"/>
        <w:keepLines w:val="0"/>
        <w:widowControl w:val="0"/>
        <w:suppressLineNumbers w:val="0"/>
        <w:autoSpaceDE w:val="0"/>
        <w:autoSpaceDN/>
        <w:spacing w:before="0" w:beforeAutospacing="0" w:after="0" w:afterAutospacing="0"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按照《国务院办公厅关于印发&lt;政府信息公开信息处理费管理办法&gt;的通知》（国办函〔2020〕109号）规定的按件、按量收费标准，本年度没有产生信息公开处理费。</w:t>
      </w:r>
    </w:p>
    <w:p w14:paraId="6CCCCD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ThjYmU2OGYzODA3NzE1ZmQ4MDVkYmZkODU0MDEifQ=="/>
  </w:docVars>
  <w:rsids>
    <w:rsidRoot w:val="21C056DE"/>
    <w:rsid w:val="0B0D0E79"/>
    <w:rsid w:val="0E860342"/>
    <w:rsid w:val="20836478"/>
    <w:rsid w:val="21C056DE"/>
    <w:rsid w:val="243E3D12"/>
    <w:rsid w:val="295D022F"/>
    <w:rsid w:val="370C5A0B"/>
    <w:rsid w:val="3C263033"/>
    <w:rsid w:val="4129186F"/>
    <w:rsid w:val="43CB124B"/>
    <w:rsid w:val="4672099E"/>
    <w:rsid w:val="4D3C4BD6"/>
    <w:rsid w:val="4F8C297D"/>
    <w:rsid w:val="57E5010E"/>
    <w:rsid w:val="6E3B0853"/>
    <w:rsid w:val="6FB1183D"/>
    <w:rsid w:val="71811A05"/>
    <w:rsid w:val="77C704FB"/>
    <w:rsid w:val="7AC52566"/>
    <w:rsid w:val="7AF558FC"/>
    <w:rsid w:val="7BC0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1540</Words>
  <Characters>1702</Characters>
  <Lines>0</Lines>
  <Paragraphs>0</Paragraphs>
  <TotalTime>0</TotalTime>
  <ScaleCrop>false</ScaleCrop>
  <LinksUpToDate>false</LinksUpToDate>
  <CharactersWithSpaces>1705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2024-02-21T00:54:00Z</dcterms:created>
  <dc:creator>gyb1</dc:creator>
  <cp:lastModifiedBy>gyb1</cp:lastModifiedBy>
  <dcterms:modified xsi:type="dcterms:W3CDTF">2025-08-15T03:42:41Z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7059F4CE52134F80B2C147FBAC96A956_11</vt:lpwstr>
  </property>
  <property fmtid="{D5CDD505-2E9C-101B-9397-08002B2CF9AE}" pid="4" name="KSOTemplateDocerSaveRecord">
    <vt:lpwstr>eyJoZGlkIjoiOTNjZThjYmU2OGYzODA3NzE1ZmQ4MDVkYmZkODU0MDEifQ==</vt:lpwstr>
  </property>
</Properties>
</file>