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41" w:beforeAutospacing="0" w:after="141" w:afterAutospacing="0" w:line="720" w:lineRule="atLeast"/>
        <w:ind w:left="0" w:right="0" w:firstLine="0"/>
        <w:jc w:val="center"/>
        <w:rPr>
          <w:rFonts w:hint="eastAsia" w:ascii="方正小标宋_GBK" w:hAnsi="方正小标宋_GBK" w:eastAsia="方正小标宋_GBK" w:cs="方正小标宋_GBK"/>
          <w:b w:val="0"/>
          <w:i w:val="0"/>
          <w:caps w:val="0"/>
          <w:color w:val="000000"/>
          <w:spacing w:val="0"/>
          <w:sz w:val="44"/>
          <w:szCs w:val="44"/>
        </w:rPr>
      </w:pPr>
      <w:bookmarkStart w:id="0" w:name="OLE_LINK2"/>
      <w:bookmarkStart w:id="1" w:name="OLE_LINK1"/>
      <w:r>
        <w:rPr>
          <w:rFonts w:hint="eastAsia" w:ascii="方正小标宋_GBK" w:hAnsi="方正小标宋_GBK" w:eastAsia="方正小标宋_GBK" w:cs="方正小标宋_GBK"/>
          <w:b w:val="0"/>
          <w:i w:val="0"/>
          <w:caps w:val="0"/>
          <w:color w:val="000000"/>
          <w:spacing w:val="0"/>
          <w:sz w:val="44"/>
          <w:szCs w:val="44"/>
          <w:shd w:val="clear" w:fill="FFFFFF"/>
        </w:rPr>
        <w:t>金寨县中药（西山药库）产业发展中心202</w:t>
      </w:r>
      <w:r>
        <w:rPr>
          <w:rFonts w:hint="eastAsia" w:ascii="方正小标宋_GBK" w:hAnsi="方正小标宋_GBK" w:eastAsia="方正小标宋_GBK" w:cs="方正小标宋_GBK"/>
          <w:b w:val="0"/>
          <w:i w:val="0"/>
          <w:caps w:val="0"/>
          <w:color w:val="000000"/>
          <w:spacing w:val="0"/>
          <w:sz w:val="44"/>
          <w:szCs w:val="44"/>
          <w:shd w:val="clear" w:fill="FFFFFF"/>
          <w:lang w:val="en-US" w:eastAsia="zh-CN"/>
        </w:rPr>
        <w:t>2</w:t>
      </w:r>
      <w:r>
        <w:rPr>
          <w:rFonts w:hint="eastAsia" w:ascii="方正小标宋_GBK" w:hAnsi="方正小标宋_GBK" w:eastAsia="方正小标宋_GBK" w:cs="方正小标宋_GBK"/>
          <w:b w:val="0"/>
          <w:i w:val="0"/>
          <w:caps w:val="0"/>
          <w:color w:val="000000"/>
          <w:spacing w:val="0"/>
          <w:sz w:val="44"/>
          <w:szCs w:val="44"/>
          <w:shd w:val="clear" w:fill="FFFFFF"/>
        </w:rPr>
        <w:t>年政府信息公开工作年度报告</w:t>
      </w:r>
      <w:bookmarkEnd w:id="0"/>
    </w:p>
    <w:p>
      <w:pPr>
        <w:pStyle w:val="3"/>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319" w:leftChars="152" w:firstLine="320" w:firstLineChars="100"/>
        <w:jc w:val="left"/>
        <w:textAlignment w:val="auto"/>
        <w:rPr>
          <w:rFonts w:hint="eastAsia" w:ascii="仿宋_GB2312" w:hAnsi="仿宋_GB2312" w:eastAsia="仿宋_GB2312" w:cs="仿宋_GB2312"/>
          <w:sz w:val="32"/>
          <w:szCs w:val="32"/>
        </w:rPr>
      </w:pPr>
    </w:p>
    <w:p>
      <w:pPr>
        <w:pStyle w:val="3"/>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319" w:leftChars="152" w:firstLine="320" w:firstLineChars="100"/>
        <w:jc w:val="left"/>
        <w:textAlignment w:val="auto"/>
        <w:rPr>
          <w:rFonts w:hint="eastAsia" w:ascii="仿宋_GB2312" w:hAnsi="仿宋_GB2312" w:eastAsia="仿宋_GB2312" w:cs="仿宋_GB2312"/>
          <w:sz w:val="32"/>
          <w:szCs w:val="32"/>
        </w:rPr>
      </w:pPr>
      <w:bookmarkStart w:id="2" w:name="OLE_LINK3"/>
      <w:r>
        <w:rPr>
          <w:rFonts w:hint="eastAsia" w:ascii="仿宋_GB2312" w:hAnsi="仿宋_GB2312" w:eastAsia="仿宋_GB2312" w:cs="仿宋_GB2312"/>
          <w:sz w:val="32"/>
          <w:szCs w:val="32"/>
        </w:rPr>
        <w:t>本报告依据《中华人民共和国政府信息公开条例》（国务院令第711号，以下简称（新《条例》)和《六安市政务公开办公室关于做好2022年度政府信息公开年度报告编制和发布工作的通知》(六政务公开办〔2022〕53号)要求编制而成。报告主要包括：总体情况、行政机关主动公开政府信息情况、收到和处理政府信息公开申请情况、政府信息公开行政复议、行政诉讼情况、政府信息公开工作存在的主要问题及改进情况和其他需要报告的事项。本报告中使用数据统计期限为2022年1月1日至12月31日，报告的电子版可在金寨县信息公开（http://www.ahjinzhai.gov.cn/public/index.html）下载。如对本报告有任何疑问，请与金寨县中药（西山药库）产业发展中心政务公开办联系（地址：金寨县林业局（原技术监督管理局）6楼，电话：0564--7167005，邮编：237300）。</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一、总体情况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2022年，金寨县中药产业中心政务公开工作在县政务公开办的统一指导和部署下，严格落实以公开为常态，不公开为例外的原则，对照政务公开测评体系各项指标，认真完成了各项政务公开工作任务。</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（一）主动公开情况。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一是提升规范性文件公开力度。依据相关要求，除涉及国家机密和个人隐私的事项外，新形成的主动公开信息都向社会公开，做到公开透明。2022年金寨县中药产业中心做好县政府重点领域信息公开，加强对中药材产业相关热点的关注与回应；</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二是切实提高政策解读质量。严格落实政策解读“三同步”制度，注重对政策背景、出台目的、重要举措等方面的实质性解读，采取文字解读、新闻发布会、图片解读等多种形式对政策文件进行及时解读。</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三是积极回应社会关切。通过百姓畅言、部门信箱、意见征集、办事服务等渠道，广泛听取社会各界意见和建议，自觉接受社会各界监督，提高政务服务水平。2022年，办理重畅决事件一项，</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（二）依申请公开情况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严格按照《中华人民共和国政府信息公开条例》相关规定，做好依申请公开接收、登记、办理、答复、寄送、归档等工作，本年度我局收到依申请公开0件，办结0件，未发生行政复议及行政诉讼。</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（三）政府信息管理情况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建立健全政务公开信息三审制度，按照“谁发布，谁审查”和“事前审查”的原则，确保政务公开信息的准确性、及时性。定期开展网站普查和专项排查，重点排查重大错别字和泄漏隐私等信息。</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（四）平台建设情况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我中心进一步增强政府信息公开平台栏目的科学性，加强平台建设和栏目管理，以服务好群众为目标，积极回应社会关切，发挥好政务公开网为信息发布主平台的作用，做到准确、全面、及时发布司法行政工作有关信息。</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（五）监督保障情况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及时调整我中心政务公开工作领导小组；每季度根据市、县政务公开办监测反馈问题，安排专人负责，逐条对照问题清单及时整改到位，形成整改情况报告和整改清单，及时在“监督保障”栏目中公开。</w:t>
      </w:r>
    </w:p>
    <w:p>
      <w:pPr>
        <w:pStyle w:val="3"/>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二、收到和处理政府信息公开申请情况</w:t>
      </w:r>
    </w:p>
    <w:tbl>
      <w:tblPr>
        <w:tblStyle w:val="4"/>
        <w:tblW w:w="9315" w:type="dxa"/>
        <w:tblInd w:w="0" w:type="dxa"/>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25"/>
        <w:gridCol w:w="2370"/>
        <w:gridCol w:w="1534"/>
        <w:gridCol w:w="1686"/>
      </w:tblGrid>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85" w:hRule="atLeast"/>
        </w:trPr>
        <w:tc>
          <w:tcPr>
            <w:tcW w:w="9315" w:type="dxa"/>
            <w:gridSpan w:val="4"/>
            <w:tcBorders>
              <w:top w:val="single" w:color="auto" w:sz="8" w:space="0"/>
              <w:left w:val="single" w:color="auto" w:sz="8" w:space="0"/>
              <w:bottom w:val="single" w:color="auto" w:sz="8" w:space="0"/>
              <w:right w:val="single" w:color="auto" w:sz="8" w:space="0"/>
            </w:tcBorders>
            <w:shd w:val="clear" w:color="auto" w:fill="C6D9F1"/>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第二十条第（一）项</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155" w:hRule="atLeast"/>
        </w:trPr>
        <w:tc>
          <w:tcPr>
            <w:tcW w:w="372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信息内容</w:t>
            </w:r>
          </w:p>
        </w:tc>
        <w:tc>
          <w:tcPr>
            <w:tcW w:w="237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本年制发件数</w:t>
            </w:r>
          </w:p>
        </w:tc>
        <w:tc>
          <w:tcPr>
            <w:tcW w:w="1534"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本年废止件数</w:t>
            </w:r>
          </w:p>
        </w:tc>
        <w:tc>
          <w:tcPr>
            <w:tcW w:w="168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现行有效件数</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372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规章</w:t>
            </w:r>
          </w:p>
        </w:tc>
        <w:tc>
          <w:tcPr>
            <w:tcW w:w="237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0</w:t>
            </w:r>
          </w:p>
        </w:tc>
        <w:tc>
          <w:tcPr>
            <w:tcW w:w="1534"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0</w:t>
            </w:r>
          </w:p>
        </w:tc>
        <w:tc>
          <w:tcPr>
            <w:tcW w:w="168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85" w:hRule="atLeast"/>
        </w:trPr>
        <w:tc>
          <w:tcPr>
            <w:tcW w:w="372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规范性文件</w:t>
            </w:r>
          </w:p>
        </w:tc>
        <w:tc>
          <w:tcPr>
            <w:tcW w:w="237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0</w:t>
            </w:r>
          </w:p>
        </w:tc>
        <w:tc>
          <w:tcPr>
            <w:tcW w:w="1534"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 0</w:t>
            </w:r>
          </w:p>
        </w:tc>
        <w:tc>
          <w:tcPr>
            <w:tcW w:w="168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9315"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第二十条第（五）项</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30" w:hRule="atLeast"/>
        </w:trPr>
        <w:tc>
          <w:tcPr>
            <w:tcW w:w="372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信息内容</w:t>
            </w:r>
          </w:p>
        </w:tc>
        <w:tc>
          <w:tcPr>
            <w:tcW w:w="5590"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本年度处理决定数量</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3725" w:type="dxa"/>
            <w:tcBorders>
              <w:top w:val="nil"/>
              <w:left w:val="single" w:color="auto" w:sz="8" w:space="0"/>
              <w:bottom w:val="single" w:color="auto" w:sz="8" w:space="0"/>
              <w:right w:val="single" w:color="auto" w:sz="8"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行政许可</w:t>
            </w:r>
          </w:p>
        </w:tc>
        <w:tc>
          <w:tcPr>
            <w:tcW w:w="5590" w:type="dxa"/>
            <w:gridSpan w:val="3"/>
            <w:tcBorders>
              <w:top w:val="nil"/>
              <w:left w:val="nil"/>
              <w:bottom w:val="single" w:color="auto" w:sz="8" w:space="0"/>
              <w:right w:val="single" w:color="auto" w:sz="8"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9315"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第二十条第（六）项</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372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信息内容</w:t>
            </w:r>
          </w:p>
        </w:tc>
        <w:tc>
          <w:tcPr>
            <w:tcW w:w="5590"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本年度处理决定数量</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3725" w:type="dxa"/>
            <w:tcBorders>
              <w:top w:val="nil"/>
              <w:left w:val="single" w:color="auto" w:sz="8" w:space="0"/>
              <w:bottom w:val="single" w:color="auto" w:sz="8" w:space="0"/>
              <w:right w:val="single" w:color="auto" w:sz="8"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行政处罚</w:t>
            </w:r>
          </w:p>
        </w:tc>
        <w:tc>
          <w:tcPr>
            <w:tcW w:w="5590" w:type="dxa"/>
            <w:gridSpan w:val="3"/>
            <w:tcBorders>
              <w:top w:val="nil"/>
              <w:left w:val="nil"/>
              <w:bottom w:val="single" w:color="auto" w:sz="8" w:space="0"/>
              <w:right w:val="single" w:color="auto" w:sz="8"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85" w:hRule="atLeast"/>
        </w:trPr>
        <w:tc>
          <w:tcPr>
            <w:tcW w:w="3725" w:type="dxa"/>
            <w:tcBorders>
              <w:top w:val="nil"/>
              <w:left w:val="single" w:color="auto" w:sz="8" w:space="0"/>
              <w:bottom w:val="single" w:color="auto" w:sz="8" w:space="0"/>
              <w:right w:val="single" w:color="auto" w:sz="8"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行政强制</w:t>
            </w:r>
          </w:p>
        </w:tc>
        <w:tc>
          <w:tcPr>
            <w:tcW w:w="5590" w:type="dxa"/>
            <w:gridSpan w:val="3"/>
            <w:tcBorders>
              <w:top w:val="nil"/>
              <w:left w:val="nil"/>
              <w:bottom w:val="single" w:color="auto" w:sz="8" w:space="0"/>
              <w:right w:val="single" w:color="auto" w:sz="8"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85" w:hRule="atLeast"/>
        </w:trPr>
        <w:tc>
          <w:tcPr>
            <w:tcW w:w="9315"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第二十条第（八）项</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372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信息内容</w:t>
            </w:r>
          </w:p>
        </w:tc>
        <w:tc>
          <w:tcPr>
            <w:tcW w:w="5590"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本年收费金额（单位：万元）</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372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行政事业性收费</w:t>
            </w:r>
          </w:p>
        </w:tc>
        <w:tc>
          <w:tcPr>
            <w:tcW w:w="5590"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333333"/>
                <w:spacing w:val="0"/>
                <w:sz w:val="32"/>
                <w:szCs w:val="32"/>
              </w:rPr>
              <w:t>0</w:t>
            </w:r>
          </w:p>
        </w:tc>
      </w:tr>
    </w:tbl>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b/>
          <w:i w:val="0"/>
          <w:caps w:val="0"/>
          <w:color w:val="000000"/>
          <w:spacing w:val="0"/>
          <w:sz w:val="32"/>
          <w:szCs w:val="32"/>
          <w:shd w:val="clear" w:fill="FFFFFF"/>
        </w:rPr>
        <w:t>三、收到和处理政府信息公开申请情况</w:t>
      </w:r>
    </w:p>
    <w:tbl>
      <w:tblPr>
        <w:tblStyle w:val="4"/>
        <w:tblW w:w="9465" w:type="dxa"/>
        <w:tblInd w:w="0" w:type="dxa"/>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54"/>
        <w:gridCol w:w="1494"/>
        <w:gridCol w:w="1719"/>
        <w:gridCol w:w="783"/>
        <w:gridCol w:w="783"/>
        <w:gridCol w:w="783"/>
        <w:gridCol w:w="783"/>
        <w:gridCol w:w="783"/>
        <w:gridCol w:w="800"/>
        <w:gridCol w:w="783"/>
      </w:tblGrid>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tblCellMar>
            <w:top w:w="0" w:type="dxa"/>
            <w:left w:w="0" w:type="dxa"/>
            <w:bottom w:w="0" w:type="dxa"/>
            <w:right w:w="0" w:type="dxa"/>
          </w:tblCellMar>
        </w:tblPrEx>
        <w:trPr>
          <w:trHeight w:val="330" w:hRule="atLeast"/>
        </w:trPr>
        <w:tc>
          <w:tcPr>
            <w:tcW w:w="3967" w:type="dxa"/>
            <w:gridSpan w:val="3"/>
            <w:vMerge w:val="restart"/>
            <w:tcBorders>
              <w:top w:val="single" w:color="auto" w:sz="8" w:space="0"/>
              <w:left w:val="single" w:color="auto" w:sz="8" w:space="0"/>
              <w:bottom w:val="outset" w:color="333333"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（本列数据的勾稽关系为：第一项加第二项之和，等于第三项加第四项之和）</w:t>
            </w:r>
          </w:p>
        </w:tc>
        <w:tc>
          <w:tcPr>
            <w:tcW w:w="5498" w:type="dxa"/>
            <w:gridSpan w:val="7"/>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申请人情况</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tblCellMar>
            <w:top w:w="0" w:type="dxa"/>
            <w:left w:w="0" w:type="dxa"/>
            <w:bottom w:w="0" w:type="dxa"/>
            <w:right w:w="0" w:type="dxa"/>
          </w:tblCellMar>
        </w:tblPrEx>
        <w:trPr>
          <w:trHeight w:val="330" w:hRule="atLeast"/>
        </w:trPr>
        <w:tc>
          <w:tcPr>
            <w:tcW w:w="3967" w:type="dxa"/>
            <w:gridSpan w:val="3"/>
            <w:vMerge w:val="continue"/>
            <w:tcBorders>
              <w:top w:val="single" w:color="auto" w:sz="8" w:space="0"/>
              <w:left w:val="single" w:color="auto" w:sz="8" w:space="0"/>
              <w:bottom w:val="outset" w:color="333333"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783" w:type="dxa"/>
            <w:vMerge w:val="restart"/>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自然人</w:t>
            </w:r>
          </w:p>
        </w:tc>
        <w:tc>
          <w:tcPr>
            <w:tcW w:w="3932" w:type="dxa"/>
            <w:gridSpan w:val="5"/>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法人或其他组织</w:t>
            </w:r>
          </w:p>
        </w:tc>
        <w:tc>
          <w:tcPr>
            <w:tcW w:w="78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总计</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auto"/>
          <w:tblCellMar>
            <w:top w:w="0" w:type="dxa"/>
            <w:left w:w="0" w:type="dxa"/>
            <w:bottom w:w="0" w:type="dxa"/>
            <w:right w:w="0" w:type="dxa"/>
          </w:tblCellMar>
        </w:tblPrEx>
        <w:trPr>
          <w:trHeight w:val="330" w:hRule="atLeast"/>
        </w:trPr>
        <w:tc>
          <w:tcPr>
            <w:tcW w:w="3967" w:type="dxa"/>
            <w:gridSpan w:val="3"/>
            <w:vMerge w:val="continue"/>
            <w:tcBorders>
              <w:top w:val="single" w:color="auto" w:sz="8" w:space="0"/>
              <w:left w:val="single" w:color="auto" w:sz="8" w:space="0"/>
              <w:bottom w:val="outset" w:color="333333"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783" w:type="dxa"/>
            <w:vMerge w:val="continue"/>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商业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企业</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科研</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机构</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社会公益组织</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法律服务机构</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其他</w:t>
            </w:r>
          </w:p>
        </w:tc>
        <w:tc>
          <w:tcPr>
            <w:tcW w:w="78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tblCellMar>
            <w:top w:w="0" w:type="dxa"/>
            <w:left w:w="0" w:type="dxa"/>
            <w:bottom w:w="0" w:type="dxa"/>
            <w:right w:w="0" w:type="dxa"/>
          </w:tblCellMar>
        </w:tblPrEx>
        <w:trPr>
          <w:trHeight w:val="330" w:hRule="atLeast"/>
        </w:trPr>
        <w:tc>
          <w:tcPr>
            <w:tcW w:w="3967"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一、本年新收政府信息公开申请数量</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auto"/>
          <w:tblCellMar>
            <w:top w:w="0" w:type="dxa"/>
            <w:left w:w="0" w:type="dxa"/>
            <w:bottom w:w="0" w:type="dxa"/>
            <w:right w:w="0" w:type="dxa"/>
          </w:tblCellMar>
        </w:tblPrEx>
        <w:trPr>
          <w:trHeight w:val="330" w:hRule="atLeast"/>
        </w:trPr>
        <w:tc>
          <w:tcPr>
            <w:tcW w:w="3967"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二、上年结转政府信息公开申请数量</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auto"/>
          <w:tblCellMar>
            <w:top w:w="0" w:type="dxa"/>
            <w:left w:w="0" w:type="dxa"/>
            <w:bottom w:w="0" w:type="dxa"/>
            <w:right w:w="0" w:type="dxa"/>
          </w:tblCellMar>
        </w:tblPrEx>
        <w:trPr>
          <w:trHeight w:val="330" w:hRule="atLeast"/>
        </w:trPr>
        <w:tc>
          <w:tcPr>
            <w:tcW w:w="754" w:type="dxa"/>
            <w:vMerge w:val="restart"/>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三、本年度办理结果</w:t>
            </w:r>
          </w:p>
        </w:tc>
        <w:tc>
          <w:tcPr>
            <w:tcW w:w="321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（一）予以公开</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auto"/>
          <w:tblCellMar>
            <w:top w:w="0" w:type="dxa"/>
            <w:left w:w="0" w:type="dxa"/>
            <w:bottom w:w="0" w:type="dxa"/>
            <w:right w:w="0" w:type="dxa"/>
          </w:tblCellMar>
        </w:tblPrEx>
        <w:trPr>
          <w:trHeight w:val="329" w:hRule="atLeast"/>
        </w:trPr>
        <w:tc>
          <w:tcPr>
            <w:tcW w:w="754"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321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（二）部分公开（区分处理的，只计这一情形，不计其他情形）</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auto"/>
          <w:tblCellMar>
            <w:top w:w="0" w:type="dxa"/>
            <w:left w:w="0" w:type="dxa"/>
            <w:bottom w:w="0" w:type="dxa"/>
            <w:right w:w="0" w:type="dxa"/>
          </w:tblCellMar>
        </w:tblPrEx>
        <w:trPr>
          <w:trHeight w:val="330" w:hRule="atLeast"/>
        </w:trPr>
        <w:tc>
          <w:tcPr>
            <w:tcW w:w="754"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494"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（三）不予公开</w:t>
            </w:r>
          </w:p>
        </w:tc>
        <w:tc>
          <w:tcPr>
            <w:tcW w:w="1719"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1.属于国家秘密</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auto"/>
          <w:tblCellMar>
            <w:top w:w="0" w:type="dxa"/>
            <w:left w:w="0" w:type="dxa"/>
            <w:bottom w:w="0" w:type="dxa"/>
            <w:right w:w="0" w:type="dxa"/>
          </w:tblCellMar>
        </w:tblPrEx>
        <w:trPr>
          <w:trHeight w:val="330" w:hRule="atLeast"/>
        </w:trPr>
        <w:tc>
          <w:tcPr>
            <w:tcW w:w="754"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494"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719"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2.其他法律行政法规禁止公开</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auto"/>
          <w:tblCellMar>
            <w:top w:w="0" w:type="dxa"/>
            <w:left w:w="0" w:type="dxa"/>
            <w:bottom w:w="0" w:type="dxa"/>
            <w:right w:w="0" w:type="dxa"/>
          </w:tblCellMar>
        </w:tblPrEx>
        <w:trPr>
          <w:trHeight w:val="330" w:hRule="atLeast"/>
        </w:trPr>
        <w:tc>
          <w:tcPr>
            <w:tcW w:w="754"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494"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719"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3.危及“三安全一稳定”</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tblCellMar>
            <w:top w:w="0" w:type="dxa"/>
            <w:left w:w="0" w:type="dxa"/>
            <w:bottom w:w="0" w:type="dxa"/>
            <w:right w:w="0" w:type="dxa"/>
          </w:tblCellMar>
        </w:tblPrEx>
        <w:trPr>
          <w:trHeight w:val="330" w:hRule="atLeast"/>
        </w:trPr>
        <w:tc>
          <w:tcPr>
            <w:tcW w:w="754"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494"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719"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4.保护第三方合法权益</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tblCellMar>
            <w:top w:w="0" w:type="dxa"/>
            <w:left w:w="0" w:type="dxa"/>
            <w:bottom w:w="0" w:type="dxa"/>
            <w:right w:w="0" w:type="dxa"/>
          </w:tblCellMar>
        </w:tblPrEx>
        <w:trPr>
          <w:trHeight w:val="330" w:hRule="atLeast"/>
        </w:trPr>
        <w:tc>
          <w:tcPr>
            <w:tcW w:w="754"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494"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719"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5.属于三类内部事务信息</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tblCellMar>
            <w:top w:w="0" w:type="dxa"/>
            <w:left w:w="0" w:type="dxa"/>
            <w:bottom w:w="0" w:type="dxa"/>
            <w:right w:w="0" w:type="dxa"/>
          </w:tblCellMar>
        </w:tblPrEx>
        <w:trPr>
          <w:trHeight w:val="330" w:hRule="atLeast"/>
        </w:trPr>
        <w:tc>
          <w:tcPr>
            <w:tcW w:w="754"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494"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719"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6.属于四类过程性信息</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tblCellMar>
            <w:top w:w="0" w:type="dxa"/>
            <w:left w:w="0" w:type="dxa"/>
            <w:bottom w:w="0" w:type="dxa"/>
            <w:right w:w="0" w:type="dxa"/>
          </w:tblCellMar>
        </w:tblPrEx>
        <w:trPr>
          <w:trHeight w:val="330" w:hRule="atLeast"/>
        </w:trPr>
        <w:tc>
          <w:tcPr>
            <w:tcW w:w="754"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494"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719"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7.属于行政执法案卷</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auto"/>
          <w:tblCellMar>
            <w:top w:w="0" w:type="dxa"/>
            <w:left w:w="0" w:type="dxa"/>
            <w:bottom w:w="0" w:type="dxa"/>
            <w:right w:w="0" w:type="dxa"/>
          </w:tblCellMar>
        </w:tblPrEx>
        <w:trPr>
          <w:trHeight w:val="330" w:hRule="atLeast"/>
        </w:trPr>
        <w:tc>
          <w:tcPr>
            <w:tcW w:w="754"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494"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719"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8.属于行政查询事项</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tblCellMar>
            <w:top w:w="0" w:type="dxa"/>
            <w:left w:w="0" w:type="dxa"/>
            <w:bottom w:w="0" w:type="dxa"/>
            <w:right w:w="0" w:type="dxa"/>
          </w:tblCellMar>
        </w:tblPrEx>
        <w:trPr>
          <w:trHeight w:val="330" w:hRule="atLeast"/>
        </w:trPr>
        <w:tc>
          <w:tcPr>
            <w:tcW w:w="754"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494" w:type="dxa"/>
            <w:vMerge w:val="restart"/>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（四）无法提供</w:t>
            </w:r>
          </w:p>
        </w:tc>
        <w:tc>
          <w:tcPr>
            <w:tcW w:w="1719"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1.本机关不掌握相关政府信息</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auto"/>
          <w:tblCellMar>
            <w:top w:w="0" w:type="dxa"/>
            <w:left w:w="0" w:type="dxa"/>
            <w:bottom w:w="0" w:type="dxa"/>
            <w:right w:w="0" w:type="dxa"/>
          </w:tblCellMar>
        </w:tblPrEx>
        <w:trPr>
          <w:trHeight w:val="330" w:hRule="atLeast"/>
        </w:trPr>
        <w:tc>
          <w:tcPr>
            <w:tcW w:w="754"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494" w:type="dxa"/>
            <w:vMerge w:val="continue"/>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719"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2.没有现成信息需要另行制作</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auto"/>
          <w:tblCellMar>
            <w:top w:w="0" w:type="dxa"/>
            <w:left w:w="0" w:type="dxa"/>
            <w:bottom w:w="0" w:type="dxa"/>
            <w:right w:w="0" w:type="dxa"/>
          </w:tblCellMar>
        </w:tblPrEx>
        <w:trPr>
          <w:trHeight w:val="330" w:hRule="atLeast"/>
        </w:trPr>
        <w:tc>
          <w:tcPr>
            <w:tcW w:w="754"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494" w:type="dxa"/>
            <w:vMerge w:val="continue"/>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719"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3.补正后申请内容仍不明确</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auto"/>
          <w:tblCellMar>
            <w:top w:w="0" w:type="dxa"/>
            <w:left w:w="0" w:type="dxa"/>
            <w:bottom w:w="0" w:type="dxa"/>
            <w:right w:w="0" w:type="dxa"/>
          </w:tblCellMar>
        </w:tblPrEx>
        <w:trPr>
          <w:trHeight w:val="330" w:hRule="atLeast"/>
        </w:trPr>
        <w:tc>
          <w:tcPr>
            <w:tcW w:w="754"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494"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（五）不予处理</w:t>
            </w:r>
          </w:p>
        </w:tc>
        <w:tc>
          <w:tcPr>
            <w:tcW w:w="1719"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1.信访举报投诉类申请</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tblCellMar>
            <w:top w:w="0" w:type="dxa"/>
            <w:left w:w="0" w:type="dxa"/>
            <w:bottom w:w="0" w:type="dxa"/>
            <w:right w:w="0" w:type="dxa"/>
          </w:tblCellMar>
        </w:tblPrEx>
        <w:trPr>
          <w:trHeight w:val="330" w:hRule="atLeast"/>
        </w:trPr>
        <w:tc>
          <w:tcPr>
            <w:tcW w:w="754"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494"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719"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2.重复申请</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auto"/>
          <w:tblCellMar>
            <w:top w:w="0" w:type="dxa"/>
            <w:left w:w="0" w:type="dxa"/>
            <w:bottom w:w="0" w:type="dxa"/>
            <w:right w:w="0" w:type="dxa"/>
          </w:tblCellMar>
        </w:tblPrEx>
        <w:trPr>
          <w:trHeight w:val="330" w:hRule="atLeast"/>
        </w:trPr>
        <w:tc>
          <w:tcPr>
            <w:tcW w:w="754"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494"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719"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3.要求提供公开出版物</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auto"/>
          <w:tblCellMar>
            <w:top w:w="0" w:type="dxa"/>
            <w:left w:w="0" w:type="dxa"/>
            <w:bottom w:w="0" w:type="dxa"/>
            <w:right w:w="0" w:type="dxa"/>
          </w:tblCellMar>
        </w:tblPrEx>
        <w:trPr>
          <w:trHeight w:val="330" w:hRule="atLeast"/>
        </w:trPr>
        <w:tc>
          <w:tcPr>
            <w:tcW w:w="754"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494"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719"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4.无正当理由大量反复申请</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auto"/>
          <w:tblCellMar>
            <w:top w:w="0" w:type="dxa"/>
            <w:left w:w="0" w:type="dxa"/>
            <w:bottom w:w="0" w:type="dxa"/>
            <w:right w:w="0" w:type="dxa"/>
          </w:tblCellMar>
        </w:tblPrEx>
        <w:trPr>
          <w:trHeight w:val="330" w:hRule="atLeast"/>
        </w:trPr>
        <w:tc>
          <w:tcPr>
            <w:tcW w:w="754"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494"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719" w:type="dxa"/>
            <w:tcBorders>
              <w:top w:val="nil"/>
              <w:left w:val="nil"/>
              <w:bottom w:val="outset"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5.要求行政机关确认或重新出具已获取信息</w:t>
            </w:r>
          </w:p>
        </w:tc>
        <w:tc>
          <w:tcPr>
            <w:tcW w:w="783" w:type="dxa"/>
            <w:tcBorders>
              <w:top w:val="nil"/>
              <w:left w:val="nil"/>
              <w:bottom w:val="outset"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outset"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outset"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outset"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outset"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outset"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outset"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tblCellMar>
            <w:top w:w="0" w:type="dxa"/>
            <w:left w:w="0" w:type="dxa"/>
            <w:bottom w:w="0" w:type="dxa"/>
            <w:right w:w="0" w:type="dxa"/>
          </w:tblCellMar>
        </w:tblPrEx>
        <w:trPr>
          <w:trHeight w:val="330" w:hRule="atLeast"/>
        </w:trPr>
        <w:tc>
          <w:tcPr>
            <w:tcW w:w="754"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494"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（六）其他处理</w:t>
            </w:r>
          </w:p>
        </w:tc>
        <w:tc>
          <w:tcPr>
            <w:tcW w:w="1719"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1.申请人无正当理由逾期不补正、行政机关不再处理其政府信息公开申请</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shd w:val="clear" w:color="auto" w:fill="auto"/>
          <w:tblCellMar>
            <w:top w:w="0" w:type="dxa"/>
            <w:left w:w="0" w:type="dxa"/>
            <w:bottom w:w="0" w:type="dxa"/>
            <w:right w:w="0" w:type="dxa"/>
          </w:tblCellMar>
        </w:tblPrEx>
        <w:trPr>
          <w:trHeight w:val="330" w:hRule="atLeast"/>
        </w:trPr>
        <w:tc>
          <w:tcPr>
            <w:tcW w:w="754"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494"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719"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2.申请人逾期未按收费通知要求缴纳费用、行政机关不再处理其政府信息公开申请</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tblCellMar>
            <w:top w:w="0" w:type="dxa"/>
            <w:left w:w="0" w:type="dxa"/>
            <w:bottom w:w="0" w:type="dxa"/>
            <w:right w:w="0" w:type="dxa"/>
          </w:tblCellMar>
        </w:tblPrEx>
        <w:trPr>
          <w:trHeight w:val="330" w:hRule="atLeast"/>
        </w:trPr>
        <w:tc>
          <w:tcPr>
            <w:tcW w:w="754"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494"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1719"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3.其他</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tblCellMar>
            <w:top w:w="0" w:type="dxa"/>
            <w:left w:w="0" w:type="dxa"/>
            <w:bottom w:w="0" w:type="dxa"/>
            <w:right w:w="0" w:type="dxa"/>
          </w:tblCellMar>
        </w:tblPrEx>
        <w:trPr>
          <w:trHeight w:val="330" w:hRule="atLeast"/>
        </w:trPr>
        <w:tc>
          <w:tcPr>
            <w:tcW w:w="754"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p>
        </w:tc>
        <w:tc>
          <w:tcPr>
            <w:tcW w:w="321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（七）总计</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333333" w:sz="0" w:space="0"/>
            <w:left w:val="none" w:color="333333" w:sz="0" w:space="0"/>
            <w:bottom w:val="none" w:color="333333" w:sz="0" w:space="0"/>
            <w:right w:val="none" w:color="333333" w:sz="0" w:space="0"/>
            <w:insideH w:val="none" w:color="auto" w:sz="0" w:space="0"/>
            <w:insideV w:val="none" w:color="auto" w:sz="0" w:space="0"/>
          </w:tblBorders>
          <w:tblCellMar>
            <w:top w:w="0" w:type="dxa"/>
            <w:left w:w="0" w:type="dxa"/>
            <w:bottom w:w="0" w:type="dxa"/>
            <w:right w:w="0" w:type="dxa"/>
          </w:tblCellMar>
        </w:tblPrEx>
        <w:trPr>
          <w:trHeight w:val="330" w:hRule="atLeast"/>
        </w:trPr>
        <w:tc>
          <w:tcPr>
            <w:tcW w:w="3967"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四、结转下年度继续办理</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800"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783"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bl>
    <w:p>
      <w:pPr>
        <w:pStyle w:val="3"/>
        <w:keepNext w:val="0"/>
        <w:keepLines w:val="0"/>
        <w:pageBreakBefore w:val="0"/>
        <w:widowControl/>
        <w:numPr>
          <w:ilvl w:val="0"/>
          <w:numId w:val="1"/>
        </w:numPr>
        <w:suppressLineNumbers w:val="0"/>
        <w:kinsoku/>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政府信息公开行政复议、行政诉讼情况</w:t>
      </w:r>
    </w:p>
    <w:tbl>
      <w:tblPr>
        <w:tblW w:w="974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0"/>
        <w:gridCol w:w="650"/>
        <w:gridCol w:w="650"/>
        <w:gridCol w:w="650"/>
        <w:gridCol w:w="6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30" w:hRule="atLeast"/>
        </w:trPr>
        <w:tc>
          <w:tcPr>
            <w:tcW w:w="3245" w:type="dxa"/>
            <w:gridSpan w:val="5"/>
            <w:tcBorders>
              <w:top w:val="single" w:color="auto" w:sz="6" w:space="0"/>
              <w:left w:val="single" w:color="auto" w:sz="6" w:space="0"/>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行政复议</w:t>
            </w:r>
          </w:p>
        </w:tc>
        <w:tc>
          <w:tcPr>
            <w:tcW w:w="6498" w:type="dxa"/>
            <w:gridSpan w:val="10"/>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30" w:hRule="atLeast"/>
        </w:trPr>
        <w:tc>
          <w:tcPr>
            <w:tcW w:w="649" w:type="dxa"/>
            <w:vMerge w:val="restart"/>
            <w:tcBorders>
              <w:top w:val="nil"/>
              <w:left w:val="single" w:color="auto" w:sz="6" w:space="0"/>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结果维持</w:t>
            </w:r>
          </w:p>
        </w:tc>
        <w:tc>
          <w:tcPr>
            <w:tcW w:w="649" w:type="dxa"/>
            <w:vMerge w:val="restart"/>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结果</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纠正</w:t>
            </w:r>
          </w:p>
        </w:tc>
        <w:tc>
          <w:tcPr>
            <w:tcW w:w="649" w:type="dxa"/>
            <w:vMerge w:val="restart"/>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其他</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结果</w:t>
            </w:r>
          </w:p>
        </w:tc>
        <w:tc>
          <w:tcPr>
            <w:tcW w:w="649" w:type="dxa"/>
            <w:vMerge w:val="restart"/>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尚未</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审结</w:t>
            </w:r>
          </w:p>
        </w:tc>
        <w:tc>
          <w:tcPr>
            <w:tcW w:w="649" w:type="dxa"/>
            <w:vMerge w:val="restart"/>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总计</w:t>
            </w:r>
          </w:p>
        </w:tc>
        <w:tc>
          <w:tcPr>
            <w:tcW w:w="3248" w:type="dxa"/>
            <w:gridSpan w:val="5"/>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未经复议直接起诉</w:t>
            </w:r>
          </w:p>
        </w:tc>
        <w:tc>
          <w:tcPr>
            <w:tcW w:w="3250" w:type="dxa"/>
            <w:gridSpan w:val="5"/>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30" w:hRule="atLeast"/>
        </w:trPr>
        <w:tc>
          <w:tcPr>
            <w:tcW w:w="649" w:type="dxa"/>
            <w:vMerge w:val="continue"/>
            <w:tcBorders>
              <w:top w:val="nil"/>
              <w:left w:val="single" w:color="auto" w:sz="6" w:space="0"/>
              <w:bottom w:val="single" w:color="auto" w:sz="6" w:space="0"/>
              <w:right w:val="single" w:color="auto" w:sz="6" w:space="0"/>
            </w:tcBorders>
            <w:shd w:val="clear" w:color="auto" w:fill="FFFFFF"/>
            <w:tcMar>
              <w:left w:w="108" w:type="dxa"/>
              <w:right w:w="108" w:type="dxa"/>
            </w:tcMar>
            <w:vAlign w:val="center"/>
          </w:tcPr>
          <w:p>
            <w:pPr>
              <w:rPr>
                <w:rFonts w:hint="eastAsia" w:ascii="仿宋_GB2312" w:hAnsi="仿宋_GB2312" w:eastAsia="仿宋_GB2312" w:cs="仿宋_GB2312"/>
                <w:i w:val="0"/>
                <w:caps w:val="0"/>
                <w:color w:val="333333"/>
                <w:spacing w:val="0"/>
                <w:sz w:val="32"/>
                <w:szCs w:val="32"/>
              </w:rPr>
            </w:pPr>
          </w:p>
        </w:tc>
        <w:tc>
          <w:tcPr>
            <w:tcW w:w="649" w:type="dxa"/>
            <w:vMerge w:val="continue"/>
            <w:tcBorders>
              <w:top w:val="nil"/>
              <w:left w:val="nil"/>
              <w:bottom w:val="single" w:color="auto" w:sz="6" w:space="0"/>
              <w:right w:val="single" w:color="auto" w:sz="6" w:space="0"/>
            </w:tcBorders>
            <w:shd w:val="clear" w:color="auto" w:fill="FFFFFF"/>
            <w:tcMar>
              <w:left w:w="108" w:type="dxa"/>
              <w:right w:w="108" w:type="dxa"/>
            </w:tcMar>
            <w:vAlign w:val="center"/>
          </w:tcPr>
          <w:p>
            <w:pPr>
              <w:rPr>
                <w:rFonts w:hint="eastAsia" w:ascii="仿宋_GB2312" w:hAnsi="仿宋_GB2312" w:eastAsia="仿宋_GB2312" w:cs="仿宋_GB2312"/>
                <w:i w:val="0"/>
                <w:caps w:val="0"/>
                <w:color w:val="333333"/>
                <w:spacing w:val="0"/>
                <w:sz w:val="32"/>
                <w:szCs w:val="32"/>
              </w:rPr>
            </w:pPr>
          </w:p>
        </w:tc>
        <w:tc>
          <w:tcPr>
            <w:tcW w:w="649" w:type="dxa"/>
            <w:vMerge w:val="continue"/>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rPr>
                <w:rFonts w:hint="eastAsia" w:ascii="仿宋_GB2312" w:hAnsi="仿宋_GB2312" w:eastAsia="仿宋_GB2312" w:cs="仿宋_GB2312"/>
                <w:i w:val="0"/>
                <w:caps w:val="0"/>
                <w:color w:val="333333"/>
                <w:spacing w:val="0"/>
                <w:sz w:val="32"/>
                <w:szCs w:val="32"/>
              </w:rPr>
            </w:pPr>
          </w:p>
        </w:tc>
        <w:tc>
          <w:tcPr>
            <w:tcW w:w="649" w:type="dxa"/>
            <w:vMerge w:val="continue"/>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rPr>
                <w:rFonts w:hint="eastAsia" w:ascii="仿宋_GB2312" w:hAnsi="仿宋_GB2312" w:eastAsia="仿宋_GB2312" w:cs="仿宋_GB2312"/>
                <w:i w:val="0"/>
                <w:caps w:val="0"/>
                <w:color w:val="333333"/>
                <w:spacing w:val="0"/>
                <w:sz w:val="32"/>
                <w:szCs w:val="32"/>
              </w:rPr>
            </w:pPr>
          </w:p>
        </w:tc>
        <w:tc>
          <w:tcPr>
            <w:tcW w:w="649" w:type="dxa"/>
            <w:vMerge w:val="continue"/>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rPr>
                <w:rFonts w:hint="eastAsia" w:ascii="仿宋_GB2312" w:hAnsi="仿宋_GB2312" w:eastAsia="仿宋_GB2312" w:cs="仿宋_GB2312"/>
                <w:i w:val="0"/>
                <w:caps w:val="0"/>
                <w:color w:val="333333"/>
                <w:spacing w:val="0"/>
                <w:sz w:val="32"/>
                <w:szCs w:val="32"/>
              </w:rPr>
            </w:pPr>
          </w:p>
        </w:tc>
        <w:tc>
          <w:tcPr>
            <w:tcW w:w="649"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结果</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维持</w:t>
            </w:r>
          </w:p>
        </w:tc>
        <w:tc>
          <w:tcPr>
            <w:tcW w:w="649"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结果</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纠正</w:t>
            </w:r>
          </w:p>
        </w:tc>
        <w:tc>
          <w:tcPr>
            <w:tcW w:w="650"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其他</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结果</w:t>
            </w:r>
          </w:p>
        </w:tc>
        <w:tc>
          <w:tcPr>
            <w:tcW w:w="650"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尚未</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审结</w:t>
            </w:r>
          </w:p>
        </w:tc>
        <w:tc>
          <w:tcPr>
            <w:tcW w:w="650"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总计</w:t>
            </w:r>
          </w:p>
        </w:tc>
        <w:tc>
          <w:tcPr>
            <w:tcW w:w="650"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结果</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维持</w:t>
            </w:r>
          </w:p>
        </w:tc>
        <w:tc>
          <w:tcPr>
            <w:tcW w:w="650"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结果</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纠正</w:t>
            </w:r>
          </w:p>
        </w:tc>
        <w:tc>
          <w:tcPr>
            <w:tcW w:w="650"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其他</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结果</w:t>
            </w:r>
          </w:p>
        </w:tc>
        <w:tc>
          <w:tcPr>
            <w:tcW w:w="650"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尚未</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审结</w:t>
            </w:r>
          </w:p>
        </w:tc>
        <w:tc>
          <w:tcPr>
            <w:tcW w:w="650"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30" w:hRule="atLeast"/>
        </w:trPr>
        <w:tc>
          <w:tcPr>
            <w:tcW w:w="649" w:type="dxa"/>
            <w:tcBorders>
              <w:top w:val="nil"/>
              <w:left w:val="single" w:color="auto" w:sz="6" w:space="0"/>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0</w:t>
            </w:r>
          </w:p>
        </w:tc>
        <w:tc>
          <w:tcPr>
            <w:tcW w:w="649"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0</w:t>
            </w:r>
          </w:p>
        </w:tc>
        <w:tc>
          <w:tcPr>
            <w:tcW w:w="649"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0</w:t>
            </w:r>
          </w:p>
        </w:tc>
        <w:tc>
          <w:tcPr>
            <w:tcW w:w="649"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0</w:t>
            </w:r>
          </w:p>
        </w:tc>
        <w:tc>
          <w:tcPr>
            <w:tcW w:w="649"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0</w:t>
            </w:r>
          </w:p>
        </w:tc>
        <w:tc>
          <w:tcPr>
            <w:tcW w:w="649"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0</w:t>
            </w:r>
          </w:p>
        </w:tc>
        <w:tc>
          <w:tcPr>
            <w:tcW w:w="649"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0</w:t>
            </w:r>
          </w:p>
        </w:tc>
        <w:tc>
          <w:tcPr>
            <w:tcW w:w="650"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0</w:t>
            </w:r>
          </w:p>
        </w:tc>
        <w:tc>
          <w:tcPr>
            <w:tcW w:w="650"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0</w:t>
            </w:r>
          </w:p>
        </w:tc>
        <w:tc>
          <w:tcPr>
            <w:tcW w:w="650"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0</w:t>
            </w:r>
          </w:p>
        </w:tc>
        <w:tc>
          <w:tcPr>
            <w:tcW w:w="650"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0</w:t>
            </w:r>
          </w:p>
        </w:tc>
        <w:tc>
          <w:tcPr>
            <w:tcW w:w="650"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0</w:t>
            </w:r>
          </w:p>
        </w:tc>
        <w:tc>
          <w:tcPr>
            <w:tcW w:w="650"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0</w:t>
            </w:r>
          </w:p>
        </w:tc>
        <w:tc>
          <w:tcPr>
            <w:tcW w:w="650"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0</w:t>
            </w:r>
          </w:p>
        </w:tc>
        <w:tc>
          <w:tcPr>
            <w:tcW w:w="650"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0</w:t>
            </w:r>
          </w:p>
        </w:tc>
      </w:tr>
    </w:tbl>
    <w:p>
      <w:pPr>
        <w:pStyle w:val="3"/>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存在的主要问题及改进情况</w:t>
      </w:r>
    </w:p>
    <w:p>
      <w:pPr>
        <w:pStyle w:val="3"/>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rPr>
          <w:rFonts w:hint="eastAsia" w:ascii="仿宋_GB2312" w:hAnsi="仿宋_GB2312" w:eastAsia="仿宋_GB2312" w:cs="仿宋_GB2312"/>
          <w:caps w:val="0"/>
          <w:spacing w:val="0"/>
          <w:sz w:val="32"/>
          <w:szCs w:val="32"/>
        </w:rPr>
      </w:pPr>
      <w:bookmarkStart w:id="3" w:name="_GoBack"/>
      <w:bookmarkEnd w:id="3"/>
      <w:r>
        <w:rPr>
          <w:rFonts w:hint="eastAsia" w:ascii="仿宋_GB2312" w:hAnsi="仿宋_GB2312" w:eastAsia="仿宋_GB2312" w:cs="仿宋_GB2312"/>
          <w:sz w:val="32"/>
          <w:szCs w:val="32"/>
        </w:rPr>
        <w:t>（一）存在问题。2022年度，</w:t>
      </w:r>
      <w:r>
        <w:rPr>
          <w:rFonts w:hint="eastAsia" w:ascii="仿宋_GB2312" w:hAnsi="仿宋_GB2312" w:eastAsia="仿宋_GB2312" w:cs="仿宋_GB2312"/>
          <w:caps w:val="0"/>
          <w:spacing w:val="0"/>
          <w:sz w:val="32"/>
          <w:szCs w:val="32"/>
          <w:shd w:val="clear" w:fill="FFFFFF"/>
        </w:rPr>
        <w:t>我中心在推进政务公开方面做了大量的工作，取得了一些成效，但与县委县政府要求还存在一定差距：一是部分工作人员的公开意识还有待加强；二是专业技术人才缺乏，工作人员业务不熟、技术不精；三是适合群众查阅的公开形式还不够丰</w:t>
      </w:r>
      <w:r>
        <w:rPr>
          <w:rFonts w:hint="eastAsia" w:ascii="仿宋_GB2312" w:hAnsi="仿宋_GB2312" w:eastAsia="仿宋_GB2312" w:cs="仿宋_GB2312"/>
          <w:caps w:val="0"/>
          <w:color w:val="000000"/>
          <w:spacing w:val="0"/>
          <w:sz w:val="32"/>
          <w:szCs w:val="32"/>
          <w:shd w:val="clear" w:fill="FFFFFF"/>
        </w:rPr>
        <w:t>富，</w:t>
      </w:r>
      <w:r>
        <w:rPr>
          <w:rFonts w:hint="eastAsia" w:ascii="仿宋_GB2312" w:hAnsi="仿宋_GB2312" w:eastAsia="仿宋_GB2312" w:cs="仿宋_GB2312"/>
          <w:caps w:val="0"/>
          <w:spacing w:val="0"/>
          <w:sz w:val="32"/>
          <w:szCs w:val="32"/>
          <w:shd w:val="clear" w:fill="FFFFFF"/>
        </w:rPr>
        <w:t>公开的内容还不够贴近群众生产生活，对政府信息公开工作出现的新情况、新问题研究得还不够深入细致。</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（二）改进举措。</w:t>
      </w:r>
      <w:r>
        <w:rPr>
          <w:rFonts w:hint="eastAsia" w:ascii="仿宋_GB2312" w:hAnsi="仿宋_GB2312" w:eastAsia="仿宋_GB2312" w:cs="仿宋_GB2312"/>
          <w:caps w:val="0"/>
          <w:spacing w:val="0"/>
          <w:kern w:val="0"/>
          <w:sz w:val="32"/>
          <w:szCs w:val="32"/>
          <w:shd w:val="clear" w:fill="FFFFFF"/>
          <w:lang w:val="en-US" w:eastAsia="zh-CN" w:bidi="ar"/>
        </w:rPr>
        <w:t>1.进一步提高认识，切实加强《政府信息公开条例》的学习宣传力度，持续将政务公开作为面向群众的重要工作，认真抓好抓落实，不断增强做好政务公开工作的责任感和使命感。2.进一步充实公开内容，及时公开政务信息，公开内容做到真实、具体、全面，加强对公众关注度高的信息的梳理，增强工作透明度；3.进一步拓展公开渠道，结合新闻媒体、微信公众号等多种平台，加大网上公开的范围，及时更新网站内容，切实为公众提供快捷方便的服务。4.切实加强对政务公开工作的监督检查，把政务公开工作纳入年度考核目标，加强管理教育力度，不断提高工作质量和水平，保证政务公开有效开展。</w:t>
      </w:r>
    </w:p>
    <w:p>
      <w:pPr>
        <w:pStyle w:val="3"/>
        <w:keepNext w:val="0"/>
        <w:keepLines w:val="0"/>
        <w:widowControl/>
        <w:suppressLineNumbers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六、其他需要报告的事项</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按照《国务院办公厅关于印发〈政府信息公开信息处理费管理办法〉的通知》（国办函〔2020〕109号）规定的按件、按量收费标准，本年度没有产生信息公开处理费。</w:t>
      </w:r>
    </w:p>
    <w:bookmarkEnd w:id="1"/>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9AE804"/>
    <w:multiLevelType w:val="singleLevel"/>
    <w:tmpl w:val="989AE80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431901"/>
    <w:rsid w:val="28392AF9"/>
    <w:rsid w:val="4D6B269F"/>
    <w:rsid w:val="61CA2AB0"/>
    <w:rsid w:val="67717C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2553</Words>
  <Characters>2671</Characters>
  <Lines>0</Lines>
  <Paragraphs>0</Paragraphs>
  <TotalTime>14</TotalTime>
  <ScaleCrop>false</ScaleCrop>
  <LinksUpToDate>false</LinksUpToDate>
  <CharactersWithSpaces>2707</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2025-08-15T07:39:00Z</dcterms:created>
  <dc:creator>adimn</dc:creator>
  <cp:lastModifiedBy>gyb1</cp:lastModifiedBy>
  <dcterms:modified xsi:type="dcterms:W3CDTF">2025-08-15T07:55:06Z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