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05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652" w:lineRule="atLeast"/>
        <w:ind w:left="0" w:right="0" w:firstLine="0"/>
        <w:jc w:val="center"/>
        <w:rPr>
          <w:rFonts w:hint="eastAsia" w:ascii="微软雅黑" w:hAnsi="微软雅黑" w:eastAsia="微软雅黑" w:cs="微软雅黑"/>
          <w:b w:val="0"/>
          <w:bCs w:val="0"/>
          <w:i w:val="0"/>
          <w:iCs w:val="0"/>
          <w:caps w:val="0"/>
          <w:color w:val="000000"/>
          <w:spacing w:val="0"/>
          <w:sz w:val="40"/>
          <w:szCs w:val="40"/>
        </w:rPr>
      </w:pPr>
      <w:r>
        <w:rPr>
          <w:rFonts w:hint="eastAsia" w:ascii="微软雅黑" w:hAnsi="微软雅黑" w:eastAsia="微软雅黑" w:cs="微软雅黑"/>
          <w:b w:val="0"/>
          <w:bCs w:val="0"/>
          <w:i w:val="0"/>
          <w:iCs w:val="0"/>
          <w:caps w:val="0"/>
          <w:color w:val="000000"/>
          <w:spacing w:val="0"/>
          <w:sz w:val="40"/>
          <w:szCs w:val="40"/>
          <w:shd w:val="clear" w:fill="FFFFFF"/>
        </w:rPr>
        <w:t>金寨县文化旅游体育局2023年政府信息公开工作年度报告</w:t>
      </w:r>
    </w:p>
    <w:p w14:paraId="344D42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0"/>
        <w:jc w:val="both"/>
        <w:rPr>
          <w:rFonts w:ascii="Calibri" w:hAnsi="Calibri" w:cs="Calibri"/>
          <w:i w:val="0"/>
          <w:iCs w:val="0"/>
          <w:caps w:val="0"/>
          <w:color w:val="333333"/>
          <w:spacing w:val="0"/>
          <w:sz w:val="21"/>
          <w:szCs w:val="21"/>
        </w:rPr>
      </w:pPr>
      <w:r>
        <w:rPr>
          <w:rFonts w:ascii="仿宋_GB2312" w:hAnsi="Calibri" w:eastAsia="仿宋_GB2312" w:cs="仿宋_GB2312"/>
          <w:i w:val="0"/>
          <w:iCs w:val="0"/>
          <w:caps w:val="0"/>
          <w:color w:val="333333"/>
          <w:spacing w:val="0"/>
          <w:sz w:val="32"/>
          <w:szCs w:val="32"/>
          <w:shd w:val="clear" w:fill="FFFFFF"/>
        </w:rPr>
        <w:t>本报告依据《中华人民共和国政府信息公开条例》（国务院令第</w:t>
      </w:r>
      <w:r>
        <w:rPr>
          <w:rFonts w:hint="eastAsia" w:ascii="仿宋_GB2312" w:hAnsi="Calibri" w:eastAsia="仿宋_GB2312" w:cs="仿宋_GB2312"/>
          <w:i w:val="0"/>
          <w:iCs w:val="0"/>
          <w:caps w:val="0"/>
          <w:color w:val="333333"/>
          <w:spacing w:val="0"/>
          <w:sz w:val="32"/>
          <w:szCs w:val="32"/>
          <w:shd w:val="clear" w:fill="FFFFFF"/>
        </w:rPr>
        <w:t>711号，以下简称（新《条例》）》)和《关于做好2023年度政府信息公开工作年度报告编制和发布的通知》（金政公开〔2024〕1号）要求编制而成，报告主要包括：总体情况、行政机关主动公开政府信息情况、收到和处理政府信息公开申请情况、政府信息公开行政复议及行政诉讼情况、政府信息公开工作存在的主要问题及改进情况和其他需要报告的事项。本报告中使用数据统计期限为2023年1月1日至12月31日，报告的电子版可在金寨县人民政府网站政务公开栏目  https://www.ahjinzhai.gov.cn/public/column/6596541?type=4&amp;action=list&amp;nav=3&amp;catId=7058401查看、下载。如对本报告有任何疑问，请与金寨县文化旅游体育局办公室联系（地址：金寨县江店新城区江环北路金寨县文化中心三楼，电话：0564--7356638，邮编：237321）。</w:t>
      </w:r>
    </w:p>
    <w:p w14:paraId="206C8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60" w:right="0" w:firstLine="480"/>
        <w:jc w:val="both"/>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6"/>
          <w:szCs w:val="36"/>
          <w:shd w:val="clear" w:fill="FFFFFF"/>
        </w:rPr>
        <w:t>一、</w:t>
      </w:r>
      <w:r>
        <w:rPr>
          <w:rFonts w:hint="eastAsia" w:ascii="黑体" w:hAnsi="宋体" w:eastAsia="黑体" w:cs="黑体"/>
          <w:i w:val="0"/>
          <w:iCs w:val="0"/>
          <w:caps w:val="0"/>
          <w:color w:val="333333"/>
          <w:spacing w:val="0"/>
          <w:sz w:val="36"/>
          <w:szCs w:val="36"/>
          <w:shd w:val="clear" w:fill="FFFFFF"/>
        </w:rPr>
        <w:t>总体情况</w:t>
      </w:r>
    </w:p>
    <w:p w14:paraId="0507D0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shd w:val="clear" w:fill="FFFFFF"/>
        </w:rPr>
        <w:t>2023年，我局认真贯彻落实《条例》和省市县政府信息公开有关工作要求，紧扣政务公开重点工作任务，不断夯实政府信息公开标准化规范化基础，着力提高工作透明度，切实增强人民群众满意度、获得感，政府信息公开工作的质量和水平得到进一步提升。</w:t>
      </w:r>
    </w:p>
    <w:p w14:paraId="1B2AC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iCs w:val="0"/>
          <w:caps w:val="0"/>
          <w:color w:val="333333"/>
          <w:spacing w:val="0"/>
          <w:sz w:val="21"/>
          <w:szCs w:val="21"/>
        </w:rPr>
      </w:pPr>
      <w:r>
        <w:rPr>
          <w:rFonts w:ascii="楷体" w:hAnsi="楷体" w:eastAsia="楷体" w:cs="楷体"/>
          <w:b/>
          <w:bCs/>
          <w:i w:val="0"/>
          <w:iCs w:val="0"/>
          <w:caps w:val="0"/>
          <w:color w:val="333333"/>
          <w:spacing w:val="0"/>
          <w:sz w:val="32"/>
          <w:szCs w:val="32"/>
          <w:shd w:val="clear" w:fill="FFFFFF"/>
        </w:rPr>
        <w:t>（一）主动公开</w:t>
      </w:r>
    </w:p>
    <w:p w14:paraId="49BD24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shd w:val="clear" w:fill="FFFFFF"/>
        </w:rPr>
        <w:t>我局加强政务公开标准化规范化建设，紧紧围绕中心工作和人民群众关注关切，全面推动文化体育旅游领域公开，使人民群众获取文化体育旅游领域政务信息更加方便快捷。</w:t>
      </w:r>
      <w:r>
        <w:rPr>
          <w:rFonts w:hint="eastAsia" w:ascii="仿宋_GB2312" w:hAnsi="Calibri" w:eastAsia="仿宋_GB2312" w:cs="仿宋_GB2312"/>
          <w:i w:val="0"/>
          <w:iCs w:val="0"/>
          <w:caps w:val="0"/>
          <w:color w:val="000000"/>
          <w:spacing w:val="0"/>
          <w:sz w:val="32"/>
          <w:szCs w:val="32"/>
          <w:shd w:val="clear" w:fill="FFFFFF"/>
        </w:rPr>
        <w:t>一是加强民生领域政务公开。以群众关心、社会关注、与群众利益密切的重要事项为重点，完善公共文化服务栏目，及时公开并更新金寨县公共文化机构免费开放信息40余条、公益性文化体育旅游活动等信息50余条，对社会热点和群众关切的文体旅问题，主动快速公开，正面回应关切。二是加强行政权力运行结果公开。全面公开我局权力</w:t>
      </w:r>
      <w:r>
        <w:rPr>
          <w:rFonts w:hint="eastAsia" w:ascii="仿宋_GB2312" w:hAnsi="Calibri" w:eastAsia="仿宋_GB2312" w:cs="仿宋_GB2312"/>
          <w:i w:val="0"/>
          <w:iCs w:val="0"/>
          <w:caps w:val="0"/>
          <w:color w:val="333333"/>
          <w:spacing w:val="0"/>
          <w:sz w:val="32"/>
          <w:szCs w:val="32"/>
          <w:shd w:val="clear" w:fill="FFFFFF"/>
        </w:rPr>
        <w:t>清单和责任清单，实行动态管理，对照法律法规规章，按时更新《金寨县文化旅游体育局权责事项清单》，方便公众获取、监督。2023年累计主动公开信息</w:t>
      </w:r>
      <w:r>
        <w:rPr>
          <w:rFonts w:hint="eastAsia" w:ascii="仿宋_GB2312" w:hAnsi="Calibri" w:eastAsia="仿宋_GB2312" w:cs="仿宋_GB2312"/>
          <w:i w:val="0"/>
          <w:iCs w:val="0"/>
          <w:caps w:val="0"/>
          <w:color w:val="000000"/>
          <w:spacing w:val="0"/>
          <w:sz w:val="32"/>
          <w:szCs w:val="32"/>
          <w:shd w:val="clear" w:fill="FFFFFF"/>
        </w:rPr>
        <w:t>565</w:t>
      </w:r>
      <w:r>
        <w:rPr>
          <w:rFonts w:hint="eastAsia" w:ascii="仿宋_GB2312" w:hAnsi="Calibri" w:eastAsia="仿宋_GB2312" w:cs="仿宋_GB2312"/>
          <w:i w:val="0"/>
          <w:iCs w:val="0"/>
          <w:caps w:val="0"/>
          <w:color w:val="333333"/>
          <w:spacing w:val="0"/>
          <w:sz w:val="32"/>
          <w:szCs w:val="32"/>
          <w:shd w:val="clear" w:fill="FFFFFF"/>
        </w:rPr>
        <w:t>条。</w:t>
      </w:r>
    </w:p>
    <w:p w14:paraId="74EF2C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（二）依申请公开。</w:t>
      </w:r>
    </w:p>
    <w:p w14:paraId="35A85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shd w:val="clear" w:fill="FFFFFF"/>
        </w:rPr>
        <w:t>2023年，我局共收到政府信息依申请公开申请2件，办结2件，未出现因政府信息公开被申请行政复议、提起行政诉讼和接受行政申诉、举报的情况。</w:t>
      </w:r>
    </w:p>
    <w:p w14:paraId="32D50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（三）政府信息管理。</w:t>
      </w:r>
    </w:p>
    <w:p w14:paraId="64C501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shd w:val="clear" w:fill="FFFFFF"/>
        </w:rPr>
        <w:t>县文旅体育局高度重视政务公开工作，通过明确分管领导分管政务公开工作，办公室工作人员负责政务公开具体工作，确保信息发布准确、安全、高效，严格落实信息发布审核制度，执行“分级审核、先审后发”程序，促进政务公开工作走上制度化、规范化的轨道。</w:t>
      </w:r>
    </w:p>
    <w:p w14:paraId="5CE7B9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（四）政府信息公开平台建设情况。</w:t>
      </w:r>
    </w:p>
    <w:p w14:paraId="45B83E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shd w:val="clear" w:fill="FFFFFF"/>
        </w:rPr>
        <w:t>一、加强对基层政务公开标准化规范化平台信息的更新和维护，及时公开。二、加强对我局微信公众号“金寨微旅游”的管理维护，并有专人负责。定期发布本单位相关动态及政府信息，针对网友的咨询、留言及时回复与处理。</w:t>
      </w:r>
    </w:p>
    <w:p w14:paraId="246B77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0"/>
          <w:sz w:val="32"/>
          <w:szCs w:val="32"/>
          <w:shd w:val="clear" w:fill="FFFFFF"/>
        </w:rPr>
        <w:t>（五）监督保障。</w:t>
      </w:r>
    </w:p>
    <w:p w14:paraId="198E91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shd w:val="clear" w:fill="FFFFFF"/>
        </w:rPr>
        <w:t>一是组织做好信息公开业务培训。根据上级要求，组织相关工作人员参加专题培训，围绕政务公开工作重点，结合本局各科室、二级机构工作实际，不断增强办理人员的政务公开意识和水平，提升办理效率</w:t>
      </w:r>
      <w:r>
        <w:rPr>
          <w:rFonts w:hint="eastAsia" w:ascii="仿宋_GB2312" w:hAnsi="Calibri" w:eastAsia="仿宋_GB2312" w:cs="仿宋_GB2312"/>
          <w:i w:val="0"/>
          <w:iCs w:val="0"/>
          <w:caps w:val="0"/>
          <w:color w:val="3D3D3D"/>
          <w:spacing w:val="0"/>
          <w:sz w:val="24"/>
          <w:szCs w:val="24"/>
          <w:shd w:val="clear" w:fill="FFFFFF"/>
        </w:rPr>
        <w:t>。</w:t>
      </w:r>
      <w:r>
        <w:rPr>
          <w:rFonts w:hint="eastAsia" w:ascii="仿宋_GB2312" w:hAnsi="Calibri" w:eastAsia="仿宋_GB2312" w:cs="仿宋_GB2312"/>
          <w:i w:val="0"/>
          <w:iCs w:val="0"/>
          <w:caps w:val="0"/>
          <w:color w:val="333333"/>
          <w:spacing w:val="0"/>
          <w:sz w:val="32"/>
          <w:szCs w:val="32"/>
          <w:shd w:val="clear" w:fill="FFFFFF"/>
        </w:rPr>
        <w:t>二是以信息公开日常监测为契机，加强问题自查自纠，推动政务公开工作落实。局办公室发挥统筹协调作用，不断强化部门联动，巡查梳理存在的问题，明确整改责任清单，推动各项任务在时间节点前顺利完成。</w:t>
      </w:r>
    </w:p>
    <w:p w14:paraId="0F1AFB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60" w:right="0" w:firstLine="48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6"/>
          <w:szCs w:val="36"/>
          <w:shd w:val="clear" w:fill="FFFFFF"/>
        </w:rPr>
        <w:t>二、主动公开政府信息情况</w:t>
      </w:r>
    </w:p>
    <w:p w14:paraId="1269BF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tbl>
      <w:tblPr>
        <w:tblStyle w:val="4"/>
        <w:tblW w:w="8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23"/>
        <w:gridCol w:w="2124"/>
        <w:gridCol w:w="2124"/>
        <w:gridCol w:w="2124"/>
      </w:tblGrid>
      <w:tr w14:paraId="503D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9" w:hRule="atLeast"/>
          <w:jc w:val="center"/>
        </w:trPr>
        <w:tc>
          <w:tcPr>
            <w:tcW w:w="9740" w:type="dxa"/>
            <w:gridSpan w:val="4"/>
            <w:tcBorders>
              <w:top w:val="single" w:color="auto" w:sz="6" w:space="0"/>
              <w:left w:val="single" w:color="auto" w:sz="6" w:space="0"/>
              <w:bottom w:val="single" w:color="auto" w:sz="6" w:space="0"/>
              <w:right w:val="single" w:color="auto" w:sz="6" w:space="0"/>
            </w:tcBorders>
            <w:shd w:val="clear" w:color="auto" w:fill="C6D9F1"/>
            <w:tcMar>
              <w:left w:w="57" w:type="dxa"/>
              <w:right w:w="57" w:type="dxa"/>
            </w:tcMar>
            <w:vAlign w:val="center"/>
          </w:tcPr>
          <w:p w14:paraId="4AE084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第二十条第（一）项</w:t>
            </w:r>
          </w:p>
        </w:tc>
      </w:tr>
      <w:tr w14:paraId="47DA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5E35E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2435"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F401A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w:t>
            </w:r>
            <w:r>
              <w:rPr>
                <w:rFonts w:hint="eastAsia" w:ascii="宋体" w:hAnsi="宋体" w:eastAsia="宋体" w:cs="宋体"/>
                <w:sz w:val="20"/>
                <w:szCs w:val="20"/>
              </w:rPr>
              <w:t>制发件数</w:t>
            </w:r>
          </w:p>
        </w:tc>
        <w:tc>
          <w:tcPr>
            <w:tcW w:w="2435"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3F2887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本年废止件数</w:t>
            </w:r>
          </w:p>
        </w:tc>
        <w:tc>
          <w:tcPr>
            <w:tcW w:w="2435"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1D6A9D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现行有效件</w:t>
            </w:r>
            <w:r>
              <w:rPr>
                <w:rFonts w:hint="eastAsia" w:ascii="宋体" w:hAnsi="宋体" w:eastAsia="宋体" w:cs="宋体"/>
                <w:sz w:val="20"/>
                <w:szCs w:val="20"/>
              </w:rPr>
              <w:t>数</w:t>
            </w:r>
          </w:p>
        </w:tc>
      </w:tr>
      <w:tr w14:paraId="7E7C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AD676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规章</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1E446D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49CE1A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6D754D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r>
      <w:tr w14:paraId="5A3C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0C9D7C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行政规范性文件</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266401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5C4F84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宋体" w:hAnsi="宋体" w:eastAsia="宋体" w:cs="宋体"/>
                <w:color w:val="000000"/>
                <w:sz w:val="20"/>
                <w:szCs w:val="20"/>
                <w:lang w:val="en-US" w:eastAsia="zh-CN"/>
              </w:rPr>
              <w:t>3</w:t>
            </w:r>
            <w:bookmarkStart w:id="0" w:name="_GoBack"/>
            <w:bookmarkEnd w:id="0"/>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14:paraId="2160E1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FF"/>
                <w:sz w:val="20"/>
                <w:szCs w:val="20"/>
                <w:shd w:val="clear" w:fill="FFFFFF"/>
              </w:rPr>
              <w:t>0</w:t>
            </w:r>
          </w:p>
        </w:tc>
      </w:tr>
      <w:tr w14:paraId="0746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14:paraId="401EA5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第二十条第（五）项</w:t>
            </w:r>
          </w:p>
        </w:tc>
      </w:tr>
      <w:tr w14:paraId="1E5E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2D126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4E745A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14:paraId="6260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EB0DD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行政许可</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46E905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sz w:val="21"/>
                <w:szCs w:val="21"/>
              </w:rPr>
              <w:t>2</w:t>
            </w:r>
          </w:p>
        </w:tc>
      </w:tr>
      <w:tr w14:paraId="4FE7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14:paraId="341E46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第二十条第（六）项</w:t>
            </w:r>
          </w:p>
        </w:tc>
      </w:tr>
      <w:tr w14:paraId="5829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6BCA92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0B8A03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14:paraId="4128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F8062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行政处罚</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727B11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16</w:t>
            </w:r>
          </w:p>
        </w:tc>
      </w:tr>
      <w:tr w14:paraId="3BBB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62BD6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行政强制</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52BF07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　</w:t>
            </w:r>
          </w:p>
        </w:tc>
      </w:tr>
      <w:tr w14:paraId="356B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14:paraId="27F1F9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第二十条第（八）项</w:t>
            </w:r>
          </w:p>
        </w:tc>
      </w:tr>
      <w:tr w14:paraId="783D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2406C9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6B9F09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本年收费金额（单位：万元）</w:t>
            </w:r>
          </w:p>
        </w:tc>
      </w:tr>
      <w:tr w14:paraId="7A18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7F3F94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行政事业性收费</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14:paraId="070ADC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0</w:t>
            </w:r>
          </w:p>
        </w:tc>
      </w:tr>
    </w:tbl>
    <w:p w14:paraId="70E76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ascii="微软雅黑" w:hAnsi="微软雅黑" w:eastAsia="微软雅黑" w:cs="微软雅黑"/>
          <w:i w:val="0"/>
          <w:iCs w:val="0"/>
          <w:caps w:val="0"/>
          <w:color w:val="333333"/>
          <w:spacing w:val="0"/>
          <w:sz w:val="32"/>
          <w:szCs w:val="32"/>
          <w:shd w:val="clear" w:fill="FFFFFF"/>
        </w:rPr>
        <w:t> </w:t>
      </w:r>
    </w:p>
    <w:p w14:paraId="5CC6BC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60" w:right="0" w:firstLine="48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6"/>
          <w:szCs w:val="36"/>
          <w:shd w:val="clear" w:fill="FFFFFF"/>
        </w:rPr>
        <w:t>三、收到和处理政府信息公开申请情况</w:t>
      </w:r>
    </w:p>
    <w:p w14:paraId="728E36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tbl>
      <w:tblPr>
        <w:tblStyle w:val="4"/>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174095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9" w:hRule="atLeast"/>
          <w:jc w:val="center"/>
        </w:trPr>
        <w:tc>
          <w:tcPr>
            <w:tcW w:w="4929" w:type="dxa"/>
            <w:gridSpan w:val="3"/>
            <w:vMerge w:val="restart"/>
            <w:tcBorders>
              <w:top w:val="single" w:color="auto" w:sz="6" w:space="0"/>
              <w:left w:val="single" w:color="auto" w:sz="6" w:space="0"/>
              <w:bottom w:val="outset" w:color="auto" w:sz="4" w:space="0"/>
              <w:right w:val="single" w:color="auto" w:sz="6" w:space="0"/>
            </w:tcBorders>
            <w:shd w:val="clear" w:color="auto" w:fill="auto"/>
            <w:tcMar>
              <w:left w:w="108" w:type="dxa"/>
              <w:right w:w="108" w:type="dxa"/>
            </w:tcMar>
            <w:vAlign w:val="center"/>
          </w:tcPr>
          <w:p w14:paraId="7A501A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楷体" w:hAnsi="楷体" w:eastAsia="楷体" w:cs="楷体"/>
                <w:sz w:val="20"/>
                <w:szCs w:val="20"/>
              </w:rPr>
              <w:t>（本列数据的勾稽关系为：第一项加第二项之和，等于第三项加第四项之和）</w:t>
            </w:r>
          </w:p>
        </w:tc>
        <w:tc>
          <w:tcPr>
            <w:tcW w:w="4816" w:type="dxa"/>
            <w:gridSpan w:val="7"/>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5A16E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申请人情况</w:t>
            </w:r>
          </w:p>
        </w:tc>
      </w:tr>
      <w:tr w14:paraId="22DA1E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4929" w:type="dxa"/>
            <w:gridSpan w:val="3"/>
            <w:vMerge w:val="continue"/>
            <w:tcBorders>
              <w:top w:val="single" w:color="auto" w:sz="6" w:space="0"/>
              <w:left w:val="single" w:color="auto" w:sz="6" w:space="0"/>
              <w:bottom w:val="outset" w:color="auto" w:sz="4" w:space="0"/>
              <w:right w:val="single" w:color="auto" w:sz="6" w:space="0"/>
            </w:tcBorders>
            <w:shd w:val="clear" w:color="auto" w:fill="auto"/>
            <w:tcMar>
              <w:left w:w="108" w:type="dxa"/>
              <w:right w:w="108" w:type="dxa"/>
            </w:tcMar>
            <w:vAlign w:val="center"/>
          </w:tcPr>
          <w:p w14:paraId="44167DB3">
            <w:pPr>
              <w:rPr>
                <w:rFonts w:hint="default" w:ascii="Times New Roman" w:hAnsi="Times New Roman" w:cs="Times New Roman"/>
                <w:sz w:val="20"/>
                <w:szCs w:val="20"/>
              </w:rPr>
            </w:pPr>
          </w:p>
        </w:tc>
        <w:tc>
          <w:tcPr>
            <w:tcW w:w="688"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14:paraId="10FAE3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自然人</w:t>
            </w:r>
          </w:p>
        </w:tc>
        <w:tc>
          <w:tcPr>
            <w:tcW w:w="3440" w:type="dxa"/>
            <w:gridSpan w:val="5"/>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36E637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法人或其他组织</w:t>
            </w:r>
          </w:p>
        </w:tc>
        <w:tc>
          <w:tcPr>
            <w:tcW w:w="688" w:type="dxa"/>
            <w:vMerge w:val="restart"/>
            <w:tcBorders>
              <w:top w:val="single" w:color="auto" w:sz="6" w:space="0"/>
              <w:left w:val="nil"/>
              <w:bottom w:val="outset" w:color="auto" w:sz="4" w:space="0"/>
              <w:right w:val="single" w:color="auto" w:sz="6" w:space="0"/>
            </w:tcBorders>
            <w:shd w:val="clear" w:color="auto" w:fill="auto"/>
            <w:tcMar>
              <w:left w:w="57" w:type="dxa"/>
              <w:right w:w="57" w:type="dxa"/>
            </w:tcMar>
            <w:vAlign w:val="center"/>
          </w:tcPr>
          <w:p w14:paraId="30CB79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总计</w:t>
            </w:r>
          </w:p>
        </w:tc>
      </w:tr>
      <w:tr w14:paraId="63AEE0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4929" w:type="dxa"/>
            <w:gridSpan w:val="3"/>
            <w:vMerge w:val="continue"/>
            <w:tcBorders>
              <w:top w:val="single" w:color="auto" w:sz="6" w:space="0"/>
              <w:left w:val="single" w:color="auto" w:sz="6" w:space="0"/>
              <w:bottom w:val="outset" w:color="auto" w:sz="4" w:space="0"/>
              <w:right w:val="single" w:color="auto" w:sz="6" w:space="0"/>
            </w:tcBorders>
            <w:shd w:val="clear" w:color="auto" w:fill="auto"/>
            <w:tcMar>
              <w:left w:w="108" w:type="dxa"/>
              <w:right w:w="108" w:type="dxa"/>
            </w:tcMar>
            <w:vAlign w:val="center"/>
          </w:tcPr>
          <w:p w14:paraId="54667ABA">
            <w:pPr>
              <w:rPr>
                <w:rFonts w:hint="default" w:ascii="Times New Roman" w:hAnsi="Times New Roman" w:cs="Times New Roman"/>
                <w:sz w:val="20"/>
                <w:szCs w:val="20"/>
              </w:rPr>
            </w:pPr>
          </w:p>
        </w:tc>
        <w:tc>
          <w:tcPr>
            <w:tcW w:w="68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14:paraId="1A32B1E6">
            <w:pPr>
              <w:rPr>
                <w:rFonts w:hint="default" w:ascii="Times New Roman" w:hAnsi="Times New Roman" w:cs="Times New Roman"/>
                <w:sz w:val="20"/>
                <w:szCs w:val="20"/>
              </w:rPr>
            </w:pP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6D56C5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商业</w:t>
            </w:r>
          </w:p>
          <w:p w14:paraId="3FE977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企业</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067473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科研</w:t>
            </w:r>
          </w:p>
          <w:p w14:paraId="6C2D8B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机构</w:t>
            </w:r>
          </w:p>
        </w:tc>
        <w:tc>
          <w:tcPr>
            <w:tcW w:w="688"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5BE023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社会公益组织</w:t>
            </w:r>
          </w:p>
        </w:tc>
        <w:tc>
          <w:tcPr>
            <w:tcW w:w="688"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095106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法律服务机构</w:t>
            </w:r>
          </w:p>
        </w:tc>
        <w:tc>
          <w:tcPr>
            <w:tcW w:w="688" w:type="dxa"/>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14:paraId="232EE0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其他</w:t>
            </w:r>
          </w:p>
        </w:tc>
        <w:tc>
          <w:tcPr>
            <w:tcW w:w="688" w:type="dxa"/>
            <w:vMerge w:val="continue"/>
            <w:tcBorders>
              <w:top w:val="single" w:color="auto" w:sz="6" w:space="0"/>
              <w:left w:val="nil"/>
              <w:bottom w:val="outset" w:color="auto" w:sz="4" w:space="0"/>
              <w:right w:val="single" w:color="auto" w:sz="6" w:space="0"/>
            </w:tcBorders>
            <w:shd w:val="clear" w:color="auto" w:fill="auto"/>
            <w:tcMar>
              <w:left w:w="57" w:type="dxa"/>
              <w:right w:w="57" w:type="dxa"/>
            </w:tcMar>
            <w:vAlign w:val="center"/>
          </w:tcPr>
          <w:p w14:paraId="5E4CB5FA">
            <w:pPr>
              <w:rPr>
                <w:rFonts w:hint="default" w:ascii="Times New Roman" w:hAnsi="Times New Roman" w:cs="Times New Roman"/>
                <w:sz w:val="20"/>
                <w:szCs w:val="20"/>
              </w:rPr>
            </w:pPr>
          </w:p>
        </w:tc>
      </w:tr>
      <w:tr w14:paraId="772E1F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4929" w:type="dxa"/>
            <w:gridSpan w:val="3"/>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4A8F85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一、本年新收政府信息公开申请数量</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3BB0F3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w:t>
            </w:r>
            <w:r>
              <w:rPr>
                <w:rFonts w:hint="default" w:ascii="Calibri" w:hAnsi="Calibri" w:eastAsia="仿宋_GB2312" w:cs="Calibri"/>
                <w:sz w:val="20"/>
                <w:szCs w:val="20"/>
              </w:rPr>
              <w:t>2</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0A84E3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3DB873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63D8E9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7222C8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602144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DA25F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w:t>
            </w:r>
            <w:r>
              <w:rPr>
                <w:rFonts w:hint="default" w:ascii="Calibri" w:hAnsi="Calibri" w:eastAsia="仿宋_GB2312" w:cs="Calibri"/>
                <w:sz w:val="20"/>
                <w:szCs w:val="20"/>
              </w:rPr>
              <w:t>2</w:t>
            </w:r>
          </w:p>
        </w:tc>
      </w:tr>
      <w:tr w14:paraId="28708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4929" w:type="dxa"/>
            <w:gridSpan w:val="3"/>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128DD0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二、上年结转政府信息公开申请数量</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B794E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304DCB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2703B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6019A9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47CB53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41D73B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42FE0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r>
      <w:tr w14:paraId="31D84A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restart"/>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7B7C2A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三、本年度办理结果</w:t>
            </w:r>
          </w:p>
        </w:tc>
        <w:tc>
          <w:tcPr>
            <w:tcW w:w="4162"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600E1F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（一）予以公开</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5C94DF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w:t>
            </w:r>
            <w:r>
              <w:rPr>
                <w:rFonts w:hint="default" w:ascii="Calibri" w:hAnsi="Calibri" w:eastAsia="仿宋_GB2312" w:cs="Calibri"/>
                <w:sz w:val="20"/>
                <w:szCs w:val="20"/>
              </w:rPr>
              <w:t>2</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554521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6E300B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130A4D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91FDA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6F9E8A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single" w:color="auto" w:sz="6" w:space="0"/>
              <w:left w:val="nil"/>
              <w:bottom w:val="single" w:color="auto" w:sz="6" w:space="0"/>
              <w:right w:val="single" w:color="auto" w:sz="6" w:space="0"/>
            </w:tcBorders>
            <w:shd w:val="clear" w:color="auto" w:fill="auto"/>
            <w:tcMar>
              <w:left w:w="57" w:type="dxa"/>
              <w:right w:w="57" w:type="dxa"/>
            </w:tcMar>
            <w:vAlign w:val="top"/>
          </w:tcPr>
          <w:p w14:paraId="62101B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sz w:val="20"/>
                <w:szCs w:val="20"/>
              </w:rPr>
              <w:t>2</w:t>
            </w:r>
            <w:r>
              <w:rPr>
                <w:rFonts w:hint="default" w:ascii="Calibri" w:hAnsi="Calibri" w:cs="Calibri"/>
                <w:sz w:val="20"/>
                <w:szCs w:val="20"/>
              </w:rPr>
              <w:t> </w:t>
            </w:r>
          </w:p>
        </w:tc>
      </w:tr>
      <w:tr w14:paraId="5E5D5C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5D9C9D61">
            <w:pPr>
              <w:rPr>
                <w:rFonts w:hint="default" w:ascii="Times New Roman" w:hAnsi="Times New Roman" w:cs="Times New Roman"/>
                <w:sz w:val="20"/>
                <w:szCs w:val="20"/>
              </w:rPr>
            </w:pPr>
          </w:p>
        </w:tc>
        <w:tc>
          <w:tcPr>
            <w:tcW w:w="4162"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5854D3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（二）部分公开</w:t>
            </w:r>
            <w:r>
              <w:rPr>
                <w:rFonts w:hint="eastAsia" w:ascii="楷体" w:hAnsi="楷体" w:eastAsia="楷体" w:cs="楷体"/>
                <w:sz w:val="20"/>
                <w:szCs w:val="20"/>
              </w:rPr>
              <w:t>（区分处理的，只计这一情形，不计其他情形）</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19C51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7187C3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1DECD7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449E94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A5136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698EF6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763C7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r>
      <w:tr w14:paraId="493760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3B27A91D">
            <w:pPr>
              <w:rPr>
                <w:rFonts w:hint="default" w:ascii="Times New Roman" w:hAnsi="Times New Roman" w:cs="Times New Roman"/>
                <w:sz w:val="20"/>
                <w:szCs w:val="20"/>
              </w:rPr>
            </w:pPr>
          </w:p>
        </w:tc>
        <w:tc>
          <w:tcPr>
            <w:tcW w:w="943" w:type="dxa"/>
            <w:vMerge w:val="restart"/>
            <w:tcBorders>
              <w:top w:val="nil"/>
              <w:left w:val="nil"/>
              <w:bottom w:val="outset" w:color="auto" w:sz="4" w:space="0"/>
              <w:right w:val="single" w:color="auto" w:sz="6" w:space="0"/>
            </w:tcBorders>
            <w:shd w:val="clear" w:color="auto" w:fill="auto"/>
            <w:tcMar>
              <w:left w:w="57" w:type="dxa"/>
              <w:right w:w="57" w:type="dxa"/>
            </w:tcMar>
            <w:vAlign w:val="center"/>
          </w:tcPr>
          <w:p w14:paraId="713E02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（三）不予公开</w:t>
            </w: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752D48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1.属于国家秘密</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4A7728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13E93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31248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D4508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FA640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45363B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single" w:color="auto" w:sz="6" w:space="0"/>
              <w:left w:val="nil"/>
              <w:bottom w:val="single" w:color="auto" w:sz="6" w:space="0"/>
              <w:right w:val="single" w:color="auto" w:sz="6" w:space="0"/>
            </w:tcBorders>
            <w:shd w:val="clear" w:color="auto" w:fill="auto"/>
            <w:tcMar>
              <w:left w:w="57" w:type="dxa"/>
              <w:right w:w="57" w:type="dxa"/>
            </w:tcMar>
            <w:vAlign w:val="top"/>
          </w:tcPr>
          <w:p w14:paraId="170FFD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5D3631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0F3E3406">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562AE1CD">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3D40EC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2.其他法律行政法规禁止公开</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72EB2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A8CA8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20263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BA120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A69E1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E5128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624EB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30EB7C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6EB43981">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3D5955B8">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0353AD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3.危及“三安全一稳定”</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2312C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FF9CF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24392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E6785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4744B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A87D7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01C97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6A6B83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2983A4B9">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012D60B5">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6988D8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4.保护第三方合法权益</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10427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A8B1D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CDD59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52969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EB330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9F864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9D669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3CD893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4462479B">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163D87BF">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2D073E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5.属于三类内部事务信息</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70849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C45CC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C4764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1CB90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C1605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C3969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FE850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3E94D2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1F1B30DB">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6A61B2C6">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2E5027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6.属于四类过程性信息</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4B2C78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828FA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F8A57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78199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87E25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C80BE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E5AA6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642210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26DEEA5B">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2900BFE7">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6E8260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7.属于行政执法案卷</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57D8D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8C24D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18E54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C2D2B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891ED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5C0DB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4B36D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616F10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0052A7B3">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63FACEFB">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1FD40F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8.属于行政查询事项</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3CE96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3B264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47228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26435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0DD9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8F131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5D10D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40013D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04CF704E">
            <w:pPr>
              <w:rPr>
                <w:rFonts w:hint="default" w:ascii="Times New Roman" w:hAnsi="Times New Roman" w:cs="Times New Roman"/>
                <w:sz w:val="20"/>
                <w:szCs w:val="20"/>
              </w:rPr>
            </w:pPr>
          </w:p>
        </w:tc>
        <w:tc>
          <w:tcPr>
            <w:tcW w:w="943" w:type="dxa"/>
            <w:vMerge w:val="restart"/>
            <w:tcBorders>
              <w:top w:val="nil"/>
              <w:left w:val="nil"/>
              <w:bottom w:val="outset" w:color="auto" w:sz="4" w:space="0"/>
              <w:right w:val="single" w:color="auto" w:sz="6" w:space="0"/>
            </w:tcBorders>
            <w:shd w:val="clear" w:color="auto" w:fill="auto"/>
            <w:tcMar>
              <w:left w:w="57" w:type="dxa"/>
              <w:right w:w="57" w:type="dxa"/>
            </w:tcMar>
            <w:vAlign w:val="center"/>
          </w:tcPr>
          <w:p w14:paraId="600FC9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（四）无法提供</w:t>
            </w: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2194D1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1.本机关不掌握相关政府信息</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66C6D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61802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63F39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3C94B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20855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55F2C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EAE68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09C695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27252B0C">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6F35C920">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79886B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2.没有现成信息需要另行制作</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426AFD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A4D28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85DEE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A38C2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1A1C6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5084D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0EE93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606E97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122EEAC5">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60281054">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5E95E9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3.补正后申请内容仍不明确</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F175B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1112A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9702C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CA365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72503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7DF7D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14CF3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576F5D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62959F88">
            <w:pPr>
              <w:rPr>
                <w:rFonts w:hint="default" w:ascii="Times New Roman" w:hAnsi="Times New Roman" w:cs="Times New Roman"/>
                <w:sz w:val="20"/>
                <w:szCs w:val="20"/>
              </w:rPr>
            </w:pPr>
          </w:p>
        </w:tc>
        <w:tc>
          <w:tcPr>
            <w:tcW w:w="943" w:type="dxa"/>
            <w:vMerge w:val="restart"/>
            <w:tcBorders>
              <w:top w:val="nil"/>
              <w:left w:val="nil"/>
              <w:bottom w:val="outset" w:color="auto" w:sz="4" w:space="0"/>
              <w:right w:val="single" w:color="auto" w:sz="6" w:space="0"/>
            </w:tcBorders>
            <w:shd w:val="clear" w:color="auto" w:fill="auto"/>
            <w:tcMar>
              <w:left w:w="57" w:type="dxa"/>
              <w:right w:w="57" w:type="dxa"/>
            </w:tcMar>
            <w:vAlign w:val="center"/>
          </w:tcPr>
          <w:p w14:paraId="13C33C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（五）不予处理</w:t>
            </w: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1769EE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1.信访举报投诉类申请</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C12D3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54177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6F614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15311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106E8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90D56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68AF8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38ADAE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1A08A11C">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2CDEB706">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5569F3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2.重复申请</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C8193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91E13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24C6B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BEDDF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CDEC1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97EC5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EED67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563550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7CF58138">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1E2507E3">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40D71A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3.要求提供公开出版物</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38E54C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2A068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B5B81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562B9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6B1064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4BEAF1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DDB12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1EBFF7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43728560">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353542B9">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top"/>
          </w:tcPr>
          <w:p w14:paraId="5783DC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4.无正当理由大量反复申请</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5F65B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502592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51785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6BB01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1D0FDB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5019F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20B86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0E7549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3D2FD459">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6EAB85D5">
            <w:pPr>
              <w:rPr>
                <w:rFonts w:hint="default" w:ascii="Times New Roman" w:hAnsi="Times New Roman" w:cs="Times New Roman"/>
                <w:sz w:val="20"/>
                <w:szCs w:val="20"/>
              </w:rPr>
            </w:pPr>
          </w:p>
        </w:tc>
        <w:tc>
          <w:tcPr>
            <w:tcW w:w="3219" w:type="dxa"/>
            <w:tcBorders>
              <w:top w:val="nil"/>
              <w:left w:val="nil"/>
              <w:bottom w:val="outset" w:color="auto" w:sz="4" w:space="0"/>
              <w:right w:val="single" w:color="auto" w:sz="6" w:space="0"/>
            </w:tcBorders>
            <w:shd w:val="clear" w:color="auto" w:fill="auto"/>
            <w:tcMar>
              <w:left w:w="57" w:type="dxa"/>
              <w:right w:w="57" w:type="dxa"/>
            </w:tcMar>
            <w:vAlign w:val="center"/>
          </w:tcPr>
          <w:p w14:paraId="6A2719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5.要求行政机关确认或重新出具已获取信息</w:t>
            </w:r>
          </w:p>
        </w:tc>
        <w:tc>
          <w:tcPr>
            <w:tcW w:w="688" w:type="dxa"/>
            <w:tcBorders>
              <w:top w:val="nil"/>
              <w:left w:val="nil"/>
              <w:bottom w:val="outset" w:color="auto" w:sz="4" w:space="0"/>
              <w:right w:val="single" w:color="auto" w:sz="6" w:space="0"/>
            </w:tcBorders>
            <w:shd w:val="clear" w:color="auto" w:fill="auto"/>
            <w:tcMar>
              <w:left w:w="57" w:type="dxa"/>
              <w:right w:w="57" w:type="dxa"/>
            </w:tcMar>
            <w:vAlign w:val="top"/>
          </w:tcPr>
          <w:p w14:paraId="73F8AE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outset" w:color="auto" w:sz="4" w:space="0"/>
              <w:right w:val="single" w:color="auto" w:sz="6" w:space="0"/>
            </w:tcBorders>
            <w:shd w:val="clear" w:color="auto" w:fill="auto"/>
            <w:tcMar>
              <w:left w:w="57" w:type="dxa"/>
              <w:right w:w="57" w:type="dxa"/>
            </w:tcMar>
            <w:vAlign w:val="top"/>
          </w:tcPr>
          <w:p w14:paraId="6A8C7D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outset" w:color="auto" w:sz="4" w:space="0"/>
              <w:right w:val="single" w:color="auto" w:sz="6" w:space="0"/>
            </w:tcBorders>
            <w:shd w:val="clear" w:color="auto" w:fill="auto"/>
            <w:tcMar>
              <w:left w:w="57" w:type="dxa"/>
              <w:right w:w="57" w:type="dxa"/>
            </w:tcMar>
            <w:vAlign w:val="top"/>
          </w:tcPr>
          <w:p w14:paraId="36FF86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outset" w:color="auto" w:sz="4" w:space="0"/>
              <w:right w:val="single" w:color="auto" w:sz="6" w:space="0"/>
            </w:tcBorders>
            <w:shd w:val="clear" w:color="auto" w:fill="auto"/>
            <w:tcMar>
              <w:left w:w="57" w:type="dxa"/>
              <w:right w:w="57" w:type="dxa"/>
            </w:tcMar>
            <w:vAlign w:val="top"/>
          </w:tcPr>
          <w:p w14:paraId="6C031C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outset" w:color="auto" w:sz="4" w:space="0"/>
              <w:right w:val="single" w:color="auto" w:sz="6" w:space="0"/>
            </w:tcBorders>
            <w:shd w:val="clear" w:color="auto" w:fill="auto"/>
            <w:tcMar>
              <w:left w:w="57" w:type="dxa"/>
              <w:right w:w="57" w:type="dxa"/>
            </w:tcMar>
            <w:vAlign w:val="top"/>
          </w:tcPr>
          <w:p w14:paraId="31D02E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outset" w:color="auto" w:sz="4" w:space="0"/>
              <w:right w:val="single" w:color="auto" w:sz="6" w:space="0"/>
            </w:tcBorders>
            <w:shd w:val="clear" w:color="auto" w:fill="auto"/>
            <w:tcMar>
              <w:left w:w="57" w:type="dxa"/>
              <w:right w:w="57" w:type="dxa"/>
            </w:tcMar>
            <w:vAlign w:val="top"/>
          </w:tcPr>
          <w:p w14:paraId="58C7FB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outset" w:color="auto" w:sz="4" w:space="0"/>
              <w:right w:val="single" w:color="auto" w:sz="6" w:space="0"/>
            </w:tcBorders>
            <w:shd w:val="clear" w:color="auto" w:fill="auto"/>
            <w:tcMar>
              <w:left w:w="57" w:type="dxa"/>
              <w:right w:w="57" w:type="dxa"/>
            </w:tcMar>
            <w:vAlign w:val="top"/>
          </w:tcPr>
          <w:p w14:paraId="6FA3E0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7F20AD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2A383308">
            <w:pPr>
              <w:rPr>
                <w:rFonts w:hint="default" w:ascii="Times New Roman" w:hAnsi="Times New Roman" w:cs="Times New Roman"/>
                <w:sz w:val="20"/>
                <w:szCs w:val="20"/>
              </w:rPr>
            </w:pPr>
          </w:p>
        </w:tc>
        <w:tc>
          <w:tcPr>
            <w:tcW w:w="943" w:type="dxa"/>
            <w:vMerge w:val="restart"/>
            <w:tcBorders>
              <w:top w:val="nil"/>
              <w:left w:val="nil"/>
              <w:bottom w:val="outset" w:color="auto" w:sz="4" w:space="0"/>
              <w:right w:val="single" w:color="auto" w:sz="6" w:space="0"/>
            </w:tcBorders>
            <w:shd w:val="clear" w:color="auto" w:fill="auto"/>
            <w:tcMar>
              <w:left w:w="57" w:type="dxa"/>
              <w:right w:w="57" w:type="dxa"/>
            </w:tcMar>
            <w:vAlign w:val="center"/>
          </w:tcPr>
          <w:p w14:paraId="4E803B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（六）其他处理</w:t>
            </w:r>
          </w:p>
        </w:tc>
        <w:tc>
          <w:tcPr>
            <w:tcW w:w="3219" w:type="dxa"/>
            <w:tcBorders>
              <w:top w:val="nil"/>
              <w:left w:val="nil"/>
              <w:bottom w:val="single" w:color="auto" w:sz="6" w:space="0"/>
              <w:right w:val="single" w:color="auto" w:sz="6" w:space="0"/>
            </w:tcBorders>
            <w:shd w:val="clear" w:color="auto" w:fill="auto"/>
            <w:tcMar>
              <w:left w:w="57" w:type="dxa"/>
              <w:right w:w="57" w:type="dxa"/>
            </w:tcMar>
            <w:vAlign w:val="center"/>
          </w:tcPr>
          <w:p w14:paraId="1BE0EF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1.申请人无正当理由逾期不补正、行政机关不再处理其政府信息公开申请</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D29A3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76B274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62FB72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589C02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465669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0184D0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0B9487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68E289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269BFC9D">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7238EB74">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center"/>
          </w:tcPr>
          <w:p w14:paraId="5B2E74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2.申请人逾期未按收费通知要求缴纳费用、行政机关不再处理其政府信息公开申请</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06A013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44C5C2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0A35CF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7B30F9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3F9AE2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36D69F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3E2C9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319CEA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610E4AA7">
            <w:pPr>
              <w:rPr>
                <w:rFonts w:hint="default" w:ascii="Times New Roman" w:hAnsi="Times New Roman" w:cs="Times New Roman"/>
                <w:sz w:val="20"/>
                <w:szCs w:val="20"/>
              </w:rPr>
            </w:pPr>
          </w:p>
        </w:tc>
        <w:tc>
          <w:tcPr>
            <w:tcW w:w="943" w:type="dxa"/>
            <w:vMerge w:val="continue"/>
            <w:tcBorders>
              <w:top w:val="nil"/>
              <w:left w:val="nil"/>
              <w:bottom w:val="outset" w:color="auto" w:sz="4" w:space="0"/>
              <w:right w:val="single" w:color="auto" w:sz="6" w:space="0"/>
            </w:tcBorders>
            <w:shd w:val="clear" w:color="auto" w:fill="auto"/>
            <w:tcMar>
              <w:left w:w="57" w:type="dxa"/>
              <w:right w:w="57" w:type="dxa"/>
            </w:tcMar>
            <w:vAlign w:val="center"/>
          </w:tcPr>
          <w:p w14:paraId="4C6ED4FE">
            <w:pPr>
              <w:rPr>
                <w:rFonts w:hint="default" w:ascii="Times New Roman" w:hAnsi="Times New Roman" w:cs="Times New Roman"/>
                <w:sz w:val="20"/>
                <w:szCs w:val="20"/>
              </w:rPr>
            </w:pPr>
          </w:p>
        </w:tc>
        <w:tc>
          <w:tcPr>
            <w:tcW w:w="3219" w:type="dxa"/>
            <w:tcBorders>
              <w:top w:val="nil"/>
              <w:left w:val="nil"/>
              <w:bottom w:val="single" w:color="auto" w:sz="6" w:space="0"/>
              <w:right w:val="single" w:color="auto" w:sz="6" w:space="0"/>
            </w:tcBorders>
            <w:shd w:val="clear" w:color="auto" w:fill="auto"/>
            <w:tcMar>
              <w:left w:w="57" w:type="dxa"/>
              <w:right w:w="57" w:type="dxa"/>
            </w:tcMar>
            <w:vAlign w:val="center"/>
          </w:tcPr>
          <w:p w14:paraId="6A6505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3.其他</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C5C05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1E5C60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0C2F68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282E1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532081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599466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4E26F3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r>
      <w:tr w14:paraId="08F8BA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67" w:type="dxa"/>
            <w:vMerge w:val="continue"/>
            <w:tcBorders>
              <w:top w:val="nil"/>
              <w:left w:val="single" w:color="auto" w:sz="6" w:space="0"/>
              <w:bottom w:val="outset" w:color="auto" w:sz="4" w:space="0"/>
              <w:right w:val="single" w:color="auto" w:sz="6" w:space="0"/>
            </w:tcBorders>
            <w:shd w:val="clear" w:color="auto" w:fill="auto"/>
            <w:tcMar>
              <w:left w:w="57" w:type="dxa"/>
              <w:right w:w="57" w:type="dxa"/>
            </w:tcMar>
            <w:vAlign w:val="center"/>
          </w:tcPr>
          <w:p w14:paraId="6DD1ADF2">
            <w:pPr>
              <w:rPr>
                <w:rFonts w:hint="default" w:ascii="Times New Roman" w:hAnsi="Times New Roman" w:cs="Times New Roman"/>
                <w:sz w:val="20"/>
                <w:szCs w:val="20"/>
              </w:rPr>
            </w:pPr>
          </w:p>
        </w:tc>
        <w:tc>
          <w:tcPr>
            <w:tcW w:w="4162"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14:paraId="1E9BA3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（七）总计</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31AAEB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w:t>
            </w:r>
            <w:r>
              <w:rPr>
                <w:rFonts w:hint="default" w:ascii="Calibri" w:hAnsi="Calibri" w:eastAsia="仿宋_GB2312" w:cs="Calibri"/>
                <w:sz w:val="20"/>
                <w:szCs w:val="20"/>
              </w:rPr>
              <w:t>2</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4B56C8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8703E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39A68C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4774C5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6440A1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2A9892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0"/>
                <w:szCs w:val="20"/>
              </w:rPr>
              <w:t>2</w:t>
            </w:r>
          </w:p>
        </w:tc>
      </w:tr>
      <w:tr w14:paraId="44B349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4929" w:type="dxa"/>
            <w:gridSpan w:val="3"/>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14:paraId="5F081D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四、结转下年度继续办理</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752D0E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0C088E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463F2D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224030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5206AC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0 </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center"/>
          </w:tcPr>
          <w:p w14:paraId="442CF0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0"/>
                <w:szCs w:val="20"/>
              </w:rPr>
              <w:t> 0</w:t>
            </w:r>
          </w:p>
        </w:tc>
        <w:tc>
          <w:tcPr>
            <w:tcW w:w="688" w:type="dxa"/>
            <w:tcBorders>
              <w:top w:val="nil"/>
              <w:left w:val="nil"/>
              <w:bottom w:val="single" w:color="auto" w:sz="6" w:space="0"/>
              <w:right w:val="single" w:color="auto" w:sz="6" w:space="0"/>
            </w:tcBorders>
            <w:shd w:val="clear" w:color="auto" w:fill="auto"/>
            <w:tcMar>
              <w:left w:w="57" w:type="dxa"/>
              <w:right w:w="57" w:type="dxa"/>
            </w:tcMar>
            <w:vAlign w:val="top"/>
          </w:tcPr>
          <w:p w14:paraId="7F2A3E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0"/>
                <w:szCs w:val="20"/>
              </w:rPr>
              <w:t> 0</w:t>
            </w:r>
          </w:p>
        </w:tc>
      </w:tr>
    </w:tbl>
    <w:p w14:paraId="46A63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3E7365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6"/>
          <w:szCs w:val="36"/>
          <w:shd w:val="clear" w:fill="FFFFFF"/>
        </w:rPr>
        <w:t>四、政府信息公开行政复议、行政诉讼情况</w:t>
      </w:r>
    </w:p>
    <w:p w14:paraId="134B5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 </w:t>
      </w:r>
    </w:p>
    <w:tbl>
      <w:tblPr>
        <w:tblStyle w:val="4"/>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6C66E8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9" w:hRule="atLeast"/>
          <w:jc w:val="center"/>
        </w:trPr>
        <w:tc>
          <w:tcPr>
            <w:tcW w:w="3245" w:type="dxa"/>
            <w:gridSpan w:val="5"/>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14:paraId="535C41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行政复议</w:t>
            </w:r>
          </w:p>
        </w:tc>
        <w:tc>
          <w:tcPr>
            <w:tcW w:w="6498" w:type="dxa"/>
            <w:gridSpan w:val="10"/>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3EC18B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行政诉讼</w:t>
            </w:r>
          </w:p>
        </w:tc>
      </w:tr>
      <w:tr w14:paraId="5901DF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49" w:type="dxa"/>
            <w:vMerge w:val="restart"/>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0987F0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结果维持</w:t>
            </w:r>
          </w:p>
        </w:tc>
        <w:tc>
          <w:tcPr>
            <w:tcW w:w="649" w:type="dxa"/>
            <w:vMerge w:val="restart"/>
            <w:tcBorders>
              <w:top w:val="nil"/>
              <w:left w:val="nil"/>
              <w:bottom w:val="single" w:color="auto" w:sz="6" w:space="0"/>
              <w:right w:val="single" w:color="auto" w:sz="6" w:space="0"/>
            </w:tcBorders>
            <w:shd w:val="clear" w:color="auto" w:fill="auto"/>
            <w:tcMar>
              <w:left w:w="108" w:type="dxa"/>
              <w:right w:w="108" w:type="dxa"/>
            </w:tcMar>
            <w:vAlign w:val="center"/>
          </w:tcPr>
          <w:p w14:paraId="43B148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p>
          <w:p w14:paraId="1EC0EE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纠正</w:t>
            </w:r>
          </w:p>
        </w:tc>
        <w:tc>
          <w:tcPr>
            <w:tcW w:w="649" w:type="dxa"/>
            <w:vMerge w:val="restart"/>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201E67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其他</w:t>
            </w:r>
          </w:p>
          <w:p w14:paraId="58239B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p>
        </w:tc>
        <w:tc>
          <w:tcPr>
            <w:tcW w:w="649" w:type="dxa"/>
            <w:vMerge w:val="restart"/>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366248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尚未</w:t>
            </w:r>
          </w:p>
          <w:p w14:paraId="7E785B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审结</w:t>
            </w:r>
          </w:p>
        </w:tc>
        <w:tc>
          <w:tcPr>
            <w:tcW w:w="649" w:type="dxa"/>
            <w:vMerge w:val="restart"/>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1E2CBF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总计</w:t>
            </w:r>
          </w:p>
        </w:tc>
        <w:tc>
          <w:tcPr>
            <w:tcW w:w="3248" w:type="dxa"/>
            <w:gridSpan w:val="5"/>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1A62CA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未经复议直接起诉</w:t>
            </w:r>
          </w:p>
        </w:tc>
        <w:tc>
          <w:tcPr>
            <w:tcW w:w="3250" w:type="dxa"/>
            <w:gridSpan w:val="5"/>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1BE70C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复议后起诉</w:t>
            </w:r>
          </w:p>
        </w:tc>
      </w:tr>
      <w:tr w14:paraId="101676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49" w:type="dxa"/>
            <w:vMerge w:val="continue"/>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40BEDD29">
            <w:pPr>
              <w:rPr>
                <w:rFonts w:hint="default" w:ascii="Times New Roman" w:hAnsi="Times New Roman" w:cs="Times New Roman"/>
                <w:sz w:val="20"/>
                <w:szCs w:val="20"/>
              </w:rPr>
            </w:pPr>
          </w:p>
        </w:tc>
        <w:tc>
          <w:tcPr>
            <w:tcW w:w="649" w:type="dxa"/>
            <w:vMerge w:val="continue"/>
            <w:tcBorders>
              <w:top w:val="nil"/>
              <w:left w:val="nil"/>
              <w:bottom w:val="single" w:color="auto" w:sz="6" w:space="0"/>
              <w:right w:val="single" w:color="auto" w:sz="6" w:space="0"/>
            </w:tcBorders>
            <w:shd w:val="clear" w:color="auto" w:fill="auto"/>
            <w:tcMar>
              <w:left w:w="108" w:type="dxa"/>
              <w:right w:w="108" w:type="dxa"/>
            </w:tcMar>
            <w:vAlign w:val="center"/>
          </w:tcPr>
          <w:p w14:paraId="150F98EF">
            <w:pPr>
              <w:rPr>
                <w:rFonts w:hint="default" w:ascii="Times New Roman" w:hAnsi="Times New Roman" w:cs="Times New Roman"/>
                <w:sz w:val="20"/>
                <w:szCs w:val="20"/>
              </w:rPr>
            </w:pPr>
          </w:p>
        </w:tc>
        <w:tc>
          <w:tcPr>
            <w:tcW w:w="649" w:type="dxa"/>
            <w:vMerge w:val="continue"/>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6B1E5BE0">
            <w:pPr>
              <w:rPr>
                <w:rFonts w:hint="default" w:ascii="Times New Roman" w:hAnsi="Times New Roman" w:cs="Times New Roman"/>
                <w:sz w:val="20"/>
                <w:szCs w:val="20"/>
              </w:rPr>
            </w:pPr>
          </w:p>
        </w:tc>
        <w:tc>
          <w:tcPr>
            <w:tcW w:w="649" w:type="dxa"/>
            <w:vMerge w:val="continue"/>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03E5657F">
            <w:pPr>
              <w:rPr>
                <w:rFonts w:hint="default" w:ascii="Times New Roman" w:hAnsi="Times New Roman" w:cs="Times New Roman"/>
                <w:sz w:val="20"/>
                <w:szCs w:val="20"/>
              </w:rPr>
            </w:pPr>
          </w:p>
        </w:tc>
        <w:tc>
          <w:tcPr>
            <w:tcW w:w="649" w:type="dxa"/>
            <w:vMerge w:val="continue"/>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131161AD">
            <w:pPr>
              <w:rPr>
                <w:rFonts w:hint="default" w:ascii="Times New Roman" w:hAnsi="Times New Roman" w:cs="Times New Roman"/>
                <w:sz w:val="20"/>
                <w:szCs w:val="20"/>
              </w:rPr>
            </w:pP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14:paraId="089CB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p>
          <w:p w14:paraId="65B34C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维持</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14:paraId="59E2AB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p>
          <w:p w14:paraId="1E40BC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纠正</w:t>
            </w:r>
          </w:p>
        </w:tc>
        <w:tc>
          <w:tcPr>
            <w:tcW w:w="65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024CCD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其他</w:t>
            </w:r>
          </w:p>
          <w:p w14:paraId="2B1E48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p>
        </w:tc>
        <w:tc>
          <w:tcPr>
            <w:tcW w:w="65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1A1F81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尚未</w:t>
            </w:r>
          </w:p>
          <w:p w14:paraId="0CD7F7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审结</w:t>
            </w:r>
          </w:p>
        </w:tc>
        <w:tc>
          <w:tcPr>
            <w:tcW w:w="65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4E0F34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65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089F17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p>
          <w:p w14:paraId="0DB0DB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维持</w:t>
            </w:r>
          </w:p>
        </w:tc>
        <w:tc>
          <w:tcPr>
            <w:tcW w:w="65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2C3AE2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p>
          <w:p w14:paraId="44295B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纠正</w:t>
            </w:r>
          </w:p>
        </w:tc>
        <w:tc>
          <w:tcPr>
            <w:tcW w:w="65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114D6C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其他</w:t>
            </w:r>
          </w:p>
          <w:p w14:paraId="4A5595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结果</w:t>
            </w:r>
          </w:p>
        </w:tc>
        <w:tc>
          <w:tcPr>
            <w:tcW w:w="65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66A393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尚未</w:t>
            </w:r>
          </w:p>
          <w:p w14:paraId="5B9002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审结</w:t>
            </w:r>
          </w:p>
        </w:tc>
        <w:tc>
          <w:tcPr>
            <w:tcW w:w="650"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18EBF1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总计</w:t>
            </w:r>
          </w:p>
        </w:tc>
      </w:tr>
      <w:tr w14:paraId="650710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49" w:type="dxa"/>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7B068A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黑体" w:hAnsi="宋体" w:eastAsia="黑体" w:cs="黑体"/>
                <w:sz w:val="20"/>
                <w:szCs w:val="20"/>
              </w:rPr>
              <w:t>0</w:t>
            </w:r>
            <w:r>
              <w:rPr>
                <w:rFonts w:hint="eastAsia" w:ascii="宋体" w:hAnsi="宋体" w:eastAsia="宋体" w:cs="宋体"/>
                <w:sz w:val="20"/>
                <w:szCs w:val="20"/>
              </w:rPr>
              <w:t> </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14:paraId="7098C0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 </w:t>
            </w:r>
            <w:r>
              <w:rPr>
                <w:rFonts w:hint="eastAsia" w:ascii="黑体" w:hAnsi="宋体" w:eastAsia="黑体" w:cs="黑体"/>
                <w:sz w:val="20"/>
                <w:szCs w:val="20"/>
              </w:rPr>
              <w:t>0</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14:paraId="20C67D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黑体" w:hAnsi="宋体" w:eastAsia="黑体" w:cs="黑体"/>
                <w:sz w:val="20"/>
                <w:szCs w:val="20"/>
              </w:rPr>
              <w:t>0</w:t>
            </w:r>
            <w:r>
              <w:rPr>
                <w:rFonts w:hint="eastAsia" w:ascii="宋体" w:hAnsi="宋体" w:eastAsia="宋体" w:cs="宋体"/>
                <w:sz w:val="20"/>
                <w:szCs w:val="20"/>
              </w:rPr>
              <w:t> </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14:paraId="5F0A5A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 </w:t>
            </w:r>
            <w:r>
              <w:rPr>
                <w:rFonts w:hint="eastAsia" w:ascii="黑体" w:hAnsi="宋体" w:eastAsia="黑体" w:cs="黑体"/>
                <w:sz w:val="20"/>
                <w:szCs w:val="20"/>
              </w:rPr>
              <w:t>0</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14:paraId="149415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黑体" w:hAnsi="宋体" w:eastAsia="黑体" w:cs="黑体"/>
                <w:sz w:val="20"/>
                <w:szCs w:val="20"/>
              </w:rPr>
              <w:t>0</w:t>
            </w:r>
            <w:r>
              <w:rPr>
                <w:rFonts w:hint="eastAsia" w:ascii="宋体" w:hAnsi="宋体" w:eastAsia="宋体" w:cs="宋体"/>
                <w:sz w:val="20"/>
                <w:szCs w:val="20"/>
              </w:rPr>
              <w:t> </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14:paraId="49C42A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 </w:t>
            </w:r>
            <w:r>
              <w:rPr>
                <w:rFonts w:hint="eastAsia" w:ascii="黑体" w:hAnsi="宋体" w:eastAsia="黑体" w:cs="黑体"/>
                <w:sz w:val="20"/>
                <w:szCs w:val="20"/>
              </w:rPr>
              <w:t>0</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14:paraId="0915D8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黑体" w:hAnsi="宋体" w:eastAsia="黑体" w:cs="黑体"/>
                <w:sz w:val="20"/>
                <w:szCs w:val="20"/>
              </w:rPr>
              <w:t>0</w:t>
            </w:r>
            <w:r>
              <w:rPr>
                <w:rFonts w:hint="eastAsia" w:ascii="宋体" w:hAnsi="宋体" w:eastAsia="宋体" w:cs="宋体"/>
                <w:sz w:val="20"/>
                <w:szCs w:val="20"/>
              </w:rPr>
              <w:t> </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14:paraId="062FD6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 </w:t>
            </w:r>
            <w:r>
              <w:rPr>
                <w:rFonts w:hint="eastAsia" w:ascii="黑体" w:hAnsi="宋体" w:eastAsia="黑体" w:cs="黑体"/>
                <w:sz w:val="20"/>
                <w:szCs w:val="20"/>
              </w:rPr>
              <w:t>0</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14:paraId="2938BC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 </w:t>
            </w:r>
            <w:r>
              <w:rPr>
                <w:rFonts w:hint="eastAsia" w:ascii="黑体" w:hAnsi="宋体" w:eastAsia="黑体" w:cs="黑体"/>
                <w:sz w:val="20"/>
                <w:szCs w:val="20"/>
              </w:rPr>
              <w:t>0</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14:paraId="6BAC7C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黑体" w:hAnsi="宋体" w:eastAsia="黑体" w:cs="黑体"/>
                <w:sz w:val="20"/>
                <w:szCs w:val="20"/>
              </w:rPr>
              <w:t>0</w:t>
            </w:r>
            <w:r>
              <w:rPr>
                <w:rFonts w:hint="eastAsia" w:ascii="宋体" w:hAnsi="宋体" w:eastAsia="宋体" w:cs="宋体"/>
                <w:sz w:val="20"/>
                <w:szCs w:val="20"/>
              </w:rPr>
              <w:t> </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14:paraId="09BDDB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 </w:t>
            </w:r>
            <w:r>
              <w:rPr>
                <w:rFonts w:hint="eastAsia" w:ascii="黑体" w:hAnsi="宋体" w:eastAsia="黑体" w:cs="黑体"/>
                <w:sz w:val="20"/>
                <w:szCs w:val="20"/>
              </w:rPr>
              <w:t>0</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14:paraId="0E4759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黑体" w:hAnsi="宋体" w:eastAsia="黑体" w:cs="黑体"/>
                <w:sz w:val="20"/>
                <w:szCs w:val="20"/>
              </w:rPr>
              <w:t>0</w:t>
            </w:r>
            <w:r>
              <w:rPr>
                <w:rFonts w:hint="eastAsia" w:ascii="宋体" w:hAnsi="宋体" w:eastAsia="宋体" w:cs="宋体"/>
                <w:sz w:val="20"/>
                <w:szCs w:val="20"/>
              </w:rPr>
              <w:t> </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14:paraId="227DF9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 </w:t>
            </w:r>
            <w:r>
              <w:rPr>
                <w:rFonts w:hint="eastAsia" w:ascii="黑体" w:hAnsi="宋体" w:eastAsia="黑体" w:cs="黑体"/>
                <w:sz w:val="20"/>
                <w:szCs w:val="20"/>
              </w:rPr>
              <w:t>0</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14:paraId="1C9957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 </w:t>
            </w:r>
            <w:r>
              <w:rPr>
                <w:rFonts w:hint="eastAsia" w:ascii="黑体" w:hAnsi="宋体" w:eastAsia="黑体" w:cs="黑体"/>
                <w:sz w:val="20"/>
                <w:szCs w:val="20"/>
              </w:rPr>
              <w:t>0</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14:paraId="0D9378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4"/>
                <w:szCs w:val="24"/>
              </w:rPr>
              <w:t>0</w:t>
            </w:r>
          </w:p>
        </w:tc>
      </w:tr>
    </w:tbl>
    <w:p w14:paraId="335B2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36"/>
          <w:szCs w:val="36"/>
          <w:shd w:val="clear" w:fill="FFFFFF"/>
        </w:rPr>
        <w:t> </w:t>
      </w:r>
    </w:p>
    <w:p w14:paraId="74EE19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6"/>
          <w:szCs w:val="36"/>
          <w:shd w:val="clear" w:fill="FFFFFF"/>
        </w:rPr>
        <w:t>五、存在的主要问题及改进情况</w:t>
      </w:r>
    </w:p>
    <w:p w14:paraId="372E85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（一）存在的主要问题</w:t>
      </w:r>
      <w:r>
        <w:rPr>
          <w:rFonts w:hint="eastAsia" w:ascii="仿宋_GB2312" w:hAnsi="Calibri" w:eastAsia="仿宋_GB2312" w:cs="仿宋_GB2312"/>
          <w:i w:val="0"/>
          <w:iCs w:val="0"/>
          <w:caps w:val="0"/>
          <w:color w:val="333333"/>
          <w:spacing w:val="0"/>
          <w:sz w:val="32"/>
          <w:szCs w:val="32"/>
          <w:shd w:val="clear" w:fill="FFFFFF"/>
        </w:rPr>
        <w:t>：政府信息公开意识还有待进一步加强，与群众切身利益、方便群众办事、群众关心关注的政府信息公开还有不及时、不全面、不具体等问题。</w:t>
      </w:r>
    </w:p>
    <w:p w14:paraId="538CFA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000000"/>
          <w:spacing w:val="0"/>
          <w:sz w:val="32"/>
          <w:szCs w:val="32"/>
          <w:shd w:val="clear" w:fill="FFFFFF"/>
        </w:rPr>
        <w:t>（二）改进措施：</w:t>
      </w:r>
      <w:r>
        <w:rPr>
          <w:rFonts w:hint="eastAsia" w:ascii="仿宋_GB2312" w:hAnsi="Calibri" w:eastAsia="仿宋_GB2312" w:cs="仿宋_GB2312"/>
          <w:i w:val="0"/>
          <w:iCs w:val="0"/>
          <w:caps w:val="0"/>
          <w:color w:val="333333"/>
          <w:spacing w:val="0"/>
          <w:sz w:val="32"/>
          <w:szCs w:val="32"/>
          <w:shd w:val="clear" w:fill="FFFFFF"/>
        </w:rPr>
        <w:t>进一步加大政府信息公开工作力度，进一步细化、优化政府信息公开目录，不断丰富信息内容，促进信息公开全面、具体。充分利用信息公开网站，将文化旅游特色工作、群众关心的公益性活动等信息广泛公开，丰富内容，提高公开频率。</w:t>
      </w:r>
    </w:p>
    <w:p w14:paraId="1DD4F5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1"/>
          <w:szCs w:val="21"/>
        </w:rPr>
      </w:pPr>
      <w:r>
        <w:rPr>
          <w:rFonts w:hint="eastAsia" w:ascii="微软雅黑" w:hAnsi="微软雅黑" w:eastAsia="微软雅黑" w:cs="微软雅黑"/>
          <w:i w:val="0"/>
          <w:iCs w:val="0"/>
          <w:caps w:val="0"/>
          <w:color w:val="000000"/>
          <w:spacing w:val="0"/>
          <w:sz w:val="32"/>
          <w:szCs w:val="32"/>
          <w:shd w:val="clear" w:fill="FFFFFF"/>
        </w:rPr>
        <w:t> </w:t>
      </w:r>
      <w:r>
        <w:rPr>
          <w:rFonts w:hint="eastAsia" w:ascii="黑体" w:hAnsi="宋体" w:eastAsia="黑体" w:cs="黑体"/>
          <w:i w:val="0"/>
          <w:iCs w:val="0"/>
          <w:caps w:val="0"/>
          <w:color w:val="333333"/>
          <w:spacing w:val="0"/>
          <w:sz w:val="36"/>
          <w:szCs w:val="36"/>
          <w:shd w:val="clear" w:fill="FFFFFF"/>
        </w:rPr>
        <w:t>六、其他需要报告的事项</w:t>
      </w:r>
    </w:p>
    <w:p w14:paraId="514847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33333"/>
          <w:spacing w:val="0"/>
          <w:sz w:val="24"/>
          <w:szCs w:val="24"/>
        </w:rPr>
      </w:pPr>
      <w:r>
        <w:rPr>
          <w:rFonts w:hint="eastAsia" w:ascii="仿宋_GB2312" w:hAnsi="Calibri" w:eastAsia="仿宋_GB2312" w:cs="仿宋_GB2312"/>
          <w:i w:val="0"/>
          <w:iCs w:val="0"/>
          <w:caps w:val="0"/>
          <w:color w:val="333333"/>
          <w:spacing w:val="0"/>
          <w:sz w:val="32"/>
          <w:szCs w:val="32"/>
          <w:shd w:val="clear" w:fill="FFFFFF"/>
        </w:rPr>
        <w:t>按照《国务院办公厅关于印发〈政府信息公开信息处理费管理办法〉的通知》（国办函〔2020〕109号）规定的按件、按量收费标准，本年度没有产生信息公开处理费</w:t>
      </w:r>
      <w:r>
        <w:rPr>
          <w:rFonts w:hint="eastAsia" w:ascii="微软雅黑" w:hAnsi="微软雅黑" w:eastAsia="微软雅黑" w:cs="微软雅黑"/>
          <w:i w:val="0"/>
          <w:iCs w:val="0"/>
          <w:caps w:val="0"/>
          <w:color w:val="333333"/>
          <w:spacing w:val="0"/>
          <w:sz w:val="32"/>
          <w:szCs w:val="32"/>
          <w:shd w:val="clear" w:fill="FFFFFF"/>
        </w:rPr>
        <w:t> </w:t>
      </w:r>
      <w:r>
        <w:rPr>
          <w:rFonts w:hint="eastAsia" w:ascii="仿宋_GB2312" w:hAnsi="Calibri" w:eastAsia="仿宋_GB2312" w:cs="仿宋_GB2312"/>
          <w:i w:val="0"/>
          <w:iCs w:val="0"/>
          <w:caps w:val="0"/>
          <w:color w:val="333333"/>
          <w:spacing w:val="0"/>
          <w:sz w:val="32"/>
          <w:szCs w:val="32"/>
          <w:shd w:val="clear" w:fill="FFFFFF"/>
        </w:rPr>
        <w:t>。</w:t>
      </w:r>
    </w:p>
    <w:p w14:paraId="740B74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2"/>
          <w:szCs w:val="32"/>
          <w:shd w:val="clear" w:fill="FFFFFF"/>
        </w:rPr>
        <w:t> </w:t>
      </w:r>
    </w:p>
    <w:p w14:paraId="7AC2E3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sz w:val="32"/>
          <w:szCs w:val="32"/>
          <w:shd w:val="clear" w:fill="FFFFFF"/>
        </w:rPr>
        <w:t>金寨县文化旅游体育局</w:t>
      </w:r>
    </w:p>
    <w:p w14:paraId="5FDBC3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Calibri" w:hAnsi="Calibri" w:cs="Calibri"/>
          <w:i w:val="0"/>
          <w:iCs w:val="0"/>
          <w:caps w:val="0"/>
          <w:color w:val="333333"/>
          <w:spacing w:val="0"/>
          <w:sz w:val="21"/>
          <w:szCs w:val="21"/>
        </w:rPr>
      </w:pPr>
    </w:p>
    <w:p w14:paraId="7E7B3B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06A26B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ODZiZGNlYWU5OGViNzkxZjQ4NzE4Zjg5ZDQyZTYifQ=="/>
  </w:docVars>
  <w:rsids>
    <w:rsidRoot w:val="25A63C8E"/>
    <w:rsid w:val="01696351"/>
    <w:rsid w:val="05860F0E"/>
    <w:rsid w:val="05D460D3"/>
    <w:rsid w:val="05E85AE7"/>
    <w:rsid w:val="0BA60F0C"/>
    <w:rsid w:val="0CA52B77"/>
    <w:rsid w:val="0CB069C4"/>
    <w:rsid w:val="132C7404"/>
    <w:rsid w:val="180F6CFF"/>
    <w:rsid w:val="1A595FF7"/>
    <w:rsid w:val="1CBE4C29"/>
    <w:rsid w:val="21BD6606"/>
    <w:rsid w:val="24E57B40"/>
    <w:rsid w:val="25A63C8E"/>
    <w:rsid w:val="297A7A14"/>
    <w:rsid w:val="2D400257"/>
    <w:rsid w:val="359A32E2"/>
    <w:rsid w:val="36345DD5"/>
    <w:rsid w:val="36E44B5F"/>
    <w:rsid w:val="395427A5"/>
    <w:rsid w:val="3DF15EAF"/>
    <w:rsid w:val="3E282829"/>
    <w:rsid w:val="3F3F31DD"/>
    <w:rsid w:val="413C1AB1"/>
    <w:rsid w:val="424F52E3"/>
    <w:rsid w:val="432E340C"/>
    <w:rsid w:val="43760D17"/>
    <w:rsid w:val="43A97452"/>
    <w:rsid w:val="45935213"/>
    <w:rsid w:val="47290CC2"/>
    <w:rsid w:val="4D2630A1"/>
    <w:rsid w:val="527508C2"/>
    <w:rsid w:val="52B51F78"/>
    <w:rsid w:val="554D40A7"/>
    <w:rsid w:val="5FD27B7A"/>
    <w:rsid w:val="63194DAA"/>
    <w:rsid w:val="6320768D"/>
    <w:rsid w:val="6BE611C8"/>
    <w:rsid w:val="6EC73333"/>
    <w:rsid w:val="71EE7E83"/>
    <w:rsid w:val="72C70F09"/>
    <w:rsid w:val="72E123E7"/>
    <w:rsid w:val="762C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1474</Words>
  <Characters>1609</Characters>
  <Lines>0</Lines>
  <Paragraphs>0</Paragraphs>
  <TotalTime>0</TotalTime>
  <ScaleCrop>false</ScaleCrop>
  <LinksUpToDate>false</LinksUpToDate>
  <CharactersWithSpaces>1615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2024-02-21T03:43:00Z</dcterms:created>
  <dc:creator>admin</dc:creator>
  <cp:lastModifiedBy>Administrator</cp:lastModifiedBy>
  <dcterms:modified xsi:type="dcterms:W3CDTF">2025-08-18T00:33:55Z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3E3E871072204847B4DE1B843659B67F_11</vt:lpwstr>
  </property>
  <property fmtid="{D5CDD505-2E9C-101B-9397-08002B2CF9AE}" pid="4" name="KSOTemplateDocerSaveRecord">
    <vt:lpwstr>eyJoZGlkIjoiZDljYWQ1MjJkMzE2NTdhMjRlZWI1ZTJmOWFmODdhMGEiLCJ1c2VySWQiOiI5NjQ5NTQ5MTEifQ==</vt:lpwstr>
  </property>
</Properties>
</file>