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2DD96F">
      <w:pPr>
        <w:spacing w:before="0"/>
        <w:ind w:left="675" w:right="687"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  <w:lang w:val="en-US" w:eastAsia="zh-CN"/>
        </w:rPr>
        <w:t>六安市金寨县生态环境分局2019年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</w:rPr>
        <w:t>政府信息公开工作年度报告</w:t>
      </w:r>
    </w:p>
    <w:p w14:paraId="7867F6D7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/>
        <w:ind w:left="920" w:right="0" w:firstLine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w w:val="95"/>
          <w:sz w:val="32"/>
          <w:szCs w:val="32"/>
        </w:rPr>
      </w:pPr>
    </w:p>
    <w:p w14:paraId="76551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一、总体情况</w:t>
      </w:r>
    </w:p>
    <w:p w14:paraId="5D1F4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在政府信息公开工作中，</w:t>
      </w:r>
      <w:r>
        <w:rPr>
          <w:rFonts w:hint="eastAsia" w:cs="仿宋_GB2312"/>
          <w:sz w:val="32"/>
          <w:szCs w:val="32"/>
          <w:lang w:eastAsia="zh-CN"/>
        </w:rPr>
        <w:t>县生态环境分局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承担着三大攻坚战中的环境保护，其中包括生态环境质量、污染源信息、重点企业在线监测、污染综合防治、固体废弃物和城市垃圾分类处理、环保执法检查、建设项目环境影响评价、绿色发展、生态建设、举报投诉处理、生态环境保护督查等栏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</w:t>
      </w:r>
      <w:r>
        <w:rPr>
          <w:rFonts w:hint="eastAsia" w:cs="仿宋_GB2312"/>
          <w:sz w:val="32"/>
          <w:szCs w:val="32"/>
          <w:lang w:val="en-US" w:eastAsia="zh-CN"/>
        </w:rPr>
        <w:t>主动</w:t>
      </w:r>
      <w:r>
        <w:rPr>
          <w:rFonts w:hint="eastAsia" w:cs="仿宋_GB2312"/>
          <w:sz w:val="32"/>
          <w:szCs w:val="32"/>
          <w:lang w:eastAsia="zh-CN"/>
        </w:rPr>
        <w:t>公开政府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406条，举办新闻发布会1次，在线访谈1次</w:t>
      </w:r>
      <w:r>
        <w:rPr>
          <w:rFonts w:hint="eastAsia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受理县政府网书记信箱、县长信箱投诉</w:t>
      </w:r>
      <w:r>
        <w:rPr>
          <w:rFonts w:hint="eastAsia" w:cs="仿宋_GB2312"/>
          <w:kern w:val="0"/>
          <w:sz w:val="32"/>
          <w:szCs w:val="32"/>
          <w:lang w:val="en-US" w:eastAsia="zh-CN" w:bidi="zh-CN"/>
        </w:rPr>
        <w:t>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 w:eastAsia="zh-CN" w:bidi="zh-CN"/>
        </w:rPr>
        <w:t>条</w:t>
      </w:r>
      <w:r>
        <w:rPr>
          <w:rFonts w:hint="eastAsia" w:cs="仿宋_GB2312"/>
          <w:kern w:val="0"/>
          <w:sz w:val="32"/>
          <w:szCs w:val="32"/>
          <w:lang w:val="zh-CN" w:eastAsia="zh-CN" w:bidi="zh-CN"/>
        </w:rPr>
        <w:t>，依申请公开</w:t>
      </w:r>
      <w:r>
        <w:rPr>
          <w:rFonts w:hint="eastAsia" w:cs="仿宋_GB2312"/>
          <w:kern w:val="0"/>
          <w:sz w:val="32"/>
          <w:szCs w:val="32"/>
          <w:lang w:val="en-US" w:eastAsia="zh-CN" w:bidi="zh-CN"/>
        </w:rPr>
        <w:t>0条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我局成立了县生态环境分局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公开工作领导小组，由主要领导担任组长负总责，分管领导任副组长具体抓落实，各科室负责人为成员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安排1名工作人员负责信息公开日常具体工作，有效整合各类信息内容，做到及时准确地在政府网站上公开。在县政务公开办的帮助指导下，我局认真学习贯彻习近平新时代中国特色社会主义思想和</w:t>
      </w:r>
      <w:r>
        <w:rPr>
          <w:rFonts w:hint="eastAsia" w:cs="仿宋_GB2312"/>
          <w:sz w:val="32"/>
          <w:szCs w:val="32"/>
          <w:lang w:val="en-US" w:eastAsia="zh-CN"/>
        </w:rPr>
        <w:t>党的</w:t>
      </w:r>
      <w:r>
        <w:rPr>
          <w:rFonts w:hint="eastAsia" w:ascii="仿宋_GB2312" w:hAnsi="仿宋_GB2312" w:eastAsia="仿宋_GB2312" w:cs="仿宋_GB2312"/>
          <w:sz w:val="32"/>
          <w:szCs w:val="32"/>
        </w:rPr>
        <w:t>十九大精神，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认真学习领悟新</w:t>
      </w:r>
      <w:r>
        <w:rPr>
          <w:rFonts w:hint="eastAsia" w:ascii="仿宋_GB2312" w:hAnsi="仿宋_GB2312" w:eastAsia="仿宋_GB2312" w:cs="仿宋_GB2312"/>
          <w:sz w:val="32"/>
          <w:szCs w:val="32"/>
        </w:rPr>
        <w:t>修订的《中华人民共和国政府信息公开条例》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以生态立县发展战略为统领，紧紧围绕大气污染防治、水污染防治、土壤污染防治等重点工作，把推进政务公开与依法行政、效能建设和党风廉政建设紧密结合，加大公开力度，拓展公开渠道，积极、稳妥、有序地推进我局信息公开工作。</w:t>
      </w:r>
    </w:p>
    <w:p w14:paraId="6C38016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lang w:val="zh-CN" w:eastAsia="zh-CN" w:bidi="zh-CN"/>
        </w:rPr>
      </w:pPr>
    </w:p>
    <w:p w14:paraId="5263FD3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lang w:val="zh-CN" w:eastAsia="zh-CN" w:bidi="zh-CN"/>
        </w:rPr>
        <w:t>二、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主动公开政府信息情况</w:t>
      </w:r>
    </w:p>
    <w:tbl>
      <w:tblPr>
        <w:tblStyle w:val="4"/>
        <w:tblpPr w:leftFromText="180" w:rightFromText="180" w:vertAnchor="text" w:horzAnchor="page" w:tblpX="1426" w:tblpY="788"/>
        <w:tblOverlap w:val="never"/>
        <w:tblW w:w="9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0CA4B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15D29E6E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3B0BE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387D57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B25257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B385A8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5CE83A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现行有效件数</w:t>
            </w:r>
          </w:p>
        </w:tc>
      </w:tr>
      <w:tr w14:paraId="7D287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590EEC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left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7D8446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  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B9FA40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 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D5A6F1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25DC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F494C5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left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54D667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0  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1C4200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 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F35407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B4ED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60382225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24501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6C1906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870366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2E361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3F8867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left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21A2AF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250</w:t>
            </w:r>
          </w:p>
        </w:tc>
      </w:tr>
      <w:tr w14:paraId="77A02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08F436B8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5F224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57D7F8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4FFCA7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3CC67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FC77C0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left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6D02C5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13</w:t>
            </w:r>
          </w:p>
        </w:tc>
      </w:tr>
      <w:tr w14:paraId="56123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F5BB87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left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E37B9B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　</w:t>
            </w:r>
          </w:p>
        </w:tc>
      </w:tr>
      <w:tr w14:paraId="0E59B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651844FF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6483A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167A53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D1C251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60FD0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126980">
            <w:pPr>
              <w:keepNext w:val="0"/>
              <w:keepLines w:val="0"/>
              <w:widowControl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left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EE2F09">
            <w:pPr>
              <w:keepNext w:val="0"/>
              <w:keepLines w:val="0"/>
              <w:widowControl w:val="0"/>
              <w:suppressLineNumbers w:val="0"/>
              <w:autoSpaceDE/>
              <w:autoSpaceDN/>
              <w:spacing w:before="0" w:beforeAutospacing="0" w:after="0" w:afterAutospacing="0" w:line="240" w:lineRule="auto"/>
              <w:ind w:left="0" w:right="0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4"/>
                <w:lang w:val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 w14:paraId="349F007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</w:pPr>
    </w:p>
    <w:p w14:paraId="05150CB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/>
        <w:ind w:left="920" w:leftChars="0"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三、收到和处理政府信息公开申请情况</w:t>
      </w:r>
    </w:p>
    <w:tbl>
      <w:tblPr>
        <w:tblStyle w:val="4"/>
        <w:tblW w:w="974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9"/>
        <w:gridCol w:w="688"/>
        <w:gridCol w:w="688"/>
        <w:gridCol w:w="688"/>
        <w:gridCol w:w="688"/>
        <w:gridCol w:w="688"/>
        <w:gridCol w:w="688"/>
        <w:gridCol w:w="688"/>
      </w:tblGrid>
      <w:tr w14:paraId="225907B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481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D277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6700D64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3C3BAA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476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411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400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58EB10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4E15B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E61E25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A02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1F5654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C6B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1364C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6255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A18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1BF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8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93F647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</w:tr>
      <w:tr w14:paraId="5D8EAEC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2361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B93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A2D5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C7F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812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4EC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D97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D212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54DF8A4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BDF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4A2B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72D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7EFC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A37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1143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0AF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653AD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2B111D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715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551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B0F5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2F5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9989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43E2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201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CCB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38B6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349E3B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4A7228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BB8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color w:val="auto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6ED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E34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384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A83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B706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496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3C6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D05D3F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6CCF8A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477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B7233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7AD2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006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3C2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DF9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EEA1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84A6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110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D461E0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BF76A1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6CA86B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1140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6DD0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F1EB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4ED57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42A1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FA32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835E3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38C5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3EC0C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67D6D8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1611F0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FA35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7634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CA2B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8AD5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383F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32B87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A548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ACE1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96027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CA3466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546ED8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41A5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A140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8DAF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530C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7A67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DB37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6BD80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CD8B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5E335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CCBF0B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7349DA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187E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2046F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F2B84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92EB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ABA1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AA46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C8B1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4F17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6DEB2C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C5B4F4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4F2F2E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C5E4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1EA6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1715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7B75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95CD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031D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6E61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972B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AC5C09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3FB0A9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4E1495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BBF4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1A5E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80C2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A5D3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426E4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0CA5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6DA8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1FAD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278B7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8E127A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561572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8568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DA512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F8B4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3B08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5505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51A0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410ED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A212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D4AF15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3CFDDD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449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32647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A2A4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D3466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DC8B5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EC29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35D7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BB68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0F22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F49577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00BD60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8923C7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B8DDC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2B75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E728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91A96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E55E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0A66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D5CF2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9DD5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23F45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4B1D4F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77C4CB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E377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7854F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1693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D05B7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94DB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99CD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7522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D587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</w:tr>
      <w:tr w14:paraId="51B566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435A4E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8BC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761C0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2353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58F70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F6A0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11FC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37DF5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53B7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4CE0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</w:tr>
      <w:tr w14:paraId="654787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97FBB8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3F6AC5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BCC7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3D4A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EEC0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50E39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0AC5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EB5A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3C74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813B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</w:tr>
      <w:tr w14:paraId="6735023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B88622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00A366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5AEF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ABE93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9B5F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25C7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CB89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9732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B8AB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41DF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</w:tr>
      <w:tr w14:paraId="4DDF57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58D86A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B20600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05A7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DD6E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FCCD2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AA27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F8C72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76BE6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7A7F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E3CA5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E97EDD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B18364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7F447F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4E0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00894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1A3C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8683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88E0B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3D08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D04F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9B21E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236E69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D3F7B5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789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528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0E2F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AF3B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2097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68C14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80EEB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7D54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C6B0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7FE67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491844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701EDF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472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2C79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FBF7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055F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A48E6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88CE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AE86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A3E5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D0CAD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2F231B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0E7D32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4965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00B8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71E7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96CC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CBD2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9679D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01F9D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FF62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65E8D6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04CB8B"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732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C8F52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20D20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634C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31D5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9158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3ACE0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3285B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  <w:bookmarkStart w:id="0" w:name="_GoBack"/>
            <w:bookmarkEnd w:id="0"/>
          </w:p>
        </w:tc>
      </w:tr>
      <w:tr w14:paraId="058649C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4E4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C251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98EA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281D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EE567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B2BC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A2094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DA355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color w:val="auto"/>
              </w:rPr>
            </w:pPr>
            <w:r>
              <w:rPr>
                <w:rFonts w:hint="default" w:ascii="Calibri" w:hAnsi="Calibri" w:eastAsia="仿宋_GB2312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6FE6EAB0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/>
        <w:ind w:left="920" w:right="0" w:firstLine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</w:pPr>
    </w:p>
    <w:p w14:paraId="2C4C432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/>
        <w:ind w:left="920" w:right="0" w:firstLine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四、政府信息公开行政复议、行政诉讼情况</w:t>
      </w:r>
    </w:p>
    <w:p w14:paraId="6CB634CA">
      <w:pPr>
        <w:pStyle w:val="2"/>
        <w:spacing w:before="6"/>
        <w:ind w:left="0"/>
        <w:rPr>
          <w:rFonts w:ascii="宋体"/>
          <w:b/>
          <w:sz w:val="24"/>
        </w:rPr>
      </w:pPr>
    </w:p>
    <w:tbl>
      <w:tblPr>
        <w:tblStyle w:val="4"/>
        <w:tblW w:w="0" w:type="auto"/>
        <w:tblInd w:w="12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446C09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074" w:type="dxa"/>
            <w:gridSpan w:val="5"/>
          </w:tcPr>
          <w:p w14:paraId="5736BC0D">
            <w:pPr>
              <w:pStyle w:val="6"/>
              <w:spacing w:before="28"/>
              <w:ind w:left="1115" w:right="1098"/>
              <w:jc w:val="center"/>
              <w:rPr>
                <w:sz w:val="20"/>
              </w:rPr>
            </w:pPr>
            <w:r>
              <w:rPr>
                <w:sz w:val="20"/>
              </w:rPr>
              <w:t>行政复议</w:t>
            </w:r>
          </w:p>
        </w:tc>
        <w:tc>
          <w:tcPr>
            <w:tcW w:w="5997" w:type="dxa"/>
            <w:gridSpan w:val="10"/>
          </w:tcPr>
          <w:p w14:paraId="3BFC0849">
            <w:pPr>
              <w:pStyle w:val="6"/>
              <w:spacing w:before="28"/>
              <w:ind w:left="2577" w:right="2559"/>
              <w:jc w:val="center"/>
              <w:rPr>
                <w:sz w:val="20"/>
              </w:rPr>
            </w:pPr>
            <w:r>
              <w:rPr>
                <w:sz w:val="20"/>
              </w:rPr>
              <w:t>行政诉讼</w:t>
            </w:r>
          </w:p>
        </w:tc>
      </w:tr>
      <w:tr w14:paraId="3228314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604" w:type="dxa"/>
            <w:vMerge w:val="restart"/>
          </w:tcPr>
          <w:p w14:paraId="3EED7B1C">
            <w:pPr>
              <w:pStyle w:val="6"/>
              <w:spacing w:before="2"/>
              <w:rPr>
                <w:b/>
                <w:sz w:val="22"/>
              </w:rPr>
            </w:pPr>
          </w:p>
          <w:p w14:paraId="5DC948EA">
            <w:pPr>
              <w:pStyle w:val="6"/>
              <w:spacing w:line="292" w:lineRule="auto"/>
              <w:ind w:left="202" w:right="180"/>
              <w:jc w:val="both"/>
              <w:rPr>
                <w:sz w:val="20"/>
              </w:rPr>
            </w:pPr>
            <w:r>
              <w:rPr>
                <w:sz w:val="20"/>
              </w:rPr>
              <w:t>结果维持</w:t>
            </w:r>
          </w:p>
        </w:tc>
        <w:tc>
          <w:tcPr>
            <w:tcW w:w="604" w:type="dxa"/>
            <w:vMerge w:val="restart"/>
          </w:tcPr>
          <w:p w14:paraId="53F7563F">
            <w:pPr>
              <w:pStyle w:val="6"/>
              <w:spacing w:before="2"/>
              <w:rPr>
                <w:b/>
                <w:sz w:val="22"/>
              </w:rPr>
            </w:pPr>
          </w:p>
          <w:p w14:paraId="17957313">
            <w:pPr>
              <w:pStyle w:val="6"/>
              <w:spacing w:line="292" w:lineRule="auto"/>
              <w:ind w:left="201" w:right="183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结果纠正</w:t>
            </w:r>
          </w:p>
        </w:tc>
        <w:tc>
          <w:tcPr>
            <w:tcW w:w="604" w:type="dxa"/>
            <w:vMerge w:val="restart"/>
          </w:tcPr>
          <w:p w14:paraId="6858752A">
            <w:pPr>
              <w:pStyle w:val="6"/>
              <w:spacing w:before="2"/>
              <w:rPr>
                <w:b/>
                <w:sz w:val="22"/>
              </w:rPr>
            </w:pPr>
          </w:p>
          <w:p w14:paraId="5E5DC3E9">
            <w:pPr>
              <w:pStyle w:val="6"/>
              <w:spacing w:line="292" w:lineRule="auto"/>
              <w:ind w:left="201" w:right="181"/>
              <w:jc w:val="both"/>
              <w:rPr>
                <w:sz w:val="20"/>
              </w:rPr>
            </w:pPr>
            <w:r>
              <w:rPr>
                <w:sz w:val="20"/>
              </w:rPr>
              <w:t>其他结果</w:t>
            </w:r>
          </w:p>
        </w:tc>
        <w:tc>
          <w:tcPr>
            <w:tcW w:w="604" w:type="dxa"/>
            <w:vMerge w:val="restart"/>
          </w:tcPr>
          <w:p w14:paraId="7FC0A1BF">
            <w:pPr>
              <w:pStyle w:val="6"/>
              <w:spacing w:before="2"/>
              <w:rPr>
                <w:b/>
                <w:sz w:val="22"/>
              </w:rPr>
            </w:pPr>
          </w:p>
          <w:p w14:paraId="69103659">
            <w:pPr>
              <w:pStyle w:val="6"/>
              <w:spacing w:line="292" w:lineRule="auto"/>
              <w:ind w:left="202" w:right="180"/>
              <w:jc w:val="both"/>
              <w:rPr>
                <w:sz w:val="20"/>
              </w:rPr>
            </w:pPr>
            <w:r>
              <w:rPr>
                <w:sz w:val="20"/>
              </w:rPr>
              <w:t>尚未审结</w:t>
            </w:r>
          </w:p>
        </w:tc>
        <w:tc>
          <w:tcPr>
            <w:tcW w:w="658" w:type="dxa"/>
            <w:vMerge w:val="restart"/>
          </w:tcPr>
          <w:p w14:paraId="611D652B">
            <w:pPr>
              <w:pStyle w:val="6"/>
              <w:rPr>
                <w:b/>
                <w:sz w:val="20"/>
              </w:rPr>
            </w:pPr>
          </w:p>
          <w:p w14:paraId="25510AD8">
            <w:pPr>
              <w:pStyle w:val="6"/>
              <w:rPr>
                <w:b/>
                <w:sz w:val="20"/>
              </w:rPr>
            </w:pPr>
          </w:p>
          <w:p w14:paraId="27B89F7B">
            <w:pPr>
              <w:pStyle w:val="6"/>
              <w:spacing w:before="9"/>
              <w:rPr>
                <w:b/>
                <w:sz w:val="18"/>
              </w:rPr>
            </w:pPr>
          </w:p>
          <w:p w14:paraId="0941B1EC">
            <w:pPr>
              <w:pStyle w:val="6"/>
              <w:ind w:left="129"/>
              <w:rPr>
                <w:sz w:val="20"/>
              </w:rPr>
            </w:pPr>
            <w:r>
              <w:rPr>
                <w:sz w:val="20"/>
              </w:rPr>
              <w:t>总计</w:t>
            </w:r>
          </w:p>
        </w:tc>
        <w:tc>
          <w:tcPr>
            <w:tcW w:w="2970" w:type="dxa"/>
            <w:gridSpan w:val="5"/>
          </w:tcPr>
          <w:p w14:paraId="368D5345">
            <w:pPr>
              <w:pStyle w:val="6"/>
              <w:spacing w:before="28"/>
              <w:ind w:left="685"/>
              <w:rPr>
                <w:sz w:val="20"/>
              </w:rPr>
            </w:pPr>
            <w:r>
              <w:rPr>
                <w:sz w:val="20"/>
              </w:rPr>
              <w:t>未经复议直接起诉</w:t>
            </w:r>
          </w:p>
        </w:tc>
        <w:tc>
          <w:tcPr>
            <w:tcW w:w="3027" w:type="dxa"/>
            <w:gridSpan w:val="5"/>
          </w:tcPr>
          <w:p w14:paraId="1B957BC0">
            <w:pPr>
              <w:pStyle w:val="6"/>
              <w:spacing w:before="28"/>
              <w:ind w:left="1013"/>
              <w:rPr>
                <w:sz w:val="20"/>
              </w:rPr>
            </w:pPr>
            <w:r>
              <w:rPr>
                <w:sz w:val="20"/>
              </w:rPr>
              <w:t>复议后起诉</w:t>
            </w:r>
          </w:p>
        </w:tc>
      </w:tr>
      <w:tr w14:paraId="2E16C0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</w:trPr>
        <w:tc>
          <w:tcPr>
            <w:tcW w:w="604" w:type="dxa"/>
            <w:vMerge w:val="continue"/>
            <w:tcBorders>
              <w:top w:val="nil"/>
            </w:tcBorders>
          </w:tcPr>
          <w:p w14:paraId="1A0B04DF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 w:val="continue"/>
            <w:tcBorders>
              <w:top w:val="nil"/>
            </w:tcBorders>
          </w:tcPr>
          <w:p w14:paraId="4CAFB2AD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 w:val="continue"/>
            <w:tcBorders>
              <w:top w:val="nil"/>
            </w:tcBorders>
          </w:tcPr>
          <w:p w14:paraId="2F28FCD2"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 w:val="continue"/>
            <w:tcBorders>
              <w:top w:val="nil"/>
            </w:tcBorders>
          </w:tcPr>
          <w:p w14:paraId="77037E61"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vMerge w:val="continue"/>
            <w:tcBorders>
              <w:top w:val="nil"/>
            </w:tcBorders>
          </w:tcPr>
          <w:p w14:paraId="0DD72B10">
            <w:pPr>
              <w:rPr>
                <w:sz w:val="2"/>
                <w:szCs w:val="2"/>
              </w:rPr>
            </w:pPr>
          </w:p>
        </w:tc>
        <w:tc>
          <w:tcPr>
            <w:tcW w:w="550" w:type="dxa"/>
          </w:tcPr>
          <w:p w14:paraId="1B85AE73">
            <w:pPr>
              <w:pStyle w:val="6"/>
              <w:spacing w:before="29" w:line="292" w:lineRule="auto"/>
              <w:ind w:left="174" w:right="154"/>
              <w:jc w:val="both"/>
              <w:rPr>
                <w:sz w:val="20"/>
              </w:rPr>
            </w:pPr>
            <w:r>
              <w:rPr>
                <w:sz w:val="20"/>
              </w:rPr>
              <w:t>结果维持</w:t>
            </w:r>
          </w:p>
        </w:tc>
        <w:tc>
          <w:tcPr>
            <w:tcW w:w="605" w:type="dxa"/>
          </w:tcPr>
          <w:p w14:paraId="3AE90B1C">
            <w:pPr>
              <w:pStyle w:val="6"/>
              <w:spacing w:before="29" w:line="292" w:lineRule="auto"/>
              <w:ind w:left="202" w:right="181"/>
              <w:jc w:val="both"/>
              <w:rPr>
                <w:sz w:val="20"/>
              </w:rPr>
            </w:pPr>
            <w:r>
              <w:rPr>
                <w:sz w:val="20"/>
              </w:rPr>
              <w:t>结果纠正</w:t>
            </w:r>
          </w:p>
        </w:tc>
        <w:tc>
          <w:tcPr>
            <w:tcW w:w="605" w:type="dxa"/>
          </w:tcPr>
          <w:p w14:paraId="1054B655">
            <w:pPr>
              <w:pStyle w:val="6"/>
              <w:spacing w:before="29" w:line="292" w:lineRule="auto"/>
              <w:ind w:left="202" w:right="181"/>
              <w:jc w:val="both"/>
              <w:rPr>
                <w:sz w:val="20"/>
              </w:rPr>
            </w:pPr>
            <w:r>
              <w:rPr>
                <w:sz w:val="20"/>
              </w:rPr>
              <w:t>其他结果</w:t>
            </w:r>
          </w:p>
        </w:tc>
        <w:tc>
          <w:tcPr>
            <w:tcW w:w="605" w:type="dxa"/>
          </w:tcPr>
          <w:p w14:paraId="6084CC1C">
            <w:pPr>
              <w:pStyle w:val="6"/>
              <w:spacing w:before="29" w:line="292" w:lineRule="auto"/>
              <w:ind w:left="202" w:right="181"/>
              <w:jc w:val="both"/>
              <w:rPr>
                <w:sz w:val="20"/>
              </w:rPr>
            </w:pPr>
            <w:r>
              <w:rPr>
                <w:sz w:val="20"/>
              </w:rPr>
              <w:t>尚未审结</w:t>
            </w:r>
          </w:p>
        </w:tc>
        <w:tc>
          <w:tcPr>
            <w:tcW w:w="605" w:type="dxa"/>
          </w:tcPr>
          <w:p w14:paraId="1CD57D4E">
            <w:pPr>
              <w:pStyle w:val="6"/>
              <w:spacing w:before="8"/>
              <w:rPr>
                <w:b/>
                <w:sz w:val="26"/>
              </w:rPr>
            </w:pPr>
          </w:p>
          <w:p w14:paraId="22BC9B91">
            <w:pPr>
              <w:pStyle w:val="6"/>
              <w:spacing w:line="292" w:lineRule="auto"/>
              <w:ind w:left="202" w:right="183"/>
              <w:rPr>
                <w:sz w:val="20"/>
              </w:rPr>
            </w:pPr>
            <w:r>
              <w:rPr>
                <w:w w:val="95"/>
                <w:sz w:val="20"/>
              </w:rPr>
              <w:t>总计</w:t>
            </w:r>
          </w:p>
        </w:tc>
        <w:tc>
          <w:tcPr>
            <w:tcW w:w="605" w:type="dxa"/>
          </w:tcPr>
          <w:p w14:paraId="7AADD2C9">
            <w:pPr>
              <w:pStyle w:val="6"/>
              <w:spacing w:before="29" w:line="292" w:lineRule="auto"/>
              <w:ind w:left="201" w:right="182"/>
              <w:jc w:val="both"/>
              <w:rPr>
                <w:sz w:val="20"/>
              </w:rPr>
            </w:pPr>
            <w:r>
              <w:rPr>
                <w:sz w:val="20"/>
              </w:rPr>
              <w:t>结果维持</w:t>
            </w:r>
          </w:p>
        </w:tc>
        <w:tc>
          <w:tcPr>
            <w:tcW w:w="605" w:type="dxa"/>
          </w:tcPr>
          <w:p w14:paraId="6B3FB360">
            <w:pPr>
              <w:pStyle w:val="6"/>
              <w:spacing w:before="29" w:line="292" w:lineRule="auto"/>
              <w:ind w:left="201" w:right="182"/>
              <w:jc w:val="both"/>
              <w:rPr>
                <w:sz w:val="20"/>
              </w:rPr>
            </w:pPr>
            <w:r>
              <w:rPr>
                <w:sz w:val="20"/>
              </w:rPr>
              <w:t>结果纠正</w:t>
            </w:r>
          </w:p>
        </w:tc>
        <w:tc>
          <w:tcPr>
            <w:tcW w:w="605" w:type="dxa"/>
          </w:tcPr>
          <w:p w14:paraId="61966F8D">
            <w:pPr>
              <w:pStyle w:val="6"/>
              <w:spacing w:before="29" w:line="292" w:lineRule="auto"/>
              <w:ind w:left="201" w:right="182"/>
              <w:jc w:val="both"/>
              <w:rPr>
                <w:sz w:val="20"/>
              </w:rPr>
            </w:pPr>
            <w:r>
              <w:rPr>
                <w:sz w:val="20"/>
              </w:rPr>
              <w:t>其他结果</w:t>
            </w:r>
          </w:p>
        </w:tc>
        <w:tc>
          <w:tcPr>
            <w:tcW w:w="606" w:type="dxa"/>
          </w:tcPr>
          <w:p w14:paraId="1C79C439">
            <w:pPr>
              <w:pStyle w:val="6"/>
              <w:spacing w:before="29" w:line="292" w:lineRule="auto"/>
              <w:ind w:left="203" w:right="181"/>
              <w:jc w:val="both"/>
              <w:rPr>
                <w:sz w:val="20"/>
              </w:rPr>
            </w:pPr>
            <w:r>
              <w:rPr>
                <w:sz w:val="20"/>
              </w:rPr>
              <w:t>尚未审结</w:t>
            </w:r>
          </w:p>
        </w:tc>
        <w:tc>
          <w:tcPr>
            <w:tcW w:w="606" w:type="dxa"/>
          </w:tcPr>
          <w:p w14:paraId="3DA3FC83">
            <w:pPr>
              <w:pStyle w:val="6"/>
              <w:spacing w:before="8"/>
              <w:rPr>
                <w:b/>
                <w:sz w:val="26"/>
              </w:rPr>
            </w:pPr>
          </w:p>
          <w:p w14:paraId="6FBE20C6">
            <w:pPr>
              <w:pStyle w:val="6"/>
              <w:spacing w:line="292" w:lineRule="auto"/>
              <w:ind w:left="202" w:right="182"/>
              <w:rPr>
                <w:sz w:val="20"/>
              </w:rPr>
            </w:pPr>
            <w:r>
              <w:rPr>
                <w:sz w:val="20"/>
              </w:rPr>
              <w:t>总计</w:t>
            </w:r>
          </w:p>
        </w:tc>
      </w:tr>
      <w:tr w14:paraId="68420FD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604" w:type="dxa"/>
          </w:tcPr>
          <w:p w14:paraId="35F650A6">
            <w:pPr>
              <w:pStyle w:val="6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  <w:tc>
          <w:tcPr>
            <w:tcW w:w="604" w:type="dxa"/>
          </w:tcPr>
          <w:p w14:paraId="47869554">
            <w:pPr>
              <w:pStyle w:val="6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  <w:tc>
          <w:tcPr>
            <w:tcW w:w="604" w:type="dxa"/>
          </w:tcPr>
          <w:p w14:paraId="55E985B7">
            <w:pPr>
              <w:pStyle w:val="6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  <w:tc>
          <w:tcPr>
            <w:tcW w:w="604" w:type="dxa"/>
          </w:tcPr>
          <w:p w14:paraId="4098BF54">
            <w:pPr>
              <w:pStyle w:val="6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  <w:tc>
          <w:tcPr>
            <w:tcW w:w="658" w:type="dxa"/>
          </w:tcPr>
          <w:p w14:paraId="0BDD585F">
            <w:pPr>
              <w:pStyle w:val="6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  <w:tc>
          <w:tcPr>
            <w:tcW w:w="550" w:type="dxa"/>
          </w:tcPr>
          <w:p w14:paraId="4FC20904">
            <w:pPr>
              <w:pStyle w:val="6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  <w:tc>
          <w:tcPr>
            <w:tcW w:w="605" w:type="dxa"/>
          </w:tcPr>
          <w:p w14:paraId="74617BF8">
            <w:pPr>
              <w:pStyle w:val="6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  <w:tc>
          <w:tcPr>
            <w:tcW w:w="605" w:type="dxa"/>
          </w:tcPr>
          <w:p w14:paraId="12DC72C1">
            <w:pPr>
              <w:pStyle w:val="6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  <w:tc>
          <w:tcPr>
            <w:tcW w:w="605" w:type="dxa"/>
          </w:tcPr>
          <w:p w14:paraId="48D7D0B4">
            <w:pPr>
              <w:pStyle w:val="6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  <w:tc>
          <w:tcPr>
            <w:tcW w:w="605" w:type="dxa"/>
          </w:tcPr>
          <w:p w14:paraId="1701A059">
            <w:pPr>
              <w:pStyle w:val="6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  <w:tc>
          <w:tcPr>
            <w:tcW w:w="605" w:type="dxa"/>
          </w:tcPr>
          <w:p w14:paraId="48DA1895">
            <w:pPr>
              <w:pStyle w:val="6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  <w:tc>
          <w:tcPr>
            <w:tcW w:w="605" w:type="dxa"/>
          </w:tcPr>
          <w:p w14:paraId="19B7384F">
            <w:pPr>
              <w:pStyle w:val="6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  <w:tc>
          <w:tcPr>
            <w:tcW w:w="605" w:type="dxa"/>
          </w:tcPr>
          <w:p w14:paraId="7017D0B7">
            <w:pPr>
              <w:pStyle w:val="6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  <w:tc>
          <w:tcPr>
            <w:tcW w:w="606" w:type="dxa"/>
          </w:tcPr>
          <w:p w14:paraId="3AC9772D">
            <w:pPr>
              <w:pStyle w:val="6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  <w:tc>
          <w:tcPr>
            <w:tcW w:w="606" w:type="dxa"/>
          </w:tcPr>
          <w:p w14:paraId="72D2C951">
            <w:pPr>
              <w:pStyle w:val="6"/>
              <w:rPr>
                <w:rFonts w:hint="eastAsia" w:ascii="Times New Roman" w:eastAsia="宋体"/>
                <w:sz w:val="20"/>
                <w:lang w:val="en-US" w:eastAsia="zh-CN"/>
              </w:rPr>
            </w:pPr>
            <w:r>
              <w:rPr>
                <w:rFonts w:hint="eastAsia" w:ascii="Times New Roman"/>
                <w:sz w:val="20"/>
                <w:lang w:val="en-US" w:eastAsia="zh-CN"/>
              </w:rPr>
              <w:t>0</w:t>
            </w:r>
          </w:p>
        </w:tc>
      </w:tr>
    </w:tbl>
    <w:p w14:paraId="58CBAC2F">
      <w:pPr>
        <w:pStyle w:val="2"/>
        <w:spacing w:before="7"/>
        <w:ind w:left="0"/>
        <w:rPr>
          <w:rFonts w:ascii="宋体"/>
          <w:b/>
          <w:sz w:val="24"/>
        </w:rPr>
      </w:pPr>
    </w:p>
    <w:p w14:paraId="332D976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560" w:lineRule="exact"/>
        <w:ind w:left="920" w:right="0" w:firstLine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存在的主要问题及改进情况</w:t>
      </w:r>
    </w:p>
    <w:p w14:paraId="2B2D5116">
      <w:pPr>
        <w:ind w:firstLine="640" w:firstLineChars="200"/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一年来，我局的政务公开工作虽取得了一定的成绩，但与县政府、政务公开办的要求还有较大的差距，主要表现在：一是认识不到</w:t>
      </w:r>
      <w:r>
        <w:rPr>
          <w:rFonts w:hint="eastAsia" w:cs="仿宋_GB2312"/>
          <w:b w:val="0"/>
          <w:bCs/>
          <w:color w:val="333333"/>
          <w:sz w:val="32"/>
          <w:szCs w:val="32"/>
          <w:lang w:eastAsia="zh-CN"/>
        </w:rPr>
        <w:t>位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对政务公开的重要性认识不够，对推行政务公开的重要性认识不足，存在不愿公开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不想公开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不敢公开的思想。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lang w:eastAsia="zh-CN"/>
        </w:rPr>
        <w:t>二是人员力量薄弱，导致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公开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lang w:eastAsia="zh-CN"/>
        </w:rPr>
        <w:t>内容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不全面、公开目录不完整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信息更新不及时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保密审查不规范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lang w:eastAsia="zh-CN"/>
        </w:rPr>
        <w:t>，对于日报、政策解读、问卷调查等栏目难以完成，很多信息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往往</w:t>
      </w:r>
      <w:r>
        <w:rPr>
          <w:rFonts w:hint="eastAsia" w:cs="仿宋_GB2312"/>
          <w:b w:val="0"/>
          <w:bCs/>
          <w:color w:val="333333"/>
          <w:sz w:val="32"/>
          <w:szCs w:val="32"/>
          <w:lang w:eastAsia="zh-CN"/>
        </w:rPr>
        <w:t>是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在季度监测反馈后和考评前集中补发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lang w:eastAsia="zh-CN"/>
        </w:rPr>
        <w:t>。三是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主动公开的信息与公众的需求还存在一些距离，政务服务信息公开较少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lang w:eastAsia="zh-CN"/>
        </w:rPr>
        <w:t>，一些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权责清单涉及的行政权力，很多网上办事流程</w:t>
      </w:r>
      <w:r>
        <w:rPr>
          <w:rFonts w:hint="eastAsia" w:cs="仿宋_GB2312"/>
          <w:b w:val="0"/>
          <w:bCs/>
          <w:color w:val="333333"/>
          <w:sz w:val="32"/>
          <w:szCs w:val="32"/>
          <w:lang w:eastAsia="zh-CN"/>
        </w:rPr>
        <w:t>、细节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，难以全部公开，对一些敏感性较强</w:t>
      </w:r>
      <w:r>
        <w:rPr>
          <w:rFonts w:hint="eastAsia" w:cs="仿宋_GB2312"/>
          <w:b w:val="0"/>
          <w:bCs/>
          <w:color w:val="333333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环境违法行为不能及时或全部公开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lang w:eastAsia="zh-CN"/>
        </w:rPr>
        <w:t>；四是一些</w:t>
      </w:r>
      <w:r>
        <w:rPr>
          <w:rFonts w:hint="eastAsia" w:cs="仿宋_GB2312"/>
          <w:b w:val="0"/>
          <w:bCs/>
          <w:color w:val="333333"/>
          <w:sz w:val="32"/>
          <w:szCs w:val="32"/>
          <w:lang w:eastAsia="zh-CN"/>
        </w:rPr>
        <w:t>栏目信息较少，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  <w:lang w:eastAsia="zh-CN"/>
        </w:rPr>
        <w:t>如规范性文件、行政强制、行政奖励等信息几乎一年都产生不了一条</w:t>
      </w: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。</w:t>
      </w:r>
      <w:r>
        <w:rPr>
          <w:rFonts w:hint="eastAsia" w:cs="仿宋_GB2312"/>
          <w:b w:val="0"/>
          <w:bCs/>
          <w:color w:val="333333"/>
          <w:sz w:val="32"/>
          <w:szCs w:val="32"/>
          <w:lang w:eastAsia="zh-CN"/>
        </w:rPr>
        <w:t>针对以上问题，我局将一是加强学习，提高思想认识，转变思想观念，形成主动公开为常态、不公开为例外的思想；二是固定信息公开经办人员，加强各科室沟通，让收集信息与公开同步进行，确保信息及时、准确、全面；三是完善信息公开机制，动用全局力量，明确各科室信息员，及时分解政务公开工作任务，责任到人。</w:t>
      </w:r>
    </w:p>
    <w:p w14:paraId="38AF3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333333"/>
          <w:sz w:val="32"/>
          <w:szCs w:val="32"/>
        </w:rPr>
        <w:t>六、其他需要报告的事项</w:t>
      </w:r>
    </w:p>
    <w:p w14:paraId="52DAB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560" w:lineRule="exact"/>
        <w:ind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color w:val="333333"/>
          <w:sz w:val="32"/>
          <w:szCs w:val="32"/>
          <w:lang w:val="en-US" w:eastAsia="zh-CN"/>
        </w:rPr>
      </w:pPr>
      <w:r>
        <w:rPr>
          <w:rFonts w:hint="eastAsia" w:cs="仿宋_GB2312"/>
          <w:b w:val="0"/>
          <w:bCs/>
          <w:color w:val="333333"/>
          <w:sz w:val="32"/>
          <w:szCs w:val="32"/>
          <w:lang w:val="en-US" w:eastAsia="zh-CN"/>
        </w:rPr>
        <w:t>2019年本单位无其他需要报告的事项。</w:t>
      </w:r>
    </w:p>
    <w:sectPr>
      <w:pgSz w:w="11910" w:h="16840"/>
      <w:pgMar w:top="1380" w:right="1280" w:bottom="280" w:left="13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FED2A1"/>
    <w:multiLevelType w:val="singleLevel"/>
    <w:tmpl w:val="06FED2A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YWQ3ZDZhNWQxOTU5NTM4MTlmZWRhNGNlOTY0ZmEifQ=="/>
  </w:docVars>
  <w:rsids>
    <w:rsidRoot w:val="2919580B"/>
    <w:rsid w:val="24A404E8"/>
    <w:rsid w:val="2919580B"/>
    <w:rsid w:val="30272B72"/>
    <w:rsid w:val="32C60E84"/>
    <w:rsid w:val="4021276F"/>
    <w:rsid w:val="4BF02220"/>
    <w:rsid w:val="6BA0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"/>
      <w:ind w:left="500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1310</Words>
  <Characters>1344</Characters>
  <Lines>0</Lines>
  <Paragraphs>0</Paragraphs>
  <TotalTime>5</TotalTime>
  <ScaleCrop>false</ScaleCrop>
  <LinksUpToDate>false</LinksUpToDate>
  <CharactersWithSpaces>1381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2020-01-16T02:00:00Z</dcterms:created>
  <dc:creator>admin</dc:creator>
  <cp:lastModifiedBy>沈简溪</cp:lastModifiedBy>
  <cp:lastPrinted>2020-01-20T01:22:00Z</cp:lastPrinted>
  <dcterms:modified xsi:type="dcterms:W3CDTF">2025-08-18T01:51:37Z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75E01C59561E4E88B68B0737D9330BC2_13</vt:lpwstr>
  </property>
  <property fmtid="{D5CDD505-2E9C-101B-9397-08002B2CF9AE}" pid="4" name="KSOTemplateDocerSaveRecord">
    <vt:lpwstr>eyJoZGlkIjoiNGNiYWQ3ZDZhNWQxOTU5NTM4MTlmZWRhNGNlOTY0ZmEiLCJ1c2VySWQiOiI2NTkyMzg4NDYifQ==</vt:lpwstr>
  </property>
</Properties>
</file>