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7EF7985">
      <w:pPr>
        <w:pStyle w:val="30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</w:pPr>
    </w:p>
    <w:p w14:paraId="6156063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rPr>
          <w:rFonts w:eastAsia="仿宋_GB2312"/>
          <w:sz w:val="32"/>
          <w:szCs w:val="32"/>
        </w:rPr>
      </w:pPr>
    </w:p>
    <w:p w14:paraId="6D8F1783">
      <w:pPr>
        <w:pStyle w:val="17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</w:pPr>
    </w:p>
    <w:p w14:paraId="2BDE6C9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rPr>
          <w:rFonts w:eastAsia="仿宋_GB2312"/>
          <w:sz w:val="32"/>
          <w:szCs w:val="32"/>
        </w:rPr>
      </w:pPr>
    </w:p>
    <w:p w14:paraId="045360F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金环审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/>
        </w:rPr>
        <w:t>〔2025〕34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68EF0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</w:p>
    <w:p w14:paraId="44DD5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kern w:val="1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kern w:val="10"/>
          <w:sz w:val="44"/>
          <w:szCs w:val="44"/>
        </w:rPr>
        <w:t>六安市金寨县生态环境分局关于</w:t>
      </w:r>
      <w:r>
        <w:rPr>
          <w:rFonts w:hint="eastAsia" w:ascii="方正小标宋简体" w:hAnsi="宋体" w:eastAsia="方正小标宋简体" w:cs="宋体"/>
          <w:bCs/>
          <w:kern w:val="10"/>
          <w:sz w:val="44"/>
          <w:szCs w:val="44"/>
          <w:lang w:val="en-US" w:eastAsia="zh-CN"/>
        </w:rPr>
        <w:t>安徽徽佳建材有限公司年产300万平方米石塑墙板项目</w:t>
      </w:r>
    </w:p>
    <w:p w14:paraId="75436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 w:cs="宋体"/>
          <w:bCs/>
          <w:kern w:val="1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10"/>
          <w:sz w:val="44"/>
          <w:szCs w:val="44"/>
        </w:rPr>
        <w:t>环境影响</w:t>
      </w:r>
      <w:r>
        <w:rPr>
          <w:rFonts w:hint="eastAsia" w:ascii="方正小标宋简体" w:hAnsi="宋体" w:eastAsia="方正小标宋简体" w:cs="宋体"/>
          <w:bCs/>
          <w:kern w:val="10"/>
          <w:sz w:val="44"/>
          <w:szCs w:val="44"/>
          <w:lang w:eastAsia="zh-CN"/>
        </w:rPr>
        <w:t>报告</w:t>
      </w:r>
      <w:r>
        <w:rPr>
          <w:rFonts w:hint="eastAsia" w:ascii="方正小标宋简体" w:hAnsi="宋体" w:eastAsia="方正小标宋简体" w:cs="宋体"/>
          <w:bCs/>
          <w:kern w:val="10"/>
          <w:sz w:val="44"/>
          <w:szCs w:val="44"/>
          <w:lang w:val="en-US" w:eastAsia="zh-CN"/>
        </w:rPr>
        <w:t>表</w:t>
      </w:r>
      <w:r>
        <w:rPr>
          <w:rFonts w:hint="eastAsia" w:ascii="方正小标宋简体" w:hAnsi="宋体" w:eastAsia="方正小标宋简体" w:cs="宋体"/>
          <w:bCs/>
          <w:kern w:val="10"/>
          <w:sz w:val="44"/>
          <w:szCs w:val="44"/>
        </w:rPr>
        <w:t>的批复</w:t>
      </w:r>
    </w:p>
    <w:p w14:paraId="12003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eastAsia="仿宋_GB2312"/>
          <w:color w:val="000000"/>
          <w:kern w:val="10"/>
          <w:sz w:val="32"/>
          <w:szCs w:val="32"/>
          <w:lang w:eastAsia="zh-CN"/>
        </w:rPr>
      </w:pPr>
    </w:p>
    <w:p w14:paraId="286D8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color w:val="000000"/>
          <w:kern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安徽徽佳建材有限公司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：</w:t>
      </w:r>
    </w:p>
    <w:p w14:paraId="50D68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10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zh-CN"/>
        </w:rPr>
        <w:t>你公司报来的《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zh-CN" w:eastAsia="zh-CN"/>
        </w:rPr>
        <w:t>年产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zh-CN" w:eastAsia="zh-CN"/>
        </w:rPr>
        <w:t>300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zh-CN" w:eastAsia="zh-CN"/>
        </w:rPr>
        <w:t>万平方米石塑墙板项目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环境影响报告表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zh-CN"/>
        </w:rPr>
        <w:t>》（以下简称《报告表》，项目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代码：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/>
        </w:rPr>
        <w:t>2505-341524-04-01-670661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zh-CN"/>
        </w:rPr>
        <w:t>）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zh-CN" w:eastAsia="zh-CN"/>
        </w:rPr>
        <w:t>及相关申请材料收悉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zh-CN" w:eastAsia="zh-CN" w:bidi="ar-SA"/>
        </w:rPr>
        <w:t>。经研究，批复如下：</w:t>
      </w:r>
    </w:p>
    <w:p w14:paraId="50D543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 w:bidi="ar-SA"/>
        </w:rPr>
        <w:t>一、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zh-CN" w:eastAsia="zh-CN"/>
        </w:rPr>
        <w:t>该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项目拟租赁安徽金寨经济开发区（现代产业园区）笔架山路与南溪路交叉口安徽俏佳人有限公司现有</w:t>
      </w:r>
      <w:bookmarkStart w:id="0" w:name="_GoBack"/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/>
        </w:rPr>
        <w:t>1#</w:t>
      </w:r>
      <w:bookmarkEnd w:id="0"/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闲置厂房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zh-CN" w:eastAsia="zh-CN"/>
        </w:rPr>
        <w:t>。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/>
        </w:rPr>
        <w:t>总建筑面积</w:t>
      </w:r>
      <w:r>
        <w:rPr>
          <w:rFonts w:hint="eastAsia" w:eastAsia="仿宋_GB2312" w:cs="Times New Roman"/>
          <w:color w:val="000000"/>
          <w:kern w:val="10"/>
          <w:sz w:val="32"/>
          <w:szCs w:val="32"/>
          <w:lang w:val="en-US" w:eastAsia="zh-CN"/>
        </w:rPr>
        <w:t>约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/>
        </w:rPr>
        <w:t>为5443.2平方米。主体工程新建石塑板材生产线，配置上料机、混料机、压延机、开槽机、破碎机及磨粉机等生产设备，配套建设原料、产品堆放间等储运、公用以及环保工程。项目总投资约100</w:t>
      </w:r>
      <w:r>
        <w:rPr>
          <w:rFonts w:hint="eastAsia" w:eastAsia="仿宋_GB2312" w:cs="Times New Roman"/>
          <w:color w:val="000000"/>
          <w:kern w:val="1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/>
        </w:rPr>
        <w:t>0万元，其中环保投资不低于70.5万元。项目建成后可形成年产300万平方米石塑墙板的生产能力。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7232C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我局同意该项目按照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zh-CN" w:eastAsia="zh-CN"/>
        </w:rPr>
        <w:t>《报告表》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所列内容在拟定地点建设，建设单位应全面落实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zh-CN" w:eastAsia="zh-CN"/>
        </w:rPr>
        <w:t>《报告表》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提出的各项环境保护措施。</w:t>
      </w:r>
    </w:p>
    <w:p w14:paraId="1C6236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 w:bidi="ar-SA"/>
        </w:rPr>
        <w:t>二、项目实施应重点做好以下工作：</w:t>
      </w:r>
    </w:p>
    <w:p w14:paraId="79FF8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项目排水实行雨污分流。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冷却水循环利用，不外排；生活污水经厂区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化粪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池预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处理后排入市政污水管网进入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金寨县现代产业园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污水处理厂处理达标后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排放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。</w:t>
      </w:r>
    </w:p>
    <w:p w14:paraId="6016D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1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10"/>
          <w:sz w:val="32"/>
          <w:szCs w:val="32"/>
          <w:lang w:val="en-US" w:eastAsia="zh-CN" w:bidi="ar-SA"/>
        </w:rPr>
        <w:t>.严格落实《报告表》中提出的各项废气收集及污染防治措施，投料混料、开槽、破碎、磨粉粉尘</w:t>
      </w:r>
      <w:r>
        <w:rPr>
          <w:rFonts w:hint="eastAsia" w:ascii="仿宋_GB2312" w:hAnsi="仿宋_GB2312" w:eastAsia="仿宋_GB2312" w:cs="仿宋_GB2312"/>
          <w:color w:val="000000"/>
          <w:kern w:val="10"/>
          <w:sz w:val="32"/>
          <w:szCs w:val="32"/>
          <w:lang w:val="en-US" w:eastAsia="zh-CN"/>
        </w:rPr>
        <w:t>：设备局部密封，由集气罩收集后经脉冲式布袋除尘器</w:t>
      </w:r>
      <w:r>
        <w:rPr>
          <w:rFonts w:hint="eastAsia" w:ascii="仿宋_GB2312" w:hAnsi="仿宋_GB2312" w:eastAsia="仿宋_GB2312" w:cs="仿宋_GB2312"/>
          <w:color w:val="000000"/>
          <w:kern w:val="10"/>
          <w:sz w:val="32"/>
          <w:szCs w:val="32"/>
          <w:lang w:val="en-US" w:eastAsia="zh-CN" w:bidi="ar-SA"/>
        </w:rPr>
        <w:t>处理后</w:t>
      </w:r>
      <w:r>
        <w:rPr>
          <w:rFonts w:hint="eastAsia" w:ascii="仿宋_GB2312" w:hAnsi="仿宋_GB2312" w:eastAsia="仿宋_GB2312" w:cs="仿宋_GB2312"/>
          <w:color w:val="000000"/>
          <w:kern w:val="10"/>
          <w:sz w:val="32"/>
          <w:szCs w:val="32"/>
          <w:lang w:val="zh-CN" w:eastAsia="zh-CN" w:bidi="ar-SA"/>
        </w:rPr>
        <w:t>须通过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10"/>
          <w:sz w:val="32"/>
          <w:szCs w:val="32"/>
          <w:lang w:val="zh-CN" w:eastAsia="zh-CN" w:bidi="ar-SA"/>
        </w:rPr>
        <w:t>根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zh-CN" w:eastAsia="zh-CN"/>
        </w:rPr>
        <w:t>m</w:t>
      </w:r>
      <w:r>
        <w:rPr>
          <w:rFonts w:hint="eastAsia" w:ascii="仿宋_GB2312" w:hAnsi="仿宋_GB2312" w:eastAsia="仿宋_GB2312" w:cs="仿宋_GB2312"/>
          <w:color w:val="000000"/>
          <w:kern w:val="10"/>
          <w:sz w:val="32"/>
          <w:szCs w:val="32"/>
          <w:lang w:val="zh-CN" w:eastAsia="zh-CN" w:bidi="ar-SA"/>
        </w:rPr>
        <w:t>高排气筒（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zh-CN" w:eastAsia="zh-CN"/>
        </w:rPr>
        <w:t>DA00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10"/>
          <w:sz w:val="32"/>
          <w:szCs w:val="32"/>
          <w:lang w:val="zh-CN" w:eastAsia="zh-CN" w:bidi="ar-SA"/>
        </w:rPr>
        <w:t>）达标排放；造粒、挤出、印花、3D 打印废气</w:t>
      </w:r>
      <w:r>
        <w:rPr>
          <w:rFonts w:hint="eastAsia" w:ascii="仿宋_GB2312" w:hAnsi="仿宋_GB2312" w:eastAsia="仿宋_GB2312" w:cs="仿宋_GB2312"/>
          <w:color w:val="000000"/>
          <w:kern w:val="10"/>
          <w:sz w:val="32"/>
          <w:szCs w:val="32"/>
          <w:lang w:val="en-US" w:eastAsia="zh-CN"/>
        </w:rPr>
        <w:t>：由集气罩收集后经“两级活性炭吸附装置”</w:t>
      </w:r>
      <w:r>
        <w:rPr>
          <w:rFonts w:hint="eastAsia" w:ascii="仿宋_GB2312" w:hAnsi="仿宋_GB2312" w:eastAsia="仿宋_GB2312" w:cs="仿宋_GB2312"/>
          <w:color w:val="000000"/>
          <w:kern w:val="10"/>
          <w:sz w:val="32"/>
          <w:szCs w:val="32"/>
          <w:lang w:val="en-US" w:eastAsia="zh-CN" w:bidi="ar-SA"/>
        </w:rPr>
        <w:t>处理后</w:t>
      </w:r>
      <w:r>
        <w:rPr>
          <w:rFonts w:hint="eastAsia" w:ascii="仿宋_GB2312" w:hAnsi="仿宋_GB2312" w:eastAsia="仿宋_GB2312" w:cs="仿宋_GB2312"/>
          <w:color w:val="000000"/>
          <w:kern w:val="10"/>
          <w:sz w:val="32"/>
          <w:szCs w:val="32"/>
          <w:lang w:val="zh-CN" w:eastAsia="zh-CN" w:bidi="ar-SA"/>
        </w:rPr>
        <w:t>须通过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10"/>
          <w:sz w:val="32"/>
          <w:szCs w:val="32"/>
          <w:lang w:val="zh-CN" w:eastAsia="zh-CN" w:bidi="ar-SA"/>
        </w:rPr>
        <w:t>根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zh-CN" w:eastAsia="zh-CN"/>
        </w:rPr>
        <w:t>m</w:t>
      </w:r>
      <w:r>
        <w:rPr>
          <w:rFonts w:hint="eastAsia" w:ascii="仿宋_GB2312" w:hAnsi="仿宋_GB2312" w:eastAsia="仿宋_GB2312" w:cs="仿宋_GB2312"/>
          <w:color w:val="000000"/>
          <w:kern w:val="10"/>
          <w:sz w:val="32"/>
          <w:szCs w:val="32"/>
          <w:lang w:val="zh-CN" w:eastAsia="zh-CN" w:bidi="ar-SA"/>
        </w:rPr>
        <w:t>高排气筒（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zh-CN" w:eastAsia="zh-CN"/>
        </w:rPr>
        <w:t>DA00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10"/>
          <w:sz w:val="32"/>
          <w:szCs w:val="32"/>
          <w:lang w:val="zh-CN" w:eastAsia="zh-CN" w:bidi="ar-SA"/>
        </w:rPr>
        <w:t>）达标排放；</w:t>
      </w:r>
      <w:r>
        <w:rPr>
          <w:rFonts w:hint="eastAsia" w:ascii="仿宋_GB2312" w:hAnsi="仿宋_GB2312" w:eastAsia="仿宋_GB2312" w:cs="仿宋_GB2312"/>
          <w:color w:val="000000"/>
          <w:kern w:val="10"/>
          <w:sz w:val="32"/>
          <w:szCs w:val="32"/>
          <w:lang w:val="en-US" w:eastAsia="zh-CN" w:bidi="ar-SA"/>
        </w:rPr>
        <w:t>厂区应加强生产管理、设备检修等，确保厂界无组织排放大气污染物达标。活性炭应按使用周期要求及时更换。</w:t>
      </w:r>
    </w:p>
    <w:p w14:paraId="32AD6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1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1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项目大气污染物非甲烷总烃排放执行《固定源挥发性有机物综合排放标准 第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kern w:val="1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部分：其他行业》（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/>
        </w:rPr>
        <w:t>DB34/4812.6-2024</w:t>
      </w:r>
      <w:r>
        <w:rPr>
          <w:rFonts w:hint="eastAsia" w:ascii="仿宋_GB2312" w:hAnsi="仿宋_GB2312" w:eastAsia="仿宋_GB2312" w:cs="仿宋_GB2312"/>
          <w:color w:val="000000" w:themeColor="text1"/>
          <w:kern w:val="1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）中相关限值要求；厂区内非甲烷总烃同时执行《挥发性有机物无组织排放控制标准》（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/>
        </w:rPr>
        <w:t>GB37822-2019</w:t>
      </w:r>
      <w:r>
        <w:rPr>
          <w:rFonts w:hint="eastAsia" w:ascii="仿宋_GB2312" w:hAnsi="仿宋_GB2312" w:eastAsia="仿宋_GB2312" w:cs="仿宋_GB2312"/>
          <w:color w:val="000000" w:themeColor="text1"/>
          <w:kern w:val="1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）中特别排放限值要求。氯化氢、颗粒物排放执行《大气污染物综合排放标准》（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/>
        </w:rPr>
        <w:t>GB16297-1996</w:t>
      </w:r>
      <w:r>
        <w:rPr>
          <w:rFonts w:hint="eastAsia" w:ascii="仿宋_GB2312" w:hAnsi="仿宋_GB2312" w:eastAsia="仿宋_GB2312" w:cs="仿宋_GB2312"/>
          <w:color w:val="000000" w:themeColor="text1"/>
          <w:kern w:val="1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）中相关限值要求。</w:t>
      </w:r>
    </w:p>
    <w:p w14:paraId="54306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 w:bidi="ar-SA"/>
        </w:rPr>
        <w:t>.通过优化生产车间设备布局、选用低噪声设备、安装减振基座和建筑隔声等措施减小噪声污染，确保厂区边界噪声达到《工业企业厂界环境噪声排放标准》（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/>
        </w:rPr>
        <w:t>GB12348-2008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 w:bidi="ar-SA"/>
        </w:rPr>
        <w:t>）中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 w:bidi="ar-SA"/>
        </w:rPr>
        <w:t>类标准要求。</w:t>
      </w:r>
    </w:p>
    <w:p w14:paraId="0D53B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 w:bidi="ar-SA"/>
        </w:rPr>
        <w:t>.做好固体废物的分类暂存、转运、无害化处置工作。一般工业固废综合利用；生活垃圾交由环卫部门统一处置；废活性炭、废润滑油、废润滑油桶等危险废物应按照《危险废物贮存污染控制标准》（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/>
        </w:rPr>
        <w:t>GB18597-2023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 w:bidi="ar-SA"/>
        </w:rPr>
        <w:t>）《危险废物识别标志设施技术规范》（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/>
        </w:rPr>
        <w:t>HJ1276-2022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 w:bidi="ar-SA"/>
        </w:rPr>
        <w:t>）和《危险废物转移联单管理办法》中规定分类分区规范暂存于危废库，危废库需专人管理，建立台账，定期委托有资质的单位合法处置，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zh-CN" w:eastAsia="zh-CN" w:bidi="ar-SA"/>
        </w:rPr>
        <w:t>危废管理、处置情况及时向县生态环境分局备案。</w:t>
      </w:r>
    </w:p>
    <w:p w14:paraId="5F27D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zh-CN" w:eastAsia="zh-CN" w:bidi="ar-SA"/>
        </w:rPr>
        <w:t>强化原辅材料、产品的管理和分区存放，做好分区防腐防渗工作，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 w:bidi="ar-SA"/>
        </w:rPr>
        <w:t>防止项目污染地下水和土壤。</w:t>
      </w:r>
    </w:p>
    <w:p w14:paraId="262C9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 w:bidi="ar-SA"/>
        </w:rPr>
        <w:t>.严格落实《报告表》中提出的各项环境风险防范措施，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/>
        </w:rPr>
        <w:t>充分考虑污染防治设施安全风险，确保风险可控后方可施工和投入生产、使用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避免风险事故对周边环境造成不利影响。</w:t>
      </w:r>
    </w:p>
    <w:p w14:paraId="0A3E0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1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按环保要求规范设置污染物排放口及标志牌。</w:t>
      </w:r>
    </w:p>
    <w:p w14:paraId="7588A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 w:bidi="ar-SA"/>
        </w:rPr>
        <w:t xml:space="preserve">三、项目建设要按照环保“三同时”管理要求，充分落实环保措施，项目建成运营前应按规定程序变更排污许可登记，运营后及时自行组织完成竣工环境保护验收，并将相关信息对社会公开。  </w:t>
      </w:r>
    </w:p>
    <w:p w14:paraId="07041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1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10"/>
          <w:sz w:val="32"/>
          <w:szCs w:val="32"/>
          <w:lang w:val="en-US" w:eastAsia="zh-CN" w:bidi="ar-SA"/>
        </w:rPr>
        <w:t>四、建设项目的规模、地点、工艺或者污染防治措施发生重大变动时，应当重新报批环境影响评价文件。</w:t>
      </w:r>
    </w:p>
    <w:p w14:paraId="20A39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hint="eastAsia" w:ascii="Times New Roman" w:hAnsi="Times New Roman" w:eastAsia="宋体" w:cs="Times New Roman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kern w:val="10"/>
          <w:sz w:val="32"/>
          <w:szCs w:val="32"/>
          <w:lang w:val="en-US" w:eastAsia="zh-CN" w:bidi="ar-SA"/>
        </w:rPr>
        <w:t>五、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 w:bidi="ar-SA"/>
        </w:rPr>
        <w:t>请县生态环境保护综合行政执法大队、经济开发区生态环境工作站对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zh-CN" w:eastAsia="zh-CN"/>
        </w:rPr>
        <w:t>安徽徽佳建材有限公司年产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zh-CN" w:eastAsia="zh-CN"/>
        </w:rPr>
        <w:t>300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zh-CN" w:eastAsia="zh-CN"/>
        </w:rPr>
        <w:t>万平方米石塑墙板项目</w:t>
      </w:r>
      <w:r>
        <w:rPr>
          <w:rFonts w:hint="eastAsia" w:ascii="仿宋" w:hAnsi="仿宋" w:eastAsia="仿宋" w:cs="仿宋"/>
          <w:color w:val="000000"/>
          <w:kern w:val="10"/>
          <w:sz w:val="32"/>
          <w:szCs w:val="32"/>
          <w:lang w:val="en-US" w:eastAsia="zh-CN" w:bidi="ar-SA"/>
        </w:rPr>
        <w:t>加强现场监管。</w:t>
      </w:r>
      <w:r>
        <w:rPr>
          <w:rFonts w:ascii="Times New Roman" w:hAnsi="Times New Roman" w:eastAsia="仿宋_GB2312" w:cs="Times New Roman"/>
          <w:color w:val="000000"/>
          <w:kern w:val="10"/>
          <w:sz w:val="32"/>
          <w:szCs w:val="32"/>
        </w:rPr>
        <w:t xml:space="preserve">            </w:t>
      </w:r>
    </w:p>
    <w:p w14:paraId="59D544B8">
      <w:pPr>
        <w:keepNext w:val="0"/>
        <w:keepLines w:val="0"/>
        <w:pageBreakBefore w:val="0"/>
        <w:widowControl w:val="0"/>
        <w:tabs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10"/>
          <w:sz w:val="32"/>
          <w:szCs w:val="32"/>
        </w:rPr>
      </w:pPr>
    </w:p>
    <w:p w14:paraId="1A613237">
      <w:pPr>
        <w:keepNext w:val="0"/>
        <w:keepLines w:val="0"/>
        <w:pageBreakBefore w:val="0"/>
        <w:widowControl w:val="0"/>
        <w:tabs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" w:hAnsi="仿宋" w:eastAsia="仿宋" w:cs="仿宋"/>
          <w:color w:val="000000"/>
          <w:kern w:val="10"/>
          <w:sz w:val="32"/>
          <w:szCs w:val="32"/>
        </w:rPr>
      </w:pPr>
    </w:p>
    <w:p w14:paraId="3509845E">
      <w:pPr>
        <w:keepNext w:val="0"/>
        <w:keepLines w:val="0"/>
        <w:pageBreakBefore w:val="0"/>
        <w:widowControl w:val="0"/>
        <w:tabs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" w:hAnsi="仿宋" w:eastAsia="仿宋" w:cs="仿宋"/>
          <w:color w:val="000000"/>
          <w:kern w:val="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10"/>
          <w:sz w:val="32"/>
          <w:szCs w:val="32"/>
        </w:rPr>
        <w:t>六安市金寨县生态环境分局</w:t>
      </w:r>
    </w:p>
    <w:p w14:paraId="4D70E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2025年</w:t>
      </w:r>
      <w:r>
        <w:rPr>
          <w:rFonts w:hint="eastAsia" w:eastAsia="仿宋_GB2312" w:cs="Times New Roman"/>
          <w:color w:val="000000"/>
          <w:kern w:val="10"/>
          <w:sz w:val="32"/>
          <w:szCs w:val="32"/>
          <w:lang w:val="en-US" w:eastAsia="zh-CN" w:bidi="ar-SA"/>
        </w:rPr>
        <w:t>10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月</w:t>
      </w:r>
      <w:r>
        <w:rPr>
          <w:rFonts w:hint="eastAsia" w:eastAsia="仿宋_GB2312" w:cs="Times New Roman"/>
          <w:color w:val="000000"/>
          <w:kern w:val="10"/>
          <w:sz w:val="32"/>
          <w:szCs w:val="32"/>
          <w:lang w:val="en-US" w:eastAsia="zh-CN" w:bidi="ar-SA"/>
        </w:rPr>
        <w:t>17</w:t>
      </w:r>
      <w:r>
        <w:rPr>
          <w:rFonts w:hint="eastAsia" w:ascii="Times New Roman" w:hAnsi="Times New Roman" w:eastAsia="仿宋_GB2312" w:cs="Times New Roman"/>
          <w:color w:val="000000"/>
          <w:kern w:val="10"/>
          <w:sz w:val="32"/>
          <w:szCs w:val="32"/>
          <w:lang w:val="en-US" w:eastAsia="zh-CN" w:bidi="ar-SA"/>
        </w:rPr>
        <w:t>日</w:t>
      </w:r>
    </w:p>
    <w:p w14:paraId="72C6D4A9"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rPr>
          <w:rFonts w:hint="default"/>
          <w:lang w:val="en-US" w:eastAsia="zh-CN"/>
        </w:rPr>
      </w:pPr>
    </w:p>
    <w:p w14:paraId="3CD27D4E">
      <w:pPr>
        <w:rPr>
          <w:rFonts w:hint="default"/>
          <w:lang w:val="en-US" w:eastAsia="zh-CN"/>
        </w:rPr>
      </w:pPr>
    </w:p>
    <w:p w14:paraId="772178AB">
      <w:pPr>
        <w:rPr>
          <w:rFonts w:hint="default"/>
          <w:lang w:val="en-US" w:eastAsia="zh-CN"/>
        </w:rPr>
      </w:pPr>
    </w:p>
    <w:p w14:paraId="7655C789">
      <w:pPr>
        <w:rPr>
          <w:rFonts w:hint="default"/>
          <w:lang w:val="en-US" w:eastAsia="zh-CN"/>
        </w:rPr>
      </w:pPr>
    </w:p>
    <w:p w14:paraId="1F8BD515">
      <w:pPr>
        <w:rPr>
          <w:rFonts w:hint="default"/>
          <w:lang w:val="en-US" w:eastAsia="zh-CN"/>
        </w:rPr>
      </w:pPr>
    </w:p>
    <w:p w14:paraId="1BC213B3">
      <w:pPr>
        <w:rPr>
          <w:rFonts w:hint="default"/>
          <w:lang w:val="en-US" w:eastAsia="zh-CN"/>
        </w:rPr>
      </w:pPr>
    </w:p>
    <w:p w14:paraId="3B1F1D23">
      <w:pPr>
        <w:rPr>
          <w:rFonts w:hint="default"/>
          <w:lang w:val="en-US" w:eastAsia="zh-CN"/>
        </w:rPr>
      </w:pPr>
    </w:p>
    <w:p w14:paraId="149CD825">
      <w:pPr>
        <w:rPr>
          <w:rFonts w:hint="default"/>
          <w:lang w:val="en-US" w:eastAsia="zh-CN"/>
        </w:rPr>
      </w:pPr>
    </w:p>
    <w:p w14:paraId="4D18133B">
      <w:pPr>
        <w:rPr>
          <w:rFonts w:hint="default"/>
          <w:lang w:val="en-US" w:eastAsia="zh-CN"/>
        </w:rPr>
      </w:pPr>
    </w:p>
    <w:p w14:paraId="12353697">
      <w:pPr>
        <w:rPr>
          <w:rFonts w:hint="default"/>
          <w:lang w:val="en-US" w:eastAsia="zh-CN"/>
        </w:rPr>
      </w:pPr>
    </w:p>
    <w:p w14:paraId="24AD853A">
      <w:pPr>
        <w:rPr>
          <w:rFonts w:hint="default"/>
          <w:lang w:val="en-US" w:eastAsia="zh-CN"/>
        </w:rPr>
      </w:pPr>
    </w:p>
    <w:p w14:paraId="6113BE34">
      <w:pPr>
        <w:rPr>
          <w:rFonts w:hint="default"/>
          <w:lang w:val="en-US" w:eastAsia="zh-CN"/>
        </w:rPr>
      </w:pPr>
    </w:p>
    <w:p w14:paraId="087ADC6F">
      <w:pPr>
        <w:rPr>
          <w:rFonts w:hint="default"/>
          <w:lang w:val="en-US" w:eastAsia="zh-CN"/>
        </w:rPr>
      </w:pPr>
    </w:p>
    <w:p w14:paraId="0DB5589F">
      <w:pPr>
        <w:rPr>
          <w:rFonts w:hint="default"/>
          <w:lang w:val="en-US" w:eastAsia="zh-CN"/>
        </w:rPr>
      </w:pPr>
    </w:p>
    <w:p w14:paraId="155E80BA">
      <w:pPr>
        <w:rPr>
          <w:rFonts w:hint="default"/>
          <w:lang w:val="en-US" w:eastAsia="zh-CN"/>
        </w:rPr>
      </w:pPr>
    </w:p>
    <w:p w14:paraId="444E9530">
      <w:pPr>
        <w:rPr>
          <w:rFonts w:hint="default"/>
          <w:lang w:val="en-US" w:eastAsia="zh-CN"/>
        </w:rPr>
      </w:pPr>
    </w:p>
    <w:p w14:paraId="0BEE6DDA">
      <w:pPr>
        <w:rPr>
          <w:rFonts w:hint="default"/>
          <w:lang w:val="en-US" w:eastAsia="zh-CN"/>
        </w:rPr>
      </w:pPr>
    </w:p>
    <w:p w14:paraId="1F526824">
      <w:pPr>
        <w:rPr>
          <w:rFonts w:hint="default"/>
          <w:lang w:val="en-US" w:eastAsia="zh-CN"/>
        </w:rPr>
      </w:pPr>
    </w:p>
    <w:p w14:paraId="069D8AE0">
      <w:pPr>
        <w:rPr>
          <w:rFonts w:hint="default"/>
          <w:lang w:val="en-US" w:eastAsia="zh-CN"/>
        </w:rPr>
      </w:pPr>
    </w:p>
    <w:tbl>
      <w:tblPr>
        <w:tblStyle w:val="13"/>
        <w:tblpPr w:leftFromText="180" w:rightFromText="180" w:vertAnchor="text" w:horzAnchor="page" w:tblpX="1330" w:tblpY="6927"/>
        <w:tblOverlap w:val="never"/>
        <w:tblW w:w="5162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5"/>
      </w:tblGrid>
      <w:tr w14:paraId="3297B1E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355" w:type="dxa"/>
            <w:tcBorders>
              <w:bottom w:val="single" w:color="auto" w:sz="12" w:space="0"/>
            </w:tcBorders>
            <w:noWrap w:val="0"/>
            <w:vAlign w:val="center"/>
          </w:tcPr>
          <w:p w14:paraId="4864C9C7">
            <w:pPr>
              <w:pStyle w:val="3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105" w:rightChars="50" w:firstLine="140" w:firstLineChars="50"/>
              <w:textAlignment w:val="baseline"/>
              <w:rPr>
                <w:rFonts w:hint="eastAsia" w:asci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六安市金寨县生态环境分局办公室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10"/>
                <w:sz w:val="28"/>
                <w:szCs w:val="28"/>
                <w:lang w:val="en-US" w:eastAsia="zh-CN" w:bidi="ar-SA"/>
              </w:rPr>
              <w:t xml:space="preserve"> 2025年</w:t>
            </w:r>
            <w:r>
              <w:rPr>
                <w:rFonts w:hint="eastAsia" w:cs="Times New Roman"/>
                <w:color w:val="000000"/>
                <w:kern w:val="10"/>
                <w:sz w:val="28"/>
                <w:szCs w:val="28"/>
                <w:lang w:val="en-US" w:eastAsia="zh-CN" w:bidi="ar-SA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10"/>
                <w:sz w:val="28"/>
                <w:szCs w:val="28"/>
                <w:lang w:val="en-US" w:eastAsia="zh-CN" w:bidi="ar-SA"/>
              </w:rPr>
              <w:t>月</w:t>
            </w:r>
            <w:r>
              <w:rPr>
                <w:rFonts w:hint="eastAsia" w:cs="Times New Roman"/>
                <w:color w:val="000000"/>
                <w:kern w:val="10"/>
                <w:sz w:val="28"/>
                <w:szCs w:val="28"/>
                <w:lang w:val="en-US" w:eastAsia="zh-CN" w:bidi="ar-SA"/>
              </w:rPr>
              <w:t>17</w:t>
            </w:r>
            <w:r>
              <w:rPr>
                <w:rFonts w:hint="eastAsia" w:ascii="Times New Roman" w:hAnsi="Times New Roman" w:cs="Times New Roman"/>
                <w:color w:val="000000"/>
                <w:kern w:val="1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10"/>
                <w:sz w:val="28"/>
                <w:szCs w:val="28"/>
                <w:lang w:val="en-US" w:eastAsia="zh-CN" w:bidi="ar-SA"/>
              </w:rPr>
              <w:t>日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印发</w:t>
            </w:r>
          </w:p>
        </w:tc>
      </w:tr>
    </w:tbl>
    <w:p w14:paraId="070F2248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1531" w:right="1531" w:bottom="1531" w:left="1531" w:header="851" w:footer="851" w:gutter="0"/>
      <w:pgNumType w:fmt="numberInDash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9EF73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83F5A3">
                          <w:pPr>
                            <w:pStyle w:val="7"/>
                            <w:rPr>
                              <w:rStyle w:val="1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Style w:val="1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83F5A3">
                    <w:pPr>
                      <w:pStyle w:val="7"/>
                      <w:rPr>
                        <w:rStyle w:val="16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16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6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6"/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Style w:val="16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A2B4B">
    <w:pPr>
      <w:pStyle w:val="7"/>
      <w:framePr w:wrap="around" w:vAnchor="text" w:hAnchor="margin" w:xAlign="right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 w14:paraId="01E9E01E"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F62FA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hZmY0MDU3YmNhYjcwYTRhNjYyYjQyNmNiOWI0NjUifQ=="/>
    <w:docVar w:name="KSO_WPS_MARK_KEY" w:val="9ce33e98-b89e-442a-ab4a-6f64b115ea18"/>
  </w:docVars>
  <w:rsids>
    <w:rsidRoot w:val="00172A27"/>
    <w:rsid w:val="00021251"/>
    <w:rsid w:val="000357DC"/>
    <w:rsid w:val="00036EBC"/>
    <w:rsid w:val="00046427"/>
    <w:rsid w:val="00051D47"/>
    <w:rsid w:val="0006380B"/>
    <w:rsid w:val="00082A23"/>
    <w:rsid w:val="000B01A6"/>
    <w:rsid w:val="000D4D15"/>
    <w:rsid w:val="000F2888"/>
    <w:rsid w:val="0010613E"/>
    <w:rsid w:val="00117381"/>
    <w:rsid w:val="0012077D"/>
    <w:rsid w:val="00124B4B"/>
    <w:rsid w:val="00126A51"/>
    <w:rsid w:val="00130BF2"/>
    <w:rsid w:val="00134D6E"/>
    <w:rsid w:val="00140FC5"/>
    <w:rsid w:val="00151BFF"/>
    <w:rsid w:val="001658C7"/>
    <w:rsid w:val="00167023"/>
    <w:rsid w:val="001678F3"/>
    <w:rsid w:val="00172A27"/>
    <w:rsid w:val="00183535"/>
    <w:rsid w:val="00191FE8"/>
    <w:rsid w:val="001A6A18"/>
    <w:rsid w:val="001A73C0"/>
    <w:rsid w:val="001B7505"/>
    <w:rsid w:val="001C2611"/>
    <w:rsid w:val="001C7DD7"/>
    <w:rsid w:val="001D44A7"/>
    <w:rsid w:val="001F70B5"/>
    <w:rsid w:val="00231EDF"/>
    <w:rsid w:val="00280345"/>
    <w:rsid w:val="00280E22"/>
    <w:rsid w:val="0029088E"/>
    <w:rsid w:val="00296209"/>
    <w:rsid w:val="002A545F"/>
    <w:rsid w:val="002A6CBA"/>
    <w:rsid w:val="002D3B2D"/>
    <w:rsid w:val="0031008A"/>
    <w:rsid w:val="00317160"/>
    <w:rsid w:val="003218C9"/>
    <w:rsid w:val="00322B56"/>
    <w:rsid w:val="00334FCF"/>
    <w:rsid w:val="003606C1"/>
    <w:rsid w:val="003635B2"/>
    <w:rsid w:val="0036467A"/>
    <w:rsid w:val="003820C7"/>
    <w:rsid w:val="0038784D"/>
    <w:rsid w:val="0039090F"/>
    <w:rsid w:val="003D384F"/>
    <w:rsid w:val="003E65FD"/>
    <w:rsid w:val="003E68EC"/>
    <w:rsid w:val="004049C6"/>
    <w:rsid w:val="00451283"/>
    <w:rsid w:val="00452C27"/>
    <w:rsid w:val="00456287"/>
    <w:rsid w:val="00470F09"/>
    <w:rsid w:val="00494C6C"/>
    <w:rsid w:val="004B2335"/>
    <w:rsid w:val="004B5C4C"/>
    <w:rsid w:val="004D03BD"/>
    <w:rsid w:val="004D777B"/>
    <w:rsid w:val="004D7853"/>
    <w:rsid w:val="004E1BF8"/>
    <w:rsid w:val="004F1D6E"/>
    <w:rsid w:val="0050355E"/>
    <w:rsid w:val="00503D10"/>
    <w:rsid w:val="00504F02"/>
    <w:rsid w:val="005115BF"/>
    <w:rsid w:val="00522833"/>
    <w:rsid w:val="00524DC5"/>
    <w:rsid w:val="00530C34"/>
    <w:rsid w:val="00541856"/>
    <w:rsid w:val="00555E02"/>
    <w:rsid w:val="005771D8"/>
    <w:rsid w:val="00591CBF"/>
    <w:rsid w:val="005950D0"/>
    <w:rsid w:val="0059516A"/>
    <w:rsid w:val="005A2059"/>
    <w:rsid w:val="005A3CFF"/>
    <w:rsid w:val="005C04F4"/>
    <w:rsid w:val="005D66AC"/>
    <w:rsid w:val="00620C99"/>
    <w:rsid w:val="00630441"/>
    <w:rsid w:val="00633301"/>
    <w:rsid w:val="006458C6"/>
    <w:rsid w:val="00667AE4"/>
    <w:rsid w:val="00684AF6"/>
    <w:rsid w:val="00684B0A"/>
    <w:rsid w:val="00696905"/>
    <w:rsid w:val="006979F2"/>
    <w:rsid w:val="006C44DD"/>
    <w:rsid w:val="006C4D87"/>
    <w:rsid w:val="006C68F0"/>
    <w:rsid w:val="006C7E95"/>
    <w:rsid w:val="006F061F"/>
    <w:rsid w:val="006F6BE0"/>
    <w:rsid w:val="00701574"/>
    <w:rsid w:val="00701E5B"/>
    <w:rsid w:val="00703626"/>
    <w:rsid w:val="0070403C"/>
    <w:rsid w:val="00716E43"/>
    <w:rsid w:val="00720FE3"/>
    <w:rsid w:val="00723E98"/>
    <w:rsid w:val="00754AED"/>
    <w:rsid w:val="007679D2"/>
    <w:rsid w:val="00785533"/>
    <w:rsid w:val="007B4EB9"/>
    <w:rsid w:val="007D2933"/>
    <w:rsid w:val="007D66C9"/>
    <w:rsid w:val="007E170C"/>
    <w:rsid w:val="007E205A"/>
    <w:rsid w:val="007E784A"/>
    <w:rsid w:val="007F6D0C"/>
    <w:rsid w:val="00800A05"/>
    <w:rsid w:val="0081627F"/>
    <w:rsid w:val="00832E44"/>
    <w:rsid w:val="00832E8D"/>
    <w:rsid w:val="00834B56"/>
    <w:rsid w:val="008520FC"/>
    <w:rsid w:val="008650DC"/>
    <w:rsid w:val="00873B6D"/>
    <w:rsid w:val="0087626F"/>
    <w:rsid w:val="00877A5F"/>
    <w:rsid w:val="0088305D"/>
    <w:rsid w:val="008901DE"/>
    <w:rsid w:val="008A77B2"/>
    <w:rsid w:val="008B1636"/>
    <w:rsid w:val="008C5DB7"/>
    <w:rsid w:val="008D266F"/>
    <w:rsid w:val="008E18E5"/>
    <w:rsid w:val="008E1B4E"/>
    <w:rsid w:val="008F767A"/>
    <w:rsid w:val="00906495"/>
    <w:rsid w:val="00914863"/>
    <w:rsid w:val="009156F9"/>
    <w:rsid w:val="00923BAF"/>
    <w:rsid w:val="00927DCB"/>
    <w:rsid w:val="009427DE"/>
    <w:rsid w:val="00946CAB"/>
    <w:rsid w:val="0096522A"/>
    <w:rsid w:val="009A3E7D"/>
    <w:rsid w:val="009C11EB"/>
    <w:rsid w:val="009C2CCA"/>
    <w:rsid w:val="009D259B"/>
    <w:rsid w:val="009D3ED7"/>
    <w:rsid w:val="009F1D06"/>
    <w:rsid w:val="009F5E41"/>
    <w:rsid w:val="00A2171B"/>
    <w:rsid w:val="00A27C11"/>
    <w:rsid w:val="00A54E19"/>
    <w:rsid w:val="00A633D2"/>
    <w:rsid w:val="00A750E7"/>
    <w:rsid w:val="00AA4345"/>
    <w:rsid w:val="00AD250B"/>
    <w:rsid w:val="00AD3299"/>
    <w:rsid w:val="00AE4059"/>
    <w:rsid w:val="00AE490C"/>
    <w:rsid w:val="00AF5B3A"/>
    <w:rsid w:val="00B30BEE"/>
    <w:rsid w:val="00B42AC4"/>
    <w:rsid w:val="00B67600"/>
    <w:rsid w:val="00B75241"/>
    <w:rsid w:val="00B7593B"/>
    <w:rsid w:val="00BF1C93"/>
    <w:rsid w:val="00C03F5E"/>
    <w:rsid w:val="00C0523F"/>
    <w:rsid w:val="00C07D5C"/>
    <w:rsid w:val="00C1147B"/>
    <w:rsid w:val="00C15F5A"/>
    <w:rsid w:val="00C177EA"/>
    <w:rsid w:val="00C2254F"/>
    <w:rsid w:val="00C36086"/>
    <w:rsid w:val="00C40EA2"/>
    <w:rsid w:val="00C41B61"/>
    <w:rsid w:val="00C52E26"/>
    <w:rsid w:val="00C53FAE"/>
    <w:rsid w:val="00C6071C"/>
    <w:rsid w:val="00C62B18"/>
    <w:rsid w:val="00C66328"/>
    <w:rsid w:val="00C7777E"/>
    <w:rsid w:val="00C81A78"/>
    <w:rsid w:val="00C91CCC"/>
    <w:rsid w:val="00C938C4"/>
    <w:rsid w:val="00CA168F"/>
    <w:rsid w:val="00CA25FA"/>
    <w:rsid w:val="00CA39C1"/>
    <w:rsid w:val="00CA3EFC"/>
    <w:rsid w:val="00CB259E"/>
    <w:rsid w:val="00CB4DF4"/>
    <w:rsid w:val="00CC0C26"/>
    <w:rsid w:val="00CD3269"/>
    <w:rsid w:val="00CE0451"/>
    <w:rsid w:val="00CE66B5"/>
    <w:rsid w:val="00CF1B7C"/>
    <w:rsid w:val="00D0008F"/>
    <w:rsid w:val="00D12AC9"/>
    <w:rsid w:val="00D2248A"/>
    <w:rsid w:val="00D37BA3"/>
    <w:rsid w:val="00D45C1E"/>
    <w:rsid w:val="00D51626"/>
    <w:rsid w:val="00D74986"/>
    <w:rsid w:val="00D85EE9"/>
    <w:rsid w:val="00D96F3A"/>
    <w:rsid w:val="00DA147B"/>
    <w:rsid w:val="00DA6071"/>
    <w:rsid w:val="00DB227A"/>
    <w:rsid w:val="00DC0CD8"/>
    <w:rsid w:val="00DC1EE7"/>
    <w:rsid w:val="00DD1692"/>
    <w:rsid w:val="00DE66A8"/>
    <w:rsid w:val="00DF361D"/>
    <w:rsid w:val="00DF42CF"/>
    <w:rsid w:val="00E053F2"/>
    <w:rsid w:val="00E1111D"/>
    <w:rsid w:val="00E24990"/>
    <w:rsid w:val="00E3463E"/>
    <w:rsid w:val="00E376F8"/>
    <w:rsid w:val="00E416A5"/>
    <w:rsid w:val="00E41E3D"/>
    <w:rsid w:val="00E468FC"/>
    <w:rsid w:val="00E47E14"/>
    <w:rsid w:val="00E54730"/>
    <w:rsid w:val="00E600C6"/>
    <w:rsid w:val="00E86750"/>
    <w:rsid w:val="00E86D6C"/>
    <w:rsid w:val="00E87300"/>
    <w:rsid w:val="00E87A9E"/>
    <w:rsid w:val="00EA60FC"/>
    <w:rsid w:val="00EB3CC0"/>
    <w:rsid w:val="00EB41E6"/>
    <w:rsid w:val="00EB69B3"/>
    <w:rsid w:val="00ED39BE"/>
    <w:rsid w:val="00EE0EAB"/>
    <w:rsid w:val="00EE1912"/>
    <w:rsid w:val="00EF36B3"/>
    <w:rsid w:val="00EF4510"/>
    <w:rsid w:val="00EF7B28"/>
    <w:rsid w:val="00F200D7"/>
    <w:rsid w:val="00F23D68"/>
    <w:rsid w:val="00F26306"/>
    <w:rsid w:val="00F42211"/>
    <w:rsid w:val="00F72A48"/>
    <w:rsid w:val="00F82DD1"/>
    <w:rsid w:val="00F85D67"/>
    <w:rsid w:val="00F90CCB"/>
    <w:rsid w:val="00FB06DA"/>
    <w:rsid w:val="00FB568E"/>
    <w:rsid w:val="00FC2238"/>
    <w:rsid w:val="00FF1E38"/>
    <w:rsid w:val="00FF394D"/>
    <w:rsid w:val="00FF6FC2"/>
    <w:rsid w:val="012A08AC"/>
    <w:rsid w:val="01570AFC"/>
    <w:rsid w:val="02B22C12"/>
    <w:rsid w:val="050F15B5"/>
    <w:rsid w:val="053036F3"/>
    <w:rsid w:val="05311394"/>
    <w:rsid w:val="06C474F5"/>
    <w:rsid w:val="0780648A"/>
    <w:rsid w:val="0818560B"/>
    <w:rsid w:val="08913F8F"/>
    <w:rsid w:val="0932499B"/>
    <w:rsid w:val="094B6B72"/>
    <w:rsid w:val="09DB0171"/>
    <w:rsid w:val="0B37090B"/>
    <w:rsid w:val="0BF927CB"/>
    <w:rsid w:val="0D496E28"/>
    <w:rsid w:val="0D6D57B3"/>
    <w:rsid w:val="0D8749D3"/>
    <w:rsid w:val="0F4915BF"/>
    <w:rsid w:val="0F616947"/>
    <w:rsid w:val="0F6F59FF"/>
    <w:rsid w:val="1106543B"/>
    <w:rsid w:val="12191133"/>
    <w:rsid w:val="12305CD9"/>
    <w:rsid w:val="134C4128"/>
    <w:rsid w:val="13E92F74"/>
    <w:rsid w:val="148D1B59"/>
    <w:rsid w:val="16B91782"/>
    <w:rsid w:val="171B44A8"/>
    <w:rsid w:val="17393D6D"/>
    <w:rsid w:val="18C4570A"/>
    <w:rsid w:val="19542DA6"/>
    <w:rsid w:val="199E2BFC"/>
    <w:rsid w:val="1A8F255B"/>
    <w:rsid w:val="1ADD1B15"/>
    <w:rsid w:val="1B837AE5"/>
    <w:rsid w:val="1BDE230A"/>
    <w:rsid w:val="1E0972F3"/>
    <w:rsid w:val="1E836671"/>
    <w:rsid w:val="1ECE2D5A"/>
    <w:rsid w:val="1F2A29AB"/>
    <w:rsid w:val="1F896887"/>
    <w:rsid w:val="1F9D50D9"/>
    <w:rsid w:val="1FE329B7"/>
    <w:rsid w:val="1FF33A44"/>
    <w:rsid w:val="20E53413"/>
    <w:rsid w:val="21782C9F"/>
    <w:rsid w:val="226452E9"/>
    <w:rsid w:val="22FC03E0"/>
    <w:rsid w:val="24067AE2"/>
    <w:rsid w:val="246379FA"/>
    <w:rsid w:val="257614E7"/>
    <w:rsid w:val="25797DC7"/>
    <w:rsid w:val="26045E34"/>
    <w:rsid w:val="26292586"/>
    <w:rsid w:val="266816DC"/>
    <w:rsid w:val="26987F60"/>
    <w:rsid w:val="26BD2DDF"/>
    <w:rsid w:val="284C05FC"/>
    <w:rsid w:val="28762F33"/>
    <w:rsid w:val="28B808CB"/>
    <w:rsid w:val="290628D0"/>
    <w:rsid w:val="29B70A94"/>
    <w:rsid w:val="2A996019"/>
    <w:rsid w:val="2B9A751C"/>
    <w:rsid w:val="2C1B0419"/>
    <w:rsid w:val="2CA7585F"/>
    <w:rsid w:val="2CBA10A8"/>
    <w:rsid w:val="2CE43832"/>
    <w:rsid w:val="2D3C50DE"/>
    <w:rsid w:val="2D5532F1"/>
    <w:rsid w:val="2E1B7F66"/>
    <w:rsid w:val="2EF03A55"/>
    <w:rsid w:val="2FD24801"/>
    <w:rsid w:val="32D30EDF"/>
    <w:rsid w:val="33302434"/>
    <w:rsid w:val="34033F4B"/>
    <w:rsid w:val="34437DD9"/>
    <w:rsid w:val="34567163"/>
    <w:rsid w:val="346E2FE8"/>
    <w:rsid w:val="356603E9"/>
    <w:rsid w:val="367052F4"/>
    <w:rsid w:val="36A257D5"/>
    <w:rsid w:val="36BC67E1"/>
    <w:rsid w:val="37024698"/>
    <w:rsid w:val="388918ED"/>
    <w:rsid w:val="39203F6A"/>
    <w:rsid w:val="3A852DBB"/>
    <w:rsid w:val="3B201EEF"/>
    <w:rsid w:val="3BD3357D"/>
    <w:rsid w:val="3C7508C5"/>
    <w:rsid w:val="3C782D64"/>
    <w:rsid w:val="3CB90D7F"/>
    <w:rsid w:val="3D262A68"/>
    <w:rsid w:val="3E004139"/>
    <w:rsid w:val="3E39480C"/>
    <w:rsid w:val="3EC16DA1"/>
    <w:rsid w:val="3FC94ED0"/>
    <w:rsid w:val="3FFC028A"/>
    <w:rsid w:val="40454D22"/>
    <w:rsid w:val="40D8229B"/>
    <w:rsid w:val="4204010E"/>
    <w:rsid w:val="43026189"/>
    <w:rsid w:val="43AC1DA6"/>
    <w:rsid w:val="444C6ACE"/>
    <w:rsid w:val="44F679C4"/>
    <w:rsid w:val="4524562A"/>
    <w:rsid w:val="45467557"/>
    <w:rsid w:val="454C69C7"/>
    <w:rsid w:val="457C1B3E"/>
    <w:rsid w:val="45981F90"/>
    <w:rsid w:val="46606D15"/>
    <w:rsid w:val="46954F5C"/>
    <w:rsid w:val="46E61E1A"/>
    <w:rsid w:val="476F2680"/>
    <w:rsid w:val="478C21E1"/>
    <w:rsid w:val="481D24BB"/>
    <w:rsid w:val="48733F90"/>
    <w:rsid w:val="491F1034"/>
    <w:rsid w:val="4957571C"/>
    <w:rsid w:val="4A4E7F19"/>
    <w:rsid w:val="4A832020"/>
    <w:rsid w:val="4A9C4613"/>
    <w:rsid w:val="4AF31DB9"/>
    <w:rsid w:val="4B78421D"/>
    <w:rsid w:val="4B971913"/>
    <w:rsid w:val="4B9863A8"/>
    <w:rsid w:val="4BAD77B9"/>
    <w:rsid w:val="4C31517C"/>
    <w:rsid w:val="4C557D69"/>
    <w:rsid w:val="4DCF7C12"/>
    <w:rsid w:val="4E244613"/>
    <w:rsid w:val="4E3B4781"/>
    <w:rsid w:val="4E7656B4"/>
    <w:rsid w:val="4E8E0629"/>
    <w:rsid w:val="4E8F7643"/>
    <w:rsid w:val="500D2D95"/>
    <w:rsid w:val="50370EE4"/>
    <w:rsid w:val="515A516C"/>
    <w:rsid w:val="51EB1BDA"/>
    <w:rsid w:val="52552F2A"/>
    <w:rsid w:val="534360B5"/>
    <w:rsid w:val="53AB7DBC"/>
    <w:rsid w:val="54CD4CA6"/>
    <w:rsid w:val="553701CB"/>
    <w:rsid w:val="555558F6"/>
    <w:rsid w:val="55C82676"/>
    <w:rsid w:val="58FC68CD"/>
    <w:rsid w:val="59B21E13"/>
    <w:rsid w:val="59FF237B"/>
    <w:rsid w:val="5A44459C"/>
    <w:rsid w:val="5ADF7095"/>
    <w:rsid w:val="5B045119"/>
    <w:rsid w:val="5B31460E"/>
    <w:rsid w:val="5B5C7DD3"/>
    <w:rsid w:val="5B70039C"/>
    <w:rsid w:val="5BB360D7"/>
    <w:rsid w:val="5CBD2290"/>
    <w:rsid w:val="5CFA154D"/>
    <w:rsid w:val="5D0B2CCA"/>
    <w:rsid w:val="5E3C53E8"/>
    <w:rsid w:val="5E421A86"/>
    <w:rsid w:val="5E8A3CAC"/>
    <w:rsid w:val="5EB17168"/>
    <w:rsid w:val="5F121B42"/>
    <w:rsid w:val="5F25294E"/>
    <w:rsid w:val="5F2D2AF7"/>
    <w:rsid w:val="5FFB0335"/>
    <w:rsid w:val="60B94F1A"/>
    <w:rsid w:val="61502925"/>
    <w:rsid w:val="61E94E7B"/>
    <w:rsid w:val="61FD3E22"/>
    <w:rsid w:val="62465B2B"/>
    <w:rsid w:val="629C2237"/>
    <w:rsid w:val="62F738E6"/>
    <w:rsid w:val="642252DE"/>
    <w:rsid w:val="64736587"/>
    <w:rsid w:val="64847D85"/>
    <w:rsid w:val="64CD5000"/>
    <w:rsid w:val="651D0B6B"/>
    <w:rsid w:val="66B14967"/>
    <w:rsid w:val="66B830E3"/>
    <w:rsid w:val="67501270"/>
    <w:rsid w:val="68620242"/>
    <w:rsid w:val="68CF3DEA"/>
    <w:rsid w:val="69062E32"/>
    <w:rsid w:val="6A2C0FE7"/>
    <w:rsid w:val="6A507636"/>
    <w:rsid w:val="6A630604"/>
    <w:rsid w:val="6B1E13E6"/>
    <w:rsid w:val="6B6D6ED0"/>
    <w:rsid w:val="6B905925"/>
    <w:rsid w:val="6D986A17"/>
    <w:rsid w:val="6E047C14"/>
    <w:rsid w:val="6E2A5BE1"/>
    <w:rsid w:val="6E533D98"/>
    <w:rsid w:val="6F617AE8"/>
    <w:rsid w:val="709322BD"/>
    <w:rsid w:val="70AF383A"/>
    <w:rsid w:val="719C1066"/>
    <w:rsid w:val="71F54813"/>
    <w:rsid w:val="721E288C"/>
    <w:rsid w:val="72792FA3"/>
    <w:rsid w:val="72BE1B89"/>
    <w:rsid w:val="72EF05E5"/>
    <w:rsid w:val="737812F7"/>
    <w:rsid w:val="75225707"/>
    <w:rsid w:val="755A05F2"/>
    <w:rsid w:val="75AD0232"/>
    <w:rsid w:val="7665536D"/>
    <w:rsid w:val="787D7C4B"/>
    <w:rsid w:val="787F0979"/>
    <w:rsid w:val="795D3046"/>
    <w:rsid w:val="79AA5641"/>
    <w:rsid w:val="7ABE33A1"/>
    <w:rsid w:val="7AF942AA"/>
    <w:rsid w:val="7B4B37AC"/>
    <w:rsid w:val="7B8950A5"/>
    <w:rsid w:val="7C48001F"/>
    <w:rsid w:val="7DBC6A29"/>
    <w:rsid w:val="7DC9574D"/>
    <w:rsid w:val="7FC8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nhideWhenUsed="0" w:uiPriority="0" w:semiHidden="0" w:name="heading 3" w:locked="1"/>
    <w:lsdException w:qFormat="1" w:unhideWhenUsed="0" w:uiPriority="99" w:semiHidden="0" w:name="heading 4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qFormat="1" w:unhideWhenUsed="0" w:uiPriority="99" w:semiHidden="0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qFormat="1" w:unhideWhenUsed="0" w:uiPriority="99" w:semiHidden="0" w:name="Body Text 2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locked/>
    <w:uiPriority w:val="0"/>
    <w:pPr>
      <w:keepNext/>
      <w:keepLines/>
      <w:spacing w:line="240" w:lineRule="auto"/>
      <w:ind w:firstLine="0" w:firstLineChars="0"/>
      <w:jc w:val="center"/>
      <w:outlineLvl w:val="2"/>
    </w:pPr>
    <w:rPr>
      <w:b/>
    </w:rPr>
  </w:style>
  <w:style w:type="paragraph" w:styleId="3">
    <w:name w:val="heading 4"/>
    <w:basedOn w:val="1"/>
    <w:next w:val="1"/>
    <w:link w:val="19"/>
    <w:qFormat/>
    <w:uiPriority w:val="99"/>
    <w:pPr>
      <w:keepNext/>
      <w:keepLines/>
      <w:spacing w:before="120" w:after="120"/>
      <w:ind w:firstLine="200" w:firstLineChars="200"/>
      <w:outlineLvl w:val="3"/>
    </w:pPr>
    <w:rPr>
      <w:rFonts w:ascii="宋体" w:hAnsi="Arial"/>
      <w:b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21"/>
    <w:qFormat/>
    <w:uiPriority w:val="99"/>
    <w:rPr>
      <w:sz w:val="24"/>
    </w:rPr>
  </w:style>
  <w:style w:type="paragraph" w:styleId="5">
    <w:name w:val="Body Text Indent"/>
    <w:basedOn w:val="1"/>
    <w:link w:val="22"/>
    <w:qFormat/>
    <w:uiPriority w:val="99"/>
    <w:pPr>
      <w:ind w:firstLine="600"/>
    </w:pPr>
    <w:rPr>
      <w:sz w:val="30"/>
    </w:rPr>
  </w:style>
  <w:style w:type="paragraph" w:styleId="6">
    <w:name w:val="Date"/>
    <w:basedOn w:val="1"/>
    <w:next w:val="1"/>
    <w:link w:val="23"/>
    <w:qFormat/>
    <w:uiPriority w:val="99"/>
    <w:pPr>
      <w:ind w:left="100" w:leftChars="2500"/>
    </w:pPr>
  </w:style>
  <w:style w:type="paragraph" w:styleId="7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envelope return"/>
    <w:basedOn w:val="1"/>
    <w:qFormat/>
    <w:locked/>
    <w:uiPriority w:val="99"/>
    <w:pPr>
      <w:snapToGrid w:val="0"/>
    </w:pPr>
    <w:rPr>
      <w:rFonts w:ascii="Arial" w:hAnsi="Arial" w:eastAsia="宋体" w:cs="Arial"/>
      <w:sz w:val="21"/>
      <w:szCs w:val="21"/>
    </w:rPr>
  </w:style>
  <w:style w:type="paragraph" w:styleId="9">
    <w:name w:val="header"/>
    <w:basedOn w:val="1"/>
    <w:next w:val="4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next w:val="1"/>
    <w:link w:val="20"/>
    <w:qFormat/>
    <w:uiPriority w:val="99"/>
    <w:pPr>
      <w:spacing w:after="120" w:line="480" w:lineRule="auto"/>
    </w:pPr>
  </w:style>
  <w:style w:type="paragraph" w:styleId="11">
    <w:name w:val="Body Text First Indent"/>
    <w:basedOn w:val="1"/>
    <w:link w:val="26"/>
    <w:qFormat/>
    <w:uiPriority w:val="99"/>
    <w:pPr>
      <w:ind w:firstLine="420" w:firstLineChars="100"/>
    </w:pPr>
  </w:style>
  <w:style w:type="paragraph" w:styleId="12">
    <w:name w:val="Body Text First Indent 2"/>
    <w:basedOn w:val="5"/>
    <w:next w:val="1"/>
    <w:link w:val="27"/>
    <w:qFormat/>
    <w:uiPriority w:val="99"/>
    <w:pPr>
      <w:ind w:firstLine="420"/>
    </w:pPr>
  </w:style>
  <w:style w:type="table" w:styleId="14">
    <w:name w:val="Table Grid"/>
    <w:basedOn w:val="1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99"/>
    <w:rPr>
      <w:rFonts w:cs="Times New Roman"/>
    </w:rPr>
  </w:style>
  <w:style w:type="paragraph" w:customStyle="1" w:styleId="17">
    <w:name w:val="标号正文"/>
    <w:basedOn w:val="1"/>
    <w:next w:val="1"/>
    <w:qFormat/>
    <w:uiPriority w:val="99"/>
    <w:pPr>
      <w:tabs>
        <w:tab w:val="left" w:pos="1540"/>
      </w:tabs>
      <w:overflowPunct w:val="0"/>
      <w:snapToGrid w:val="0"/>
      <w:spacing w:line="360" w:lineRule="auto"/>
      <w:ind w:firstLine="1040"/>
      <w:jc w:val="left"/>
    </w:pPr>
    <w:rPr>
      <w:rFonts w:ascii="Arial" w:hAnsi="Arial"/>
      <w:sz w:val="24"/>
      <w:szCs w:val="20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19">
    <w:name w:val="标题 4 字符"/>
    <w:link w:val="3"/>
    <w:semiHidden/>
    <w:qFormat/>
    <w:locked/>
    <w:uiPriority w:val="99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20">
    <w:name w:val="正文文本 2 字符"/>
    <w:link w:val="10"/>
    <w:semiHidden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21">
    <w:name w:val="正文文本 字符"/>
    <w:link w:val="4"/>
    <w:semiHidden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22">
    <w:name w:val="正文文本缩进 字符"/>
    <w:link w:val="5"/>
    <w:semiHidden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23">
    <w:name w:val="日期 字符"/>
    <w:link w:val="6"/>
    <w:semiHidden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24">
    <w:name w:val="页脚 字符"/>
    <w:link w:val="7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5">
    <w:name w:val="页眉 字符"/>
    <w:link w:val="9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6">
    <w:name w:val="正文文本首行缩进 字符"/>
    <w:link w:val="11"/>
    <w:semiHidden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27">
    <w:name w:val="正文文本首行缩进 2 字符"/>
    <w:link w:val="12"/>
    <w:semiHidden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28">
    <w:name w:val="apple-converted-space"/>
    <w:qFormat/>
    <w:uiPriority w:val="99"/>
    <w:rPr>
      <w:rFonts w:cs="Times New Roman"/>
    </w:rPr>
  </w:style>
  <w:style w:type="paragraph" w:customStyle="1" w:styleId="29">
    <w:name w:val="Char"/>
    <w:basedOn w:val="1"/>
    <w:qFormat/>
    <w:uiPriority w:val="99"/>
  </w:style>
  <w:style w:type="paragraph" w:customStyle="1" w:styleId="30">
    <w:name w:val="Char Char Char1 Char"/>
    <w:basedOn w:val="1"/>
    <w:qFormat/>
    <w:uiPriority w:val="99"/>
  </w:style>
  <w:style w:type="paragraph" w:customStyle="1" w:styleId="31">
    <w:name w:val="1正文段落"/>
    <w:basedOn w:val="1"/>
    <w:qFormat/>
    <w:uiPriority w:val="99"/>
    <w:pPr>
      <w:spacing w:line="360" w:lineRule="auto"/>
      <w:ind w:firstLine="480" w:firstLineChars="200"/>
      <w:jc w:val="left"/>
    </w:pPr>
    <w:rPr>
      <w:kern w:val="0"/>
      <w:sz w:val="24"/>
    </w:rPr>
  </w:style>
  <w:style w:type="paragraph" w:customStyle="1" w:styleId="32">
    <w:name w:val="_Style 2"/>
    <w:basedOn w:val="1"/>
    <w:qFormat/>
    <w:uiPriority w:val="99"/>
    <w:pPr>
      <w:spacing w:line="351" w:lineRule="atLeast"/>
      <w:ind w:firstLine="623"/>
      <w:textAlignment w:val="baseline"/>
    </w:pPr>
    <w:rPr>
      <w:rFonts w:ascii="Times New Roman" w:hAnsi="Times New Roman" w:eastAsia="仿宋_GB2312" w:cs="Times New Roman"/>
      <w:color w:val="000000"/>
      <w:sz w:val="31"/>
      <w:szCs w:val="31"/>
    </w:rPr>
  </w:style>
  <w:style w:type="paragraph" w:customStyle="1" w:styleId="33">
    <w:name w:val="报告表正文"/>
    <w:basedOn w:val="1"/>
    <w:autoRedefine/>
    <w:qFormat/>
    <w:uiPriority w:val="99"/>
    <w:pPr>
      <w:spacing w:line="360" w:lineRule="auto"/>
      <w:ind w:firstLine="200"/>
    </w:pPr>
    <w:rPr>
      <w:rFonts w:ascii="Calibri" w:hAnsi="Calibri"/>
      <w:kern w:val="0"/>
      <w:sz w:val="20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1414</Words>
  <Characters>1560</Characters>
  <Lines>7</Lines>
  <Paragraphs>2</Paragraphs>
  <TotalTime>18</TotalTime>
  <ScaleCrop>false</ScaleCrop>
  <LinksUpToDate>false</LinksUpToDate>
  <CharactersWithSpaces>5954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2022-03-07T08:39:00Z</dcterms:created>
  <dc:creator>zf</dc:creator>
  <cp:lastModifiedBy>三生万物</cp:lastModifiedBy>
  <cp:lastPrinted>2024-07-09T06:44:00Z</cp:lastPrinted>
  <dcterms:modified xsi:type="dcterms:W3CDTF">2025-10-16T00:28:25Z</dcterms:modified>
  <dc:title>金环管[2012]13号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F572429D3121470DAC121DF1AC9461FE_13</vt:lpwstr>
  </property>
  <property fmtid="{D5CDD505-2E9C-101B-9397-08002B2CF9AE}" pid="4" name="commondata">
    <vt:lpwstr>eyJoZGlkIjoiNjcwMDA0NzFiMGFjNmYzMjdjMDNiMDNkMWVmMDFjZTEifQ==</vt:lpwstr>
  </property>
  <property fmtid="{D5CDD505-2E9C-101B-9397-08002B2CF9AE}" pid="5" name="KSOTemplateDocerSaveRecord">
    <vt:lpwstr>eyJoZGlkIjoiZWYwNGQ1Yjk0YTRiZDA0ODk5NTM3MzM2ZTcxMjcyNTYiLCJ1c2VySWQiOiI4Njg3MzU3MzIifQ==</vt:lpwstr>
  </property>
</Properties>
</file>