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D41289A">
      <w:pPr>
        <w:adjustRightInd w:val="0"/>
        <w:snapToGrid w:val="0"/>
        <w:spacing w:line="288" w:lineRule="auto"/>
        <w:ind w:firstLine="1040"/>
        <w:rPr>
          <w:rFonts w:hint="default" w:ascii="Times New Roman" w:hAnsi="Times New Roman" w:eastAsia="宋体" w:cs="Times New Roman"/>
          <w:color w:val="auto"/>
          <w:sz w:val="36"/>
          <w:szCs w:val="36"/>
          <w:u w:val="single"/>
        </w:rPr>
      </w:pPr>
    </w:p>
    <w:p w14:paraId="353C5494">
      <w:pPr>
        <w:adjustRightInd w:val="0"/>
        <w:snapToGrid w:val="0"/>
        <w:spacing w:line="288" w:lineRule="auto"/>
        <w:ind w:firstLine="1040"/>
        <w:rPr>
          <w:rFonts w:hint="default" w:ascii="Times New Roman" w:hAnsi="Times New Roman" w:eastAsia="宋体" w:cs="Times New Roman"/>
          <w:color w:val="auto"/>
          <w:sz w:val="36"/>
          <w:szCs w:val="36"/>
          <w:u w:val="single"/>
        </w:rPr>
      </w:pPr>
    </w:p>
    <w:p w14:paraId="07A69E13">
      <w:pPr>
        <w:adjustRightInd w:val="0"/>
        <w:snapToGrid w:val="0"/>
        <w:spacing w:line="288" w:lineRule="auto"/>
        <w:ind w:firstLine="1040"/>
        <w:rPr>
          <w:rFonts w:hint="default" w:ascii="Times New Roman" w:hAnsi="Times New Roman" w:eastAsia="宋体" w:cs="Times New Roman"/>
          <w:color w:val="auto"/>
          <w:sz w:val="36"/>
          <w:szCs w:val="36"/>
          <w:u w:val="single"/>
        </w:rPr>
      </w:pPr>
    </w:p>
    <w:p w14:paraId="33918597">
      <w:pPr>
        <w:adjustRightInd w:val="0"/>
        <w:snapToGrid w:val="0"/>
        <w:jc w:val="center"/>
        <w:outlineLvl w:val="0"/>
        <w:rPr>
          <w:rFonts w:hint="default" w:ascii="Times New Roman" w:hAnsi="Times New Roman" w:eastAsia="宋体" w:cs="Times New Roman"/>
          <w:bCs/>
          <w:color w:val="auto"/>
          <w:sz w:val="72"/>
          <w:szCs w:val="72"/>
        </w:rPr>
      </w:pPr>
      <w:bookmarkStart w:id="0" w:name="_Toc12160"/>
      <w:bookmarkStart w:id="1" w:name="_Toc14882"/>
      <w:bookmarkStart w:id="2" w:name="_Toc2548"/>
      <w:bookmarkStart w:id="3" w:name="_Toc15673"/>
      <w:bookmarkStart w:id="4" w:name="_Toc19201"/>
      <w:r>
        <w:rPr>
          <w:rFonts w:hint="default" w:ascii="Times New Roman" w:hAnsi="Times New Roman" w:eastAsia="宋体" w:cs="Times New Roman"/>
          <w:bCs/>
          <w:color w:val="auto"/>
          <w:sz w:val="72"/>
          <w:szCs w:val="72"/>
        </w:rPr>
        <w:t>建设项目环境影响报告表</w:t>
      </w:r>
      <w:bookmarkEnd w:id="0"/>
      <w:bookmarkEnd w:id="1"/>
      <w:bookmarkEnd w:id="2"/>
      <w:bookmarkEnd w:id="3"/>
      <w:bookmarkEnd w:id="4"/>
    </w:p>
    <w:p w14:paraId="5F423E01">
      <w:pPr>
        <w:adjustRightInd w:val="0"/>
        <w:snapToGrid w:val="0"/>
        <w:spacing w:before="192" w:beforeLines="80"/>
        <w:jc w:val="center"/>
        <w:rPr>
          <w:rFonts w:hint="default" w:ascii="Times New Roman" w:hAnsi="Times New Roman" w:eastAsia="宋体" w:cs="Times New Roman"/>
          <w:bCs/>
          <w:color w:val="auto"/>
          <w:sz w:val="48"/>
          <w:szCs w:val="48"/>
        </w:rPr>
      </w:pPr>
      <w:r>
        <w:rPr>
          <w:rFonts w:hint="default" w:ascii="Times New Roman" w:hAnsi="Times New Roman" w:eastAsia="宋体" w:cs="Times New Roman"/>
          <w:bCs/>
          <w:color w:val="auto"/>
          <w:sz w:val="48"/>
          <w:szCs w:val="48"/>
        </w:rPr>
        <w:t>（</w:t>
      </w:r>
      <w:r>
        <w:rPr>
          <w:rFonts w:hint="default" w:ascii="Times New Roman" w:hAnsi="Times New Roman" w:eastAsia="楷体_GB2312" w:cs="Times New Roman"/>
          <w:bCs/>
          <w:color w:val="auto"/>
          <w:sz w:val="48"/>
          <w:szCs w:val="48"/>
        </w:rPr>
        <w:t>生态影响类</w:t>
      </w:r>
      <w:r>
        <w:rPr>
          <w:rFonts w:hint="default" w:ascii="Times New Roman" w:hAnsi="Times New Roman" w:eastAsia="宋体" w:cs="Times New Roman"/>
          <w:bCs/>
          <w:color w:val="auto"/>
          <w:sz w:val="48"/>
          <w:szCs w:val="48"/>
        </w:rPr>
        <w:t>）</w:t>
      </w:r>
    </w:p>
    <w:p w14:paraId="699427D5">
      <w:pPr>
        <w:adjustRightInd w:val="0"/>
        <w:snapToGrid w:val="0"/>
        <w:spacing w:line="288" w:lineRule="auto"/>
        <w:ind w:firstLine="1040"/>
        <w:rPr>
          <w:rFonts w:hint="default" w:ascii="Times New Roman" w:hAnsi="Times New Roman" w:eastAsia="宋体" w:cs="Times New Roman"/>
          <w:color w:val="auto"/>
          <w:sz w:val="36"/>
          <w:szCs w:val="36"/>
          <w:u w:val="single"/>
        </w:rPr>
      </w:pPr>
    </w:p>
    <w:p w14:paraId="7583F980">
      <w:pPr>
        <w:adjustRightInd w:val="0"/>
        <w:snapToGrid w:val="0"/>
        <w:spacing w:line="288" w:lineRule="auto"/>
        <w:ind w:firstLine="1040"/>
        <w:rPr>
          <w:rFonts w:hint="default" w:ascii="Times New Roman" w:hAnsi="Times New Roman" w:eastAsia="宋体" w:cs="Times New Roman"/>
          <w:color w:val="auto"/>
          <w:sz w:val="36"/>
          <w:szCs w:val="36"/>
          <w:u w:val="single"/>
        </w:rPr>
      </w:pPr>
    </w:p>
    <w:p w14:paraId="18A48196">
      <w:pPr>
        <w:adjustRightInd w:val="0"/>
        <w:snapToGrid w:val="0"/>
        <w:spacing w:line="288" w:lineRule="auto"/>
        <w:ind w:firstLine="1040"/>
        <w:rPr>
          <w:rFonts w:hint="default" w:ascii="Times New Roman" w:hAnsi="Times New Roman" w:eastAsia="宋体" w:cs="Times New Roman"/>
          <w:color w:val="auto"/>
          <w:sz w:val="36"/>
          <w:szCs w:val="36"/>
          <w:u w:val="single"/>
        </w:rPr>
      </w:pPr>
    </w:p>
    <w:p w14:paraId="2615FC8F">
      <w:pPr>
        <w:adjustRightInd w:val="0"/>
        <w:snapToGrid w:val="0"/>
        <w:spacing w:line="288" w:lineRule="auto"/>
        <w:ind w:firstLine="1040"/>
        <w:rPr>
          <w:rFonts w:hint="default" w:ascii="Times New Roman" w:hAnsi="Times New Roman" w:eastAsia="宋体" w:cs="Times New Roman"/>
          <w:color w:val="auto"/>
          <w:sz w:val="36"/>
          <w:szCs w:val="36"/>
          <w:u w:val="single"/>
        </w:rPr>
      </w:pPr>
    </w:p>
    <w:p w14:paraId="4BB7650D">
      <w:pPr>
        <w:adjustRightInd w:val="0"/>
        <w:snapToGrid w:val="0"/>
        <w:spacing w:line="288" w:lineRule="auto"/>
        <w:ind w:firstLine="1040"/>
        <w:rPr>
          <w:rFonts w:hint="default" w:ascii="Times New Roman" w:hAnsi="Times New Roman" w:eastAsia="宋体" w:cs="Times New Roman"/>
          <w:color w:val="auto"/>
          <w:sz w:val="36"/>
          <w:szCs w:val="36"/>
          <w:u w:val="single"/>
        </w:rPr>
      </w:pPr>
    </w:p>
    <w:p w14:paraId="758C2F4E">
      <w:pPr>
        <w:adjustRightInd w:val="0"/>
        <w:snapToGrid w:val="0"/>
        <w:spacing w:line="288" w:lineRule="auto"/>
        <w:ind w:firstLine="1040"/>
        <w:rPr>
          <w:rFonts w:hint="default" w:ascii="Times New Roman" w:hAnsi="Times New Roman" w:eastAsia="宋体" w:cs="Times New Roman"/>
          <w:color w:val="auto"/>
          <w:sz w:val="36"/>
          <w:szCs w:val="36"/>
          <w:u w:val="single"/>
        </w:rPr>
      </w:pPr>
    </w:p>
    <w:p w14:paraId="280BF873">
      <w:pPr>
        <w:adjustRightInd w:val="0"/>
        <w:snapToGrid w:val="0"/>
        <w:spacing w:line="288" w:lineRule="auto"/>
        <w:ind w:firstLine="1040"/>
        <w:rPr>
          <w:rFonts w:hint="default" w:ascii="Times New Roman" w:hAnsi="Times New Roman" w:eastAsia="宋体" w:cs="Times New Roman"/>
          <w:color w:val="auto"/>
          <w:sz w:val="36"/>
          <w:szCs w:val="36"/>
          <w:u w:val="single"/>
        </w:rPr>
      </w:pPr>
    </w:p>
    <w:p w14:paraId="3F0AAEBB">
      <w:pPr>
        <w:adjustRightInd w:val="0"/>
        <w:snapToGrid w:val="0"/>
        <w:spacing w:line="288" w:lineRule="auto"/>
        <w:ind w:firstLine="1040"/>
        <w:rPr>
          <w:rFonts w:hint="default" w:ascii="Times New Roman" w:hAnsi="Times New Roman" w:eastAsia="宋体" w:cs="Times New Roman"/>
          <w:color w:val="auto"/>
          <w:sz w:val="36"/>
          <w:szCs w:val="36"/>
          <w:u w:val="single"/>
        </w:rPr>
      </w:pPr>
    </w:p>
    <w:p w14:paraId="1DBB753D">
      <w:pPr>
        <w:adjustRightInd w:val="0"/>
        <w:snapToGrid w:val="0"/>
        <w:spacing w:line="288" w:lineRule="auto"/>
        <w:ind w:firstLine="1040"/>
        <w:rPr>
          <w:rFonts w:hint="default" w:ascii="Times New Roman" w:hAnsi="Times New Roman" w:eastAsia="宋体" w:cs="Times New Roman"/>
          <w:color w:val="auto"/>
          <w:sz w:val="36"/>
          <w:szCs w:val="36"/>
          <w:u w:val="single"/>
        </w:rPr>
      </w:pPr>
    </w:p>
    <w:p w14:paraId="28136DA8">
      <w:pPr>
        <w:adjustRightInd w:val="0"/>
        <w:snapToGrid w:val="0"/>
        <w:spacing w:line="288" w:lineRule="auto"/>
        <w:ind w:firstLine="1040"/>
        <w:rPr>
          <w:rFonts w:hint="default" w:ascii="Times New Roman" w:hAnsi="Times New Roman" w:eastAsia="宋体" w:cs="Times New Roman"/>
          <w:color w:val="auto"/>
          <w:sz w:val="36"/>
          <w:szCs w:val="36"/>
          <w:u w:val="single"/>
        </w:rPr>
      </w:pPr>
    </w:p>
    <w:tbl>
      <w:tblPr>
        <w:tblStyle w:val="30"/>
        <w:tblW w:w="4982"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640"/>
        <w:gridCol w:w="6387"/>
      </w:tblGrid>
      <w:tr w14:paraId="4447E0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640" w:type="dxa"/>
            <w:noWrap w:val="0"/>
            <w:vAlign w:val="center"/>
          </w:tcPr>
          <w:p w14:paraId="4913973E">
            <w:pPr>
              <w:adjustRightInd w:val="0"/>
              <w:snapToGrid w:val="0"/>
              <w:spacing w:line="360" w:lineRule="auto"/>
              <w:rPr>
                <w:rFonts w:hint="default" w:ascii="Times New Roman" w:hAnsi="Times New Roman" w:eastAsia="宋体" w:cs="Times New Roman"/>
                <w:color w:val="auto"/>
                <w:sz w:val="32"/>
                <w:szCs w:val="32"/>
                <w:u w:val="single"/>
                <w:vertAlign w:val="baseline"/>
              </w:rPr>
            </w:pPr>
            <w:r>
              <w:rPr>
                <w:rFonts w:hint="default" w:ascii="Times New Roman" w:hAnsi="Times New Roman" w:eastAsia="宋体" w:cs="Times New Roman"/>
                <w:b/>
                <w:bCs/>
                <w:color w:val="auto"/>
                <w:sz w:val="28"/>
                <w:szCs w:val="28"/>
              </w:rPr>
              <w:t>项</w:t>
            </w:r>
            <w:r>
              <w:rPr>
                <w:rFonts w:hint="default" w:ascii="Times New Roman" w:hAnsi="Times New Roman" w:eastAsia="宋体" w:cs="Times New Roman"/>
                <w:b/>
                <w:bCs/>
                <w:color w:val="auto"/>
                <w:sz w:val="28"/>
                <w:szCs w:val="28"/>
                <w:lang w:val="en-US" w:eastAsia="zh-CN"/>
              </w:rPr>
              <w:t xml:space="preserve">  </w:t>
            </w:r>
            <w:r>
              <w:rPr>
                <w:rFonts w:hint="default" w:ascii="Times New Roman" w:hAnsi="Times New Roman" w:eastAsia="宋体" w:cs="Times New Roman"/>
                <w:b/>
                <w:bCs/>
                <w:color w:val="auto"/>
                <w:sz w:val="28"/>
                <w:szCs w:val="28"/>
              </w:rPr>
              <w:t>目</w:t>
            </w:r>
            <w:r>
              <w:rPr>
                <w:rFonts w:hint="default" w:ascii="Times New Roman" w:hAnsi="Times New Roman" w:eastAsia="宋体" w:cs="Times New Roman"/>
                <w:b/>
                <w:bCs/>
                <w:color w:val="auto"/>
                <w:sz w:val="28"/>
                <w:szCs w:val="28"/>
                <w:lang w:val="en-US" w:eastAsia="zh-CN"/>
              </w:rPr>
              <w:t xml:space="preserve">  </w:t>
            </w:r>
            <w:r>
              <w:rPr>
                <w:rFonts w:hint="default" w:ascii="Times New Roman" w:hAnsi="Times New Roman" w:eastAsia="宋体" w:cs="Times New Roman"/>
                <w:b/>
                <w:bCs/>
                <w:color w:val="auto"/>
                <w:sz w:val="28"/>
                <w:szCs w:val="28"/>
              </w:rPr>
              <w:t>名</w:t>
            </w:r>
            <w:r>
              <w:rPr>
                <w:rFonts w:hint="default" w:ascii="Times New Roman" w:hAnsi="Times New Roman" w:eastAsia="宋体" w:cs="Times New Roman"/>
                <w:b/>
                <w:bCs/>
                <w:color w:val="auto"/>
                <w:sz w:val="28"/>
                <w:szCs w:val="28"/>
                <w:lang w:val="en-US" w:eastAsia="zh-CN"/>
              </w:rPr>
              <w:t xml:space="preserve">   </w:t>
            </w:r>
            <w:r>
              <w:rPr>
                <w:rFonts w:hint="default" w:ascii="Times New Roman" w:hAnsi="Times New Roman" w:eastAsia="宋体" w:cs="Times New Roman"/>
                <w:b/>
                <w:bCs/>
                <w:color w:val="auto"/>
                <w:sz w:val="28"/>
                <w:szCs w:val="28"/>
              </w:rPr>
              <w:t>称：</w:t>
            </w:r>
          </w:p>
        </w:tc>
        <w:tc>
          <w:tcPr>
            <w:tcW w:w="6388" w:type="dxa"/>
            <w:noWrap w:val="0"/>
            <w:vAlign w:val="center"/>
          </w:tcPr>
          <w:p w14:paraId="674E9A76">
            <w:pPr>
              <w:adjustRightInd w:val="0"/>
              <w:snapToGrid w:val="0"/>
              <w:spacing w:line="360" w:lineRule="auto"/>
              <w:jc w:val="left"/>
              <w:rPr>
                <w:rFonts w:hint="default" w:ascii="Times New Roman" w:hAnsi="Times New Roman" w:eastAsia="宋体" w:cs="Times New Roman"/>
                <w:color w:val="auto"/>
                <w:sz w:val="32"/>
                <w:szCs w:val="32"/>
                <w:u w:val="single"/>
                <w:vertAlign w:val="baseline"/>
                <w:lang w:val="en-US"/>
              </w:rPr>
            </w:pPr>
            <w:r>
              <w:rPr>
                <w:rFonts w:hint="eastAsia" w:ascii="Times New Roman" w:hAnsi="Times New Roman" w:eastAsia="宋体" w:cs="Times New Roman"/>
                <w:b/>
                <w:bCs/>
                <w:color w:val="auto"/>
                <w:sz w:val="28"/>
                <w:szCs w:val="28"/>
                <w:u w:val="single"/>
                <w:lang w:val="en-US" w:eastAsia="zh-CN"/>
              </w:rPr>
              <w:t>金寨县关庙乡沙坪沟至蔡家湾公路升级改造工程</w:t>
            </w:r>
            <w:r>
              <w:rPr>
                <w:rFonts w:hint="default" w:ascii="Times New Roman" w:hAnsi="Times New Roman" w:eastAsia="宋体" w:cs="Times New Roman"/>
                <w:b/>
                <w:bCs/>
                <w:color w:val="auto"/>
                <w:sz w:val="28"/>
                <w:szCs w:val="28"/>
                <w:u w:val="single"/>
                <w:lang w:val="en-US" w:eastAsia="zh-CN"/>
              </w:rPr>
              <w:t xml:space="preserve"> </w:t>
            </w:r>
          </w:p>
        </w:tc>
      </w:tr>
      <w:tr w14:paraId="295A2F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640" w:type="dxa"/>
            <w:noWrap w:val="0"/>
            <w:vAlign w:val="center"/>
          </w:tcPr>
          <w:p w14:paraId="09E2A350">
            <w:pPr>
              <w:adjustRightInd w:val="0"/>
              <w:snapToGrid w:val="0"/>
              <w:spacing w:line="360" w:lineRule="auto"/>
              <w:rPr>
                <w:rFonts w:hint="default" w:ascii="Times New Roman" w:hAnsi="Times New Roman" w:eastAsia="宋体" w:cs="Times New Roman"/>
                <w:color w:val="auto"/>
                <w:sz w:val="32"/>
                <w:szCs w:val="32"/>
                <w:u w:val="single"/>
                <w:vertAlign w:val="baseline"/>
              </w:rPr>
            </w:pPr>
            <w:r>
              <w:rPr>
                <w:rFonts w:hint="default" w:ascii="Times New Roman" w:hAnsi="Times New Roman" w:eastAsia="宋体" w:cs="Times New Roman"/>
                <w:b/>
                <w:bCs/>
                <w:color w:val="auto"/>
                <w:sz w:val="28"/>
                <w:szCs w:val="28"/>
              </w:rPr>
              <w:t>建设单位（盖章）：</w:t>
            </w:r>
          </w:p>
        </w:tc>
        <w:tc>
          <w:tcPr>
            <w:tcW w:w="6388" w:type="dxa"/>
            <w:noWrap w:val="0"/>
            <w:vAlign w:val="center"/>
          </w:tcPr>
          <w:p w14:paraId="18330D8A">
            <w:pPr>
              <w:adjustRightInd w:val="0"/>
              <w:snapToGrid w:val="0"/>
              <w:spacing w:line="360" w:lineRule="auto"/>
              <w:jc w:val="left"/>
              <w:rPr>
                <w:rFonts w:hint="default" w:ascii="Times New Roman" w:hAnsi="Times New Roman" w:eastAsia="宋体" w:cs="Times New Roman"/>
                <w:color w:val="auto"/>
                <w:sz w:val="32"/>
                <w:szCs w:val="32"/>
                <w:u w:val="single"/>
                <w:vertAlign w:val="baseline"/>
                <w:lang w:val="en-US"/>
              </w:rPr>
            </w:pPr>
            <w:r>
              <w:rPr>
                <w:rFonts w:hint="default" w:ascii="Times New Roman" w:hAnsi="Times New Roman" w:eastAsia="宋体" w:cs="Times New Roman"/>
                <w:b/>
                <w:bCs/>
                <w:color w:val="auto"/>
                <w:sz w:val="28"/>
                <w:szCs w:val="28"/>
                <w:u w:val="single"/>
                <w:lang w:val="en-US" w:eastAsia="zh-CN"/>
              </w:rPr>
              <w:t xml:space="preserve">       </w:t>
            </w:r>
            <w:r>
              <w:rPr>
                <w:rFonts w:hint="eastAsia" w:ascii="Times New Roman" w:hAnsi="Times New Roman" w:eastAsia="宋体" w:cs="Times New Roman"/>
                <w:b/>
                <w:bCs/>
                <w:color w:val="auto"/>
                <w:sz w:val="28"/>
                <w:szCs w:val="28"/>
                <w:u w:val="single"/>
                <w:lang w:val="en-US" w:eastAsia="zh-CN"/>
              </w:rPr>
              <w:t xml:space="preserve">  </w:t>
            </w:r>
            <w:r>
              <w:rPr>
                <w:rFonts w:hint="default" w:ascii="Times New Roman" w:hAnsi="Times New Roman" w:eastAsia="宋体" w:cs="Times New Roman"/>
                <w:b/>
                <w:bCs/>
                <w:color w:val="auto"/>
                <w:sz w:val="28"/>
                <w:szCs w:val="28"/>
                <w:u w:val="single"/>
                <w:lang w:val="en-US" w:eastAsia="zh-CN"/>
              </w:rPr>
              <w:t xml:space="preserve">  </w:t>
            </w:r>
            <w:r>
              <w:rPr>
                <w:rFonts w:hint="eastAsia" w:ascii="Times New Roman" w:hAnsi="Times New Roman" w:eastAsia="宋体" w:cs="Times New Roman"/>
                <w:b/>
                <w:bCs/>
                <w:color w:val="auto"/>
                <w:sz w:val="28"/>
                <w:szCs w:val="28"/>
                <w:u w:val="single"/>
                <w:lang w:val="en-US" w:eastAsia="zh-CN"/>
              </w:rPr>
              <w:t xml:space="preserve"> 金寨县关庙乡人民政府</w:t>
            </w:r>
            <w:r>
              <w:rPr>
                <w:rFonts w:hint="default" w:ascii="Times New Roman" w:hAnsi="Times New Roman" w:eastAsia="宋体" w:cs="Times New Roman"/>
                <w:b/>
                <w:bCs/>
                <w:color w:val="auto"/>
                <w:sz w:val="28"/>
                <w:szCs w:val="28"/>
                <w:u w:val="single"/>
                <w:lang w:val="en-US" w:eastAsia="zh-CN"/>
              </w:rPr>
              <w:t xml:space="preserve">  </w:t>
            </w:r>
            <w:r>
              <w:rPr>
                <w:rFonts w:hint="eastAsia" w:ascii="Times New Roman" w:hAnsi="Times New Roman" w:eastAsia="宋体" w:cs="Times New Roman"/>
                <w:b/>
                <w:bCs/>
                <w:color w:val="auto"/>
                <w:sz w:val="28"/>
                <w:szCs w:val="28"/>
                <w:u w:val="single"/>
                <w:lang w:val="en-US" w:eastAsia="zh-CN"/>
              </w:rPr>
              <w:t xml:space="preserve">  </w:t>
            </w:r>
            <w:r>
              <w:rPr>
                <w:rFonts w:hint="default" w:ascii="Times New Roman" w:hAnsi="Times New Roman" w:eastAsia="宋体" w:cs="Times New Roman"/>
                <w:b/>
                <w:bCs/>
                <w:color w:val="auto"/>
                <w:sz w:val="28"/>
                <w:szCs w:val="28"/>
                <w:u w:val="single"/>
                <w:lang w:val="en-US" w:eastAsia="zh-CN"/>
              </w:rPr>
              <w:t xml:space="preserve">       </w:t>
            </w:r>
          </w:p>
        </w:tc>
      </w:tr>
      <w:tr w14:paraId="57EE8B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640" w:type="dxa"/>
            <w:noWrap w:val="0"/>
            <w:vAlign w:val="center"/>
          </w:tcPr>
          <w:p w14:paraId="780CD00C">
            <w:pPr>
              <w:adjustRightInd w:val="0"/>
              <w:snapToGrid w:val="0"/>
              <w:spacing w:line="360" w:lineRule="auto"/>
              <w:rPr>
                <w:rFonts w:hint="default" w:ascii="Times New Roman" w:hAnsi="Times New Roman" w:eastAsia="宋体" w:cs="Times New Roman"/>
                <w:color w:val="auto"/>
                <w:sz w:val="32"/>
                <w:szCs w:val="32"/>
                <w:u w:val="single"/>
                <w:vertAlign w:val="baseline"/>
              </w:rPr>
            </w:pPr>
            <w:r>
              <w:rPr>
                <w:rFonts w:hint="default" w:ascii="Times New Roman" w:hAnsi="Times New Roman" w:eastAsia="宋体" w:cs="Times New Roman"/>
                <w:b/>
                <w:bCs/>
                <w:color w:val="auto"/>
                <w:sz w:val="28"/>
                <w:szCs w:val="28"/>
              </w:rPr>
              <w:t>编</w:t>
            </w:r>
            <w:r>
              <w:rPr>
                <w:rFonts w:hint="default" w:ascii="Times New Roman" w:hAnsi="Times New Roman" w:eastAsia="宋体" w:cs="Times New Roman"/>
                <w:b/>
                <w:bCs/>
                <w:color w:val="auto"/>
                <w:sz w:val="28"/>
                <w:szCs w:val="28"/>
                <w:lang w:val="en-US" w:eastAsia="zh-CN"/>
              </w:rPr>
              <w:t xml:space="preserve">  </w:t>
            </w:r>
            <w:r>
              <w:rPr>
                <w:rFonts w:hint="default" w:ascii="Times New Roman" w:hAnsi="Times New Roman" w:eastAsia="宋体" w:cs="Times New Roman"/>
                <w:b/>
                <w:bCs/>
                <w:color w:val="auto"/>
                <w:sz w:val="28"/>
                <w:szCs w:val="28"/>
              </w:rPr>
              <w:t>制</w:t>
            </w:r>
            <w:r>
              <w:rPr>
                <w:rFonts w:hint="default" w:ascii="Times New Roman" w:hAnsi="Times New Roman" w:eastAsia="宋体" w:cs="Times New Roman"/>
                <w:b/>
                <w:bCs/>
                <w:color w:val="auto"/>
                <w:sz w:val="28"/>
                <w:szCs w:val="28"/>
                <w:lang w:val="en-US" w:eastAsia="zh-CN"/>
              </w:rPr>
              <w:t xml:space="preserve">  </w:t>
            </w:r>
            <w:r>
              <w:rPr>
                <w:rFonts w:hint="default" w:ascii="Times New Roman" w:hAnsi="Times New Roman" w:eastAsia="宋体" w:cs="Times New Roman"/>
                <w:b/>
                <w:bCs/>
                <w:color w:val="auto"/>
                <w:sz w:val="28"/>
                <w:szCs w:val="28"/>
              </w:rPr>
              <w:t>日</w:t>
            </w:r>
            <w:r>
              <w:rPr>
                <w:rFonts w:hint="default" w:ascii="Times New Roman" w:hAnsi="Times New Roman" w:eastAsia="宋体" w:cs="Times New Roman"/>
                <w:b/>
                <w:bCs/>
                <w:color w:val="auto"/>
                <w:sz w:val="28"/>
                <w:szCs w:val="28"/>
                <w:lang w:val="en-US" w:eastAsia="zh-CN"/>
              </w:rPr>
              <w:t xml:space="preserve">   </w:t>
            </w:r>
            <w:r>
              <w:rPr>
                <w:rFonts w:hint="default" w:ascii="Times New Roman" w:hAnsi="Times New Roman" w:eastAsia="宋体" w:cs="Times New Roman"/>
                <w:b/>
                <w:bCs/>
                <w:color w:val="auto"/>
                <w:sz w:val="28"/>
                <w:szCs w:val="28"/>
              </w:rPr>
              <w:t>期：</w:t>
            </w:r>
          </w:p>
        </w:tc>
        <w:tc>
          <w:tcPr>
            <w:tcW w:w="6388" w:type="dxa"/>
            <w:noWrap w:val="0"/>
            <w:vAlign w:val="center"/>
          </w:tcPr>
          <w:p w14:paraId="58478F32">
            <w:pPr>
              <w:adjustRightInd w:val="0"/>
              <w:snapToGrid w:val="0"/>
              <w:spacing w:line="360" w:lineRule="auto"/>
              <w:jc w:val="left"/>
              <w:rPr>
                <w:rFonts w:hint="default" w:ascii="Times New Roman" w:hAnsi="Times New Roman" w:eastAsia="宋体" w:cs="Times New Roman"/>
                <w:color w:val="auto"/>
                <w:sz w:val="32"/>
                <w:szCs w:val="32"/>
                <w:u w:val="single"/>
                <w:vertAlign w:val="baseline"/>
                <w:lang w:val="en-US" w:eastAsia="zh-CN"/>
              </w:rPr>
            </w:pPr>
            <w:r>
              <w:rPr>
                <w:rFonts w:hint="default" w:ascii="Times New Roman" w:hAnsi="Times New Roman" w:eastAsia="宋体" w:cs="Times New Roman"/>
                <w:b/>
                <w:bCs/>
                <w:color w:val="auto"/>
                <w:sz w:val="28"/>
                <w:szCs w:val="28"/>
                <w:u w:val="single"/>
                <w:lang w:val="en-US" w:eastAsia="zh-CN"/>
              </w:rPr>
              <w:t xml:space="preserve">           </w:t>
            </w:r>
            <w:r>
              <w:rPr>
                <w:rFonts w:hint="eastAsia" w:ascii="Times New Roman" w:hAnsi="Times New Roman" w:eastAsia="宋体" w:cs="Times New Roman"/>
                <w:b/>
                <w:bCs/>
                <w:color w:val="auto"/>
                <w:sz w:val="28"/>
                <w:szCs w:val="28"/>
                <w:u w:val="single"/>
                <w:lang w:val="en-US" w:eastAsia="zh-CN"/>
              </w:rPr>
              <w:t xml:space="preserve"> </w:t>
            </w:r>
            <w:r>
              <w:rPr>
                <w:rFonts w:hint="default" w:ascii="Times New Roman" w:hAnsi="Times New Roman" w:eastAsia="宋体" w:cs="Times New Roman"/>
                <w:b/>
                <w:bCs/>
                <w:color w:val="auto"/>
                <w:sz w:val="28"/>
                <w:szCs w:val="28"/>
                <w:u w:val="single"/>
                <w:lang w:val="en-US" w:eastAsia="zh-CN"/>
              </w:rPr>
              <w:t xml:space="preserve"> </w:t>
            </w:r>
            <w:r>
              <w:rPr>
                <w:rFonts w:hint="eastAsia" w:ascii="Times New Roman" w:hAnsi="Times New Roman" w:eastAsia="宋体" w:cs="Times New Roman"/>
                <w:b/>
                <w:bCs/>
                <w:color w:val="auto"/>
                <w:sz w:val="28"/>
                <w:szCs w:val="28"/>
                <w:u w:val="single"/>
                <w:lang w:val="en-US" w:eastAsia="zh-CN"/>
              </w:rPr>
              <w:t xml:space="preserve"> 二〇二五</w:t>
            </w:r>
            <w:r>
              <w:rPr>
                <w:rFonts w:hint="default" w:ascii="Times New Roman" w:hAnsi="Times New Roman" w:eastAsia="宋体" w:cs="Times New Roman"/>
                <w:b/>
                <w:bCs/>
                <w:color w:val="auto"/>
                <w:sz w:val="28"/>
                <w:szCs w:val="28"/>
                <w:u w:val="single"/>
              </w:rPr>
              <w:t>年</w:t>
            </w:r>
            <w:r>
              <w:rPr>
                <w:rFonts w:hint="eastAsia" w:ascii="Times New Roman" w:hAnsi="Times New Roman" w:eastAsia="宋体" w:cs="Times New Roman"/>
                <w:b/>
                <w:bCs/>
                <w:color w:val="auto"/>
                <w:sz w:val="28"/>
                <w:szCs w:val="28"/>
                <w:u w:val="single"/>
                <w:lang w:val="en-US" w:eastAsia="zh-CN"/>
              </w:rPr>
              <w:t>十</w:t>
            </w:r>
            <w:r>
              <w:rPr>
                <w:rFonts w:hint="default" w:ascii="Times New Roman" w:hAnsi="Times New Roman" w:eastAsia="宋体" w:cs="Times New Roman"/>
                <w:b/>
                <w:bCs/>
                <w:color w:val="auto"/>
                <w:sz w:val="28"/>
                <w:szCs w:val="28"/>
                <w:u w:val="single"/>
              </w:rPr>
              <w:t>月</w:t>
            </w:r>
            <w:r>
              <w:rPr>
                <w:rFonts w:hint="default" w:ascii="Times New Roman" w:hAnsi="Times New Roman" w:eastAsia="宋体" w:cs="Times New Roman"/>
                <w:b/>
                <w:bCs/>
                <w:color w:val="auto"/>
                <w:sz w:val="28"/>
                <w:szCs w:val="28"/>
                <w:u w:val="single"/>
                <w:lang w:val="en-US" w:eastAsia="zh-CN"/>
              </w:rPr>
              <w:t xml:space="preserve">     </w:t>
            </w:r>
            <w:r>
              <w:rPr>
                <w:rFonts w:hint="eastAsia" w:ascii="Times New Roman" w:hAnsi="Times New Roman" w:eastAsia="宋体" w:cs="Times New Roman"/>
                <w:b/>
                <w:bCs/>
                <w:color w:val="auto"/>
                <w:sz w:val="28"/>
                <w:szCs w:val="28"/>
                <w:u w:val="single"/>
                <w:lang w:val="en-US" w:eastAsia="zh-CN"/>
              </w:rPr>
              <w:t xml:space="preserve">   </w:t>
            </w:r>
            <w:r>
              <w:rPr>
                <w:rFonts w:hint="default" w:ascii="Times New Roman" w:hAnsi="Times New Roman" w:eastAsia="宋体" w:cs="Times New Roman"/>
                <w:b/>
                <w:bCs/>
                <w:color w:val="auto"/>
                <w:sz w:val="28"/>
                <w:szCs w:val="28"/>
                <w:u w:val="single"/>
                <w:lang w:val="en-US" w:eastAsia="zh-CN"/>
              </w:rPr>
              <w:t xml:space="preserve">       </w:t>
            </w:r>
          </w:p>
        </w:tc>
      </w:tr>
    </w:tbl>
    <w:p w14:paraId="03024092">
      <w:pPr>
        <w:adjustRightInd w:val="0"/>
        <w:snapToGrid w:val="0"/>
        <w:spacing w:line="288" w:lineRule="auto"/>
        <w:ind w:firstLine="1040"/>
        <w:rPr>
          <w:rFonts w:hint="default" w:ascii="Times New Roman" w:hAnsi="Times New Roman" w:eastAsia="宋体" w:cs="Times New Roman"/>
          <w:color w:val="auto"/>
          <w:sz w:val="36"/>
          <w:szCs w:val="36"/>
          <w:u w:val="single"/>
        </w:rPr>
      </w:pPr>
    </w:p>
    <w:p w14:paraId="06B20041">
      <w:pPr>
        <w:adjustRightInd w:val="0"/>
        <w:snapToGrid w:val="0"/>
        <w:spacing w:line="288" w:lineRule="auto"/>
        <w:ind w:firstLine="1040"/>
        <w:rPr>
          <w:rFonts w:hint="default" w:ascii="Times New Roman" w:hAnsi="Times New Roman" w:eastAsia="宋体" w:cs="Times New Roman"/>
          <w:color w:val="auto"/>
          <w:sz w:val="36"/>
          <w:szCs w:val="36"/>
          <w:u w:val="single"/>
        </w:rPr>
      </w:pPr>
      <w:bookmarkStart w:id="5" w:name="_Hlk57884087"/>
    </w:p>
    <w:p w14:paraId="7D8B4FF8">
      <w:pPr>
        <w:adjustRightInd w:val="0"/>
        <w:snapToGrid w:val="0"/>
        <w:spacing w:line="288" w:lineRule="auto"/>
        <w:ind w:firstLine="1040"/>
        <w:rPr>
          <w:rFonts w:hint="default" w:ascii="Times New Roman" w:hAnsi="Times New Roman" w:eastAsia="宋体" w:cs="Times New Roman"/>
          <w:color w:val="auto"/>
          <w:sz w:val="36"/>
          <w:szCs w:val="36"/>
          <w:u w:val="single"/>
        </w:rPr>
      </w:pPr>
    </w:p>
    <w:p w14:paraId="59C31767">
      <w:pPr>
        <w:adjustRightInd w:val="0"/>
        <w:snapToGrid w:val="0"/>
        <w:spacing w:line="288" w:lineRule="auto"/>
        <w:ind w:firstLine="1040"/>
        <w:rPr>
          <w:rFonts w:hint="default" w:ascii="Times New Roman" w:hAnsi="Times New Roman" w:eastAsia="宋体" w:cs="Times New Roman"/>
          <w:color w:val="auto"/>
          <w:sz w:val="36"/>
          <w:szCs w:val="36"/>
          <w:u w:val="single"/>
        </w:rPr>
      </w:pPr>
    </w:p>
    <w:p w14:paraId="2C7D1E6B">
      <w:pPr>
        <w:adjustRightInd w:val="0"/>
        <w:snapToGrid w:val="0"/>
        <w:spacing w:line="288" w:lineRule="auto"/>
        <w:ind w:firstLine="1040"/>
        <w:rPr>
          <w:rFonts w:hint="default" w:ascii="Times New Roman" w:hAnsi="Times New Roman" w:eastAsia="宋体" w:cs="Times New Roman"/>
          <w:color w:val="auto"/>
          <w:sz w:val="36"/>
          <w:szCs w:val="36"/>
        </w:rPr>
      </w:pPr>
    </w:p>
    <w:bookmarkEnd w:id="5"/>
    <w:p w14:paraId="3AB1E6C3">
      <w:pPr>
        <w:adjustRightInd w:val="0"/>
        <w:snapToGrid w:val="0"/>
        <w:spacing w:line="288" w:lineRule="auto"/>
        <w:jc w:val="center"/>
        <w:rPr>
          <w:rFonts w:hint="default" w:ascii="Times New Roman" w:hAnsi="Times New Roman" w:eastAsia="宋体" w:cs="Times New Roman"/>
          <w:color w:val="auto"/>
          <w:sz w:val="36"/>
          <w:szCs w:val="36"/>
        </w:rPr>
      </w:pPr>
      <w:r>
        <w:rPr>
          <w:rFonts w:hint="default" w:ascii="Times New Roman" w:hAnsi="Times New Roman" w:eastAsia="宋体" w:cs="Times New Roman"/>
          <w:color w:val="auto"/>
          <w:sz w:val="36"/>
          <w:szCs w:val="36"/>
        </w:rPr>
        <w:t>中华人民共和国生态环境部制</w:t>
      </w:r>
    </w:p>
    <w:p w14:paraId="4E4A66EB">
      <w:pPr>
        <w:pStyle w:val="56"/>
        <w:spacing w:before="0" w:beforeLines="0" w:after="0" w:afterLines="0"/>
        <w:jc w:val="both"/>
        <w:rPr>
          <w:rFonts w:hint="default" w:ascii="Times New Roman" w:hAnsi="Times New Roman" w:eastAsia="黑体" w:cs="Times New Roman"/>
          <w:snapToGrid w:val="0"/>
          <w:color w:val="auto"/>
          <w:sz w:val="32"/>
          <w:szCs w:val="32"/>
          <w:lang w:eastAsia="zh-CN"/>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14:paraId="61A63343">
      <w:pPr>
        <w:pStyle w:val="27"/>
        <w:jc w:val="center"/>
        <w:outlineLvl w:val="0"/>
        <w:rPr>
          <w:rFonts w:hint="default" w:ascii="Times New Roman" w:hAnsi="Times New Roman" w:eastAsia="宋体" w:cs="Times New Roman"/>
          <w:b/>
          <w:bCs/>
          <w:snapToGrid w:val="0"/>
          <w:color w:val="auto"/>
          <w:sz w:val="30"/>
          <w:szCs w:val="30"/>
        </w:rPr>
      </w:pPr>
      <w:bookmarkStart w:id="6" w:name="_Toc17067"/>
      <w:bookmarkStart w:id="7" w:name="_Toc29251"/>
      <w:bookmarkStart w:id="8" w:name="_Toc7009"/>
      <w:bookmarkStart w:id="9" w:name="_Toc17690"/>
      <w:bookmarkStart w:id="10" w:name="_Toc17035"/>
      <w:r>
        <w:rPr>
          <w:rFonts w:hint="default" w:ascii="Times New Roman" w:hAnsi="Times New Roman" w:eastAsia="宋体" w:cs="Times New Roman"/>
          <w:b/>
          <w:bCs/>
          <w:snapToGrid w:val="0"/>
          <w:color w:val="auto"/>
          <w:sz w:val="30"/>
          <w:szCs w:val="30"/>
        </w:rPr>
        <w:t>一、建设项目基本情况</w:t>
      </w:r>
      <w:bookmarkEnd w:id="6"/>
      <w:bookmarkEnd w:id="7"/>
      <w:bookmarkEnd w:id="8"/>
      <w:bookmarkEnd w:id="9"/>
      <w:bookmarkEnd w:id="10"/>
    </w:p>
    <w:tbl>
      <w:tblPr>
        <w:tblStyle w:val="2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60"/>
        <w:gridCol w:w="2650"/>
        <w:gridCol w:w="1647"/>
        <w:gridCol w:w="2813"/>
      </w:tblGrid>
      <w:tr w14:paraId="37029F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2" w:hRule="atLeast"/>
        </w:trPr>
        <w:tc>
          <w:tcPr>
            <w:tcW w:w="1760" w:type="dxa"/>
            <w:noWrap w:val="0"/>
            <w:tcMar>
              <w:top w:w="16" w:type="dxa"/>
              <w:left w:w="16" w:type="dxa"/>
              <w:right w:w="16" w:type="dxa"/>
            </w:tcMar>
            <w:vAlign w:val="center"/>
          </w:tcPr>
          <w:p w14:paraId="07B19539">
            <w:pPr>
              <w:adjustRightInd w:val="0"/>
              <w:snapToGrid w:val="0"/>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建设项目名称</w:t>
            </w:r>
          </w:p>
        </w:tc>
        <w:tc>
          <w:tcPr>
            <w:tcW w:w="7110" w:type="dxa"/>
            <w:gridSpan w:val="3"/>
            <w:noWrap w:val="0"/>
            <w:vAlign w:val="center"/>
          </w:tcPr>
          <w:p w14:paraId="314631C7">
            <w:pPr>
              <w:adjustRightInd w:val="0"/>
              <w:snapToGrid w:val="0"/>
              <w:jc w:val="center"/>
              <w:rPr>
                <w:rFonts w:hint="default" w:ascii="Times New Roman" w:hAnsi="Times New Roman" w:eastAsia="宋体" w:cs="Times New Roman"/>
                <w:color w:val="auto"/>
                <w:sz w:val="24"/>
                <w:lang w:eastAsia="zh-CN"/>
              </w:rPr>
            </w:pPr>
            <w:r>
              <w:rPr>
                <w:rFonts w:hint="eastAsia" w:ascii="Times New Roman" w:hAnsi="Times New Roman" w:cs="Times New Roman"/>
                <w:color w:val="auto"/>
                <w:sz w:val="24"/>
                <w:lang w:eastAsia="zh-CN"/>
              </w:rPr>
              <w:t>金寨县关庙乡沙坪沟至蔡家湾公路升级改造工程</w:t>
            </w:r>
          </w:p>
        </w:tc>
      </w:tr>
      <w:tr w14:paraId="77CCB2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0" w:hRule="atLeast"/>
        </w:trPr>
        <w:tc>
          <w:tcPr>
            <w:tcW w:w="1760" w:type="dxa"/>
            <w:noWrap w:val="0"/>
            <w:tcMar>
              <w:top w:w="16" w:type="dxa"/>
              <w:left w:w="16" w:type="dxa"/>
              <w:right w:w="16" w:type="dxa"/>
            </w:tcMar>
            <w:vAlign w:val="center"/>
          </w:tcPr>
          <w:p w14:paraId="60929C0E">
            <w:pPr>
              <w:adjustRightInd w:val="0"/>
              <w:snapToGrid w:val="0"/>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项目代码</w:t>
            </w:r>
          </w:p>
        </w:tc>
        <w:tc>
          <w:tcPr>
            <w:tcW w:w="7110" w:type="dxa"/>
            <w:gridSpan w:val="3"/>
            <w:noWrap w:val="0"/>
            <w:vAlign w:val="center"/>
          </w:tcPr>
          <w:p w14:paraId="5316EB80">
            <w:pPr>
              <w:adjustRightInd w:val="0"/>
              <w:snapToGrid w:val="0"/>
              <w:jc w:val="center"/>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2506-341524-04-05-676831</w:t>
            </w:r>
          </w:p>
        </w:tc>
      </w:tr>
      <w:tr w14:paraId="4278FD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55" w:hRule="atLeast"/>
        </w:trPr>
        <w:tc>
          <w:tcPr>
            <w:tcW w:w="1760" w:type="dxa"/>
            <w:noWrap w:val="0"/>
            <w:tcMar>
              <w:top w:w="16" w:type="dxa"/>
              <w:left w:w="16" w:type="dxa"/>
              <w:right w:w="16" w:type="dxa"/>
            </w:tcMar>
            <w:vAlign w:val="center"/>
          </w:tcPr>
          <w:p w14:paraId="0819312A">
            <w:pPr>
              <w:adjustRightInd w:val="0"/>
              <w:snapToGrid w:val="0"/>
              <w:jc w:val="center"/>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建设单位联系人</w:t>
            </w:r>
          </w:p>
        </w:tc>
        <w:tc>
          <w:tcPr>
            <w:tcW w:w="2650" w:type="dxa"/>
            <w:noWrap w:val="0"/>
            <w:vAlign w:val="center"/>
          </w:tcPr>
          <w:p w14:paraId="5569E505">
            <w:pPr>
              <w:adjustRightInd w:val="0"/>
              <w:snapToGrid w:val="0"/>
              <w:jc w:val="cente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杜鹏</w:t>
            </w:r>
          </w:p>
        </w:tc>
        <w:tc>
          <w:tcPr>
            <w:tcW w:w="1647" w:type="dxa"/>
            <w:noWrap w:val="0"/>
            <w:vAlign w:val="center"/>
          </w:tcPr>
          <w:p w14:paraId="1BDAB3EF">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联系方式</w:t>
            </w:r>
          </w:p>
        </w:tc>
        <w:tc>
          <w:tcPr>
            <w:tcW w:w="2813" w:type="dxa"/>
            <w:noWrap w:val="0"/>
            <w:vAlign w:val="center"/>
          </w:tcPr>
          <w:p w14:paraId="451F67C2">
            <w:pPr>
              <w:adjustRightInd w:val="0"/>
              <w:snapToGrid w:val="0"/>
              <w:jc w:val="cente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13966276883</w:t>
            </w:r>
          </w:p>
        </w:tc>
      </w:tr>
      <w:tr w14:paraId="225E86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6" w:hRule="atLeast"/>
        </w:trPr>
        <w:tc>
          <w:tcPr>
            <w:tcW w:w="1760" w:type="dxa"/>
            <w:noWrap w:val="0"/>
            <w:tcMar>
              <w:top w:w="16" w:type="dxa"/>
              <w:left w:w="16" w:type="dxa"/>
              <w:right w:w="16" w:type="dxa"/>
            </w:tcMar>
            <w:vAlign w:val="center"/>
          </w:tcPr>
          <w:p w14:paraId="6F68473A">
            <w:pPr>
              <w:adjustRightInd w:val="0"/>
              <w:snapToGrid w:val="0"/>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建设地点</w:t>
            </w:r>
          </w:p>
        </w:tc>
        <w:tc>
          <w:tcPr>
            <w:tcW w:w="7110" w:type="dxa"/>
            <w:gridSpan w:val="3"/>
            <w:noWrap w:val="0"/>
            <w:vAlign w:val="center"/>
          </w:tcPr>
          <w:p w14:paraId="712C9129">
            <w:pPr>
              <w:adjustRightInd w:val="0"/>
              <w:snapToGrid w:val="0"/>
              <w:jc w:val="center"/>
              <w:rPr>
                <w:rFonts w:hint="default" w:ascii="Times New Roman" w:hAnsi="Times New Roman" w:cs="Times New Roman" w:eastAsiaTheme="minorEastAsia"/>
                <w:color w:val="auto"/>
                <w:sz w:val="24"/>
                <w:lang w:val="en-US" w:eastAsia="zh-CN"/>
              </w:rPr>
            </w:pPr>
            <w:r>
              <w:rPr>
                <w:rFonts w:hint="default" w:ascii="Times New Roman" w:hAnsi="Times New Roman" w:cs="Times New Roman"/>
                <w:color w:val="auto"/>
                <w:sz w:val="24"/>
                <w:lang w:val="en-US" w:eastAsia="zh-CN"/>
              </w:rPr>
              <w:t>安徽省六安市金寨县关庙乡银山村</w:t>
            </w:r>
          </w:p>
        </w:tc>
      </w:tr>
      <w:tr w14:paraId="0114EA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3" w:hRule="atLeast"/>
        </w:trPr>
        <w:tc>
          <w:tcPr>
            <w:tcW w:w="1760" w:type="dxa"/>
            <w:noWrap w:val="0"/>
            <w:tcMar>
              <w:top w:w="16" w:type="dxa"/>
              <w:left w:w="16" w:type="dxa"/>
              <w:right w:w="16" w:type="dxa"/>
            </w:tcMar>
            <w:vAlign w:val="center"/>
          </w:tcPr>
          <w:p w14:paraId="1CB319CA">
            <w:pPr>
              <w:adjustRightInd w:val="0"/>
              <w:snapToGrid w:val="0"/>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地理坐标</w:t>
            </w:r>
          </w:p>
        </w:tc>
        <w:tc>
          <w:tcPr>
            <w:tcW w:w="7110" w:type="dxa"/>
            <w:gridSpan w:val="3"/>
            <w:noWrap w:val="0"/>
            <w:vAlign w:val="center"/>
          </w:tcPr>
          <w:p w14:paraId="60D38134">
            <w:pPr>
              <w:rPr>
                <w:rFonts w:hint="default" w:ascii="Times New Roman" w:hAnsi="Times New Roman" w:cs="Times New Roman"/>
                <w:color w:val="auto"/>
                <w:sz w:val="24"/>
                <w:lang w:eastAsia="zh-CN"/>
              </w:rPr>
            </w:pPr>
            <w:r>
              <w:rPr>
                <w:rFonts w:hint="default" w:ascii="Times New Roman" w:hAnsi="Times New Roman" w:eastAsia="宋体" w:cs="Times New Roman"/>
                <w:color w:val="auto"/>
                <w:sz w:val="24"/>
              </w:rPr>
              <w:t>起点</w:t>
            </w:r>
            <w:r>
              <w:rPr>
                <w:rFonts w:hint="default" w:ascii="Times New Roman" w:hAnsi="Times New Roman" w:eastAsia="宋体" w:cs="Times New Roman"/>
                <w:color w:val="auto"/>
                <w:sz w:val="24"/>
                <w:lang w:eastAsia="zh-CN"/>
              </w:rPr>
              <w:t>：</w:t>
            </w:r>
            <w:r>
              <w:rPr>
                <w:rFonts w:hint="default" w:ascii="Times New Roman" w:hAnsi="Times New Roman" w:cs="Times New Roman"/>
                <w:color w:val="auto"/>
                <w:sz w:val="24"/>
              </w:rPr>
              <w:t>E</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115°29′17.750″</w:t>
            </w:r>
            <w:r>
              <w:rPr>
                <w:rFonts w:hint="default" w:ascii="Times New Roman" w:hAnsi="Times New Roman" w:eastAsia="宋体" w:cs="Times New Roman"/>
                <w:color w:val="auto"/>
                <w:sz w:val="24"/>
                <w:lang w:eastAsia="zh-CN"/>
              </w:rPr>
              <w:t>，</w:t>
            </w:r>
            <w:r>
              <w:rPr>
                <w:rFonts w:hint="default" w:ascii="Times New Roman" w:hAnsi="Times New Roman" w:cs="Times New Roman"/>
                <w:color w:val="auto"/>
                <w:sz w:val="24"/>
              </w:rPr>
              <w:t>N</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31°32′16.988″</w:t>
            </w:r>
            <w:r>
              <w:rPr>
                <w:rFonts w:hint="default" w:ascii="Times New Roman" w:hAnsi="Times New Roman" w:cs="Times New Roman"/>
                <w:color w:val="auto"/>
                <w:sz w:val="24"/>
                <w:lang w:eastAsia="zh-CN"/>
              </w:rPr>
              <w:t>，</w:t>
            </w:r>
          </w:p>
          <w:p w14:paraId="2405FEC4">
            <w:pPr>
              <w:rPr>
                <w:rFonts w:hint="default" w:ascii="Times New Roman" w:hAnsi="Times New Roman" w:cs="Times New Roman"/>
                <w:color w:val="auto"/>
                <w:sz w:val="24"/>
                <w:lang w:val="en-US" w:eastAsia="zh-CN"/>
              </w:rPr>
            </w:pPr>
            <w:r>
              <w:rPr>
                <w:rFonts w:hint="default" w:ascii="Times New Roman" w:hAnsi="Times New Roman" w:eastAsia="宋体" w:cs="Times New Roman"/>
                <w:color w:val="auto"/>
                <w:sz w:val="24"/>
              </w:rPr>
              <w:t>终点</w:t>
            </w:r>
            <w:r>
              <w:rPr>
                <w:rFonts w:hint="default" w:ascii="Times New Roman" w:hAnsi="Times New Roman" w:eastAsia="宋体" w:cs="Times New Roman"/>
                <w:color w:val="auto"/>
                <w:sz w:val="24"/>
                <w:lang w:eastAsia="zh-CN"/>
              </w:rPr>
              <w:t>：</w:t>
            </w:r>
            <w:r>
              <w:rPr>
                <w:rFonts w:hint="default" w:ascii="Times New Roman" w:hAnsi="Times New Roman" w:cs="Times New Roman"/>
                <w:color w:val="auto"/>
                <w:sz w:val="24"/>
              </w:rPr>
              <w:t>E</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115°29′51.000″</w:t>
            </w:r>
            <w:r>
              <w:rPr>
                <w:rFonts w:hint="default" w:ascii="Times New Roman" w:hAnsi="Times New Roman" w:eastAsia="宋体" w:cs="Times New Roman"/>
                <w:color w:val="auto"/>
                <w:sz w:val="24"/>
              </w:rPr>
              <w:t>，</w:t>
            </w:r>
            <w:r>
              <w:rPr>
                <w:rFonts w:hint="default" w:ascii="Times New Roman" w:hAnsi="Times New Roman" w:cs="Times New Roman"/>
                <w:color w:val="auto"/>
                <w:sz w:val="24"/>
              </w:rPr>
              <w:t>N</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31°33′9.06</w:t>
            </w:r>
            <w:r>
              <w:rPr>
                <w:rFonts w:hint="eastAsia" w:ascii="Times New Roman" w:hAnsi="Times New Roman" w:cs="Times New Roman"/>
                <w:color w:val="auto"/>
                <w:sz w:val="24"/>
                <w:lang w:val="en-US" w:eastAsia="zh-CN"/>
              </w:rPr>
              <w:t>5</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w:t>
            </w:r>
          </w:p>
        </w:tc>
      </w:tr>
      <w:tr w14:paraId="646884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760" w:type="dxa"/>
            <w:noWrap w:val="0"/>
            <w:tcMar>
              <w:top w:w="16" w:type="dxa"/>
              <w:left w:w="16" w:type="dxa"/>
              <w:right w:w="16" w:type="dxa"/>
            </w:tcMar>
            <w:vAlign w:val="center"/>
          </w:tcPr>
          <w:p w14:paraId="07D6A47F">
            <w:pPr>
              <w:adjustRightInd w:val="0"/>
              <w:snapToGrid w:val="0"/>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建设项目</w:t>
            </w:r>
          </w:p>
          <w:p w14:paraId="4D8DB185">
            <w:pPr>
              <w:adjustRightInd w:val="0"/>
              <w:snapToGrid w:val="0"/>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行业类别</w:t>
            </w:r>
          </w:p>
        </w:tc>
        <w:tc>
          <w:tcPr>
            <w:tcW w:w="2650" w:type="dxa"/>
            <w:noWrap w:val="0"/>
            <w:vAlign w:val="center"/>
          </w:tcPr>
          <w:p w14:paraId="6A495ED1">
            <w:pPr>
              <w:adjustRightInd w:val="0"/>
              <w:snapToGrid w:val="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五十二、</w:t>
            </w:r>
            <w:r>
              <w:rPr>
                <w:rFonts w:hint="default" w:ascii="Times New Roman" w:hAnsi="Times New Roman" w:cs="Times New Roman"/>
                <w:color w:val="auto"/>
                <w:sz w:val="24"/>
                <w:highlight w:val="none"/>
              </w:rPr>
              <w:t>交通运输业，管道运输业</w:t>
            </w:r>
          </w:p>
          <w:p w14:paraId="09CDC6EF">
            <w:pPr>
              <w:adjustRightInd w:val="0"/>
              <w:snapToGrid w:val="0"/>
              <w:jc w:val="left"/>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13</w:t>
            </w:r>
            <w:r>
              <w:rPr>
                <w:rFonts w:hint="default" w:ascii="Times New Roman" w:hAnsi="Times New Roman" w:cs="Times New Roman"/>
                <w:color w:val="auto"/>
                <w:sz w:val="24"/>
                <w:highlight w:val="none"/>
                <w:lang w:val="en-US" w:eastAsia="zh-CN"/>
              </w:rPr>
              <w:t>0等级公路（不含维护；</w:t>
            </w:r>
          </w:p>
          <w:p w14:paraId="62EE0D46">
            <w:pPr>
              <w:adjustRightInd w:val="0"/>
              <w:snapToGrid w:val="0"/>
              <w:jc w:val="left"/>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color w:val="auto"/>
                <w:sz w:val="24"/>
                <w:highlight w:val="none"/>
                <w:lang w:val="en-US" w:eastAsia="zh-CN"/>
              </w:rPr>
              <w:t>不含生命救援、应急保通工程以及国防交通保障项目；不含改扩建四级公路）</w:t>
            </w:r>
          </w:p>
        </w:tc>
        <w:tc>
          <w:tcPr>
            <w:tcW w:w="1647" w:type="dxa"/>
            <w:noWrap w:val="0"/>
            <w:vAlign w:val="center"/>
          </w:tcPr>
          <w:p w14:paraId="6546D114">
            <w:pPr>
              <w:adjustRightInd w:val="0"/>
              <w:snapToGrid w:val="0"/>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用地（用海）面积（m</w:t>
            </w:r>
            <w:r>
              <w:rPr>
                <w:rFonts w:hint="default" w:ascii="Times New Roman" w:hAnsi="Times New Roman" w:cs="Times New Roman"/>
                <w:b/>
                <w:bCs/>
                <w:color w:val="auto"/>
                <w:sz w:val="24"/>
                <w:highlight w:val="none"/>
                <w:vertAlign w:val="superscript"/>
              </w:rPr>
              <w:t>2</w:t>
            </w:r>
            <w:r>
              <w:rPr>
                <w:rFonts w:hint="default" w:ascii="Times New Roman" w:hAnsi="Times New Roman" w:cs="Times New Roman"/>
                <w:b/>
                <w:bCs/>
                <w:color w:val="auto"/>
                <w:sz w:val="24"/>
                <w:highlight w:val="none"/>
              </w:rPr>
              <w:t>）/长度（km）</w:t>
            </w:r>
          </w:p>
        </w:tc>
        <w:tc>
          <w:tcPr>
            <w:tcW w:w="2813" w:type="dxa"/>
            <w:noWrap w:val="0"/>
            <w:vAlign w:val="center"/>
          </w:tcPr>
          <w:p w14:paraId="64202374">
            <w:pPr>
              <w:adjustRightInd w:val="0"/>
              <w:snapToGrid w:val="0"/>
              <w:jc w:val="center"/>
              <w:rPr>
                <w:rFonts w:hint="default" w:ascii="Times New Roman" w:hAnsi="Times New Roman" w:cs="Times New Roman"/>
                <w:b w:val="0"/>
                <w:bCs w:val="0"/>
                <w:color w:val="auto"/>
                <w:sz w:val="24"/>
                <w:highlight w:val="none"/>
                <w:lang w:val="en-US" w:eastAsia="zh-CN"/>
              </w:rPr>
            </w:pPr>
            <w:r>
              <w:rPr>
                <w:rFonts w:hint="default" w:ascii="Times New Roman" w:hAnsi="Times New Roman" w:cs="Times New Roman"/>
                <w:b w:val="0"/>
                <w:bCs w:val="0"/>
                <w:color w:val="auto"/>
                <w:sz w:val="24"/>
                <w:highlight w:val="none"/>
                <w:lang w:val="en-US" w:eastAsia="zh-CN"/>
              </w:rPr>
              <w:t>占地面积：</w:t>
            </w:r>
            <w:r>
              <w:rPr>
                <w:rFonts w:hint="eastAsia" w:ascii="Times New Roman" w:hAnsi="Times New Roman" w:cs="Times New Roman"/>
                <w:b w:val="0"/>
                <w:bCs w:val="0"/>
                <w:color w:val="auto"/>
                <w:sz w:val="24"/>
                <w:highlight w:val="none"/>
                <w:lang w:val="en-US" w:eastAsia="zh-CN"/>
              </w:rPr>
              <w:t>52909</w:t>
            </w:r>
            <w:r>
              <w:rPr>
                <w:rFonts w:hint="default" w:ascii="Times New Roman" w:hAnsi="Times New Roman" w:cs="Times New Roman"/>
                <w:b w:val="0"/>
                <w:bCs w:val="0"/>
                <w:color w:val="auto"/>
                <w:sz w:val="24"/>
                <w:highlight w:val="none"/>
                <w:lang w:val="en-US" w:eastAsia="zh-CN"/>
              </w:rPr>
              <w:t>m</w:t>
            </w:r>
            <w:r>
              <w:rPr>
                <w:rFonts w:hint="default" w:ascii="Times New Roman" w:hAnsi="Times New Roman" w:cs="Times New Roman"/>
                <w:b w:val="0"/>
                <w:bCs w:val="0"/>
                <w:color w:val="auto"/>
                <w:sz w:val="24"/>
                <w:highlight w:val="none"/>
                <w:vertAlign w:val="superscript"/>
                <w:lang w:val="en-US" w:eastAsia="zh-CN"/>
              </w:rPr>
              <w:t>2</w:t>
            </w:r>
          </w:p>
          <w:p w14:paraId="140BF92C">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b w:val="0"/>
                <w:bCs w:val="0"/>
                <w:color w:val="auto"/>
                <w:sz w:val="24"/>
                <w:highlight w:val="none"/>
              </w:rPr>
              <w:t>长度</w:t>
            </w:r>
            <w:r>
              <w:rPr>
                <w:rFonts w:hint="default" w:ascii="Times New Roman" w:hAnsi="Times New Roman" w:cs="Times New Roman"/>
                <w:b w:val="0"/>
                <w:bCs w:val="0"/>
                <w:color w:val="auto"/>
                <w:sz w:val="24"/>
                <w:highlight w:val="none"/>
                <w:lang w:eastAsia="zh-CN"/>
              </w:rPr>
              <w:t>：</w:t>
            </w:r>
            <w:r>
              <w:rPr>
                <w:rFonts w:hint="eastAsia" w:ascii="Times New Roman" w:hAnsi="Times New Roman" w:cs="Times New Roman"/>
                <w:b w:val="0"/>
                <w:bCs w:val="0"/>
                <w:color w:val="auto"/>
                <w:sz w:val="24"/>
                <w:highlight w:val="none"/>
                <w:lang w:eastAsia="zh-CN"/>
              </w:rPr>
              <w:t>2.34</w:t>
            </w:r>
            <w:r>
              <w:rPr>
                <w:rFonts w:hint="eastAsia" w:ascii="Times New Roman" w:hAnsi="Times New Roman" w:cs="Times New Roman"/>
                <w:b w:val="0"/>
                <w:bCs w:val="0"/>
                <w:color w:val="auto"/>
                <w:sz w:val="24"/>
                <w:highlight w:val="none"/>
                <w:lang w:val="en-US" w:eastAsia="zh-CN"/>
              </w:rPr>
              <w:t>k</w:t>
            </w:r>
            <w:r>
              <w:rPr>
                <w:rFonts w:hint="default" w:ascii="Times New Roman" w:hAnsi="Times New Roman" w:cs="Times New Roman"/>
                <w:b w:val="0"/>
                <w:bCs w:val="0"/>
                <w:color w:val="auto"/>
                <w:sz w:val="24"/>
                <w:highlight w:val="none"/>
              </w:rPr>
              <w:t>m</w:t>
            </w:r>
          </w:p>
        </w:tc>
      </w:tr>
      <w:tr w14:paraId="66B0C9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760" w:type="dxa"/>
            <w:noWrap w:val="0"/>
            <w:tcMar>
              <w:top w:w="16" w:type="dxa"/>
              <w:left w:w="16" w:type="dxa"/>
              <w:right w:w="16" w:type="dxa"/>
            </w:tcMar>
            <w:vAlign w:val="center"/>
          </w:tcPr>
          <w:p w14:paraId="14284AE6">
            <w:pPr>
              <w:adjustRightInd w:val="0"/>
              <w:snapToGrid w:val="0"/>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建设性质</w:t>
            </w:r>
          </w:p>
        </w:tc>
        <w:tc>
          <w:tcPr>
            <w:tcW w:w="2650" w:type="dxa"/>
            <w:noWrap w:val="0"/>
            <w:vAlign w:val="center"/>
          </w:tcPr>
          <w:p w14:paraId="0DC83BCF">
            <w:pPr>
              <w:adjustRightInd w:val="0"/>
              <w:snapToGrid w:val="0"/>
              <w:jc w:val="left"/>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新建（迁建）</w:t>
            </w:r>
          </w:p>
          <w:p w14:paraId="191E46FC">
            <w:pPr>
              <w:adjustRightInd w:val="0"/>
              <w:snapToGrid w:val="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改建</w:t>
            </w:r>
          </w:p>
          <w:p w14:paraId="1B844360">
            <w:pPr>
              <w:adjustRightInd w:val="0"/>
              <w:snapToGrid w:val="0"/>
              <w:jc w:val="left"/>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扩建</w:t>
            </w:r>
          </w:p>
          <w:p w14:paraId="084AF644">
            <w:pPr>
              <w:adjustRightInd w:val="0"/>
              <w:snapToGrid w:val="0"/>
              <w:jc w:val="left"/>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技术改造</w:t>
            </w:r>
          </w:p>
        </w:tc>
        <w:tc>
          <w:tcPr>
            <w:tcW w:w="1647" w:type="dxa"/>
            <w:noWrap w:val="0"/>
            <w:vAlign w:val="center"/>
          </w:tcPr>
          <w:p w14:paraId="174E6233">
            <w:pPr>
              <w:adjustRightInd w:val="0"/>
              <w:snapToGrid w:val="0"/>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建设项目</w:t>
            </w:r>
          </w:p>
          <w:p w14:paraId="14C4AB3A">
            <w:pPr>
              <w:adjustRightInd w:val="0"/>
              <w:snapToGrid w:val="0"/>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申报情形</w:t>
            </w:r>
          </w:p>
        </w:tc>
        <w:tc>
          <w:tcPr>
            <w:tcW w:w="2813" w:type="dxa"/>
            <w:noWrap w:val="0"/>
            <w:vAlign w:val="center"/>
          </w:tcPr>
          <w:p w14:paraId="79D90AB8">
            <w:pPr>
              <w:adjustRightInd w:val="0"/>
              <w:snapToGrid w:val="0"/>
              <w:jc w:val="left"/>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首次申报项目</w:t>
            </w:r>
          </w:p>
          <w:p w14:paraId="436D9FE4">
            <w:pPr>
              <w:adjustRightInd w:val="0"/>
              <w:snapToGrid w:val="0"/>
              <w:jc w:val="left"/>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不予批准后再次申报项目</w:t>
            </w:r>
          </w:p>
          <w:p w14:paraId="461C796A">
            <w:pPr>
              <w:adjustRightInd w:val="0"/>
              <w:snapToGrid w:val="0"/>
              <w:jc w:val="left"/>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超五年重新审核项目</w:t>
            </w:r>
          </w:p>
          <w:p w14:paraId="22A70A29">
            <w:pPr>
              <w:adjustRightInd w:val="0"/>
              <w:snapToGrid w:val="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重大变动重新报批项目</w:t>
            </w:r>
          </w:p>
        </w:tc>
      </w:tr>
      <w:tr w14:paraId="0AC66D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1760" w:type="dxa"/>
            <w:noWrap w:val="0"/>
            <w:tcMar>
              <w:top w:w="16" w:type="dxa"/>
              <w:left w:w="16" w:type="dxa"/>
              <w:right w:w="16" w:type="dxa"/>
            </w:tcMar>
            <w:vAlign w:val="center"/>
          </w:tcPr>
          <w:p w14:paraId="66B5E9C5">
            <w:pPr>
              <w:adjustRightInd w:val="0"/>
              <w:snapToGrid w:val="0"/>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项目审批（核准/</w:t>
            </w:r>
          </w:p>
          <w:p w14:paraId="0AEE4484">
            <w:pPr>
              <w:adjustRightInd w:val="0"/>
              <w:snapToGrid w:val="0"/>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备案）部门</w:t>
            </w:r>
          </w:p>
          <w:p w14:paraId="42E9AF8E">
            <w:pPr>
              <w:adjustRightInd w:val="0"/>
              <w:snapToGrid w:val="0"/>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（选填）</w:t>
            </w:r>
          </w:p>
        </w:tc>
        <w:tc>
          <w:tcPr>
            <w:tcW w:w="2650" w:type="dxa"/>
            <w:noWrap w:val="0"/>
            <w:vAlign w:val="center"/>
          </w:tcPr>
          <w:p w14:paraId="024A8C05">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金寨县</w:t>
            </w:r>
            <w:r>
              <w:rPr>
                <w:rFonts w:hint="default" w:ascii="Times New Roman" w:hAnsi="Times New Roman" w:cs="Times New Roman"/>
                <w:color w:val="auto"/>
                <w:sz w:val="24"/>
              </w:rPr>
              <w:t>发展和改革</w:t>
            </w:r>
          </w:p>
          <w:p w14:paraId="2611FE4D">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委员会</w:t>
            </w:r>
          </w:p>
        </w:tc>
        <w:tc>
          <w:tcPr>
            <w:tcW w:w="1647" w:type="dxa"/>
            <w:noWrap w:val="0"/>
            <w:vAlign w:val="center"/>
          </w:tcPr>
          <w:p w14:paraId="1A4D9579">
            <w:pPr>
              <w:adjustRightInd w:val="0"/>
              <w:snapToGrid w:val="0"/>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项目审批（核准/备案）文号</w:t>
            </w:r>
          </w:p>
          <w:p w14:paraId="1AA0B0DB">
            <w:pPr>
              <w:adjustRightInd w:val="0"/>
              <w:snapToGrid w:val="0"/>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（选填）</w:t>
            </w:r>
          </w:p>
        </w:tc>
        <w:tc>
          <w:tcPr>
            <w:tcW w:w="2813" w:type="dxa"/>
            <w:noWrap w:val="0"/>
            <w:vAlign w:val="center"/>
          </w:tcPr>
          <w:p w14:paraId="30F381B7">
            <w:pPr>
              <w:adjustRightInd w:val="0"/>
              <w:snapToGrid w:val="0"/>
              <w:jc w:val="center"/>
              <w:rPr>
                <w:rFonts w:hint="default" w:ascii="Times New Roman" w:hAnsi="Times New Roman" w:cs="Times New Roman"/>
                <w:color w:val="auto"/>
                <w:sz w:val="24"/>
              </w:rPr>
            </w:pPr>
            <w:r>
              <w:rPr>
                <w:rFonts w:hint="eastAsia" w:ascii="Times New Roman" w:hAnsi="Times New Roman" w:cs="Times New Roman"/>
                <w:color w:val="auto"/>
                <w:sz w:val="24"/>
                <w:lang w:val="en-US" w:eastAsia="zh-CN"/>
              </w:rPr>
              <w:t>金</w:t>
            </w:r>
            <w:r>
              <w:rPr>
                <w:rFonts w:hint="default" w:ascii="Times New Roman" w:hAnsi="Times New Roman" w:cs="Times New Roman"/>
                <w:color w:val="auto"/>
                <w:sz w:val="24"/>
                <w:lang w:val="en-US" w:eastAsia="zh-CN"/>
              </w:rPr>
              <w:t>发改审批〔</w:t>
            </w:r>
            <w:r>
              <w:rPr>
                <w:rFonts w:hint="default" w:ascii="Times New Roman" w:hAnsi="Times New Roman" w:cs="Times New Roman"/>
                <w:color w:val="auto"/>
                <w:sz w:val="24"/>
              </w:rPr>
              <w:t>20</w:t>
            </w:r>
            <w:r>
              <w:rPr>
                <w:rFonts w:hint="default" w:ascii="Times New Roman" w:hAnsi="Times New Roman" w:cs="Times New Roman"/>
                <w:color w:val="auto"/>
                <w:sz w:val="24"/>
                <w:lang w:val="en-US" w:eastAsia="zh-CN"/>
              </w:rPr>
              <w:t>2</w:t>
            </w:r>
            <w:r>
              <w:rPr>
                <w:rFonts w:hint="eastAsia" w:ascii="Times New Roman" w:hAnsi="Times New Roman" w:cs="Times New Roman"/>
                <w:color w:val="auto"/>
                <w:sz w:val="24"/>
                <w:lang w:val="en-US" w:eastAsia="zh-CN"/>
              </w:rPr>
              <w:t>5</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248</w:t>
            </w:r>
            <w:r>
              <w:rPr>
                <w:rFonts w:hint="default" w:ascii="Times New Roman" w:hAnsi="Times New Roman" w:cs="Times New Roman"/>
                <w:color w:val="auto"/>
                <w:sz w:val="24"/>
              </w:rPr>
              <w:t>号</w:t>
            </w:r>
          </w:p>
        </w:tc>
      </w:tr>
      <w:tr w14:paraId="087674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50" w:hRule="atLeast"/>
        </w:trPr>
        <w:tc>
          <w:tcPr>
            <w:tcW w:w="1760" w:type="dxa"/>
            <w:noWrap w:val="0"/>
            <w:tcMar>
              <w:top w:w="16" w:type="dxa"/>
              <w:left w:w="16" w:type="dxa"/>
              <w:right w:w="16" w:type="dxa"/>
            </w:tcMar>
            <w:vAlign w:val="center"/>
          </w:tcPr>
          <w:p w14:paraId="64F15310">
            <w:pPr>
              <w:adjustRightInd w:val="0"/>
              <w:snapToGrid w:val="0"/>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总投资</w:t>
            </w:r>
          </w:p>
          <w:p w14:paraId="0D0F605D">
            <w:pPr>
              <w:adjustRightInd w:val="0"/>
              <w:snapToGrid w:val="0"/>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（万元）</w:t>
            </w:r>
          </w:p>
        </w:tc>
        <w:tc>
          <w:tcPr>
            <w:tcW w:w="2650" w:type="dxa"/>
            <w:noWrap w:val="0"/>
            <w:vAlign w:val="center"/>
          </w:tcPr>
          <w:p w14:paraId="069CD17C">
            <w:pPr>
              <w:adjustRightInd w:val="0"/>
              <w:snapToGrid w:val="0"/>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2830</w:t>
            </w:r>
          </w:p>
        </w:tc>
        <w:tc>
          <w:tcPr>
            <w:tcW w:w="1647" w:type="dxa"/>
            <w:noWrap w:val="0"/>
            <w:tcMar>
              <w:top w:w="16" w:type="dxa"/>
              <w:left w:w="16" w:type="dxa"/>
              <w:right w:w="16" w:type="dxa"/>
            </w:tcMar>
            <w:vAlign w:val="center"/>
          </w:tcPr>
          <w:p w14:paraId="501C7BAE">
            <w:pPr>
              <w:adjustRightInd w:val="0"/>
              <w:snapToGrid w:val="0"/>
              <w:jc w:val="center"/>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环保投资</w:t>
            </w:r>
          </w:p>
          <w:p w14:paraId="0C1FC357">
            <w:pPr>
              <w:adjustRightInd w:val="0"/>
              <w:snapToGrid w:val="0"/>
              <w:jc w:val="center"/>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（万元）</w:t>
            </w:r>
          </w:p>
        </w:tc>
        <w:tc>
          <w:tcPr>
            <w:tcW w:w="2813" w:type="dxa"/>
            <w:noWrap w:val="0"/>
            <w:vAlign w:val="center"/>
          </w:tcPr>
          <w:p w14:paraId="32F4DBC6">
            <w:pPr>
              <w:adjustRightInd w:val="0"/>
              <w:snapToGrid w:val="0"/>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107</w:t>
            </w:r>
          </w:p>
        </w:tc>
      </w:tr>
      <w:tr w14:paraId="68B2A4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760" w:type="dxa"/>
            <w:noWrap w:val="0"/>
            <w:tcMar>
              <w:top w:w="16" w:type="dxa"/>
              <w:left w:w="16" w:type="dxa"/>
              <w:right w:w="16" w:type="dxa"/>
            </w:tcMar>
            <w:vAlign w:val="center"/>
          </w:tcPr>
          <w:p w14:paraId="4423F53E">
            <w:pPr>
              <w:adjustRightInd w:val="0"/>
              <w:snapToGrid w:val="0"/>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环保投资占比（%）</w:t>
            </w:r>
          </w:p>
        </w:tc>
        <w:tc>
          <w:tcPr>
            <w:tcW w:w="2650" w:type="dxa"/>
            <w:noWrap w:val="0"/>
            <w:vAlign w:val="center"/>
          </w:tcPr>
          <w:p w14:paraId="1872C49A">
            <w:pPr>
              <w:adjustRightInd w:val="0"/>
              <w:snapToGrid w:val="0"/>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3.78</w:t>
            </w:r>
          </w:p>
        </w:tc>
        <w:tc>
          <w:tcPr>
            <w:tcW w:w="1647" w:type="dxa"/>
            <w:noWrap w:val="0"/>
            <w:tcMar>
              <w:top w:w="16" w:type="dxa"/>
              <w:left w:w="16" w:type="dxa"/>
              <w:right w:w="16" w:type="dxa"/>
            </w:tcMar>
            <w:vAlign w:val="center"/>
          </w:tcPr>
          <w:p w14:paraId="78987BA5">
            <w:pPr>
              <w:adjustRightInd w:val="0"/>
              <w:snapToGrid w:val="0"/>
              <w:jc w:val="center"/>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施工工期</w:t>
            </w:r>
          </w:p>
        </w:tc>
        <w:tc>
          <w:tcPr>
            <w:tcW w:w="2813" w:type="dxa"/>
            <w:noWrap w:val="0"/>
            <w:vAlign w:val="center"/>
          </w:tcPr>
          <w:p w14:paraId="1BCF7B13">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12</w:t>
            </w:r>
            <w:r>
              <w:rPr>
                <w:rFonts w:hint="default" w:ascii="Times New Roman" w:hAnsi="Times New Roman" w:cs="Times New Roman"/>
                <w:color w:val="000000" w:themeColor="text1"/>
                <w:sz w:val="24"/>
                <w:highlight w:val="none"/>
                <w14:textFill>
                  <w14:solidFill>
                    <w14:schemeClr w14:val="tx1"/>
                  </w14:solidFill>
                </w14:textFill>
              </w:rPr>
              <w:t>个月</w:t>
            </w:r>
          </w:p>
        </w:tc>
      </w:tr>
      <w:tr w14:paraId="2D7D43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11" w:hRule="atLeast"/>
        </w:trPr>
        <w:tc>
          <w:tcPr>
            <w:tcW w:w="1760" w:type="dxa"/>
            <w:noWrap w:val="0"/>
            <w:tcMar>
              <w:top w:w="16" w:type="dxa"/>
              <w:left w:w="16" w:type="dxa"/>
              <w:right w:w="16" w:type="dxa"/>
            </w:tcMar>
            <w:vAlign w:val="center"/>
          </w:tcPr>
          <w:p w14:paraId="6FE321AA">
            <w:pPr>
              <w:adjustRightInd w:val="0"/>
              <w:snapToGrid w:val="0"/>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是否开工建设</w:t>
            </w:r>
          </w:p>
        </w:tc>
        <w:tc>
          <w:tcPr>
            <w:tcW w:w="7110" w:type="dxa"/>
            <w:gridSpan w:val="3"/>
            <w:noWrap w:val="0"/>
            <w:vAlign w:val="center"/>
          </w:tcPr>
          <w:p w14:paraId="685D363E">
            <w:pPr>
              <w:adjustRightInd w:val="0"/>
              <w:snapToGrid w:val="0"/>
              <w:ind w:firstLine="105"/>
              <w:jc w:val="center"/>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否</w:t>
            </w:r>
          </w:p>
        </w:tc>
      </w:tr>
      <w:tr w14:paraId="6B97E6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595" w:hRule="atLeast"/>
        </w:trPr>
        <w:tc>
          <w:tcPr>
            <w:tcW w:w="1760" w:type="dxa"/>
            <w:noWrap w:val="0"/>
            <w:tcMar>
              <w:top w:w="16" w:type="dxa"/>
              <w:left w:w="16" w:type="dxa"/>
              <w:right w:w="16" w:type="dxa"/>
            </w:tcMar>
            <w:vAlign w:val="center"/>
          </w:tcPr>
          <w:p w14:paraId="34638D8E">
            <w:pPr>
              <w:autoSpaceDE w:val="0"/>
              <w:autoSpaceDN w:val="0"/>
              <w:adjustRightInd w:val="0"/>
              <w:snapToGrid w:val="0"/>
              <w:jc w:val="center"/>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rPr>
              <w:t>专项评价</w:t>
            </w:r>
          </w:p>
          <w:p w14:paraId="39CA8D90">
            <w:pPr>
              <w:autoSpaceDE w:val="0"/>
              <w:autoSpaceDN w:val="0"/>
              <w:adjustRightInd w:val="0"/>
              <w:snapToGrid w:val="0"/>
              <w:jc w:val="center"/>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rPr>
              <w:t>设置情况</w:t>
            </w:r>
          </w:p>
        </w:tc>
        <w:tc>
          <w:tcPr>
            <w:tcW w:w="7110" w:type="dxa"/>
            <w:gridSpan w:val="3"/>
            <w:noWrap w:val="0"/>
            <w:tcMar>
              <w:top w:w="16" w:type="dxa"/>
              <w:left w:w="16" w:type="dxa"/>
              <w:right w:w="16" w:type="dxa"/>
            </w:tcMar>
            <w:vAlign w:val="center"/>
          </w:tcPr>
          <w:p w14:paraId="0025E8F6">
            <w:pPr>
              <w:autoSpaceDE w:val="0"/>
              <w:autoSpaceDN w:val="0"/>
              <w:adjustRightInd w:val="0"/>
              <w:snapToGrid w:val="0"/>
              <w:spacing w:line="360" w:lineRule="auto"/>
              <w:rPr>
                <w:rFonts w:hint="default" w:ascii="Times New Roman" w:hAnsi="Times New Roman" w:eastAsia="宋体" w:cs="Times New Roman"/>
                <w:kern w:val="0"/>
                <w:sz w:val="24"/>
                <w:szCs w:val="24"/>
              </w:rPr>
            </w:pPr>
            <w:r>
              <w:rPr>
                <w:rFonts w:hint="default" w:ascii="Times New Roman" w:hAnsi="Times New Roman" w:eastAsia="宋体" w:cs="Times New Roman"/>
                <w:b/>
                <w:bCs/>
                <w:kern w:val="0"/>
                <w:sz w:val="24"/>
                <w:szCs w:val="24"/>
              </w:rPr>
              <w:t>专项评价名称：</w:t>
            </w:r>
            <w:r>
              <w:rPr>
                <w:rFonts w:hint="default" w:ascii="Times New Roman" w:hAnsi="Times New Roman" w:eastAsia="宋体" w:cs="Times New Roman"/>
                <w:kern w:val="0"/>
                <w:sz w:val="24"/>
                <w:szCs w:val="24"/>
                <w:lang w:eastAsia="zh-CN"/>
              </w:rPr>
              <w:t>生态环境专项评价</w:t>
            </w:r>
            <w:r>
              <w:rPr>
                <w:rFonts w:hint="default" w:ascii="Times New Roman" w:hAnsi="Times New Roman" w:eastAsia="宋体" w:cs="Times New Roman"/>
                <w:kern w:val="0"/>
                <w:sz w:val="24"/>
                <w:szCs w:val="24"/>
              </w:rPr>
              <w:t>。</w:t>
            </w:r>
          </w:p>
          <w:p w14:paraId="62249F46">
            <w:pPr>
              <w:adjustRightInd w:val="0"/>
              <w:snapToGrid w:val="0"/>
              <w:spacing w:line="360" w:lineRule="auto"/>
              <w:jc w:val="left"/>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b/>
                <w:bCs/>
                <w:kern w:val="0"/>
                <w:sz w:val="24"/>
                <w:szCs w:val="24"/>
              </w:rPr>
              <w:t>设置理由：</w:t>
            </w:r>
            <w:r>
              <w:rPr>
                <w:rFonts w:hint="default" w:ascii="Times New Roman" w:hAnsi="Times New Roman" w:eastAsia="宋体" w:cs="Times New Roman"/>
                <w:kern w:val="0"/>
                <w:sz w:val="24"/>
                <w:szCs w:val="24"/>
                <w:lang w:val="en-US" w:eastAsia="zh-CN"/>
              </w:rPr>
              <w:t>根据建设项目环境影响评价报告表编制技术指南（生态影响类）（试行）</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本项目</w:t>
            </w:r>
            <w:r>
              <w:rPr>
                <w:rFonts w:hint="eastAsia" w:ascii="Times New Roman" w:hAnsi="Times New Roman" w:eastAsia="宋体" w:cs="Times New Roman"/>
                <w:sz w:val="24"/>
                <w:szCs w:val="24"/>
                <w:lang w:val="en-US" w:eastAsia="zh-CN"/>
              </w:rPr>
              <w:t>环境影响范围涵盖环境敏感区（桐柏山-大别山国家级水土流失重点预防区）</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kern w:val="0"/>
                <w:sz w:val="24"/>
                <w:szCs w:val="24"/>
              </w:rPr>
              <w:t>项目需设置</w:t>
            </w:r>
            <w:r>
              <w:rPr>
                <w:rFonts w:hint="default" w:ascii="Times New Roman" w:hAnsi="Times New Roman" w:eastAsia="宋体" w:cs="Times New Roman"/>
                <w:kern w:val="0"/>
                <w:sz w:val="24"/>
                <w:szCs w:val="24"/>
                <w:lang w:eastAsia="zh-CN"/>
              </w:rPr>
              <w:t>生态环境专项评价</w:t>
            </w:r>
            <w:r>
              <w:rPr>
                <w:rFonts w:hint="eastAsia" w:ascii="Times New Roman" w:hAnsi="Times New Roman" w:eastAsia="宋体" w:cs="Times New Roman"/>
                <w:kern w:val="0"/>
                <w:sz w:val="24"/>
                <w:szCs w:val="24"/>
                <w:lang w:eastAsia="zh-CN"/>
              </w:rPr>
              <w:t>。</w:t>
            </w:r>
          </w:p>
        </w:tc>
      </w:tr>
      <w:tr w14:paraId="54054B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83" w:hRule="atLeast"/>
        </w:trPr>
        <w:tc>
          <w:tcPr>
            <w:tcW w:w="1760" w:type="dxa"/>
            <w:noWrap w:val="0"/>
            <w:tcMar>
              <w:top w:w="16" w:type="dxa"/>
              <w:left w:w="16" w:type="dxa"/>
              <w:right w:w="16" w:type="dxa"/>
            </w:tcMar>
            <w:vAlign w:val="center"/>
          </w:tcPr>
          <w:p w14:paraId="0217EFD5">
            <w:pPr>
              <w:autoSpaceDE w:val="0"/>
              <w:autoSpaceDN w:val="0"/>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b/>
                <w:bCs/>
                <w:color w:val="auto"/>
                <w:sz w:val="24"/>
              </w:rPr>
              <w:t>规划情况</w:t>
            </w:r>
          </w:p>
        </w:tc>
        <w:tc>
          <w:tcPr>
            <w:tcW w:w="7110" w:type="dxa"/>
            <w:gridSpan w:val="3"/>
            <w:noWrap w:val="0"/>
            <w:tcMar>
              <w:top w:w="16" w:type="dxa"/>
              <w:left w:w="16" w:type="dxa"/>
              <w:right w:w="16" w:type="dxa"/>
            </w:tcMar>
            <w:vAlign w:val="center"/>
          </w:tcPr>
          <w:p w14:paraId="2F78EDB1">
            <w:pPr>
              <w:widowControl/>
              <w:numPr>
                <w:ilvl w:val="0"/>
                <w:numId w:val="0"/>
              </w:numPr>
              <w:spacing w:line="360" w:lineRule="auto"/>
              <w:jc w:val="left"/>
              <w:rPr>
                <w:rFonts w:hint="eastAsia" w:ascii="Times New Roman" w:hAnsi="Times New Roman" w:eastAsia="宋体" w:cs="Times New Roman"/>
                <w:b/>
                <w:bCs/>
                <w:sz w:val="24"/>
                <w:lang w:val="en-US" w:eastAsia="zh-CN"/>
              </w:rPr>
            </w:pPr>
            <w:r>
              <w:rPr>
                <w:rFonts w:hint="eastAsia" w:ascii="Times New Roman" w:hAnsi="Times New Roman" w:eastAsia="宋体" w:cs="Times New Roman"/>
                <w:b/>
                <w:bCs/>
                <w:sz w:val="24"/>
                <w:lang w:val="en-US" w:eastAsia="zh-CN"/>
              </w:rPr>
              <w:t>《金寨县“十四五”交通运输发展规划》</w:t>
            </w:r>
          </w:p>
          <w:p w14:paraId="2F63BAB7">
            <w:pPr>
              <w:widowControl/>
              <w:spacing w:line="360" w:lineRule="auto"/>
              <w:jc w:val="left"/>
              <w:rPr>
                <w:rFonts w:hint="default" w:ascii="Times New Roman" w:hAnsi="Times New Roman" w:eastAsia="宋体" w:cs="Times New Roman"/>
                <w:sz w:val="24"/>
                <w:lang w:val="en-US" w:eastAsia="zh-CN"/>
              </w:rPr>
            </w:pPr>
            <w:r>
              <w:rPr>
                <w:rFonts w:hint="default" w:ascii="Times New Roman" w:hAnsi="Times New Roman" w:eastAsia="宋体" w:cs="Times New Roman"/>
                <w:b/>
                <w:bCs/>
                <w:sz w:val="24"/>
                <w:lang w:val="en-US" w:eastAsia="zh-CN"/>
              </w:rPr>
              <w:t>规划名称：</w:t>
            </w:r>
            <w:r>
              <w:rPr>
                <w:rFonts w:hint="default" w:ascii="Times New Roman" w:hAnsi="Times New Roman" w:eastAsia="宋体" w:cs="Times New Roman"/>
                <w:b w:val="0"/>
                <w:bCs w:val="0"/>
                <w:sz w:val="24"/>
                <w:lang w:val="en-US" w:eastAsia="zh-CN"/>
              </w:rPr>
              <w:t>《金寨县</w:t>
            </w:r>
            <w:r>
              <w:rPr>
                <w:rFonts w:hint="eastAsia" w:ascii="Times New Roman" w:hAnsi="Times New Roman" w:eastAsia="宋体" w:cs="Times New Roman"/>
                <w:b w:val="0"/>
                <w:bCs w:val="0"/>
                <w:sz w:val="24"/>
                <w:lang w:val="en-US" w:eastAsia="zh-CN"/>
              </w:rPr>
              <w:t>“</w:t>
            </w:r>
            <w:r>
              <w:rPr>
                <w:rFonts w:hint="default" w:ascii="Times New Roman" w:hAnsi="Times New Roman" w:eastAsia="宋体" w:cs="Times New Roman"/>
                <w:b w:val="0"/>
                <w:bCs w:val="0"/>
                <w:sz w:val="24"/>
                <w:lang w:val="en-US" w:eastAsia="zh-CN"/>
              </w:rPr>
              <w:t>十四五</w:t>
            </w:r>
            <w:r>
              <w:rPr>
                <w:rFonts w:hint="eastAsia" w:ascii="Times New Roman" w:hAnsi="Times New Roman" w:eastAsia="宋体" w:cs="Times New Roman"/>
                <w:b w:val="0"/>
                <w:bCs w:val="0"/>
                <w:sz w:val="24"/>
                <w:lang w:val="en-US" w:eastAsia="zh-CN"/>
              </w:rPr>
              <w:t>”</w:t>
            </w:r>
            <w:r>
              <w:rPr>
                <w:rFonts w:hint="default" w:ascii="Times New Roman" w:hAnsi="Times New Roman" w:eastAsia="宋体" w:cs="Times New Roman"/>
                <w:b w:val="0"/>
                <w:bCs w:val="0"/>
                <w:sz w:val="24"/>
                <w:lang w:val="en-US" w:eastAsia="zh-CN"/>
              </w:rPr>
              <w:t>交通运输发展规划》；</w:t>
            </w:r>
          </w:p>
          <w:p w14:paraId="2F3245E1">
            <w:pPr>
              <w:widowControl/>
              <w:spacing w:line="360" w:lineRule="auto"/>
              <w:jc w:val="left"/>
              <w:rPr>
                <w:rFonts w:hint="default" w:ascii="Times New Roman" w:hAnsi="Times New Roman" w:eastAsia="宋体" w:cs="Times New Roman"/>
                <w:sz w:val="24"/>
                <w:lang w:val="en-US" w:eastAsia="zh-CN"/>
              </w:rPr>
            </w:pPr>
            <w:r>
              <w:rPr>
                <w:rFonts w:hint="default" w:ascii="Times New Roman" w:hAnsi="Times New Roman" w:eastAsia="宋体" w:cs="Times New Roman"/>
                <w:b/>
                <w:bCs/>
                <w:sz w:val="24"/>
                <w:lang w:val="en-US" w:eastAsia="zh-CN"/>
              </w:rPr>
              <w:t>审批机关：</w:t>
            </w:r>
            <w:r>
              <w:rPr>
                <w:rFonts w:hint="eastAsia" w:ascii="Times New Roman" w:hAnsi="Times New Roman" w:eastAsia="宋体" w:cs="Times New Roman"/>
                <w:b w:val="0"/>
                <w:bCs w:val="0"/>
                <w:sz w:val="24"/>
                <w:lang w:val="en-US" w:eastAsia="zh-CN"/>
              </w:rPr>
              <w:t>金寨县</w:t>
            </w:r>
            <w:r>
              <w:rPr>
                <w:rFonts w:hint="default" w:ascii="Times New Roman" w:hAnsi="Times New Roman" w:eastAsia="宋体" w:cs="Times New Roman"/>
                <w:b w:val="0"/>
                <w:bCs w:val="0"/>
                <w:sz w:val="24"/>
                <w:lang w:val="en-US" w:eastAsia="zh-CN"/>
              </w:rPr>
              <w:t>人</w:t>
            </w:r>
            <w:r>
              <w:rPr>
                <w:rFonts w:hint="default" w:ascii="Times New Roman" w:hAnsi="Times New Roman" w:eastAsia="宋体" w:cs="Times New Roman"/>
                <w:sz w:val="24"/>
                <w:lang w:val="en-US" w:eastAsia="zh-CN"/>
              </w:rPr>
              <w:t>民政府；</w:t>
            </w:r>
          </w:p>
          <w:p w14:paraId="277FFC00">
            <w:pPr>
              <w:widowControl/>
              <w:spacing w:line="360" w:lineRule="auto"/>
              <w:jc w:val="left"/>
              <w:rPr>
                <w:rFonts w:hint="default"/>
                <w:lang w:val="en-US" w:eastAsia="zh-CN"/>
              </w:rPr>
            </w:pPr>
            <w:r>
              <w:rPr>
                <w:rFonts w:hint="default" w:ascii="Times New Roman" w:hAnsi="Times New Roman" w:eastAsia="宋体" w:cs="Times New Roman"/>
                <w:b/>
                <w:bCs/>
                <w:sz w:val="24"/>
                <w:lang w:val="en-US" w:eastAsia="zh-CN"/>
              </w:rPr>
              <w:t>审批文件及文号</w:t>
            </w:r>
            <w:r>
              <w:rPr>
                <w:rFonts w:hint="eastAsia" w:ascii="Times New Roman" w:hAnsi="Times New Roman" w:eastAsia="宋体" w:cs="Times New Roman"/>
                <w:b/>
                <w:bCs/>
                <w:sz w:val="24"/>
                <w:lang w:val="en-US" w:eastAsia="zh-CN"/>
              </w:rPr>
              <w:t>：</w:t>
            </w:r>
          </w:p>
        </w:tc>
      </w:tr>
      <w:tr w14:paraId="2DE95C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04" w:hRule="atLeast"/>
        </w:trPr>
        <w:tc>
          <w:tcPr>
            <w:tcW w:w="1760" w:type="dxa"/>
            <w:noWrap w:val="0"/>
            <w:tcMar>
              <w:top w:w="16" w:type="dxa"/>
              <w:left w:w="16" w:type="dxa"/>
              <w:right w:w="16" w:type="dxa"/>
            </w:tcMar>
            <w:vAlign w:val="center"/>
          </w:tcPr>
          <w:p w14:paraId="43F0F745">
            <w:pPr>
              <w:autoSpaceDE w:val="0"/>
              <w:autoSpaceDN w:val="0"/>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b/>
                <w:bCs/>
                <w:color w:val="auto"/>
                <w:sz w:val="24"/>
              </w:rPr>
              <w:t>规划环境影响评价情况</w:t>
            </w:r>
          </w:p>
        </w:tc>
        <w:tc>
          <w:tcPr>
            <w:tcW w:w="7110" w:type="dxa"/>
            <w:gridSpan w:val="3"/>
            <w:noWrap w:val="0"/>
            <w:tcMar>
              <w:top w:w="16" w:type="dxa"/>
              <w:left w:w="16" w:type="dxa"/>
              <w:right w:w="16" w:type="dxa"/>
            </w:tcMar>
            <w:vAlign w:val="center"/>
          </w:tcPr>
          <w:p w14:paraId="56911C57">
            <w:pPr>
              <w:adjustRightInd w:val="0"/>
              <w:snapToGrid w:val="0"/>
              <w:spacing w:line="360" w:lineRule="auto"/>
              <w:jc w:val="center"/>
              <w:rPr>
                <w:rFonts w:hint="default" w:ascii="Times New Roman" w:hAnsi="Times New Roman" w:cs="Times New Roman"/>
                <w:color w:val="auto"/>
                <w:kern w:val="0"/>
                <w:sz w:val="24"/>
                <w:highlight w:val="yellow"/>
              </w:rPr>
            </w:pPr>
            <w:r>
              <w:rPr>
                <w:rFonts w:hint="eastAsia" w:ascii="Times New Roman" w:hAnsi="Times New Roman" w:eastAsia="宋体" w:cs="Times New Roman"/>
                <w:b/>
                <w:bCs/>
                <w:sz w:val="24"/>
                <w:lang w:val="en-US" w:eastAsia="zh-CN"/>
              </w:rPr>
              <w:t>/</w:t>
            </w:r>
          </w:p>
        </w:tc>
      </w:tr>
      <w:tr w14:paraId="482758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3" w:hRule="atLeast"/>
        </w:trPr>
        <w:tc>
          <w:tcPr>
            <w:tcW w:w="1760" w:type="dxa"/>
            <w:noWrap w:val="0"/>
            <w:tcMar>
              <w:top w:w="16" w:type="dxa"/>
              <w:left w:w="16" w:type="dxa"/>
              <w:right w:w="16" w:type="dxa"/>
            </w:tcMar>
            <w:vAlign w:val="center"/>
          </w:tcPr>
          <w:p w14:paraId="34B191DE">
            <w:pPr>
              <w:autoSpaceDE w:val="0"/>
              <w:autoSpaceDN w:val="0"/>
              <w:adjustRightInd w:val="0"/>
              <w:snapToGrid w:val="0"/>
              <w:jc w:val="center"/>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rPr>
              <w:t>规划及</w:t>
            </w:r>
            <w:r>
              <w:rPr>
                <w:rFonts w:hint="default" w:ascii="Times New Roman" w:hAnsi="Times New Roman" w:cs="Times New Roman"/>
                <w:b/>
                <w:bCs/>
                <w:color w:val="auto"/>
                <w:sz w:val="24"/>
              </w:rPr>
              <w:t>规划环境影响评价</w:t>
            </w:r>
            <w:r>
              <w:rPr>
                <w:rFonts w:hint="default" w:ascii="Times New Roman" w:hAnsi="Times New Roman" w:cs="Times New Roman"/>
                <w:b/>
                <w:bCs/>
                <w:color w:val="auto"/>
                <w:kern w:val="0"/>
                <w:sz w:val="24"/>
              </w:rPr>
              <w:t>符合性分析</w:t>
            </w:r>
          </w:p>
        </w:tc>
        <w:tc>
          <w:tcPr>
            <w:tcW w:w="7110" w:type="dxa"/>
            <w:gridSpan w:val="3"/>
            <w:noWrap w:val="0"/>
            <w:tcMar>
              <w:top w:w="16" w:type="dxa"/>
              <w:left w:w="16" w:type="dxa"/>
              <w:right w:w="16" w:type="dxa"/>
            </w:tcMar>
            <w:vAlign w:val="center"/>
          </w:tcPr>
          <w:p w14:paraId="08419FB9">
            <w:pPr>
              <w:autoSpaceDE w:val="0"/>
              <w:autoSpaceDN w:val="0"/>
              <w:adjustRightInd w:val="0"/>
              <w:snapToGrid w:val="0"/>
              <w:spacing w:line="360" w:lineRule="auto"/>
              <w:ind w:firstLine="482" w:firstLineChars="200"/>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lang w:val="en-US" w:eastAsia="zh-CN"/>
              </w:rPr>
              <w:t>与《金寨县</w:t>
            </w:r>
            <w:r>
              <w:rPr>
                <w:rFonts w:hint="eastAsia" w:ascii="Times New Roman" w:hAnsi="Times New Roman" w:eastAsia="宋体" w:cs="Times New Roman"/>
                <w:b/>
                <w:bCs/>
                <w:sz w:val="24"/>
                <w:lang w:val="en-US" w:eastAsia="zh-CN"/>
              </w:rPr>
              <w:t>“</w:t>
            </w:r>
            <w:r>
              <w:rPr>
                <w:rFonts w:hint="default" w:ascii="Times New Roman" w:hAnsi="Times New Roman" w:eastAsia="宋体" w:cs="Times New Roman"/>
                <w:b/>
                <w:bCs/>
                <w:sz w:val="24"/>
                <w:lang w:val="en-US" w:eastAsia="zh-CN"/>
              </w:rPr>
              <w:t>十四五</w:t>
            </w:r>
            <w:r>
              <w:rPr>
                <w:rFonts w:hint="eastAsia" w:ascii="Times New Roman" w:hAnsi="Times New Roman" w:eastAsia="宋体" w:cs="Times New Roman"/>
                <w:b/>
                <w:bCs/>
                <w:sz w:val="24"/>
                <w:lang w:val="en-US" w:eastAsia="zh-CN"/>
              </w:rPr>
              <w:t>”</w:t>
            </w:r>
            <w:r>
              <w:rPr>
                <w:rFonts w:hint="default" w:ascii="Times New Roman" w:hAnsi="Times New Roman" w:eastAsia="宋体" w:cs="Times New Roman"/>
                <w:b/>
                <w:bCs/>
                <w:sz w:val="24"/>
                <w:lang w:val="en-US" w:eastAsia="zh-CN"/>
              </w:rPr>
              <w:t>交通运输发展规划》相符性分析</w:t>
            </w:r>
          </w:p>
          <w:p w14:paraId="2FDE013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金寨县</w:t>
            </w:r>
            <w:r>
              <w:rPr>
                <w:rFonts w:hint="eastAsia" w:ascii="Times New Roman" w:hAnsi="Times New Roman" w:eastAsia="宋体" w:cs="Times New Roman"/>
                <w:sz w:val="24"/>
                <w:lang w:val="en-US" w:eastAsia="zh-CN"/>
              </w:rPr>
              <w:t>“</w:t>
            </w:r>
            <w:r>
              <w:rPr>
                <w:rFonts w:hint="default" w:ascii="Times New Roman" w:hAnsi="Times New Roman" w:eastAsia="宋体" w:cs="Times New Roman"/>
                <w:sz w:val="24"/>
                <w:lang w:val="en-US" w:eastAsia="zh-CN"/>
              </w:rPr>
              <w:t>十四五</w:t>
            </w:r>
            <w:r>
              <w:rPr>
                <w:rFonts w:hint="eastAsia" w:ascii="Times New Roman" w:hAnsi="Times New Roman" w:eastAsia="宋体" w:cs="Times New Roman"/>
                <w:sz w:val="24"/>
                <w:lang w:val="en-US" w:eastAsia="zh-CN"/>
              </w:rPr>
              <w:t>”</w:t>
            </w:r>
            <w:r>
              <w:rPr>
                <w:rFonts w:hint="default" w:ascii="Times New Roman" w:hAnsi="Times New Roman" w:eastAsia="宋体" w:cs="Times New Roman"/>
                <w:sz w:val="24"/>
                <w:lang w:val="en-US" w:eastAsia="zh-CN"/>
              </w:rPr>
              <w:t>交通运输发展规划中提出</w:t>
            </w:r>
            <w:r>
              <w:rPr>
                <w:rFonts w:hint="eastAsia" w:ascii="Times New Roman" w:hAnsi="Times New Roman" w:eastAsia="宋体" w:cs="Times New Roman"/>
                <w:sz w:val="24"/>
                <w:lang w:val="en-US" w:eastAsia="zh-CN"/>
              </w:rPr>
              <w:t>：</w:t>
            </w:r>
            <w:r>
              <w:rPr>
                <w:rFonts w:hint="default" w:ascii="Times New Roman" w:hAnsi="Times New Roman" w:eastAsia="宋体" w:cs="Times New Roman"/>
                <w:sz w:val="24"/>
                <w:lang w:val="en-US" w:eastAsia="zh-CN"/>
              </w:rPr>
              <w:t>进一步打通乡镇间断头路、建设乡镇内循环路，并对一批县乡干线公路和通村公路进行升级改造，继续推进</w:t>
            </w:r>
            <w:r>
              <w:rPr>
                <w:rFonts w:hint="eastAsia" w:ascii="Times New Roman" w:hAnsi="Times New Roman" w:eastAsia="宋体" w:cs="Times New Roman"/>
                <w:sz w:val="24"/>
                <w:lang w:val="en-US" w:eastAsia="zh-CN"/>
              </w:rPr>
              <w:t>“</w:t>
            </w:r>
            <w:r>
              <w:rPr>
                <w:rFonts w:hint="default" w:ascii="Times New Roman" w:hAnsi="Times New Roman" w:eastAsia="宋体" w:cs="Times New Roman"/>
                <w:sz w:val="24"/>
                <w:lang w:val="en-US" w:eastAsia="zh-CN"/>
              </w:rPr>
              <w:t>四好农村路</w:t>
            </w:r>
            <w:r>
              <w:rPr>
                <w:rFonts w:hint="eastAsia" w:ascii="Times New Roman" w:hAnsi="Times New Roman" w:eastAsia="宋体" w:cs="Times New Roman"/>
                <w:sz w:val="24"/>
                <w:lang w:val="en-US" w:eastAsia="zh-CN"/>
              </w:rPr>
              <w:t>”</w:t>
            </w:r>
            <w:r>
              <w:rPr>
                <w:rFonts w:hint="default" w:ascii="Times New Roman" w:hAnsi="Times New Roman" w:eastAsia="宋体" w:cs="Times New Roman"/>
                <w:sz w:val="24"/>
                <w:lang w:val="en-US" w:eastAsia="zh-CN"/>
              </w:rPr>
              <w:t>建设，提升质量安全水平，建管养运协调发展。注重与其他运输方式和国省道网的衔接，提高与周边市县路网的连通性，加强与城市交通的融合，发挥综合运输整体效率。优化农村公路路网结构，重点实现现有县道通三级及以上公路、实施县乡道升级改造、重点旅游公路达标提级等目标。至2025年，实现</w:t>
            </w:r>
            <w:r>
              <w:rPr>
                <w:rFonts w:hint="eastAsia" w:ascii="Times New Roman" w:hAnsi="Times New Roman" w:eastAsia="宋体" w:cs="Times New Roman"/>
                <w:sz w:val="24"/>
                <w:lang w:val="en-US" w:eastAsia="zh-CN"/>
              </w:rPr>
              <w:t>“</w:t>
            </w:r>
            <w:r>
              <w:rPr>
                <w:rFonts w:hint="default" w:ascii="Times New Roman" w:hAnsi="Times New Roman" w:eastAsia="宋体" w:cs="Times New Roman"/>
                <w:sz w:val="24"/>
                <w:lang w:val="en-US" w:eastAsia="zh-CN"/>
              </w:rPr>
              <w:t>半小时上高速、通村双车道、全域硬化路</w:t>
            </w:r>
            <w:r>
              <w:rPr>
                <w:rFonts w:hint="eastAsia" w:ascii="Times New Roman" w:hAnsi="Times New Roman" w:eastAsia="宋体" w:cs="Times New Roman"/>
                <w:sz w:val="24"/>
                <w:lang w:val="en-US" w:eastAsia="zh-CN"/>
              </w:rPr>
              <w:t>”</w:t>
            </w:r>
            <w:r>
              <w:rPr>
                <w:rFonts w:hint="default" w:ascii="Times New Roman" w:hAnsi="Times New Roman" w:eastAsia="宋体" w:cs="Times New Roman"/>
                <w:sz w:val="24"/>
                <w:lang w:val="en-US" w:eastAsia="zh-CN"/>
              </w:rPr>
              <w:t>的交通运输路网。</w:t>
            </w:r>
          </w:p>
          <w:p w14:paraId="2C110E3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本项目是加强关庙乡对内联系的重要通道，起点与规划国省干线相交，终点与钼矿矿区道路相衔接，形成区域路网结构，对于完善区域路网布局具有显著的作用。另外本项目的建设有利于提升关庙乡的道路基础设施服务水平，串联了区域路网中的重要节点，交通运输条件得到优化，提高了道路通行能力，有利于充分发挥公路的建设效益。因此，本项目</w:t>
            </w:r>
            <w:r>
              <w:rPr>
                <w:rFonts w:hint="eastAsia" w:ascii="Times New Roman" w:hAnsi="Times New Roman" w:eastAsia="宋体" w:cs="Times New Roman"/>
                <w:sz w:val="24"/>
                <w:lang w:val="en-US" w:eastAsia="zh-CN"/>
              </w:rPr>
              <w:t>与</w:t>
            </w:r>
            <w:r>
              <w:rPr>
                <w:rFonts w:hint="default" w:ascii="Times New Roman" w:hAnsi="Times New Roman" w:eastAsia="宋体" w:cs="Times New Roman"/>
                <w:sz w:val="24"/>
                <w:lang w:val="en-US" w:eastAsia="zh-CN"/>
              </w:rPr>
              <w:t>《金寨县</w:t>
            </w:r>
            <w:r>
              <w:rPr>
                <w:rFonts w:hint="eastAsia" w:ascii="Times New Roman" w:hAnsi="Times New Roman" w:eastAsia="宋体" w:cs="Times New Roman"/>
                <w:sz w:val="24"/>
                <w:lang w:val="en-US" w:eastAsia="zh-CN"/>
              </w:rPr>
              <w:t>“</w:t>
            </w:r>
            <w:r>
              <w:rPr>
                <w:rFonts w:hint="default" w:ascii="Times New Roman" w:hAnsi="Times New Roman" w:eastAsia="宋体" w:cs="Times New Roman"/>
                <w:sz w:val="24"/>
                <w:lang w:val="en-US" w:eastAsia="zh-CN"/>
              </w:rPr>
              <w:t>十四五</w:t>
            </w:r>
            <w:r>
              <w:rPr>
                <w:rFonts w:hint="eastAsia" w:ascii="Times New Roman" w:hAnsi="Times New Roman" w:eastAsia="宋体" w:cs="Times New Roman"/>
                <w:sz w:val="24"/>
                <w:lang w:val="en-US" w:eastAsia="zh-CN"/>
              </w:rPr>
              <w:t>”</w:t>
            </w:r>
            <w:r>
              <w:rPr>
                <w:rFonts w:hint="default" w:ascii="Times New Roman" w:hAnsi="Times New Roman" w:eastAsia="宋体" w:cs="Times New Roman"/>
                <w:sz w:val="24"/>
                <w:lang w:val="en-US" w:eastAsia="zh-CN"/>
              </w:rPr>
              <w:t>交通运输发展规划》</w:t>
            </w:r>
            <w:r>
              <w:rPr>
                <w:rFonts w:hint="eastAsia" w:ascii="Times New Roman" w:hAnsi="Times New Roman" w:eastAsia="宋体" w:cs="Times New Roman"/>
                <w:sz w:val="24"/>
                <w:lang w:val="en-US" w:eastAsia="zh-CN"/>
              </w:rPr>
              <w:t>是相符的</w:t>
            </w:r>
            <w:r>
              <w:rPr>
                <w:rFonts w:hint="default" w:ascii="Times New Roman" w:hAnsi="Times New Roman" w:eastAsia="宋体" w:cs="Times New Roman"/>
                <w:sz w:val="24"/>
                <w:lang w:val="en-US" w:eastAsia="zh-CN"/>
              </w:rPr>
              <w:t>。</w:t>
            </w:r>
          </w:p>
          <w:p w14:paraId="2081B96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highlight w:val="none"/>
                <w:lang w:val="en-US" w:eastAsia="zh-CN"/>
              </w:rPr>
            </w:pPr>
          </w:p>
        </w:tc>
      </w:tr>
      <w:tr w14:paraId="2F2F8B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1760" w:type="dxa"/>
            <w:noWrap w:val="0"/>
            <w:tcMar>
              <w:top w:w="16" w:type="dxa"/>
              <w:left w:w="16" w:type="dxa"/>
              <w:right w:w="16" w:type="dxa"/>
            </w:tcMar>
            <w:vAlign w:val="center"/>
          </w:tcPr>
          <w:p w14:paraId="493120B2">
            <w:pPr>
              <w:autoSpaceDE w:val="0"/>
              <w:autoSpaceDN w:val="0"/>
              <w:adjustRightInd w:val="0"/>
              <w:snapToGrid w:val="0"/>
              <w:jc w:val="center"/>
              <w:rPr>
                <w:rFonts w:hint="default" w:ascii="Times New Roman" w:hAnsi="Times New Roman" w:cs="Times New Roman"/>
                <w:b/>
                <w:bCs/>
                <w:color w:val="auto"/>
                <w:kern w:val="0"/>
                <w:sz w:val="24"/>
              </w:rPr>
            </w:pPr>
            <w:bookmarkStart w:id="11" w:name="_Hlk56690880"/>
            <w:r>
              <w:rPr>
                <w:rFonts w:hint="default" w:ascii="Times New Roman" w:hAnsi="Times New Roman" w:cs="Times New Roman"/>
                <w:b/>
                <w:bCs/>
                <w:color w:val="auto"/>
                <w:kern w:val="0"/>
                <w:sz w:val="24"/>
              </w:rPr>
              <w:t>其他</w:t>
            </w:r>
          </w:p>
          <w:p w14:paraId="4D0BF0C2">
            <w:pPr>
              <w:autoSpaceDE w:val="0"/>
              <w:autoSpaceDN w:val="0"/>
              <w:adjustRightInd w:val="0"/>
              <w:snapToGrid w:val="0"/>
              <w:jc w:val="center"/>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rPr>
              <w:t>符合性</w:t>
            </w:r>
          </w:p>
          <w:p w14:paraId="27C01E76">
            <w:pPr>
              <w:autoSpaceDE w:val="0"/>
              <w:autoSpaceDN w:val="0"/>
              <w:adjustRightInd w:val="0"/>
              <w:snapToGrid w:val="0"/>
              <w:jc w:val="center"/>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rPr>
              <w:t>分析</w:t>
            </w:r>
            <w:bookmarkEnd w:id="11"/>
          </w:p>
        </w:tc>
        <w:tc>
          <w:tcPr>
            <w:tcW w:w="7110" w:type="dxa"/>
            <w:gridSpan w:val="3"/>
            <w:noWrap w:val="0"/>
            <w:tcMar>
              <w:top w:w="16" w:type="dxa"/>
              <w:left w:w="16" w:type="dxa"/>
              <w:right w:w="16" w:type="dxa"/>
            </w:tcMar>
            <w:vAlign w:val="center"/>
          </w:tcPr>
          <w:p w14:paraId="77416549">
            <w:p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kern w:val="0"/>
                <w:sz w:val="24"/>
                <w:lang w:val="en-US" w:eastAsia="zh-CN"/>
              </w:rPr>
            </w:pPr>
            <w:r>
              <w:rPr>
                <w:rFonts w:hint="default" w:ascii="Times New Roman" w:hAnsi="Times New Roman" w:eastAsia="宋体" w:cs="Times New Roman"/>
                <w:b/>
                <w:bCs/>
                <w:color w:val="auto"/>
                <w:kern w:val="0"/>
                <w:sz w:val="24"/>
                <w:lang w:val="en-US" w:eastAsia="zh-CN"/>
              </w:rPr>
              <w:t>1、产业政策相符性分析</w:t>
            </w:r>
          </w:p>
          <w:p w14:paraId="11007E46">
            <w:pPr>
              <w:pStyle w:val="54"/>
              <w:ind w:firstLine="48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根据《产业结构调整指导目录》（</w:t>
            </w:r>
            <w:r>
              <w:rPr>
                <w:rFonts w:hint="default" w:ascii="Times New Roman" w:hAnsi="Times New Roman" w:cs="Times New Roman"/>
                <w:color w:val="auto"/>
                <w:kern w:val="0"/>
                <w:sz w:val="24"/>
                <w:highlight w:val="none"/>
                <w:lang w:val="en-US" w:eastAsia="zh-CN"/>
              </w:rPr>
              <w:t>2024</w:t>
            </w:r>
            <w:r>
              <w:rPr>
                <w:rFonts w:hint="default" w:ascii="Times New Roman" w:hAnsi="Times New Roman" w:eastAsia="宋体" w:cs="Times New Roman"/>
                <w:color w:val="auto"/>
                <w:kern w:val="0"/>
                <w:sz w:val="24"/>
                <w:highlight w:val="none"/>
                <w:lang w:val="en-US" w:eastAsia="zh-CN"/>
              </w:rPr>
              <w:t>年本），本项目属于鼓励类中第二十</w:t>
            </w:r>
            <w:r>
              <w:rPr>
                <w:rFonts w:hint="default" w:ascii="Times New Roman" w:hAnsi="Times New Roman" w:cs="Times New Roman"/>
                <w:color w:val="auto"/>
                <w:kern w:val="0"/>
                <w:sz w:val="24"/>
                <w:highlight w:val="none"/>
                <w:lang w:val="en-US" w:eastAsia="zh-CN"/>
              </w:rPr>
              <w:t>四</w:t>
            </w:r>
            <w:r>
              <w:rPr>
                <w:rFonts w:hint="default" w:ascii="Times New Roman" w:hAnsi="Times New Roman" w:eastAsia="宋体" w:cs="Times New Roman"/>
                <w:color w:val="auto"/>
                <w:kern w:val="0"/>
                <w:sz w:val="24"/>
                <w:highlight w:val="none"/>
                <w:lang w:val="en-US" w:eastAsia="zh-CN"/>
              </w:rPr>
              <w:t>条</w:t>
            </w:r>
            <w:r>
              <w:rPr>
                <w:rFonts w:hint="default" w:ascii="Times New Roman" w:hAnsi="Times New Roman" w:cs="Times New Roman"/>
                <w:color w:val="auto"/>
                <w:kern w:val="0"/>
                <w:sz w:val="24"/>
                <w:highlight w:val="none"/>
                <w:lang w:val="en-US" w:eastAsia="zh-CN"/>
              </w:rPr>
              <w:t xml:space="preserve"> </w:t>
            </w:r>
            <w:r>
              <w:rPr>
                <w:rFonts w:hint="default" w:ascii="Times New Roman" w:hAnsi="Times New Roman" w:eastAsia="宋体" w:cs="Times New Roman"/>
                <w:color w:val="auto"/>
                <w:kern w:val="0"/>
                <w:sz w:val="24"/>
                <w:highlight w:val="none"/>
                <w:lang w:val="en-US" w:eastAsia="zh-CN"/>
              </w:rPr>
              <w:t>第</w:t>
            </w:r>
            <w:r>
              <w:rPr>
                <w:rFonts w:hint="eastAsia" w:cs="Times New Roman"/>
                <w:color w:val="auto"/>
                <w:kern w:val="0"/>
                <w:sz w:val="24"/>
                <w:highlight w:val="none"/>
                <w:lang w:val="en-US" w:eastAsia="zh-CN"/>
              </w:rPr>
              <w:t>2</w:t>
            </w:r>
            <w:r>
              <w:rPr>
                <w:rFonts w:hint="default" w:ascii="Times New Roman" w:hAnsi="Times New Roman" w:eastAsia="宋体" w:cs="Times New Roman"/>
                <w:color w:val="auto"/>
                <w:kern w:val="0"/>
                <w:sz w:val="24"/>
                <w:highlight w:val="none"/>
                <w:lang w:val="en-US" w:eastAsia="zh-CN"/>
              </w:rPr>
              <w:t>项</w:t>
            </w:r>
            <w:r>
              <w:rPr>
                <w:rFonts w:hint="eastAsia" w:cs="Times New Roman"/>
                <w:color w:val="auto"/>
                <w:kern w:val="0"/>
                <w:sz w:val="24"/>
                <w:highlight w:val="none"/>
                <w:lang w:val="en-US" w:eastAsia="zh-CN"/>
              </w:rPr>
              <w:t>“公路智能运输系统开发：快速客货运输、公路甩挂运输系统开发与建设，公路集装箱和厢式运输，</w:t>
            </w:r>
            <w:r>
              <w:rPr>
                <w:rFonts w:hint="eastAsia" w:cs="Times New Roman"/>
                <w:b w:val="0"/>
                <w:bCs w:val="0"/>
                <w:color w:val="auto"/>
                <w:kern w:val="0"/>
                <w:sz w:val="24"/>
                <w:highlight w:val="lightGray"/>
                <w:lang w:val="en-US" w:eastAsia="zh-CN"/>
              </w:rPr>
              <w:t>农村公路</w:t>
            </w:r>
            <w:r>
              <w:rPr>
                <w:rFonts w:hint="eastAsia" w:cs="Times New Roman"/>
                <w:b w:val="0"/>
                <w:bCs w:val="0"/>
                <w:color w:val="auto"/>
                <w:kern w:val="0"/>
                <w:sz w:val="24"/>
                <w:highlight w:val="none"/>
                <w:lang w:val="en-US" w:eastAsia="zh-CN"/>
              </w:rPr>
              <w:t>和客货运输网络</w:t>
            </w:r>
            <w:r>
              <w:rPr>
                <w:rFonts w:hint="eastAsia" w:cs="Times New Roman"/>
                <w:b w:val="0"/>
                <w:bCs w:val="0"/>
                <w:color w:val="auto"/>
                <w:kern w:val="0"/>
                <w:sz w:val="24"/>
                <w:highlight w:val="lightGray"/>
                <w:lang w:val="en-US" w:eastAsia="zh-CN"/>
              </w:rPr>
              <w:t>开发与建设</w:t>
            </w:r>
            <w:r>
              <w:rPr>
                <w:rFonts w:hint="eastAsia" w:cs="Times New Roman"/>
                <w:color w:val="auto"/>
                <w:kern w:val="0"/>
                <w:sz w:val="24"/>
                <w:highlight w:val="none"/>
                <w:lang w:val="en-US" w:eastAsia="zh-CN"/>
              </w:rPr>
              <w:t>，出租汽车服务调度信息系统开发与建设”</w:t>
            </w:r>
            <w:r>
              <w:rPr>
                <w:rFonts w:hint="default" w:ascii="Times New Roman" w:hAnsi="Times New Roman" w:eastAsia="宋体" w:cs="Times New Roman"/>
                <w:color w:val="auto"/>
                <w:kern w:val="0"/>
                <w:sz w:val="24"/>
                <w:highlight w:val="none"/>
                <w:lang w:val="en-US" w:eastAsia="zh-CN"/>
              </w:rPr>
              <w:t>，因此符合国家产业政策。同时，本项目已取得</w:t>
            </w:r>
            <w:r>
              <w:rPr>
                <w:rFonts w:hint="default" w:ascii="Times New Roman" w:hAnsi="Times New Roman" w:cs="Times New Roman"/>
                <w:color w:val="auto"/>
                <w:sz w:val="24"/>
                <w:lang w:val="en-US" w:eastAsia="zh-CN"/>
              </w:rPr>
              <w:t>金寨县</w:t>
            </w:r>
            <w:r>
              <w:rPr>
                <w:rFonts w:hint="default" w:ascii="Times New Roman" w:hAnsi="Times New Roman" w:cs="Times New Roman"/>
                <w:color w:val="auto"/>
                <w:sz w:val="24"/>
              </w:rPr>
              <w:t>发展和改革</w:t>
            </w:r>
            <w:r>
              <w:rPr>
                <w:rFonts w:hint="default" w:ascii="Times New Roman" w:hAnsi="Times New Roman" w:eastAsia="宋体" w:cs="Times New Roman"/>
                <w:color w:val="auto"/>
                <w:kern w:val="0"/>
                <w:sz w:val="24"/>
                <w:highlight w:val="none"/>
                <w:lang w:val="en-US" w:eastAsia="zh-CN"/>
              </w:rPr>
              <w:t>委员会</w:t>
            </w:r>
            <w:r>
              <w:rPr>
                <w:rFonts w:hint="eastAsia" w:cs="Times New Roman"/>
                <w:color w:val="auto"/>
                <w:kern w:val="0"/>
                <w:sz w:val="24"/>
                <w:highlight w:val="none"/>
                <w:lang w:val="en-US" w:eastAsia="zh-CN"/>
              </w:rPr>
              <w:t>关于本工程可行性研究报告的批复（金发改审批〔2025〕248号）</w:t>
            </w:r>
            <w:r>
              <w:rPr>
                <w:rFonts w:hint="default" w:ascii="Times New Roman" w:hAnsi="Times New Roman" w:eastAsia="宋体" w:cs="Times New Roman"/>
                <w:color w:val="auto"/>
                <w:kern w:val="0"/>
                <w:sz w:val="24"/>
                <w:highlight w:val="none"/>
                <w:lang w:val="en-US" w:eastAsia="zh-CN"/>
              </w:rPr>
              <w:t>。</w:t>
            </w:r>
          </w:p>
          <w:p w14:paraId="729FE809">
            <w:p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kern w:val="0"/>
                <w:sz w:val="24"/>
                <w:lang w:val="en-US" w:eastAsia="zh-CN"/>
              </w:rPr>
            </w:pPr>
            <w:r>
              <w:rPr>
                <w:rFonts w:hint="default" w:ascii="Times New Roman" w:hAnsi="Times New Roman" w:eastAsia="宋体" w:cs="Times New Roman"/>
                <w:b/>
                <w:bCs/>
                <w:color w:val="auto"/>
                <w:kern w:val="0"/>
                <w:sz w:val="24"/>
                <w:highlight w:val="none"/>
                <w:lang w:val="en-US" w:eastAsia="zh-CN"/>
              </w:rPr>
              <w:t>2、</w:t>
            </w:r>
            <w:r>
              <w:rPr>
                <w:rFonts w:hint="eastAsia" w:ascii="Times New Roman" w:hAnsi="Times New Roman" w:eastAsia="宋体" w:cs="Times New Roman"/>
                <w:b/>
                <w:bCs/>
                <w:color w:val="auto"/>
                <w:kern w:val="0"/>
                <w:sz w:val="24"/>
                <w:lang w:val="en-US" w:eastAsia="zh-CN"/>
              </w:rPr>
              <w:t>“</w:t>
            </w:r>
            <w:r>
              <w:rPr>
                <w:rFonts w:hint="default" w:ascii="Times New Roman" w:hAnsi="Times New Roman" w:eastAsia="宋体" w:cs="Times New Roman"/>
                <w:b/>
                <w:bCs/>
                <w:color w:val="auto"/>
                <w:kern w:val="0"/>
                <w:sz w:val="24"/>
                <w:lang w:val="en-US" w:eastAsia="zh-CN"/>
              </w:rPr>
              <w:t>三线一单</w:t>
            </w:r>
            <w:r>
              <w:rPr>
                <w:rFonts w:hint="eastAsia" w:ascii="Times New Roman" w:hAnsi="Times New Roman" w:eastAsia="宋体" w:cs="Times New Roman"/>
                <w:b/>
                <w:bCs/>
                <w:color w:val="auto"/>
                <w:kern w:val="0"/>
                <w:sz w:val="24"/>
                <w:lang w:val="en-US" w:eastAsia="zh-CN"/>
              </w:rPr>
              <w:t>”</w:t>
            </w:r>
            <w:r>
              <w:rPr>
                <w:rFonts w:hint="default" w:ascii="Times New Roman" w:hAnsi="Times New Roman" w:eastAsia="宋体" w:cs="Times New Roman"/>
                <w:b/>
                <w:bCs/>
                <w:color w:val="auto"/>
                <w:kern w:val="0"/>
                <w:sz w:val="24"/>
                <w:lang w:val="en-US" w:eastAsia="zh-CN"/>
              </w:rPr>
              <w:t>符合性分析</w:t>
            </w:r>
          </w:p>
          <w:p w14:paraId="00C25843">
            <w:pPr>
              <w:pStyle w:val="54"/>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根据原环境保护部《关于以改善环境质量为核心加强环境影响评价管理的通知》（环环评〔2016〕150号），项目</w:t>
            </w:r>
            <w:r>
              <w:rPr>
                <w:rFonts w:hint="eastAsia" w:cs="Times New Roman"/>
                <w:b w:val="0"/>
                <w:bCs w:val="0"/>
                <w:color w:val="auto"/>
                <w:kern w:val="0"/>
                <w:sz w:val="24"/>
                <w:szCs w:val="24"/>
                <w:highlight w:val="none"/>
                <w:lang w:val="en-US" w:eastAsia="zh-CN"/>
              </w:rPr>
              <w:t>“</w:t>
            </w:r>
            <w:r>
              <w:rPr>
                <w:rFonts w:hint="default" w:ascii="Times New Roman" w:hAnsi="Times New Roman" w:eastAsia="宋体" w:cs="Times New Roman"/>
                <w:b w:val="0"/>
                <w:bCs w:val="0"/>
                <w:color w:val="auto"/>
                <w:kern w:val="0"/>
                <w:sz w:val="24"/>
                <w:szCs w:val="24"/>
                <w:highlight w:val="none"/>
                <w:lang w:val="en-US" w:eastAsia="zh-CN"/>
              </w:rPr>
              <w:t>三线一单</w:t>
            </w:r>
            <w:r>
              <w:rPr>
                <w:rFonts w:hint="eastAsia" w:cs="Times New Roman"/>
                <w:b w:val="0"/>
                <w:bCs w:val="0"/>
                <w:color w:val="auto"/>
                <w:kern w:val="0"/>
                <w:sz w:val="24"/>
                <w:szCs w:val="24"/>
                <w:highlight w:val="none"/>
                <w:lang w:val="en-US" w:eastAsia="zh-CN"/>
              </w:rPr>
              <w:t>”</w:t>
            </w:r>
            <w:r>
              <w:rPr>
                <w:rFonts w:hint="default" w:ascii="Times New Roman" w:hAnsi="Times New Roman" w:eastAsia="宋体" w:cs="Times New Roman"/>
                <w:b w:val="0"/>
                <w:bCs w:val="0"/>
                <w:color w:val="auto"/>
                <w:kern w:val="0"/>
                <w:sz w:val="24"/>
                <w:szCs w:val="24"/>
                <w:highlight w:val="none"/>
                <w:lang w:val="en-US" w:eastAsia="zh-CN"/>
              </w:rPr>
              <w:t>符合性分析如下：</w:t>
            </w:r>
          </w:p>
          <w:p w14:paraId="663B241D">
            <w:pPr>
              <w:pStyle w:val="54"/>
              <w:ind w:firstLine="480"/>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2"/>
                <w:sz w:val="24"/>
                <w:szCs w:val="24"/>
                <w:highlight w:val="none"/>
                <w:lang w:val="en-US" w:eastAsia="zh-CN" w:bidi="ar-SA"/>
              </w:rPr>
              <w:t>（</w:t>
            </w:r>
            <w:r>
              <w:rPr>
                <w:rFonts w:hint="default" w:ascii="Times New Roman" w:hAnsi="Times New Roman" w:eastAsia="宋体" w:cs="Times New Roman"/>
                <w:b/>
                <w:bCs/>
                <w:color w:val="auto"/>
                <w:kern w:val="0"/>
                <w:sz w:val="24"/>
                <w:szCs w:val="24"/>
                <w:highlight w:val="none"/>
                <w:lang w:val="en-US" w:eastAsia="zh-CN"/>
              </w:rPr>
              <w:t>1）</w:t>
            </w:r>
            <w:r>
              <w:rPr>
                <w:rFonts w:hint="eastAsia" w:cs="Times New Roman"/>
                <w:b/>
                <w:bCs/>
                <w:color w:val="auto"/>
                <w:kern w:val="0"/>
                <w:sz w:val="24"/>
                <w:szCs w:val="24"/>
                <w:highlight w:val="none"/>
                <w:lang w:val="en-US" w:eastAsia="zh-CN"/>
              </w:rPr>
              <w:t>“</w:t>
            </w:r>
            <w:r>
              <w:rPr>
                <w:rFonts w:hint="default" w:ascii="Times New Roman" w:hAnsi="Times New Roman" w:eastAsia="宋体" w:cs="Times New Roman"/>
                <w:b/>
                <w:bCs/>
                <w:color w:val="auto"/>
                <w:kern w:val="0"/>
                <w:sz w:val="24"/>
                <w:szCs w:val="24"/>
                <w:highlight w:val="none"/>
                <w:lang w:val="en-US" w:eastAsia="zh-CN"/>
              </w:rPr>
              <w:t>生态保护红线</w:t>
            </w:r>
            <w:r>
              <w:rPr>
                <w:rFonts w:hint="eastAsia" w:cs="Times New Roman"/>
                <w:b/>
                <w:bCs/>
                <w:color w:val="auto"/>
                <w:kern w:val="0"/>
                <w:sz w:val="24"/>
                <w:szCs w:val="24"/>
                <w:highlight w:val="none"/>
                <w:lang w:val="en-US" w:eastAsia="zh-CN"/>
              </w:rPr>
              <w:t>”</w:t>
            </w:r>
            <w:r>
              <w:rPr>
                <w:rFonts w:hint="default" w:ascii="Times New Roman" w:hAnsi="Times New Roman" w:eastAsia="宋体" w:cs="Times New Roman"/>
                <w:b/>
                <w:bCs/>
                <w:color w:val="auto"/>
                <w:kern w:val="0"/>
                <w:sz w:val="24"/>
                <w:szCs w:val="24"/>
                <w:highlight w:val="none"/>
                <w:lang w:val="en-US" w:eastAsia="zh-CN"/>
              </w:rPr>
              <w:t>符合性分析</w:t>
            </w:r>
          </w:p>
          <w:p w14:paraId="49081517">
            <w:pPr>
              <w:pStyle w:val="54"/>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b w:val="0"/>
                <w:bCs w:val="0"/>
                <w:color w:val="auto"/>
                <w:kern w:val="0"/>
                <w:sz w:val="24"/>
                <w:szCs w:val="24"/>
                <w:highlight w:val="none"/>
                <w:lang w:val="en-US" w:eastAsia="zh-CN"/>
              </w:rPr>
            </w:pPr>
            <w:r>
              <w:rPr>
                <w:rFonts w:hint="eastAsia" w:ascii="Times New Roman" w:hAnsi="Times New Roman" w:eastAsia="宋体" w:cs="Times New Roman"/>
                <w:b w:val="0"/>
                <w:bCs w:val="0"/>
                <w:color w:val="auto"/>
                <w:kern w:val="0"/>
                <w:sz w:val="24"/>
                <w:szCs w:val="24"/>
                <w:highlight w:val="none"/>
                <w:lang w:val="en-US" w:eastAsia="zh-CN"/>
              </w:rPr>
              <w:t>根据《</w:t>
            </w:r>
            <w:r>
              <w:rPr>
                <w:rFonts w:hint="eastAsia" w:cs="Times New Roman"/>
                <w:b w:val="0"/>
                <w:bCs w:val="0"/>
                <w:color w:val="auto"/>
                <w:kern w:val="0"/>
                <w:sz w:val="24"/>
                <w:szCs w:val="24"/>
                <w:highlight w:val="none"/>
                <w:lang w:val="en-US" w:eastAsia="zh-CN"/>
              </w:rPr>
              <w:t>金寨县关庙乡沙坪沟至蔡家湾公路升级改造工程</w:t>
            </w: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套合</w:t>
            </w:r>
            <w:r>
              <w:rPr>
                <w:rFonts w:hint="eastAsia" w:cs="Times New Roman"/>
                <w:b w:val="0"/>
                <w:bCs w:val="0"/>
                <w:color w:val="000000" w:themeColor="text1"/>
                <w:kern w:val="0"/>
                <w:sz w:val="24"/>
                <w:szCs w:val="24"/>
                <w:highlight w:val="none"/>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三区三线</w:t>
            </w:r>
            <w:r>
              <w:rPr>
                <w:rFonts w:hint="eastAsia" w:cs="Times New Roman"/>
                <w:b w:val="0"/>
                <w:bCs w:val="0"/>
                <w:color w:val="000000" w:themeColor="text1"/>
                <w:kern w:val="0"/>
                <w:sz w:val="24"/>
                <w:szCs w:val="24"/>
                <w:highlight w:val="none"/>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成果图》，项目不占用六安市生态保护红线，详见附图</w:t>
            </w:r>
            <w:r>
              <w:rPr>
                <w:rFonts w:hint="eastAsia" w:cs="Times New Roman"/>
                <w:b w:val="0"/>
                <w:bCs w:val="0"/>
                <w:color w:val="000000" w:themeColor="text1"/>
                <w:kern w:val="0"/>
                <w:sz w:val="24"/>
                <w:szCs w:val="24"/>
                <w:highlight w:val="none"/>
                <w:lang w:val="en-US" w:eastAsia="zh-CN"/>
                <w14:textFill>
                  <w14:solidFill>
                    <w14:schemeClr w14:val="tx1"/>
                  </w14:solidFill>
                </w14:textFill>
              </w:rPr>
              <w:t>5</w:t>
            </w:r>
            <w:r>
              <w:rPr>
                <w:rFonts w:hint="eastAsia" w:ascii="Times New Roman" w:hAnsi="Times New Roman" w:eastAsia="宋体" w:cs="Times New Roman"/>
                <w:b w:val="0"/>
                <w:bCs w:val="0"/>
                <w:color w:val="auto"/>
                <w:kern w:val="0"/>
                <w:sz w:val="24"/>
                <w:szCs w:val="24"/>
                <w:highlight w:val="none"/>
                <w:lang w:val="en-US" w:eastAsia="zh-CN"/>
              </w:rPr>
              <w:t>。</w:t>
            </w:r>
          </w:p>
          <w:p w14:paraId="5BA35297">
            <w:pPr>
              <w:pStyle w:val="54"/>
              <w:ind w:firstLine="480"/>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（2）</w:t>
            </w:r>
            <w:r>
              <w:rPr>
                <w:rFonts w:hint="eastAsia" w:cs="Times New Roman"/>
                <w:b/>
                <w:bCs/>
                <w:color w:val="auto"/>
                <w:kern w:val="0"/>
                <w:sz w:val="24"/>
                <w:szCs w:val="24"/>
                <w:highlight w:val="none"/>
                <w:lang w:val="en-US" w:eastAsia="zh-CN"/>
              </w:rPr>
              <w:t>“</w:t>
            </w:r>
            <w:r>
              <w:rPr>
                <w:rFonts w:hint="default" w:ascii="Times New Roman" w:hAnsi="Times New Roman" w:eastAsia="宋体" w:cs="Times New Roman"/>
                <w:b/>
                <w:bCs/>
                <w:color w:val="auto"/>
                <w:kern w:val="0"/>
                <w:sz w:val="24"/>
                <w:szCs w:val="24"/>
                <w:highlight w:val="none"/>
                <w:lang w:val="en-US" w:eastAsia="zh-CN"/>
              </w:rPr>
              <w:t>环境质量底线</w:t>
            </w:r>
            <w:r>
              <w:rPr>
                <w:rFonts w:hint="eastAsia" w:cs="Times New Roman"/>
                <w:b/>
                <w:bCs/>
                <w:color w:val="auto"/>
                <w:kern w:val="0"/>
                <w:sz w:val="24"/>
                <w:szCs w:val="24"/>
                <w:highlight w:val="none"/>
                <w:lang w:val="en-US" w:eastAsia="zh-CN"/>
              </w:rPr>
              <w:t>”</w:t>
            </w:r>
            <w:r>
              <w:rPr>
                <w:rFonts w:hint="default" w:ascii="Times New Roman" w:hAnsi="Times New Roman" w:eastAsia="宋体" w:cs="Times New Roman"/>
                <w:b/>
                <w:bCs/>
                <w:color w:val="auto"/>
                <w:kern w:val="0"/>
                <w:sz w:val="24"/>
                <w:szCs w:val="24"/>
                <w:highlight w:val="none"/>
                <w:lang w:val="en-US" w:eastAsia="zh-CN"/>
              </w:rPr>
              <w:t>符合性分析</w:t>
            </w:r>
          </w:p>
          <w:p w14:paraId="1C6EE661">
            <w:pPr>
              <w:pStyle w:val="54"/>
              <w:ind w:firstLine="480"/>
              <w:rPr>
                <w:rFonts w:hint="default"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①本项目环境空气质量现状引用六安</w:t>
            </w:r>
            <w:r>
              <w:rPr>
                <w:rFonts w:hint="eastAsia" w:cs="Times New Roman"/>
                <w:b w:val="0"/>
                <w:bCs w:val="0"/>
                <w:color w:val="auto"/>
                <w:kern w:val="0"/>
                <w:sz w:val="24"/>
                <w:szCs w:val="24"/>
                <w:highlight w:val="none"/>
                <w:lang w:val="en-US" w:eastAsia="zh-CN"/>
              </w:rPr>
              <w:t>市金寨县</w:t>
            </w:r>
            <w:r>
              <w:rPr>
                <w:rFonts w:hint="default" w:ascii="Times New Roman" w:hAnsi="Times New Roman" w:eastAsia="宋体" w:cs="Times New Roman"/>
                <w:b w:val="0"/>
                <w:bCs w:val="0"/>
                <w:color w:val="auto"/>
                <w:kern w:val="0"/>
                <w:sz w:val="24"/>
                <w:szCs w:val="24"/>
                <w:highlight w:val="none"/>
                <w:lang w:val="en-US" w:eastAsia="zh-CN"/>
              </w:rPr>
              <w:t>态环境分局发布的《202</w:t>
            </w:r>
            <w:r>
              <w:rPr>
                <w:rFonts w:hint="eastAsia" w:cs="Times New Roman"/>
                <w:b w:val="0"/>
                <w:bCs w:val="0"/>
                <w:color w:val="auto"/>
                <w:kern w:val="0"/>
                <w:sz w:val="24"/>
                <w:szCs w:val="24"/>
                <w:highlight w:val="none"/>
                <w:lang w:val="en-US" w:eastAsia="zh-CN"/>
              </w:rPr>
              <w:t>4</w:t>
            </w:r>
            <w:r>
              <w:rPr>
                <w:rFonts w:hint="default" w:ascii="Times New Roman" w:hAnsi="Times New Roman" w:eastAsia="宋体" w:cs="Times New Roman"/>
                <w:b w:val="0"/>
                <w:bCs w:val="0"/>
                <w:color w:val="auto"/>
                <w:kern w:val="0"/>
                <w:sz w:val="24"/>
                <w:szCs w:val="24"/>
                <w:highlight w:val="none"/>
                <w:lang w:val="en-US" w:eastAsia="zh-CN"/>
              </w:rPr>
              <w:t>年金寨县环境质量公报》中的统计数据，根据公报，202</w:t>
            </w:r>
            <w:r>
              <w:rPr>
                <w:rFonts w:hint="eastAsia" w:cs="Times New Roman"/>
                <w:b w:val="0"/>
                <w:bCs w:val="0"/>
                <w:color w:val="auto"/>
                <w:kern w:val="0"/>
                <w:sz w:val="24"/>
                <w:szCs w:val="24"/>
                <w:highlight w:val="none"/>
                <w:lang w:val="en-US" w:eastAsia="zh-CN"/>
              </w:rPr>
              <w:t>4</w:t>
            </w:r>
            <w:r>
              <w:rPr>
                <w:rFonts w:hint="default" w:ascii="Times New Roman" w:hAnsi="Times New Roman" w:eastAsia="宋体" w:cs="Times New Roman"/>
                <w:b w:val="0"/>
                <w:bCs w:val="0"/>
                <w:color w:val="auto"/>
                <w:kern w:val="0"/>
                <w:sz w:val="24"/>
                <w:szCs w:val="24"/>
                <w:highlight w:val="none"/>
                <w:lang w:val="en-US" w:eastAsia="zh-CN"/>
              </w:rPr>
              <w:t>年</w:t>
            </w:r>
            <w:r>
              <w:rPr>
                <w:rFonts w:hint="eastAsia" w:cs="Times New Roman"/>
                <w:b w:val="0"/>
                <w:bCs w:val="0"/>
                <w:color w:val="auto"/>
                <w:kern w:val="0"/>
                <w:sz w:val="24"/>
                <w:szCs w:val="24"/>
                <w:highlight w:val="none"/>
                <w:lang w:val="en-US" w:eastAsia="zh-CN"/>
              </w:rPr>
              <w:t>金寨县</w:t>
            </w:r>
            <w:r>
              <w:rPr>
                <w:rFonts w:hint="default" w:ascii="Times New Roman" w:hAnsi="Times New Roman" w:eastAsia="宋体" w:cs="Times New Roman"/>
                <w:b w:val="0"/>
                <w:bCs w:val="0"/>
                <w:color w:val="auto"/>
                <w:kern w:val="0"/>
                <w:sz w:val="24"/>
                <w:szCs w:val="24"/>
                <w:highlight w:val="none"/>
                <w:lang w:val="en-US" w:eastAsia="zh-CN"/>
              </w:rPr>
              <w:t>环境空气各项评价指标均满足《环境空气质量标准》（GB 3095-2012）中二级标准浓度限值，项目所在区域判定为达标区。项目施工期通过采取加强施工扬尘管理、运营期加强道路维护等措施，可有效减轻项目建设对大气环境的影响，项目对区域大气环境影响可以接受，项目建成后不会降低区域环境空气质量。</w:t>
            </w:r>
          </w:p>
          <w:p w14:paraId="792B17E9">
            <w:pPr>
              <w:pStyle w:val="54"/>
              <w:ind w:firstLine="480"/>
              <w:rPr>
                <w:rFonts w:hint="default"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②</w:t>
            </w:r>
            <w:r>
              <w:rPr>
                <w:rFonts w:hint="default" w:ascii="Times New Roman" w:hAnsi="Times New Roman" w:cs="Times New Roman"/>
                <w:b w:val="0"/>
                <w:bCs w:val="0"/>
                <w:color w:val="auto"/>
                <w:kern w:val="0"/>
                <w:sz w:val="24"/>
                <w:szCs w:val="24"/>
                <w:highlight w:val="none"/>
                <w:lang w:val="en-US" w:eastAsia="zh-CN"/>
              </w:rPr>
              <w:t>项目</w:t>
            </w:r>
            <w:r>
              <w:rPr>
                <w:rFonts w:hint="default" w:ascii="Times New Roman" w:hAnsi="Times New Roman" w:eastAsia="宋体" w:cs="Times New Roman"/>
                <w:b w:val="0"/>
                <w:bCs w:val="0"/>
                <w:color w:val="auto"/>
                <w:kern w:val="0"/>
                <w:sz w:val="24"/>
                <w:szCs w:val="24"/>
                <w:highlight w:val="none"/>
                <w:lang w:val="en-US" w:eastAsia="zh-CN"/>
              </w:rPr>
              <w:t>地表水体水质满足《地表水环境质量标准》（GB 3838-2002）</w:t>
            </w:r>
            <w:r>
              <w:rPr>
                <w:rFonts w:hint="default" w:ascii="Times New Roman" w:hAnsi="Times New Roman" w:cs="Times New Roman"/>
                <w:b w:val="0"/>
                <w:bCs w:val="0"/>
                <w:color w:val="auto"/>
                <w:kern w:val="0"/>
                <w:sz w:val="24"/>
                <w:szCs w:val="24"/>
                <w:highlight w:val="none"/>
                <w:lang w:val="en-US" w:eastAsia="zh-CN"/>
              </w:rPr>
              <w:t>Ⅲ</w:t>
            </w:r>
            <w:r>
              <w:rPr>
                <w:rFonts w:hint="default" w:ascii="Times New Roman" w:hAnsi="Times New Roman" w:eastAsia="宋体" w:cs="Times New Roman"/>
                <w:b w:val="0"/>
                <w:bCs w:val="0"/>
                <w:color w:val="auto"/>
                <w:kern w:val="0"/>
                <w:sz w:val="24"/>
                <w:szCs w:val="24"/>
                <w:highlight w:val="none"/>
                <w:lang w:val="en-US" w:eastAsia="zh-CN"/>
              </w:rPr>
              <w:t>类标准限值</w:t>
            </w:r>
            <w:r>
              <w:rPr>
                <w:rFonts w:hint="default" w:ascii="Times New Roman" w:hAnsi="Times New Roman" w:cs="Times New Roman"/>
                <w:b w:val="0"/>
                <w:bCs w:val="0"/>
                <w:color w:val="auto"/>
                <w:kern w:val="0"/>
                <w:sz w:val="24"/>
                <w:szCs w:val="24"/>
                <w:highlight w:val="none"/>
                <w:lang w:val="en-US" w:eastAsia="zh-CN"/>
              </w:rPr>
              <w:t>，</w:t>
            </w:r>
            <w:r>
              <w:rPr>
                <w:rFonts w:hint="default" w:ascii="Times New Roman" w:hAnsi="Times New Roman" w:eastAsia="宋体" w:cs="Times New Roman"/>
                <w:b w:val="0"/>
                <w:bCs w:val="0"/>
                <w:color w:val="auto"/>
                <w:kern w:val="0"/>
                <w:sz w:val="24"/>
                <w:szCs w:val="24"/>
                <w:highlight w:val="none"/>
                <w:lang w:val="en-US" w:eastAsia="zh-CN"/>
              </w:rPr>
              <w:t>本项目施工期施工现场进出口设置隔油沉淀池，沉淀池废水用于洒水抑尘和车辆清洗，施工废水不外排，</w:t>
            </w:r>
            <w:r>
              <w:rPr>
                <w:rFonts w:hint="eastAsia" w:cs="Times New Roman"/>
                <w:b w:val="0"/>
                <w:bCs w:val="0"/>
                <w:color w:val="auto"/>
                <w:kern w:val="0"/>
                <w:sz w:val="24"/>
                <w:szCs w:val="24"/>
                <w:highlight w:val="none"/>
                <w:lang w:val="en-US" w:eastAsia="zh-CN"/>
              </w:rPr>
              <w:t>施工生活区租赁周边民房，</w:t>
            </w:r>
            <w:r>
              <w:rPr>
                <w:rFonts w:hint="default" w:ascii="Times New Roman" w:hAnsi="Times New Roman" w:eastAsia="宋体" w:cs="Times New Roman"/>
                <w:b w:val="0"/>
                <w:bCs w:val="0"/>
                <w:color w:val="auto"/>
                <w:kern w:val="0"/>
                <w:sz w:val="24"/>
                <w:szCs w:val="24"/>
                <w:highlight w:val="none"/>
                <w:lang w:val="en-US" w:eastAsia="zh-CN"/>
              </w:rPr>
              <w:t>施工人员生活污水经化粪池处理后定期清掏用作农肥；运营期不产生废水。项目的建设对区域地表水环境的影响较小。</w:t>
            </w:r>
          </w:p>
          <w:p w14:paraId="47EF82A0">
            <w:pPr>
              <w:pStyle w:val="54"/>
              <w:ind w:firstLine="480"/>
              <w:rPr>
                <w:rFonts w:hint="default"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本项目施工期</w:t>
            </w:r>
            <w:r>
              <w:rPr>
                <w:rFonts w:hint="eastAsia" w:cs="Times New Roman"/>
                <w:b w:val="0"/>
                <w:bCs w:val="0"/>
                <w:color w:val="auto"/>
                <w:kern w:val="0"/>
                <w:sz w:val="24"/>
                <w:szCs w:val="24"/>
                <w:highlight w:val="none"/>
                <w:lang w:val="en-US" w:eastAsia="zh-CN"/>
              </w:rPr>
              <w:t>12</w:t>
            </w:r>
            <w:r>
              <w:rPr>
                <w:rFonts w:hint="default" w:ascii="Times New Roman" w:hAnsi="Times New Roman" w:eastAsia="宋体" w:cs="Times New Roman"/>
                <w:b w:val="0"/>
                <w:bCs w:val="0"/>
                <w:color w:val="auto"/>
                <w:kern w:val="0"/>
                <w:sz w:val="24"/>
                <w:szCs w:val="24"/>
                <w:highlight w:val="none"/>
                <w:lang w:val="en-US" w:eastAsia="zh-CN"/>
              </w:rPr>
              <w:t>个月，在施工期间可能对环境产生不利影响的因素主要有：施工机械</w:t>
            </w:r>
            <w:r>
              <w:rPr>
                <w:rFonts w:hint="default" w:ascii="Times New Roman" w:hAnsi="Times New Roman" w:cs="Times New Roman"/>
                <w:b w:val="0"/>
                <w:bCs w:val="0"/>
                <w:color w:val="auto"/>
                <w:kern w:val="0"/>
                <w:sz w:val="24"/>
                <w:szCs w:val="24"/>
                <w:highlight w:val="none"/>
                <w:lang w:val="en-US" w:eastAsia="zh-CN"/>
              </w:rPr>
              <w:t>及车辆</w:t>
            </w:r>
            <w:r>
              <w:rPr>
                <w:rFonts w:hint="default" w:ascii="Times New Roman" w:hAnsi="Times New Roman" w:eastAsia="宋体" w:cs="Times New Roman"/>
                <w:b w:val="0"/>
                <w:bCs w:val="0"/>
                <w:color w:val="auto"/>
                <w:kern w:val="0"/>
                <w:sz w:val="24"/>
                <w:szCs w:val="24"/>
                <w:highlight w:val="none"/>
                <w:lang w:val="en-US" w:eastAsia="zh-CN"/>
              </w:rPr>
              <w:t>冲洗废水</w:t>
            </w:r>
            <w:r>
              <w:rPr>
                <w:rFonts w:hint="default" w:ascii="Times New Roman" w:hAnsi="Times New Roman" w:cs="Times New Roman"/>
                <w:b w:val="0"/>
                <w:bCs w:val="0"/>
                <w:color w:val="auto"/>
                <w:kern w:val="0"/>
                <w:sz w:val="24"/>
                <w:szCs w:val="24"/>
                <w:highlight w:val="none"/>
                <w:lang w:val="en-US" w:eastAsia="zh-CN"/>
              </w:rPr>
              <w:t>、施工人员</w:t>
            </w:r>
            <w:r>
              <w:rPr>
                <w:rFonts w:hint="default" w:ascii="Times New Roman" w:hAnsi="Times New Roman" w:eastAsia="宋体" w:cs="Times New Roman"/>
                <w:b w:val="0"/>
                <w:bCs w:val="0"/>
                <w:color w:val="auto"/>
                <w:kern w:val="0"/>
                <w:sz w:val="24"/>
                <w:szCs w:val="24"/>
                <w:highlight w:val="none"/>
                <w:lang w:val="en-US" w:eastAsia="zh-CN"/>
              </w:rPr>
              <w:t>生活污水、施工扬尘、</w:t>
            </w:r>
            <w:r>
              <w:rPr>
                <w:rFonts w:hint="default" w:ascii="Times New Roman" w:hAnsi="Times New Roman" w:cs="Times New Roman"/>
                <w:b w:val="0"/>
                <w:bCs w:val="0"/>
                <w:color w:val="auto"/>
                <w:kern w:val="0"/>
                <w:sz w:val="24"/>
                <w:szCs w:val="24"/>
                <w:highlight w:val="none"/>
                <w:lang w:val="en-US" w:eastAsia="zh-CN"/>
              </w:rPr>
              <w:t>施工机械及运输车辆废气、施工</w:t>
            </w:r>
            <w:r>
              <w:rPr>
                <w:rFonts w:hint="default" w:ascii="Times New Roman" w:hAnsi="Times New Roman" w:eastAsia="宋体" w:cs="Times New Roman"/>
                <w:b w:val="0"/>
                <w:bCs w:val="0"/>
                <w:color w:val="auto"/>
                <w:kern w:val="0"/>
                <w:sz w:val="24"/>
                <w:szCs w:val="24"/>
                <w:highlight w:val="none"/>
                <w:lang w:val="en-US" w:eastAsia="zh-CN"/>
              </w:rPr>
              <w:t>噪声等。通过制定严格的施工组织计划并采取相应污染防治措施，比如设置施工围挡、</w:t>
            </w:r>
            <w:r>
              <w:rPr>
                <w:rFonts w:hint="default" w:ascii="Times New Roman" w:hAnsi="Times New Roman" w:cs="Times New Roman"/>
                <w:b w:val="0"/>
                <w:bCs w:val="0"/>
                <w:color w:val="auto"/>
                <w:kern w:val="0"/>
                <w:sz w:val="24"/>
                <w:szCs w:val="24"/>
                <w:highlight w:val="none"/>
                <w:lang w:val="en-US" w:eastAsia="zh-CN"/>
              </w:rPr>
              <w:t>苫盖</w:t>
            </w:r>
            <w:r>
              <w:rPr>
                <w:rFonts w:hint="default" w:ascii="Times New Roman" w:hAnsi="Times New Roman" w:eastAsia="宋体" w:cs="Times New Roman"/>
                <w:b w:val="0"/>
                <w:bCs w:val="0"/>
                <w:color w:val="auto"/>
                <w:kern w:val="0"/>
                <w:sz w:val="24"/>
                <w:szCs w:val="24"/>
                <w:highlight w:val="none"/>
                <w:lang w:val="en-US" w:eastAsia="zh-CN"/>
              </w:rPr>
              <w:t>及洒水、夜间不施工作业、施工废水收集沉淀处理后回用等，可以将项目施工对环境的影响大幅降低，并随着施工完成而消失。</w:t>
            </w:r>
          </w:p>
          <w:p w14:paraId="0882F881">
            <w:pPr>
              <w:pStyle w:val="54"/>
              <w:ind w:firstLine="480"/>
              <w:rPr>
                <w:rFonts w:hint="default"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运营期环境影响主要是来自</w:t>
            </w:r>
            <w:r>
              <w:rPr>
                <w:rFonts w:hint="default" w:ascii="Times New Roman" w:hAnsi="Times New Roman" w:cs="Times New Roman"/>
                <w:b w:val="0"/>
                <w:bCs w:val="0"/>
                <w:color w:val="auto"/>
                <w:kern w:val="0"/>
                <w:sz w:val="24"/>
                <w:szCs w:val="24"/>
                <w:highlight w:val="none"/>
                <w:lang w:val="en-US" w:eastAsia="zh-CN"/>
              </w:rPr>
              <w:t>汽车尾气、汽车行驶产生的扬尘、</w:t>
            </w:r>
            <w:r>
              <w:rPr>
                <w:rFonts w:hint="default" w:ascii="Times New Roman" w:hAnsi="Times New Roman" w:eastAsia="宋体" w:cs="Times New Roman"/>
                <w:b w:val="0"/>
                <w:bCs w:val="0"/>
                <w:color w:val="auto"/>
                <w:kern w:val="0"/>
                <w:sz w:val="24"/>
                <w:szCs w:val="24"/>
                <w:highlight w:val="none"/>
                <w:lang w:val="en-US" w:eastAsia="zh-CN"/>
              </w:rPr>
              <w:t>交通噪声</w:t>
            </w:r>
            <w:r>
              <w:rPr>
                <w:rFonts w:hint="default" w:ascii="Times New Roman" w:hAnsi="Times New Roman" w:cs="Times New Roman"/>
                <w:b w:val="0"/>
                <w:bCs w:val="0"/>
                <w:color w:val="auto"/>
                <w:kern w:val="0"/>
                <w:sz w:val="24"/>
                <w:szCs w:val="24"/>
                <w:highlight w:val="none"/>
                <w:lang w:val="en-US" w:eastAsia="zh-CN"/>
              </w:rPr>
              <w:t>等</w:t>
            </w:r>
            <w:r>
              <w:rPr>
                <w:rFonts w:hint="default" w:ascii="Times New Roman" w:hAnsi="Times New Roman" w:eastAsia="宋体" w:cs="Times New Roman"/>
                <w:b w:val="0"/>
                <w:bCs w:val="0"/>
                <w:color w:val="auto"/>
                <w:kern w:val="0"/>
                <w:sz w:val="24"/>
                <w:szCs w:val="24"/>
                <w:highlight w:val="none"/>
                <w:lang w:val="en-US" w:eastAsia="zh-CN"/>
              </w:rPr>
              <w:t>。本项目声环境评价范围内存在声环境保护目标，由于公路设计行车速度较低，车流量较小，交通噪声对周边环境影响较小，不会突破项目所在地的环境质量底线。</w:t>
            </w:r>
          </w:p>
          <w:p w14:paraId="16DDC984">
            <w:pPr>
              <w:pStyle w:val="54"/>
              <w:ind w:firstLine="480"/>
              <w:rPr>
                <w:rFonts w:hint="default"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综上所述，项目实施不会降低区域环境质量现状，不会突破环境质量底线。</w:t>
            </w:r>
          </w:p>
          <w:p w14:paraId="6B52D13B">
            <w:pPr>
              <w:pStyle w:val="54"/>
              <w:ind w:firstLine="480"/>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（3）</w:t>
            </w:r>
            <w:r>
              <w:rPr>
                <w:rFonts w:hint="eastAsia" w:cs="Times New Roman"/>
                <w:b/>
                <w:bCs/>
                <w:color w:val="auto"/>
                <w:kern w:val="0"/>
                <w:sz w:val="24"/>
                <w:szCs w:val="24"/>
                <w:highlight w:val="none"/>
                <w:lang w:val="en-US" w:eastAsia="zh-CN"/>
              </w:rPr>
              <w:t>“</w:t>
            </w:r>
            <w:r>
              <w:rPr>
                <w:rFonts w:hint="default" w:ascii="Times New Roman" w:hAnsi="Times New Roman" w:eastAsia="宋体" w:cs="Times New Roman"/>
                <w:b/>
                <w:bCs/>
                <w:color w:val="auto"/>
                <w:kern w:val="0"/>
                <w:sz w:val="24"/>
                <w:szCs w:val="24"/>
                <w:highlight w:val="none"/>
                <w:lang w:val="en-US" w:eastAsia="zh-CN"/>
              </w:rPr>
              <w:t>资源利用上线</w:t>
            </w:r>
            <w:r>
              <w:rPr>
                <w:rFonts w:hint="eastAsia" w:cs="Times New Roman"/>
                <w:b/>
                <w:bCs/>
                <w:color w:val="auto"/>
                <w:kern w:val="0"/>
                <w:sz w:val="24"/>
                <w:szCs w:val="24"/>
                <w:highlight w:val="none"/>
                <w:lang w:val="en-US" w:eastAsia="zh-CN"/>
              </w:rPr>
              <w:t>”</w:t>
            </w:r>
            <w:r>
              <w:rPr>
                <w:rFonts w:hint="default" w:ascii="Times New Roman" w:hAnsi="Times New Roman" w:eastAsia="宋体" w:cs="Times New Roman"/>
                <w:b/>
                <w:bCs/>
                <w:color w:val="auto"/>
                <w:kern w:val="0"/>
                <w:sz w:val="24"/>
                <w:szCs w:val="24"/>
                <w:highlight w:val="none"/>
                <w:lang w:val="en-US" w:eastAsia="zh-CN"/>
              </w:rPr>
              <w:t>符合性分析</w:t>
            </w:r>
          </w:p>
          <w:p w14:paraId="50C95A2D">
            <w:pPr>
              <w:pStyle w:val="54"/>
              <w:ind w:firstLine="480"/>
              <w:rPr>
                <w:rFonts w:hint="default"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sz w:val="24"/>
                <w:szCs w:val="21"/>
                <w:highlight w:val="none"/>
                <w:lang w:eastAsia="zh-CN"/>
              </w:rPr>
              <w:t>本工程</w:t>
            </w:r>
            <w:r>
              <w:rPr>
                <w:rFonts w:hint="default" w:ascii="Times New Roman" w:hAnsi="Times New Roman" w:eastAsia="宋体" w:cs="Times New Roman"/>
                <w:sz w:val="24"/>
                <w:szCs w:val="21"/>
                <w:highlight w:val="none"/>
                <w:lang w:val="en-US" w:eastAsia="zh-CN"/>
              </w:rPr>
              <w:t>占地面积为</w:t>
            </w:r>
            <w:r>
              <w:rPr>
                <w:rFonts w:hint="eastAsia" w:cs="Times New Roman"/>
                <w:sz w:val="24"/>
                <w:szCs w:val="21"/>
                <w:highlight w:val="none"/>
                <w:lang w:val="en-US" w:eastAsia="zh-CN"/>
              </w:rPr>
              <w:t>5.2909</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default" w:ascii="Times New Roman" w:hAnsi="Times New Roman" w:eastAsia="宋体" w:cs="Times New Roman"/>
                <w:sz w:val="24"/>
                <w:szCs w:val="21"/>
                <w:highlight w:val="none"/>
                <w:lang w:val="en-US" w:eastAsia="zh-CN"/>
              </w:rPr>
              <w:t>，</w:t>
            </w:r>
            <w:r>
              <w:rPr>
                <w:rFonts w:hint="eastAsia" w:cs="Times New Roman"/>
                <w:sz w:val="24"/>
                <w:szCs w:val="21"/>
                <w:highlight w:val="none"/>
                <w:lang w:val="en-US" w:eastAsia="zh-CN"/>
              </w:rPr>
              <w:t>均为</w:t>
            </w:r>
            <w:r>
              <w:rPr>
                <w:rFonts w:hint="default" w:ascii="Times New Roman" w:hAnsi="Times New Roman" w:eastAsia="宋体" w:cs="Times New Roman"/>
                <w:sz w:val="24"/>
                <w:szCs w:val="21"/>
                <w:highlight w:val="none"/>
                <w:lang w:val="en-US" w:eastAsia="zh-CN"/>
              </w:rPr>
              <w:t>永久占地</w:t>
            </w:r>
            <w:r>
              <w:rPr>
                <w:rFonts w:hint="default" w:ascii="Times New Roman" w:hAnsi="Times New Roman" w:eastAsia="宋体" w:cs="Times New Roman"/>
                <w:sz w:val="24"/>
                <w:szCs w:val="21"/>
                <w:highlight w:val="none"/>
                <w:lang w:eastAsia="zh-CN"/>
              </w:rPr>
              <w:t>。</w:t>
            </w:r>
            <w:r>
              <w:rPr>
                <w:rFonts w:hint="default" w:ascii="Times New Roman" w:hAnsi="Times New Roman" w:eastAsia="宋体" w:cs="Times New Roman"/>
                <w:sz w:val="24"/>
                <w:szCs w:val="21"/>
                <w:highlight w:val="none"/>
                <w:lang w:val="en-US" w:eastAsia="zh-CN"/>
              </w:rPr>
              <w:t>其中</w:t>
            </w:r>
            <w:r>
              <w:rPr>
                <w:rFonts w:hint="eastAsia" w:eastAsia="宋体" w:cs="Times New Roman"/>
                <w:sz w:val="24"/>
                <w:szCs w:val="21"/>
                <w:highlight w:val="none"/>
                <w:lang w:val="en-US" w:eastAsia="zh-CN"/>
              </w:rPr>
              <w:t>农用地</w:t>
            </w:r>
            <w:r>
              <w:rPr>
                <w:rFonts w:hint="eastAsia" w:cs="Times New Roman"/>
                <w:sz w:val="24"/>
                <w:szCs w:val="21"/>
                <w:highlight w:val="none"/>
                <w:lang w:val="en-US" w:eastAsia="zh-CN"/>
              </w:rPr>
              <w:t>4.7699</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eastAsia" w:eastAsia="宋体" w:cs="Times New Roman"/>
                <w:sz w:val="24"/>
                <w:szCs w:val="21"/>
                <w:highlight w:val="none"/>
                <w:vertAlign w:val="baseline"/>
                <w:lang w:val="en-US" w:eastAsia="zh-CN"/>
              </w:rPr>
              <w:t>（其中：</w:t>
            </w:r>
            <w:r>
              <w:rPr>
                <w:rFonts w:hint="default" w:ascii="Times New Roman" w:hAnsi="Times New Roman" w:eastAsia="宋体" w:cs="Times New Roman"/>
                <w:sz w:val="24"/>
                <w:szCs w:val="21"/>
                <w:highlight w:val="none"/>
                <w:lang w:val="en-US" w:eastAsia="zh-CN"/>
              </w:rPr>
              <w:t>耕地</w:t>
            </w:r>
            <w:r>
              <w:rPr>
                <w:rFonts w:hint="eastAsia" w:cs="Times New Roman"/>
                <w:sz w:val="24"/>
                <w:szCs w:val="21"/>
                <w:highlight w:val="none"/>
                <w:lang w:val="en-US" w:eastAsia="zh-CN"/>
              </w:rPr>
              <w:t>0.5238</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default" w:ascii="Times New Roman" w:hAnsi="Times New Roman" w:eastAsia="宋体" w:cs="Times New Roman"/>
                <w:sz w:val="24"/>
                <w:szCs w:val="21"/>
                <w:highlight w:val="none"/>
                <w:lang w:val="en-US" w:eastAsia="zh-CN"/>
              </w:rPr>
              <w:t>，</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其他农用地</w:t>
            </w:r>
            <w:r>
              <w:rPr>
                <w:rFonts w:hint="eastAsia" w:cs="Times New Roman"/>
                <w:color w:val="000000" w:themeColor="text1"/>
                <w:sz w:val="24"/>
                <w:szCs w:val="21"/>
                <w:highlight w:val="none"/>
                <w:lang w:val="en-US" w:eastAsia="zh-CN"/>
                <w14:textFill>
                  <w14:solidFill>
                    <w14:schemeClr w14:val="tx1"/>
                  </w14:solidFill>
                </w14:textFill>
              </w:rPr>
              <w:t>4.246</w:t>
            </w:r>
            <w:r>
              <w:rPr>
                <w:rFonts w:hint="eastAsia" w:eastAsia="宋体" w:cs="Times New Roman"/>
                <w:color w:val="000000" w:themeColor="text1"/>
                <w:sz w:val="24"/>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hm</w:t>
            </w:r>
            <w:r>
              <w:rPr>
                <w:rFonts w:hint="default" w:ascii="Times New Roman" w:hAnsi="Times New Roman" w:eastAsia="宋体" w:cs="Times New Roman"/>
                <w:color w:val="000000" w:themeColor="text1"/>
                <w:sz w:val="24"/>
                <w:szCs w:val="21"/>
                <w:highlight w:val="none"/>
                <w:vertAlign w:val="superscript"/>
                <w:lang w:val="en-US" w:eastAsia="zh-CN"/>
                <w14:textFill>
                  <w14:solidFill>
                    <w14:schemeClr w14:val="tx1"/>
                  </w14:solidFill>
                </w14:textFill>
              </w:rPr>
              <w:t>2</w:t>
            </w:r>
            <w:r>
              <w:rPr>
                <w:rFonts w:hint="eastAsia" w:eastAsia="宋体" w:cs="Times New Roman"/>
                <w:sz w:val="24"/>
                <w:szCs w:val="21"/>
                <w:highlight w:val="none"/>
                <w:vertAlign w:val="baseline"/>
                <w:lang w:val="en-US" w:eastAsia="zh-CN"/>
              </w:rPr>
              <w:t>）</w:t>
            </w:r>
            <w:r>
              <w:rPr>
                <w:rFonts w:hint="default" w:ascii="Times New Roman" w:hAnsi="Times New Roman" w:eastAsia="宋体" w:cs="Times New Roman"/>
                <w:sz w:val="24"/>
                <w:szCs w:val="21"/>
                <w:highlight w:val="none"/>
                <w:lang w:val="en-US" w:eastAsia="zh-CN"/>
              </w:rPr>
              <w:t>，建设用地</w:t>
            </w:r>
            <w:r>
              <w:rPr>
                <w:rFonts w:hint="eastAsia" w:cs="Times New Roman"/>
                <w:sz w:val="24"/>
                <w:szCs w:val="21"/>
                <w:highlight w:val="none"/>
                <w:lang w:val="en-US" w:eastAsia="zh-CN"/>
              </w:rPr>
              <w:t>0.4273</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default" w:ascii="Times New Roman" w:hAnsi="Times New Roman" w:eastAsia="宋体" w:cs="Times New Roman"/>
                <w:sz w:val="24"/>
                <w:szCs w:val="21"/>
                <w:highlight w:val="none"/>
                <w:lang w:val="en-US" w:eastAsia="zh-CN"/>
              </w:rPr>
              <w:t>，未利用土地</w:t>
            </w:r>
            <w:r>
              <w:rPr>
                <w:rFonts w:hint="eastAsia" w:cs="Times New Roman"/>
                <w:sz w:val="24"/>
                <w:szCs w:val="21"/>
                <w:highlight w:val="none"/>
                <w:lang w:val="en-US" w:eastAsia="zh-CN"/>
              </w:rPr>
              <w:t>0.0937</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default" w:ascii="Times New Roman" w:hAnsi="Times New Roman" w:cs="Times New Roman"/>
                <w:color w:val="auto"/>
                <w:kern w:val="2"/>
                <w:sz w:val="24"/>
                <w:szCs w:val="21"/>
                <w:highlight w:val="none"/>
                <w:vertAlign w:val="baseline"/>
                <w:lang w:val="en-US" w:eastAsia="zh-CN" w:bidi="ar-SA"/>
              </w:rPr>
              <w:t>。</w:t>
            </w:r>
            <w:r>
              <w:rPr>
                <w:rFonts w:hint="default" w:ascii="Times New Roman" w:hAnsi="Times New Roman" w:eastAsia="宋体" w:cs="Times New Roman"/>
                <w:b w:val="0"/>
                <w:bCs w:val="0"/>
                <w:color w:val="auto"/>
                <w:kern w:val="0"/>
                <w:sz w:val="24"/>
                <w:szCs w:val="24"/>
                <w:highlight w:val="none"/>
                <w:lang w:val="en-US" w:eastAsia="zh-CN"/>
              </w:rPr>
              <w:t>本项目为公路建设项目，所需资源主要为施工期所需商品水泥混凝土、碎石、水稳、钢筋、木材等材料，所需能源为水、电、柴油、汽油等，项目选用环保施工设备，对资源的消耗相对较少，通过加强施工人员管理和素质培养，提高资源能源利用率，避免</w:t>
            </w:r>
            <w:r>
              <w:rPr>
                <w:rFonts w:hint="eastAsia" w:cs="Times New Roman"/>
                <w:b w:val="0"/>
                <w:bCs w:val="0"/>
                <w:color w:val="auto"/>
                <w:kern w:val="0"/>
                <w:sz w:val="24"/>
                <w:szCs w:val="24"/>
                <w:highlight w:val="none"/>
                <w:lang w:val="en-US" w:eastAsia="zh-CN"/>
              </w:rPr>
              <w:t>浪费</w:t>
            </w:r>
            <w:r>
              <w:rPr>
                <w:rFonts w:hint="default" w:ascii="Times New Roman" w:hAnsi="Times New Roman" w:eastAsia="宋体" w:cs="Times New Roman"/>
                <w:b w:val="0"/>
                <w:bCs w:val="0"/>
                <w:color w:val="auto"/>
                <w:kern w:val="0"/>
                <w:sz w:val="24"/>
                <w:szCs w:val="24"/>
                <w:highlight w:val="none"/>
                <w:lang w:val="en-US" w:eastAsia="zh-CN"/>
              </w:rPr>
              <w:t>现象，不会触及资源利用上线。</w:t>
            </w:r>
          </w:p>
          <w:p w14:paraId="3DE5A9F1">
            <w:pPr>
              <w:pStyle w:val="54"/>
              <w:ind w:firstLine="480"/>
              <w:rPr>
                <w:rFonts w:hint="default"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综上所述，本项目建设满足资源利用上线要求。</w:t>
            </w:r>
          </w:p>
          <w:p w14:paraId="56A220D8">
            <w:pPr>
              <w:pStyle w:val="54"/>
              <w:ind w:firstLine="480"/>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（4）</w:t>
            </w:r>
            <w:r>
              <w:rPr>
                <w:rFonts w:hint="eastAsia" w:cs="Times New Roman"/>
                <w:b/>
                <w:bCs/>
                <w:color w:val="auto"/>
                <w:kern w:val="0"/>
                <w:sz w:val="24"/>
                <w:szCs w:val="24"/>
                <w:highlight w:val="none"/>
                <w:lang w:val="en-US" w:eastAsia="zh-CN"/>
              </w:rPr>
              <w:t>“</w:t>
            </w:r>
            <w:r>
              <w:rPr>
                <w:rFonts w:hint="default" w:ascii="Times New Roman" w:hAnsi="Times New Roman" w:eastAsia="宋体" w:cs="Times New Roman"/>
                <w:b/>
                <w:bCs/>
                <w:color w:val="auto"/>
                <w:kern w:val="0"/>
                <w:sz w:val="24"/>
                <w:szCs w:val="24"/>
                <w:highlight w:val="none"/>
                <w:lang w:val="en-US" w:eastAsia="zh-CN"/>
              </w:rPr>
              <w:t>环境准入负面清单</w:t>
            </w:r>
            <w:r>
              <w:rPr>
                <w:rFonts w:hint="eastAsia" w:cs="Times New Roman"/>
                <w:b/>
                <w:bCs/>
                <w:color w:val="auto"/>
                <w:kern w:val="0"/>
                <w:sz w:val="24"/>
                <w:szCs w:val="24"/>
                <w:highlight w:val="none"/>
                <w:lang w:val="en-US" w:eastAsia="zh-CN"/>
              </w:rPr>
              <w:t>”</w:t>
            </w:r>
            <w:r>
              <w:rPr>
                <w:rFonts w:hint="default" w:ascii="Times New Roman" w:hAnsi="Times New Roman" w:eastAsia="宋体" w:cs="Times New Roman"/>
                <w:b/>
                <w:bCs/>
                <w:color w:val="auto"/>
                <w:kern w:val="0"/>
                <w:sz w:val="24"/>
                <w:szCs w:val="24"/>
                <w:highlight w:val="none"/>
                <w:lang w:val="en-US" w:eastAsia="zh-CN"/>
              </w:rPr>
              <w:t>符合性分析</w:t>
            </w:r>
          </w:p>
          <w:p w14:paraId="1AD8AAA2">
            <w:pPr>
              <w:pStyle w:val="54"/>
              <w:ind w:firstLine="48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本项目为公路建设项目，</w:t>
            </w:r>
            <w:r>
              <w:rPr>
                <w:rFonts w:hint="default" w:ascii="Times New Roman" w:hAnsi="Times New Roman" w:cs="Times New Roman"/>
                <w:b w:val="0"/>
                <w:bCs w:val="0"/>
                <w:color w:val="auto"/>
                <w:kern w:val="0"/>
                <w:sz w:val="24"/>
                <w:szCs w:val="24"/>
                <w:highlight w:val="none"/>
                <w:lang w:val="en-US" w:eastAsia="zh-CN"/>
              </w:rPr>
              <w:t>对照《安徽省国家重点生态功能区产业准入负面清单（试行）》（安徽省发展和改革委员会，2017年5月）中</w:t>
            </w:r>
            <w:r>
              <w:rPr>
                <w:rFonts w:hint="eastAsia" w:cs="Times New Roman"/>
                <w:b w:val="0"/>
                <w:bCs w:val="0"/>
                <w:color w:val="auto"/>
                <w:kern w:val="0"/>
                <w:sz w:val="24"/>
                <w:szCs w:val="24"/>
                <w:highlight w:val="none"/>
                <w:lang w:val="en-US" w:eastAsia="zh-CN"/>
              </w:rPr>
              <w:t>“</w:t>
            </w:r>
            <w:r>
              <w:rPr>
                <w:rFonts w:hint="default" w:ascii="Times New Roman" w:hAnsi="Times New Roman" w:cs="Times New Roman"/>
                <w:b w:val="0"/>
                <w:bCs w:val="0"/>
                <w:color w:val="auto"/>
                <w:kern w:val="0"/>
                <w:sz w:val="24"/>
                <w:szCs w:val="24"/>
                <w:highlight w:val="none"/>
                <w:lang w:val="en-US" w:eastAsia="zh-CN"/>
              </w:rPr>
              <w:t>金寨县国家重点生态功能区产业准入负面清单</w:t>
            </w:r>
            <w:r>
              <w:rPr>
                <w:rFonts w:hint="eastAsia" w:cs="Times New Roman"/>
                <w:b w:val="0"/>
                <w:bCs w:val="0"/>
                <w:color w:val="auto"/>
                <w:kern w:val="0"/>
                <w:sz w:val="24"/>
                <w:szCs w:val="24"/>
                <w:highlight w:val="none"/>
                <w:lang w:val="en-US" w:eastAsia="zh-CN"/>
              </w:rPr>
              <w:t>”</w:t>
            </w:r>
            <w:r>
              <w:rPr>
                <w:rFonts w:hint="default" w:ascii="Times New Roman" w:hAnsi="Times New Roman" w:cs="Times New Roman"/>
                <w:b w:val="0"/>
                <w:bCs w:val="0"/>
                <w:color w:val="auto"/>
                <w:kern w:val="0"/>
                <w:sz w:val="24"/>
                <w:szCs w:val="24"/>
                <w:highlight w:val="none"/>
                <w:lang w:val="en-US" w:eastAsia="zh-CN"/>
              </w:rPr>
              <w:t>，本项目不属于负面清单中所列限制类、禁止类项目。根据《产业结构调整指导目录》（2024年本），本项目属于</w:t>
            </w:r>
            <w:r>
              <w:rPr>
                <w:rFonts w:hint="eastAsia" w:cs="Times New Roman"/>
                <w:b w:val="0"/>
                <w:bCs w:val="0"/>
                <w:color w:val="auto"/>
                <w:kern w:val="0"/>
                <w:sz w:val="24"/>
                <w:szCs w:val="24"/>
                <w:highlight w:val="none"/>
                <w:lang w:val="en-US" w:eastAsia="zh-CN"/>
              </w:rPr>
              <w:t>“</w:t>
            </w:r>
            <w:r>
              <w:rPr>
                <w:rFonts w:hint="default" w:ascii="Times New Roman" w:hAnsi="Times New Roman" w:cs="Times New Roman"/>
                <w:b w:val="0"/>
                <w:bCs w:val="0"/>
                <w:color w:val="auto"/>
                <w:kern w:val="0"/>
                <w:sz w:val="24"/>
                <w:szCs w:val="24"/>
                <w:highlight w:val="none"/>
                <w:lang w:val="en-US" w:eastAsia="zh-CN"/>
              </w:rPr>
              <w:t>鼓励类</w:t>
            </w:r>
            <w:r>
              <w:rPr>
                <w:rFonts w:hint="eastAsia" w:cs="Times New Roman"/>
                <w:b w:val="0"/>
                <w:bCs w:val="0"/>
                <w:color w:val="auto"/>
                <w:kern w:val="0"/>
                <w:sz w:val="24"/>
                <w:szCs w:val="24"/>
                <w:highlight w:val="none"/>
                <w:lang w:val="en-US" w:eastAsia="zh-CN"/>
              </w:rPr>
              <w:t>”</w:t>
            </w:r>
            <w:r>
              <w:rPr>
                <w:rFonts w:hint="default" w:ascii="Times New Roman" w:hAnsi="Times New Roman" w:cs="Times New Roman"/>
                <w:b w:val="0"/>
                <w:bCs w:val="0"/>
                <w:color w:val="auto"/>
                <w:kern w:val="0"/>
                <w:sz w:val="24"/>
                <w:szCs w:val="24"/>
                <w:highlight w:val="none"/>
                <w:lang w:val="en-US" w:eastAsia="zh-CN"/>
              </w:rPr>
              <w:t>。</w:t>
            </w:r>
          </w:p>
          <w:p w14:paraId="7E2C0252">
            <w:pPr>
              <w:pStyle w:val="5"/>
              <w:tabs>
                <w:tab w:val="left" w:pos="851"/>
              </w:tabs>
              <w:snapToGrid w:val="0"/>
              <w:spacing w:before="120" w:after="120" w:line="360" w:lineRule="auto"/>
              <w:ind w:firstLine="482" w:firstLineChars="200"/>
              <w:jc w:val="both"/>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、与生态环境保护法律、法规、政策符合性分析</w:t>
            </w:r>
          </w:p>
          <w:p w14:paraId="319F706A">
            <w:pPr>
              <w:pStyle w:val="54"/>
              <w:ind w:firstLine="480"/>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（1）与《中华人民共和国噪声污染防治法》符合性分析</w:t>
            </w:r>
          </w:p>
          <w:p w14:paraId="581F4D12">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表1-</w:t>
            </w:r>
            <w:r>
              <w:rPr>
                <w:rFonts w:hint="default" w:ascii="Times New Roman" w:hAnsi="Times New Roman" w:cs="Times New Roman"/>
                <w:b/>
                <w:bCs/>
                <w:color w:val="000000" w:themeColor="text1"/>
                <w:kern w:val="0"/>
                <w:sz w:val="21"/>
                <w:szCs w:val="21"/>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 xml:space="preserve">  与《中华人民共和国噪声污染防治法》符合性分析</w:t>
            </w:r>
          </w:p>
          <w:tbl>
            <w:tblPr>
              <w:tblStyle w:val="30"/>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36"/>
              <w:gridCol w:w="2800"/>
              <w:gridCol w:w="691"/>
            </w:tblGrid>
            <w:tr w14:paraId="7DC28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436" w:type="dxa"/>
                  <w:vAlign w:val="center"/>
                </w:tcPr>
                <w:p w14:paraId="0FB38B0B">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4"/>
                      <w:szCs w:val="24"/>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14:textFill>
                        <w14:solidFill>
                          <w14:schemeClr w14:val="tx1"/>
                        </w14:solidFill>
                      </w14:textFill>
                    </w:rPr>
                    <w:t>与本项目相关的要求</w:t>
                  </w:r>
                </w:p>
              </w:tc>
              <w:tc>
                <w:tcPr>
                  <w:tcW w:w="2800" w:type="dxa"/>
                  <w:vAlign w:val="center"/>
                </w:tcPr>
                <w:p w14:paraId="540E39DB">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14:textFill>
                        <w14:solidFill>
                          <w14:schemeClr w14:val="tx1"/>
                        </w14:solidFill>
                      </w14:textFill>
                    </w:rPr>
                    <w:t>本项目情况</w:t>
                  </w:r>
                </w:p>
              </w:tc>
              <w:tc>
                <w:tcPr>
                  <w:tcW w:w="691" w:type="dxa"/>
                  <w:vAlign w:val="center"/>
                </w:tcPr>
                <w:p w14:paraId="6C61F54C">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14:textFill>
                        <w14:solidFill>
                          <w14:schemeClr w14:val="tx1"/>
                        </w14:solidFill>
                      </w14:textFill>
                    </w:rPr>
                    <w:t>符合性</w:t>
                  </w:r>
                </w:p>
              </w:tc>
            </w:tr>
            <w:tr w14:paraId="28E7F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36" w:type="dxa"/>
                  <w:vAlign w:val="center"/>
                </w:tcPr>
                <w:p w14:paraId="6FE1BE8F">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第二十二条 排放噪声、产生振动，应当符合噪声排放标准以及相关的环境振动控制标准和有关法律、法规、规章的要求。排放噪声的单位和公共场所管理者，应当建立噪声污染防治责任制度，明确负责人和相关人员的责任。</w:t>
                  </w:r>
                </w:p>
              </w:tc>
              <w:tc>
                <w:tcPr>
                  <w:tcW w:w="2800" w:type="dxa"/>
                  <w:vAlign w:val="center"/>
                </w:tcPr>
                <w:p w14:paraId="617CE7CA">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项目按照相应噪声功能区执行，排放噪声符合噪声排放标准，项目施工期建立噪声污染防治小组。</w:t>
                  </w:r>
                </w:p>
              </w:tc>
              <w:tc>
                <w:tcPr>
                  <w:tcW w:w="691" w:type="dxa"/>
                  <w:vAlign w:val="center"/>
                </w:tcPr>
                <w:p w14:paraId="4E5BE86A">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符合</w:t>
                  </w:r>
                </w:p>
              </w:tc>
            </w:tr>
            <w:tr w14:paraId="5E92E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36" w:type="dxa"/>
                  <w:vAlign w:val="center"/>
                </w:tcPr>
                <w:p w14:paraId="184F45E8">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第二十四条 新建、改建、扩建可能产生噪声污染的建设项目，应当依法进行环境影响评价。</w:t>
                  </w:r>
                </w:p>
              </w:tc>
              <w:tc>
                <w:tcPr>
                  <w:tcW w:w="2800" w:type="dxa"/>
                  <w:vAlign w:val="center"/>
                </w:tcPr>
                <w:p w14:paraId="3B3BC785">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项目正在进行</w:t>
                  </w: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环境影响评价</w:t>
                  </w: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文件编制。</w:t>
                  </w:r>
                </w:p>
              </w:tc>
              <w:tc>
                <w:tcPr>
                  <w:tcW w:w="691" w:type="dxa"/>
                  <w:vAlign w:val="center"/>
                </w:tcPr>
                <w:p w14:paraId="05B30F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符合</w:t>
                  </w:r>
                </w:p>
              </w:tc>
            </w:tr>
            <w:tr w14:paraId="78365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36" w:type="dxa"/>
                  <w:vAlign w:val="center"/>
                </w:tcPr>
                <w:p w14:paraId="54A1B6AF">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第四十七条 机动车的消声器和喇叭应当符合国家规定。禁止驾驶拆除或者损坏消声器、加装排气管等擅自改装的机动车以轰鸣、疾驶等方式造成噪声污染。使用机动车音响器材，应当控制音量，防止噪声污染。</w:t>
                  </w:r>
                </w:p>
              </w:tc>
              <w:tc>
                <w:tcPr>
                  <w:tcW w:w="2800" w:type="dxa"/>
                  <w:vAlign w:val="center"/>
                </w:tcPr>
                <w:p w14:paraId="2CD400CA">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项目施工期采用符合国家标准的施工车辆，选用低噪声设备；运营期道路禁止已淘汰的黄标车上路。</w:t>
                  </w:r>
                </w:p>
              </w:tc>
              <w:tc>
                <w:tcPr>
                  <w:tcW w:w="691" w:type="dxa"/>
                  <w:vAlign w:val="center"/>
                </w:tcPr>
                <w:p w14:paraId="426EB1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符合</w:t>
                  </w:r>
                </w:p>
              </w:tc>
            </w:tr>
            <w:tr w14:paraId="52553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36" w:type="dxa"/>
                  <w:vAlign w:val="center"/>
                </w:tcPr>
                <w:p w14:paraId="2774E717">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第五十一条 公路养护管理单位、城市道路养护维修单位应当加强对公路、城市道路的维护和保养，保持减少振动、降低噪声设施正常运行。</w:t>
                  </w:r>
                </w:p>
              </w:tc>
              <w:tc>
                <w:tcPr>
                  <w:tcW w:w="2800" w:type="dxa"/>
                  <w:vAlign w:val="center"/>
                </w:tcPr>
                <w:p w14:paraId="53A0068D">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项目通过加强道路通车后的道路养护工作，维持道路路面的平整度，避免因路况不佳造成车辆颠簸而引起交通噪声。</w:t>
                  </w:r>
                </w:p>
              </w:tc>
              <w:tc>
                <w:tcPr>
                  <w:tcW w:w="691" w:type="dxa"/>
                  <w:vAlign w:val="center"/>
                </w:tcPr>
                <w:p w14:paraId="155311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符合</w:t>
                  </w:r>
                </w:p>
              </w:tc>
            </w:tr>
          </w:tbl>
          <w:p w14:paraId="1A4C849B">
            <w:pPr>
              <w:pStyle w:val="54"/>
              <w:ind w:firstLine="480"/>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（2）与《中共安徽省委安徽省人民政府关于印发深入打好污染防治攻坚战行动方案的通知》（皖发〔2022〕13号）符合性分析</w:t>
            </w:r>
          </w:p>
          <w:p w14:paraId="3D3A96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表1-3  与《中共安徽省委安徽省人民政府关于印发深入打好污染防治攻坚战行动方案的通知》符合性分析</w:t>
            </w:r>
          </w:p>
          <w:tbl>
            <w:tblPr>
              <w:tblStyle w:val="30"/>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5"/>
              <w:gridCol w:w="1991"/>
              <w:gridCol w:w="651"/>
            </w:tblGrid>
            <w:tr w14:paraId="4F132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285" w:type="dxa"/>
                  <w:vAlign w:val="center"/>
                </w:tcPr>
                <w:p w14:paraId="4D70E7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与本项目相关的要求</w:t>
                  </w:r>
                </w:p>
              </w:tc>
              <w:tc>
                <w:tcPr>
                  <w:tcW w:w="1991" w:type="dxa"/>
                  <w:vAlign w:val="center"/>
                </w:tcPr>
                <w:p w14:paraId="737DB6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本项目情况</w:t>
                  </w:r>
                </w:p>
              </w:tc>
              <w:tc>
                <w:tcPr>
                  <w:tcW w:w="651" w:type="dxa"/>
                  <w:vAlign w:val="center"/>
                </w:tcPr>
                <w:p w14:paraId="0DE3AA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符合性</w:t>
                  </w:r>
                </w:p>
              </w:tc>
            </w:tr>
            <w:tr w14:paraId="05329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5" w:type="dxa"/>
                  <w:vAlign w:val="center"/>
                </w:tcPr>
                <w:p w14:paraId="4E2959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（三）深入开展蓝天保卫战行动。</w:t>
                  </w:r>
                </w:p>
                <w:p w14:paraId="1884B1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4、加强大气面源和噪声污染治理。聚焦可吸入颗粒物（PM</w:t>
                  </w:r>
                  <w:r>
                    <w:rPr>
                      <w:rFonts w:hint="default" w:ascii="Times New Roman" w:hAnsi="Times New Roman" w:eastAsia="宋体" w:cs="Times New Roman"/>
                      <w:b w:val="0"/>
                      <w:bCs w:val="0"/>
                      <w:color w:val="000000" w:themeColor="text1"/>
                      <w:kern w:val="0"/>
                      <w:sz w:val="21"/>
                      <w:szCs w:val="21"/>
                      <w:highlight w:val="none"/>
                      <w:vertAlign w:val="subscript"/>
                      <w:lang w:val="en-US" w:eastAsia="zh-CN" w:bidi="ar-SA"/>
                      <w14:textFill>
                        <w14:solidFill>
                          <w14:schemeClr w14:val="tx1"/>
                        </w14:solidFill>
                      </w14:textFill>
                    </w:rPr>
                    <w:t>10</w:t>
                  </w: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）治理，强化施工、道路等扬尘管控。加大餐饮油烟污染、恶臭异味治理力度。强化秸秆综合利用和禁烧管控。深化消耗臭氧层物质和氢氟碳化物环境管理。</w:t>
                  </w:r>
                </w:p>
              </w:tc>
              <w:tc>
                <w:tcPr>
                  <w:tcW w:w="1991" w:type="dxa"/>
                  <w:vAlign w:val="center"/>
                </w:tcPr>
                <w:p w14:paraId="5856A0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沿线施工现场两侧围挡，拆迁工程湿法作业，围挡、遮盖，运输车辆篷布遮盖等防尘措施。</w:t>
                  </w:r>
                </w:p>
              </w:tc>
              <w:tc>
                <w:tcPr>
                  <w:tcW w:w="651" w:type="dxa"/>
                  <w:vAlign w:val="center"/>
                </w:tcPr>
                <w:p w14:paraId="6E8196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符合</w:t>
                  </w:r>
                </w:p>
              </w:tc>
            </w:tr>
          </w:tbl>
          <w:p w14:paraId="0A573958">
            <w:pPr>
              <w:widowControl w:val="0"/>
              <w:adjustRightInd w:val="0"/>
              <w:snapToGrid w:val="0"/>
              <w:spacing w:line="360" w:lineRule="auto"/>
              <w:ind w:firstLine="482" w:firstLineChars="200"/>
              <w:jc w:val="both"/>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（3）与《安徽省</w:t>
            </w:r>
            <w:r>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十四五</w:t>
            </w:r>
            <w:r>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生态环境保护规划》相符性分析</w:t>
            </w:r>
          </w:p>
          <w:p w14:paraId="319B9F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表1-4  与《安徽省</w:t>
            </w:r>
            <w:r>
              <w:rPr>
                <w:rFonts w:hint="eastAsia"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w:t>
            </w:r>
            <w: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十四五</w:t>
            </w:r>
            <w:r>
              <w:rPr>
                <w:rFonts w:hint="eastAsia"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w:t>
            </w:r>
            <w: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生态环境保护规划》相符性分析</w:t>
            </w:r>
          </w:p>
          <w:tbl>
            <w:tblPr>
              <w:tblStyle w:val="30"/>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6"/>
              <w:gridCol w:w="4000"/>
              <w:gridCol w:w="1833"/>
              <w:gridCol w:w="678"/>
            </w:tblGrid>
            <w:tr w14:paraId="4FCA2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dxa"/>
                  <w:vAlign w:val="center"/>
                </w:tcPr>
                <w:p w14:paraId="71B2C1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序号</w:t>
                  </w:r>
                </w:p>
              </w:tc>
              <w:tc>
                <w:tcPr>
                  <w:tcW w:w="4000" w:type="dxa"/>
                  <w:vAlign w:val="center"/>
                </w:tcPr>
                <w:p w14:paraId="39D2AC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与本项目相关的要求</w:t>
                  </w:r>
                </w:p>
              </w:tc>
              <w:tc>
                <w:tcPr>
                  <w:tcW w:w="1833" w:type="dxa"/>
                  <w:vAlign w:val="center"/>
                </w:tcPr>
                <w:p w14:paraId="4666F6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本项目情况</w:t>
                  </w:r>
                </w:p>
              </w:tc>
              <w:tc>
                <w:tcPr>
                  <w:tcW w:w="678" w:type="dxa"/>
                  <w:vAlign w:val="center"/>
                </w:tcPr>
                <w:p w14:paraId="70086C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符合性</w:t>
                  </w:r>
                </w:p>
              </w:tc>
            </w:tr>
            <w:tr w14:paraId="77CBA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dxa"/>
                  <w:vAlign w:val="center"/>
                </w:tcPr>
                <w:p w14:paraId="33BB55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1</w:t>
                  </w:r>
                </w:p>
              </w:tc>
              <w:tc>
                <w:tcPr>
                  <w:tcW w:w="4000" w:type="dxa"/>
                  <w:vAlign w:val="center"/>
                </w:tcPr>
                <w:p w14:paraId="11AEA9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加大移动源污染管控力度。强化源头管控，确保新车、新机械环保达标；加快发展新能源车辆，推广使用新能源和清洁能源非道路移动机械。加大老旧机动车、工程机械尾气治理改造和限期淘汰力度，基本消除柴油货车和工程机械冒黑烟现象。加强船舶污染治理，推动船舶尾气处理，限制高排放船舶使用。完善港口码头岸电设施，提高岸电使用率。严格执行油品质量标准，加强车用油品、车用尿素、船用燃料油的监管。严厉打击黑加油站和非法流动加油车。</w:t>
                  </w:r>
                </w:p>
              </w:tc>
              <w:tc>
                <w:tcPr>
                  <w:tcW w:w="1833" w:type="dxa"/>
                  <w:vAlign w:val="center"/>
                </w:tcPr>
                <w:p w14:paraId="2DD4F2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本项目仅有施工过程采用燃烧柴油的机械，本项目施工过程将严格采用环保型设备，坚决杜绝施工工地内作业机械、车辆超标和冒黑烟问题。</w:t>
                  </w:r>
                </w:p>
              </w:tc>
              <w:tc>
                <w:tcPr>
                  <w:tcW w:w="678" w:type="dxa"/>
                  <w:vAlign w:val="center"/>
                </w:tcPr>
                <w:p w14:paraId="17041E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符合</w:t>
                  </w:r>
                </w:p>
              </w:tc>
            </w:tr>
            <w:tr w14:paraId="19A1E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dxa"/>
                  <w:vAlign w:val="center"/>
                </w:tcPr>
                <w:p w14:paraId="32E5AB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2</w:t>
                  </w:r>
                </w:p>
              </w:tc>
              <w:tc>
                <w:tcPr>
                  <w:tcW w:w="4000" w:type="dxa"/>
                  <w:vAlign w:val="center"/>
                </w:tcPr>
                <w:p w14:paraId="52A662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加大生活污水处理设施、配套管网建设和改造力度，推进污泥无害化资源化处理处置。</w:t>
                  </w:r>
                </w:p>
              </w:tc>
              <w:tc>
                <w:tcPr>
                  <w:tcW w:w="1833" w:type="dxa"/>
                  <w:vAlign w:val="center"/>
                </w:tcPr>
                <w:p w14:paraId="0385FE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本项目施工</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生活区租赁周边民房，</w:t>
                  </w: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生活污水经过化粪池处理后定期清掏用作农肥。</w:t>
                  </w:r>
                </w:p>
              </w:tc>
              <w:tc>
                <w:tcPr>
                  <w:tcW w:w="678" w:type="dxa"/>
                  <w:vAlign w:val="center"/>
                </w:tcPr>
                <w:p w14:paraId="412C52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符合</w:t>
                  </w:r>
                </w:p>
              </w:tc>
            </w:tr>
            <w:tr w14:paraId="1CEB0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dxa"/>
                  <w:vAlign w:val="center"/>
                </w:tcPr>
                <w:p w14:paraId="0D68B5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3</w:t>
                  </w:r>
                </w:p>
              </w:tc>
              <w:tc>
                <w:tcPr>
                  <w:tcW w:w="4000" w:type="dxa"/>
                  <w:vAlign w:val="center"/>
                </w:tcPr>
                <w:p w14:paraId="4B80DD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保障地下水环境安全。严格保护和合理利用地下水，加强皖北地下水降落漏斗治理。以集中式地下水型饮用水水源和污染源为重点，开展地下水环境状况调查评估，切实保障地下水型饮用水水源环境安全。对已查明的地下水重污染工业企业、危废处置场、垃圾填埋场等，依法纳入重点排污单位，督促落实自行监测、溯源断源、管控治理。</w:t>
                  </w:r>
                </w:p>
              </w:tc>
              <w:tc>
                <w:tcPr>
                  <w:tcW w:w="1833" w:type="dxa"/>
                  <w:vAlign w:val="center"/>
                </w:tcPr>
                <w:p w14:paraId="403AE6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本项目沿线无地下水饮用水水源，运营期环境影响主要体现在噪声排放、汽车尾气和地表径流的影响，对地下水基本无影响。</w:t>
                  </w:r>
                </w:p>
              </w:tc>
              <w:tc>
                <w:tcPr>
                  <w:tcW w:w="678" w:type="dxa"/>
                  <w:vAlign w:val="center"/>
                </w:tcPr>
                <w:p w14:paraId="172898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符合</w:t>
                  </w:r>
                </w:p>
              </w:tc>
            </w:tr>
            <w:tr w14:paraId="36EE7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dxa"/>
                  <w:vAlign w:val="center"/>
                </w:tcPr>
                <w:p w14:paraId="37243B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4</w:t>
                  </w:r>
                </w:p>
              </w:tc>
              <w:tc>
                <w:tcPr>
                  <w:tcW w:w="4000" w:type="dxa"/>
                  <w:vAlign w:val="center"/>
                </w:tcPr>
                <w:p w14:paraId="5B3252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推动土壤环境监管与国土空间管控的衔接，根据土壤污染和风险状况，合理规划土地用途。完善土壤环境质量评价、监测、污染控制及配套政策法规等相关体系。制定、修订农用地、污染地块、工矿企业用地等方面的环境管理制度，土壤污染重点监管单位纳入排污许可证统一监管。督促土壤污染重点监管单位落实有毒有害物质排放报告、污染隐患排查、用地土壤和地下水自行监测、设施设备拆除污染防治等法定义务，落实重点监管企业周边土壤监测要求。</w:t>
                  </w:r>
                </w:p>
              </w:tc>
              <w:tc>
                <w:tcPr>
                  <w:tcW w:w="1833" w:type="dxa"/>
                  <w:vAlign w:val="center"/>
                </w:tcPr>
                <w:p w14:paraId="19CCE6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本项目为公路建设项目，运营期环境影响主要体现在噪声排放、汽车尾气和地表径流的影响，对周边土壤影响很小。</w:t>
                  </w:r>
                </w:p>
              </w:tc>
              <w:tc>
                <w:tcPr>
                  <w:tcW w:w="678" w:type="dxa"/>
                  <w:vAlign w:val="center"/>
                </w:tcPr>
                <w:p w14:paraId="1D66EF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符合</w:t>
                  </w:r>
                </w:p>
              </w:tc>
            </w:tr>
          </w:tbl>
          <w:p w14:paraId="486CB55F">
            <w:p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kern w:val="0"/>
                <w:sz w:val="24"/>
                <w:lang w:val="en-US" w:eastAsia="zh-CN"/>
              </w:rPr>
            </w:pPr>
            <w:r>
              <w:rPr>
                <w:rFonts w:hint="eastAsia" w:ascii="Times New Roman" w:hAnsi="Times New Roman" w:eastAsia="宋体" w:cs="Times New Roman"/>
                <w:b/>
                <w:bCs/>
                <w:color w:val="auto"/>
                <w:kern w:val="0"/>
                <w:sz w:val="24"/>
                <w:lang w:val="en-US" w:eastAsia="zh-CN"/>
              </w:rPr>
              <w:t>4</w:t>
            </w:r>
            <w:r>
              <w:rPr>
                <w:rFonts w:hint="default" w:ascii="Times New Roman" w:hAnsi="Times New Roman" w:eastAsia="宋体" w:cs="Times New Roman"/>
                <w:b/>
                <w:bCs/>
                <w:color w:val="auto"/>
                <w:kern w:val="0"/>
                <w:sz w:val="24"/>
                <w:lang w:val="en-US" w:eastAsia="zh-CN"/>
              </w:rPr>
              <w:t>、《六安市大气污染防治行动计划实施细则》符合性分析</w:t>
            </w:r>
          </w:p>
          <w:p w14:paraId="43DA9076">
            <w:pPr>
              <w:pStyle w:val="54"/>
              <w:ind w:firstLine="48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根据《六安市大气污染防治行动计划实施细则》（六政</w:t>
            </w:r>
            <w:r>
              <w:rPr>
                <w:rFonts w:hint="eastAsia" w:cs="Times New Roman"/>
                <w:color w:val="auto"/>
                <w:kern w:val="0"/>
                <w:sz w:val="24"/>
                <w:highlight w:val="none"/>
                <w:lang w:val="en-US" w:eastAsia="zh-CN"/>
              </w:rPr>
              <w:t>〔2014〕23号</w:t>
            </w:r>
            <w:r>
              <w:rPr>
                <w:rFonts w:hint="default" w:ascii="Times New Roman" w:hAnsi="Times New Roman" w:eastAsia="宋体" w:cs="Times New Roman"/>
                <w:color w:val="auto"/>
                <w:kern w:val="0"/>
                <w:sz w:val="24"/>
                <w:highlight w:val="none"/>
                <w:lang w:val="en-US" w:eastAsia="zh-CN"/>
              </w:rPr>
              <w:t>）要求，加强城市大气污染防治，强化城市扬尘治理。推进建筑、建造方式转变，开展建筑工地、道路、港口码头、物料堆场扬尘综合整治。强化扬尘污染防治责任，严格实行</w:t>
            </w:r>
            <w:r>
              <w:rPr>
                <w:rFonts w:hint="eastAsia" w:cs="Times New Roman"/>
                <w:color w:val="auto"/>
                <w:kern w:val="0"/>
                <w:sz w:val="24"/>
                <w:highlight w:val="none"/>
                <w:lang w:val="en-US" w:eastAsia="zh-CN"/>
              </w:rPr>
              <w:t>网格化管理</w:t>
            </w:r>
            <w:r>
              <w:rPr>
                <w:rFonts w:hint="default" w:ascii="Times New Roman" w:hAnsi="Times New Roman" w:eastAsia="宋体" w:cs="Times New Roman"/>
                <w:color w:val="auto"/>
                <w:kern w:val="0"/>
                <w:sz w:val="24"/>
                <w:highlight w:val="none"/>
                <w:lang w:val="en-US" w:eastAsia="zh-CN"/>
              </w:rPr>
              <w:t>，施工企业要在开工前制定建筑施工现场扬尘控制措施，对施工现场实施封闭围挡、道路硬化、材料堆放遮盖、进出车辆冲洗、工程立面围护、建筑垃圾清运等措施。落实物料堆场防风抑尘控尘措施。安装渣土运输车辆GPS定位系统，严格实行密闭运输，落实冲洗保洁措施。</w:t>
            </w:r>
          </w:p>
          <w:p w14:paraId="08F57FDF">
            <w:pPr>
              <w:pStyle w:val="54"/>
              <w:ind w:firstLine="48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项目施工期间施工场地实施封闭围挡、道路硬化，施工材料进行遮盖，并设置车辆冲洗平台，施工过程产生的固体废物定期进行清运，符合《六安市大气污染防治行动计划实施细则》（六政</w:t>
            </w:r>
            <w:r>
              <w:rPr>
                <w:rFonts w:hint="eastAsia" w:cs="Times New Roman"/>
                <w:color w:val="auto"/>
                <w:kern w:val="0"/>
                <w:sz w:val="24"/>
                <w:highlight w:val="none"/>
                <w:lang w:val="en-US" w:eastAsia="zh-CN"/>
              </w:rPr>
              <w:t>〔2014〕23号</w:t>
            </w:r>
            <w:r>
              <w:rPr>
                <w:rFonts w:hint="default" w:ascii="Times New Roman" w:hAnsi="Times New Roman" w:eastAsia="宋体" w:cs="Times New Roman"/>
                <w:color w:val="auto"/>
                <w:kern w:val="0"/>
                <w:sz w:val="24"/>
                <w:highlight w:val="none"/>
                <w:lang w:val="en-US" w:eastAsia="zh-CN"/>
              </w:rPr>
              <w:t>）中的相关要求。</w:t>
            </w:r>
          </w:p>
          <w:p w14:paraId="3B5C5165">
            <w:pPr>
              <w:pStyle w:val="54"/>
              <w:ind w:firstLine="480"/>
              <w:rPr>
                <w:rFonts w:hint="default" w:ascii="Times New Roman" w:hAnsi="Times New Roman" w:eastAsia="宋体" w:cs="Times New Roman"/>
                <w:color w:val="auto"/>
                <w:kern w:val="0"/>
                <w:sz w:val="24"/>
                <w:highlight w:val="none"/>
                <w:lang w:val="en-US" w:eastAsia="zh-CN"/>
              </w:rPr>
            </w:pPr>
          </w:p>
          <w:p w14:paraId="2B18E55C">
            <w:pPr>
              <w:pStyle w:val="54"/>
              <w:ind w:firstLine="480"/>
              <w:rPr>
                <w:rFonts w:hint="default" w:ascii="Times New Roman" w:hAnsi="Times New Roman" w:eastAsia="宋体" w:cs="Times New Roman"/>
                <w:color w:val="auto"/>
                <w:kern w:val="0"/>
                <w:sz w:val="24"/>
                <w:highlight w:val="none"/>
                <w:lang w:val="en-US" w:eastAsia="zh-CN"/>
              </w:rPr>
            </w:pPr>
          </w:p>
          <w:p w14:paraId="00026506">
            <w:pPr>
              <w:pStyle w:val="54"/>
              <w:ind w:firstLine="480"/>
              <w:rPr>
                <w:rFonts w:hint="default" w:ascii="Times New Roman" w:hAnsi="Times New Roman" w:eastAsia="宋体" w:cs="Times New Roman"/>
                <w:color w:val="auto"/>
                <w:kern w:val="0"/>
                <w:sz w:val="24"/>
                <w:highlight w:val="none"/>
                <w:lang w:val="en-US" w:eastAsia="zh-CN"/>
              </w:rPr>
            </w:pPr>
          </w:p>
          <w:p w14:paraId="4FE45C83">
            <w:pPr>
              <w:pStyle w:val="54"/>
              <w:ind w:firstLine="480"/>
              <w:rPr>
                <w:rFonts w:hint="default" w:ascii="Times New Roman" w:hAnsi="Times New Roman" w:eastAsia="宋体" w:cs="Times New Roman"/>
                <w:color w:val="auto"/>
                <w:kern w:val="0"/>
                <w:sz w:val="24"/>
                <w:highlight w:val="none"/>
                <w:lang w:val="en-US" w:eastAsia="zh-CN"/>
              </w:rPr>
            </w:pPr>
          </w:p>
          <w:p w14:paraId="1BA58E98">
            <w:pPr>
              <w:pStyle w:val="54"/>
              <w:ind w:firstLine="480"/>
              <w:rPr>
                <w:rFonts w:hint="default" w:ascii="Times New Roman" w:hAnsi="Times New Roman" w:eastAsia="宋体" w:cs="Times New Roman"/>
                <w:color w:val="auto"/>
                <w:kern w:val="0"/>
                <w:sz w:val="24"/>
                <w:highlight w:val="none"/>
                <w:lang w:val="en-US" w:eastAsia="zh-CN"/>
              </w:rPr>
            </w:pPr>
          </w:p>
          <w:p w14:paraId="310861C5">
            <w:pPr>
              <w:pStyle w:val="54"/>
              <w:ind w:firstLine="480"/>
              <w:rPr>
                <w:rFonts w:hint="default" w:ascii="Times New Roman" w:hAnsi="Times New Roman" w:eastAsia="宋体" w:cs="Times New Roman"/>
                <w:color w:val="auto"/>
                <w:kern w:val="0"/>
                <w:sz w:val="24"/>
                <w:highlight w:val="none"/>
                <w:lang w:val="en-US" w:eastAsia="zh-CN"/>
              </w:rPr>
            </w:pPr>
          </w:p>
          <w:p w14:paraId="1DD34723">
            <w:pPr>
              <w:pStyle w:val="54"/>
              <w:ind w:firstLine="480"/>
              <w:rPr>
                <w:rFonts w:hint="default" w:ascii="Times New Roman" w:hAnsi="Times New Roman" w:eastAsia="宋体" w:cs="Times New Roman"/>
                <w:color w:val="auto"/>
                <w:kern w:val="0"/>
                <w:sz w:val="24"/>
                <w:highlight w:val="none"/>
                <w:lang w:val="en-US" w:eastAsia="zh-CN"/>
              </w:rPr>
            </w:pPr>
          </w:p>
          <w:p w14:paraId="4C8330C3">
            <w:pPr>
              <w:pStyle w:val="54"/>
              <w:ind w:firstLine="480"/>
              <w:rPr>
                <w:rFonts w:hint="default" w:ascii="Times New Roman" w:hAnsi="Times New Roman" w:eastAsia="宋体" w:cs="Times New Roman"/>
                <w:color w:val="auto"/>
                <w:kern w:val="0"/>
                <w:sz w:val="24"/>
                <w:highlight w:val="none"/>
                <w:lang w:val="en-US" w:eastAsia="zh-CN"/>
              </w:rPr>
            </w:pPr>
          </w:p>
          <w:p w14:paraId="18048268">
            <w:pPr>
              <w:pStyle w:val="54"/>
              <w:ind w:firstLine="480"/>
              <w:rPr>
                <w:rFonts w:hint="default" w:ascii="Times New Roman" w:hAnsi="Times New Roman" w:eastAsia="宋体" w:cs="Times New Roman"/>
                <w:color w:val="auto"/>
                <w:kern w:val="0"/>
                <w:sz w:val="24"/>
                <w:highlight w:val="none"/>
                <w:lang w:val="en-US" w:eastAsia="zh-CN"/>
              </w:rPr>
            </w:pPr>
          </w:p>
          <w:p w14:paraId="30DAFFFF">
            <w:pPr>
              <w:pStyle w:val="54"/>
              <w:ind w:firstLine="480"/>
              <w:rPr>
                <w:rFonts w:hint="default" w:ascii="Times New Roman" w:hAnsi="Times New Roman" w:eastAsia="宋体" w:cs="Times New Roman"/>
                <w:color w:val="auto"/>
                <w:kern w:val="0"/>
                <w:sz w:val="24"/>
                <w:highlight w:val="none"/>
                <w:lang w:val="en-US" w:eastAsia="zh-CN"/>
              </w:rPr>
            </w:pPr>
          </w:p>
          <w:p w14:paraId="079B2855">
            <w:pPr>
              <w:pStyle w:val="54"/>
              <w:ind w:firstLine="480"/>
              <w:rPr>
                <w:rFonts w:hint="default" w:ascii="Times New Roman" w:hAnsi="Times New Roman" w:eastAsia="宋体" w:cs="Times New Roman"/>
                <w:color w:val="auto"/>
                <w:kern w:val="0"/>
                <w:sz w:val="24"/>
                <w:highlight w:val="none"/>
                <w:lang w:val="en-US" w:eastAsia="zh-CN"/>
              </w:rPr>
            </w:pPr>
          </w:p>
          <w:p w14:paraId="39EDB20F">
            <w:pPr>
              <w:pStyle w:val="54"/>
              <w:ind w:firstLine="480"/>
              <w:rPr>
                <w:rFonts w:hint="default" w:ascii="Times New Roman" w:hAnsi="Times New Roman" w:eastAsia="宋体" w:cs="Times New Roman"/>
                <w:color w:val="auto"/>
                <w:kern w:val="0"/>
                <w:sz w:val="24"/>
                <w:highlight w:val="none"/>
                <w:lang w:val="en-US" w:eastAsia="zh-CN"/>
              </w:rPr>
            </w:pPr>
          </w:p>
          <w:p w14:paraId="1A024218">
            <w:pPr>
              <w:pStyle w:val="54"/>
              <w:ind w:firstLine="480"/>
              <w:rPr>
                <w:rFonts w:hint="default" w:ascii="Times New Roman" w:hAnsi="Times New Roman" w:eastAsia="宋体" w:cs="Times New Roman"/>
                <w:color w:val="auto"/>
                <w:kern w:val="0"/>
                <w:sz w:val="24"/>
                <w:highlight w:val="none"/>
                <w:lang w:val="en-US" w:eastAsia="zh-CN"/>
              </w:rPr>
            </w:pPr>
          </w:p>
          <w:p w14:paraId="45DAAC33">
            <w:pPr>
              <w:pStyle w:val="54"/>
              <w:ind w:firstLine="480"/>
              <w:rPr>
                <w:rFonts w:hint="default" w:ascii="Times New Roman" w:hAnsi="Times New Roman" w:eastAsia="宋体" w:cs="Times New Roman"/>
                <w:color w:val="auto"/>
                <w:kern w:val="0"/>
                <w:sz w:val="24"/>
                <w:highlight w:val="none"/>
                <w:lang w:val="en-US" w:eastAsia="zh-CN"/>
              </w:rPr>
            </w:pPr>
          </w:p>
          <w:p w14:paraId="7D947CB8">
            <w:pPr>
              <w:pStyle w:val="54"/>
              <w:ind w:firstLine="480"/>
              <w:rPr>
                <w:rFonts w:hint="default" w:ascii="Times New Roman" w:hAnsi="Times New Roman" w:eastAsia="宋体" w:cs="Times New Roman"/>
                <w:color w:val="auto"/>
                <w:kern w:val="0"/>
                <w:sz w:val="24"/>
                <w:highlight w:val="none"/>
                <w:lang w:val="en-US" w:eastAsia="zh-CN"/>
              </w:rPr>
            </w:pPr>
          </w:p>
          <w:p w14:paraId="58BB46FE">
            <w:pPr>
              <w:pStyle w:val="54"/>
              <w:ind w:firstLine="480"/>
              <w:rPr>
                <w:rFonts w:hint="default" w:ascii="Times New Roman" w:hAnsi="Times New Roman" w:eastAsia="宋体" w:cs="Times New Roman"/>
                <w:color w:val="auto"/>
                <w:kern w:val="0"/>
                <w:sz w:val="24"/>
                <w:highlight w:val="none"/>
                <w:lang w:val="en-US" w:eastAsia="zh-CN"/>
              </w:rPr>
            </w:pPr>
          </w:p>
          <w:p w14:paraId="67C260AF">
            <w:pPr>
              <w:pStyle w:val="54"/>
              <w:ind w:firstLine="480"/>
              <w:rPr>
                <w:rFonts w:hint="default" w:ascii="Times New Roman" w:hAnsi="Times New Roman" w:eastAsia="宋体" w:cs="Times New Roman"/>
                <w:color w:val="auto"/>
                <w:kern w:val="0"/>
                <w:sz w:val="24"/>
                <w:highlight w:val="none"/>
                <w:lang w:val="en-US" w:eastAsia="zh-CN"/>
              </w:rPr>
            </w:pPr>
          </w:p>
          <w:p w14:paraId="3A8AE2DE">
            <w:pPr>
              <w:pStyle w:val="54"/>
              <w:ind w:firstLine="480"/>
              <w:rPr>
                <w:rFonts w:hint="default" w:ascii="Times New Roman" w:hAnsi="Times New Roman" w:eastAsia="宋体" w:cs="Times New Roman"/>
                <w:color w:val="auto"/>
                <w:kern w:val="0"/>
                <w:sz w:val="24"/>
                <w:highlight w:val="none"/>
                <w:lang w:val="en-US" w:eastAsia="zh-CN"/>
              </w:rPr>
            </w:pPr>
          </w:p>
          <w:p w14:paraId="7B9C329D">
            <w:pPr>
              <w:pStyle w:val="54"/>
              <w:ind w:firstLine="480"/>
              <w:rPr>
                <w:rFonts w:hint="default" w:ascii="Times New Roman" w:hAnsi="Times New Roman" w:eastAsia="宋体" w:cs="Times New Roman"/>
                <w:color w:val="auto"/>
                <w:kern w:val="0"/>
                <w:sz w:val="24"/>
                <w:highlight w:val="none"/>
                <w:lang w:val="en-US" w:eastAsia="zh-CN"/>
              </w:rPr>
            </w:pPr>
          </w:p>
          <w:p w14:paraId="47EE3C40">
            <w:pPr>
              <w:pStyle w:val="54"/>
              <w:ind w:firstLine="480"/>
              <w:rPr>
                <w:rFonts w:hint="default" w:ascii="Times New Roman" w:hAnsi="Times New Roman" w:eastAsia="宋体" w:cs="Times New Roman"/>
                <w:color w:val="auto"/>
                <w:kern w:val="0"/>
                <w:sz w:val="24"/>
                <w:highlight w:val="none"/>
                <w:lang w:val="en-US" w:eastAsia="zh-CN"/>
              </w:rPr>
            </w:pPr>
          </w:p>
          <w:p w14:paraId="2ED25B99">
            <w:pPr>
              <w:pStyle w:val="54"/>
              <w:ind w:firstLine="480"/>
              <w:rPr>
                <w:rFonts w:hint="default" w:ascii="Times New Roman" w:hAnsi="Times New Roman" w:eastAsia="宋体" w:cs="Times New Roman"/>
                <w:color w:val="auto"/>
                <w:kern w:val="0"/>
                <w:sz w:val="24"/>
                <w:highlight w:val="none"/>
                <w:lang w:val="en-US" w:eastAsia="zh-CN"/>
              </w:rPr>
            </w:pPr>
          </w:p>
          <w:p w14:paraId="60729A97">
            <w:pPr>
              <w:pStyle w:val="54"/>
              <w:ind w:firstLine="480"/>
              <w:rPr>
                <w:rFonts w:hint="default" w:ascii="Times New Roman" w:hAnsi="Times New Roman" w:eastAsia="宋体" w:cs="Times New Roman"/>
                <w:color w:val="auto"/>
                <w:kern w:val="0"/>
                <w:sz w:val="24"/>
                <w:highlight w:val="none"/>
                <w:lang w:val="en-US" w:eastAsia="zh-CN"/>
              </w:rPr>
            </w:pPr>
          </w:p>
        </w:tc>
      </w:tr>
    </w:tbl>
    <w:p w14:paraId="78E8EA3F">
      <w:pPr>
        <w:spacing w:line="360" w:lineRule="auto"/>
        <w:outlineLvl w:val="0"/>
        <w:rPr>
          <w:rFonts w:hint="default" w:ascii="Times New Roman" w:hAnsi="Times New Roman" w:eastAsia="黑体" w:cs="Times New Roman"/>
          <w:color w:val="auto"/>
          <w:sz w:val="30"/>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326E5777">
      <w:pPr>
        <w:pStyle w:val="27"/>
        <w:jc w:val="center"/>
        <w:outlineLvl w:val="0"/>
        <w:rPr>
          <w:rFonts w:hint="default" w:ascii="Times New Roman" w:hAnsi="Times New Roman" w:eastAsia="宋体" w:cs="Times New Roman"/>
          <w:b/>
          <w:bCs/>
          <w:snapToGrid w:val="0"/>
          <w:color w:val="auto"/>
          <w:sz w:val="30"/>
          <w:szCs w:val="30"/>
        </w:rPr>
      </w:pPr>
      <w:bookmarkStart w:id="12" w:name="_Toc5973"/>
      <w:bookmarkStart w:id="13" w:name="_Toc26337"/>
      <w:bookmarkStart w:id="14" w:name="_Toc15995"/>
      <w:bookmarkStart w:id="15" w:name="_Toc14852"/>
      <w:bookmarkStart w:id="16" w:name="_Toc27227"/>
      <w:r>
        <w:rPr>
          <w:rFonts w:hint="default" w:ascii="Times New Roman" w:hAnsi="Times New Roman" w:eastAsia="宋体" w:cs="Times New Roman"/>
          <w:b/>
          <w:bCs/>
          <w:snapToGrid w:val="0"/>
          <w:color w:val="auto"/>
          <w:sz w:val="30"/>
          <w:szCs w:val="30"/>
        </w:rPr>
        <w:t>二、建设内容</w:t>
      </w:r>
      <w:bookmarkEnd w:id="12"/>
      <w:bookmarkEnd w:id="13"/>
      <w:bookmarkEnd w:id="14"/>
      <w:bookmarkEnd w:id="15"/>
      <w:bookmarkEnd w:id="16"/>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604"/>
      </w:tblGrid>
      <w:tr w14:paraId="7CCD56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456" w:type="dxa"/>
            <w:noWrap w:val="0"/>
            <w:vAlign w:val="center"/>
          </w:tcPr>
          <w:p w14:paraId="64A8B17A">
            <w:pPr>
              <w:adjustRightInd w:val="0"/>
              <w:snapToGrid w:val="0"/>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地理位置</w:t>
            </w:r>
          </w:p>
        </w:tc>
        <w:tc>
          <w:tcPr>
            <w:tcW w:w="8604" w:type="dxa"/>
            <w:noWrap w:val="0"/>
            <w:vAlign w:val="center"/>
          </w:tcPr>
          <w:p w14:paraId="288752D8">
            <w:pPr>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本项目起点位于关庙乡银山村银山沟与沙坪沟交接处，与规划S517相交，沿沙坪沟由西向东布线，终点位于蔡家湾，路线全长2.34公里。</w:t>
            </w:r>
          </w:p>
          <w:p w14:paraId="46FB8407">
            <w:pPr>
              <w:adjustRightInd w:val="0"/>
              <w:snapToGrid w:val="0"/>
              <w:spacing w:line="360" w:lineRule="auto"/>
              <w:ind w:firstLine="480" w:firstLineChars="200"/>
              <w:rPr>
                <w:rFonts w:hint="default" w:ascii="Times New Roman" w:hAnsi="Times New Roman" w:cs="Times New Roman"/>
                <w:b/>
                <w:bCs/>
                <w:lang w:val="en-US" w:eastAsia="zh-CN"/>
              </w:rPr>
            </w:pPr>
            <w:r>
              <w:rPr>
                <w:rFonts w:hint="default" w:ascii="Times New Roman" w:hAnsi="Times New Roman" w:eastAsia="宋体" w:cs="Times New Roman"/>
                <w:color w:val="auto"/>
                <w:sz w:val="24"/>
              </w:rPr>
              <w:t>工程起点坐标为</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东经</w:t>
            </w:r>
            <w:r>
              <w:rPr>
                <w:rFonts w:hint="default" w:ascii="Times New Roman" w:hAnsi="Times New Roman" w:cs="Times New Roman"/>
                <w:color w:val="auto"/>
                <w:sz w:val="24"/>
              </w:rPr>
              <w:t>115°29′17.71635″</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北纬</w:t>
            </w:r>
            <w:r>
              <w:rPr>
                <w:rFonts w:hint="default" w:ascii="Times New Roman" w:hAnsi="Times New Roman" w:cs="Times New Roman"/>
                <w:color w:val="auto"/>
                <w:sz w:val="24"/>
              </w:rPr>
              <w:t>31°32′16.98820″</w:t>
            </w:r>
            <w:r>
              <w:rPr>
                <w:rFonts w:hint="default" w:ascii="Times New Roman" w:hAnsi="Times New Roman" w:cs="Times New Roman"/>
                <w:color w:val="auto"/>
                <w:sz w:val="24"/>
                <w:lang w:eastAsia="zh-CN"/>
              </w:rPr>
              <w:t>，</w:t>
            </w:r>
            <w:r>
              <w:rPr>
                <w:rFonts w:hint="default" w:ascii="Times New Roman" w:hAnsi="Times New Roman" w:eastAsia="宋体" w:cs="Times New Roman"/>
                <w:color w:val="auto"/>
                <w:sz w:val="24"/>
              </w:rPr>
              <w:t>终点坐标为</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东经</w:t>
            </w:r>
            <w:r>
              <w:rPr>
                <w:rFonts w:hint="default" w:ascii="Times New Roman" w:hAnsi="Times New Roman" w:cs="Times New Roman"/>
                <w:color w:val="auto"/>
                <w:sz w:val="24"/>
              </w:rPr>
              <w:t>115°29′50.53693″</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北纬</w:t>
            </w:r>
            <w:r>
              <w:rPr>
                <w:rFonts w:hint="default" w:ascii="Times New Roman" w:hAnsi="Times New Roman" w:cs="Times New Roman"/>
                <w:color w:val="auto"/>
                <w:sz w:val="24"/>
              </w:rPr>
              <w:t>31°33′8.85515″</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项目地理位置图见附图1</w:t>
            </w:r>
            <w:r>
              <w:rPr>
                <w:rFonts w:hint="eastAsia" w:ascii="Times New Roman" w:hAnsi="Times New Roman" w:eastAsia="宋体" w:cs="Times New Roman"/>
                <w:color w:val="auto"/>
                <w:sz w:val="24"/>
                <w:lang w:val="en-US" w:eastAsia="zh-CN"/>
              </w:rPr>
              <w:t>。</w:t>
            </w:r>
          </w:p>
        </w:tc>
      </w:tr>
      <w:tr w14:paraId="5D2410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4" w:hRule="atLeast"/>
          <w:jc w:val="center"/>
        </w:trPr>
        <w:tc>
          <w:tcPr>
            <w:tcW w:w="456" w:type="dxa"/>
            <w:noWrap w:val="0"/>
            <w:vAlign w:val="center"/>
          </w:tcPr>
          <w:p w14:paraId="07A40544">
            <w:pPr>
              <w:adjustRightInd w:val="0"/>
              <w:snapToGrid w:val="0"/>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项目组成及规模</w:t>
            </w:r>
          </w:p>
        </w:tc>
        <w:tc>
          <w:tcPr>
            <w:tcW w:w="8604" w:type="dxa"/>
            <w:noWrap w:val="0"/>
            <w:vAlign w:val="center"/>
          </w:tcPr>
          <w:p w14:paraId="2ED0602A">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rPr>
            </w:pPr>
            <w:bookmarkStart w:id="17" w:name="_Toc8329235"/>
            <w:r>
              <w:rPr>
                <w:rFonts w:hint="eastAsia" w:ascii="Times New Roman" w:hAnsi="Times New Roman" w:eastAsia="宋体" w:cs="Times New Roman"/>
                <w:b/>
                <w:bCs/>
                <w:color w:val="auto"/>
                <w:sz w:val="24"/>
                <w:lang w:val="en-US" w:eastAsia="zh-CN"/>
              </w:rPr>
              <w:t>1、</w:t>
            </w:r>
            <w:r>
              <w:rPr>
                <w:rFonts w:hint="default" w:ascii="Times New Roman" w:hAnsi="Times New Roman" w:eastAsia="宋体" w:cs="Times New Roman"/>
                <w:b/>
                <w:bCs/>
                <w:color w:val="auto"/>
                <w:sz w:val="24"/>
              </w:rPr>
              <w:t>项目建设背景</w:t>
            </w:r>
          </w:p>
          <w:p w14:paraId="25C2257E">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项目区位于金寨县西南</w:t>
            </w:r>
            <w:r>
              <w:rPr>
                <w:rFonts w:hint="eastAsia" w:ascii="Times New Roman" w:hAnsi="Times New Roman" w:eastAsia="宋体" w:cs="Times New Roman"/>
                <w:color w:val="auto"/>
                <w:sz w:val="24"/>
                <w:lang w:val="en-US" w:eastAsia="zh-CN"/>
              </w:rPr>
              <w:t>边陲</w:t>
            </w:r>
            <w:r>
              <w:rPr>
                <w:rFonts w:hint="default" w:ascii="Times New Roman" w:hAnsi="Times New Roman" w:eastAsia="宋体" w:cs="Times New Roman"/>
                <w:color w:val="auto"/>
                <w:sz w:val="24"/>
                <w:lang w:val="en-US" w:eastAsia="zh-CN"/>
              </w:rPr>
              <w:t>，道路等级较低，坡陡弯急，局部安全隐患大，给当地居民出行造成极大不便，随着沙坪沟钼矿的开发，道路交通量将与日俱增，地方政府要求升级改建的呼声越来越强烈，迫切需要一条高等级的公路以满足人民群众生产生活出行和矿产资源开发的需求。</w:t>
            </w:r>
          </w:p>
          <w:p w14:paraId="4FF0F98E">
            <w:pPr>
              <w:adjustRightInd w:val="0"/>
              <w:snapToGrid w:val="0"/>
              <w:spacing w:line="360" w:lineRule="auto"/>
              <w:ind w:firstLine="480" w:firstLineChars="200"/>
              <w:rPr>
                <w:rFonts w:hint="default"/>
                <w:lang w:val="en-US"/>
              </w:rPr>
            </w:pPr>
            <w:r>
              <w:rPr>
                <w:rFonts w:hint="eastAsia" w:ascii="Times New Roman" w:hAnsi="Times New Roman" w:eastAsia="宋体" w:cs="Times New Roman"/>
                <w:color w:val="auto"/>
                <w:sz w:val="24"/>
                <w:lang w:val="en-US" w:eastAsia="zh-CN"/>
              </w:rPr>
              <w:t>为提升高线东南片区道路通行能力，促进县域经济发展，助力乡村振兴，金寨县关庙乡人民政府拟对现有关庙乡沙坪沟至蔡家湾公路段公路进行改建。</w:t>
            </w:r>
          </w:p>
          <w:p w14:paraId="01E236AA">
            <w:pPr>
              <w:pStyle w:val="54"/>
              <w:ind w:firstLine="48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根据《中华人民共和国环境保护法》（主席令2014年第9号）、《中华人民共和国环境影响评价法》（2018年12月29日修订）、《建设项目环境保护管理条例》（国务院令第682号）等相关政策法规，对照《建设项目环境影响评价分类管理名录》（2021年版），本项目属于</w:t>
            </w:r>
            <w:r>
              <w:rPr>
                <w:rFonts w:hint="eastAsia" w:cs="Times New Roman"/>
                <w:color w:val="auto"/>
                <w:sz w:val="24"/>
                <w:lang w:val="en-US" w:eastAsia="zh-CN"/>
              </w:rPr>
              <w:t>“</w:t>
            </w:r>
            <w:r>
              <w:rPr>
                <w:rFonts w:hint="default" w:ascii="Times New Roman" w:hAnsi="Times New Roman" w:cs="Times New Roman"/>
                <w:color w:val="auto"/>
                <w:sz w:val="24"/>
                <w:lang w:val="en-US" w:eastAsia="zh-CN"/>
              </w:rPr>
              <w:t>五十二、交通运输业，管道运输业</w:t>
            </w:r>
            <w:r>
              <w:rPr>
                <w:rFonts w:hint="eastAsia" w:cs="Times New Roman"/>
                <w:color w:val="auto"/>
                <w:sz w:val="24"/>
                <w:lang w:val="en-US" w:eastAsia="zh-CN"/>
              </w:rPr>
              <w:t>”“</w:t>
            </w:r>
            <w:r>
              <w:rPr>
                <w:rFonts w:hint="default" w:ascii="Times New Roman" w:hAnsi="Times New Roman" w:cs="Times New Roman"/>
                <w:color w:val="auto"/>
                <w:sz w:val="24"/>
                <w:lang w:val="en-US" w:eastAsia="zh-CN"/>
              </w:rPr>
              <w:t>130等级公路（不含维护；不含生命救援、应急保通工程以及国防交通保障项目；不含改扩建四级公路）</w:t>
            </w:r>
            <w:r>
              <w:rPr>
                <w:rFonts w:hint="eastAsia" w:cs="Times New Roman"/>
                <w:color w:val="auto"/>
                <w:sz w:val="24"/>
                <w:lang w:val="en-US" w:eastAsia="zh-CN"/>
              </w:rPr>
              <w:t>”</w:t>
            </w:r>
            <w:r>
              <w:rPr>
                <w:rFonts w:hint="default" w:ascii="Times New Roman" w:hAnsi="Times New Roman" w:cs="Times New Roman"/>
                <w:color w:val="auto"/>
                <w:sz w:val="24"/>
                <w:lang w:val="en-US" w:eastAsia="zh-CN"/>
              </w:rPr>
              <w:t>，因此，本项目应编制环境影响报告表。</w:t>
            </w:r>
          </w:p>
          <w:p w14:paraId="44E8F000">
            <w:pPr>
              <w:pStyle w:val="87"/>
              <w:keepNext w:val="0"/>
              <w:keepLines w:val="0"/>
              <w:pageBreakBefore w:val="0"/>
              <w:widowControl/>
              <w:kinsoku/>
              <w:wordWrap/>
              <w:overflowPunct/>
              <w:topLinePunct w:val="0"/>
              <w:autoSpaceDE/>
              <w:autoSpaceDN/>
              <w:bidi w:val="0"/>
              <w:adjustRightInd/>
              <w:snapToGrid/>
              <w:spacing w:before="157" w:beforeLines="50" w:line="240" w:lineRule="auto"/>
              <w:textAlignment w:val="auto"/>
              <w:rPr>
                <w:rFonts w:hint="default" w:ascii="Times New Roman" w:hAnsi="Times New Roman" w:eastAsia="宋体" w:cs="Times New Roman"/>
                <w:sz w:val="21"/>
                <w:szCs w:val="20"/>
              </w:rPr>
            </w:pPr>
            <w:r>
              <w:rPr>
                <w:rFonts w:hint="default" w:ascii="Times New Roman" w:hAnsi="Times New Roman" w:eastAsia="宋体" w:cs="Times New Roman"/>
                <w:sz w:val="21"/>
                <w:szCs w:val="20"/>
                <w:lang w:val="en-US" w:eastAsia="zh-CN"/>
              </w:rPr>
              <w:t>表2-1  建设项目环境影响评价分类管理名录（2021年版，摘录）</w:t>
            </w:r>
          </w:p>
          <w:tbl>
            <w:tblPr>
              <w:tblStyle w:val="2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536"/>
              <w:gridCol w:w="1991"/>
              <w:gridCol w:w="1771"/>
              <w:gridCol w:w="1380"/>
              <w:gridCol w:w="1098"/>
              <w:gridCol w:w="1600"/>
            </w:tblGrid>
            <w:tr w14:paraId="1EA2B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jc w:val="center"/>
              </w:trPr>
              <w:tc>
                <w:tcPr>
                  <w:tcW w:w="2526" w:type="dxa"/>
                  <w:gridSpan w:val="2"/>
                  <w:tcBorders>
                    <w:tl2br w:val="single" w:color="auto" w:sz="4" w:space="0"/>
                  </w:tcBorders>
                  <w:shd w:val="clear" w:color="auto" w:fill="FFFFFF"/>
                  <w:noWrap w:val="0"/>
                  <w:vAlign w:val="center"/>
                </w:tcPr>
                <w:p w14:paraId="41559499">
                  <w:pPr>
                    <w:pStyle w:val="20"/>
                    <w:keepNext w:val="0"/>
                    <w:keepLines w:val="0"/>
                    <w:pageBreakBefore w:val="0"/>
                    <w:widowControl w:val="0"/>
                    <w:kinsoku/>
                    <w:wordWrap/>
                    <w:overflowPunct/>
                    <w:topLinePunct w:val="0"/>
                    <w:autoSpaceDE w:val="0"/>
                    <w:autoSpaceDN w:val="0"/>
                    <w:bidi w:val="0"/>
                    <w:adjustRightInd w:val="0"/>
                    <w:snapToGrid/>
                    <w:spacing w:line="240" w:lineRule="auto"/>
                    <w:jc w:val="right"/>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项目类别</w:t>
                  </w:r>
                </w:p>
                <w:p w14:paraId="45AA5BF3">
                  <w:pPr>
                    <w:pStyle w:val="20"/>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环评类别</w:t>
                  </w:r>
                </w:p>
              </w:tc>
              <w:tc>
                <w:tcPr>
                  <w:tcW w:w="1770" w:type="dxa"/>
                  <w:shd w:val="clear" w:color="auto" w:fill="FFFFFF"/>
                  <w:noWrap w:val="0"/>
                  <w:vAlign w:val="center"/>
                </w:tcPr>
                <w:p w14:paraId="0680A847">
                  <w:pPr>
                    <w:pStyle w:val="20"/>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报告书</w:t>
                  </w:r>
                </w:p>
              </w:tc>
              <w:tc>
                <w:tcPr>
                  <w:tcW w:w="1380" w:type="dxa"/>
                  <w:shd w:val="clear" w:color="auto" w:fill="FFFFFF"/>
                  <w:noWrap w:val="0"/>
                  <w:vAlign w:val="center"/>
                </w:tcPr>
                <w:p w14:paraId="77614D70">
                  <w:pPr>
                    <w:pStyle w:val="20"/>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报告表</w:t>
                  </w:r>
                </w:p>
              </w:tc>
              <w:tc>
                <w:tcPr>
                  <w:tcW w:w="1098" w:type="dxa"/>
                  <w:shd w:val="clear" w:color="auto" w:fill="FFFFFF"/>
                  <w:noWrap w:val="0"/>
                  <w:vAlign w:val="center"/>
                </w:tcPr>
                <w:p w14:paraId="22F5AB07">
                  <w:pPr>
                    <w:pStyle w:val="20"/>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登记表</w:t>
                  </w:r>
                </w:p>
              </w:tc>
              <w:tc>
                <w:tcPr>
                  <w:tcW w:w="1599" w:type="dxa"/>
                  <w:shd w:val="clear" w:color="auto" w:fill="FFFFFF"/>
                  <w:noWrap w:val="0"/>
                  <w:vAlign w:val="center"/>
                </w:tcPr>
                <w:p w14:paraId="5ADA8A9A">
                  <w:pPr>
                    <w:pStyle w:val="20"/>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本项目情况</w:t>
                  </w:r>
                </w:p>
              </w:tc>
            </w:tr>
            <w:tr w14:paraId="21CA3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3" w:type="dxa"/>
                  <w:gridSpan w:val="6"/>
                  <w:shd w:val="clear" w:color="auto" w:fill="FFFFFF"/>
                  <w:noWrap w:val="0"/>
                  <w:vAlign w:val="center"/>
                </w:tcPr>
                <w:p w14:paraId="1FA655D0">
                  <w:pPr>
                    <w:pStyle w:val="20"/>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五十二、交通运输业、管道运输业</w:t>
                  </w:r>
                </w:p>
              </w:tc>
            </w:tr>
            <w:tr w14:paraId="36E88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shd w:val="clear" w:color="auto" w:fill="FFFFFF"/>
                  <w:noWrap w:val="0"/>
                  <w:vAlign w:val="center"/>
                </w:tcPr>
                <w:p w14:paraId="24C3B69E">
                  <w:pPr>
                    <w:pStyle w:val="20"/>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13</w:t>
                  </w:r>
                  <w:r>
                    <w:rPr>
                      <w:rFonts w:hint="default" w:ascii="Times New Roman" w:hAnsi="Times New Roman" w:cs="Times New Roman"/>
                      <w:b w:val="0"/>
                      <w:bCs w:val="0"/>
                      <w:sz w:val="21"/>
                      <w:szCs w:val="21"/>
                      <w:lang w:val="en-US" w:eastAsia="zh-CN"/>
                    </w:rPr>
                    <w:t>0</w:t>
                  </w:r>
                </w:p>
              </w:tc>
              <w:tc>
                <w:tcPr>
                  <w:tcW w:w="1990" w:type="dxa"/>
                  <w:shd w:val="clear" w:color="auto" w:fill="FFFFFF"/>
                  <w:noWrap w:val="0"/>
                  <w:vAlign w:val="center"/>
                </w:tcPr>
                <w:p w14:paraId="589E8DCB">
                  <w:pPr>
                    <w:pStyle w:val="20"/>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等级公路（不含维护；不含生命救援、应急保通工程以及国防交通保障项目；不含改扩建四级公路）</w:t>
                  </w:r>
                </w:p>
              </w:tc>
              <w:tc>
                <w:tcPr>
                  <w:tcW w:w="1770" w:type="dxa"/>
                  <w:shd w:val="clear" w:color="auto" w:fill="FFFFFF"/>
                  <w:noWrap w:val="0"/>
                  <w:vAlign w:val="center"/>
                </w:tcPr>
                <w:p w14:paraId="6D03235F">
                  <w:pPr>
                    <w:pStyle w:val="20"/>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新建30公里（不含）以上的二级及以上等级公路；新建涉及环境敏感区的二级及以上等级公路</w:t>
                  </w:r>
                </w:p>
              </w:tc>
              <w:tc>
                <w:tcPr>
                  <w:tcW w:w="1380" w:type="dxa"/>
                  <w:shd w:val="clear" w:color="auto" w:fill="FFFFFF"/>
                  <w:noWrap w:val="0"/>
                  <w:vAlign w:val="center"/>
                </w:tcPr>
                <w:p w14:paraId="7A3AA1A5">
                  <w:pPr>
                    <w:pStyle w:val="20"/>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其他（配套设施除外；不涉及环境敏感区的三级、四级公路除外）</w:t>
                  </w:r>
                </w:p>
              </w:tc>
              <w:tc>
                <w:tcPr>
                  <w:tcW w:w="1098" w:type="dxa"/>
                  <w:shd w:val="clear" w:color="auto" w:fill="auto"/>
                  <w:noWrap w:val="0"/>
                  <w:vAlign w:val="center"/>
                </w:tcPr>
                <w:p w14:paraId="47E2DAEC">
                  <w:pPr>
                    <w:pStyle w:val="20"/>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配套设施；不涉及环境敏感区的三级、四级公路</w:t>
                  </w:r>
                </w:p>
              </w:tc>
              <w:tc>
                <w:tcPr>
                  <w:tcW w:w="1599" w:type="dxa"/>
                  <w:shd w:val="clear" w:color="auto" w:fill="auto"/>
                  <w:noWrap w:val="0"/>
                  <w:vAlign w:val="center"/>
                </w:tcPr>
                <w:p w14:paraId="5BB3ABBA">
                  <w:pPr>
                    <w:pStyle w:val="20"/>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项目属于</w:t>
                  </w:r>
                  <w:r>
                    <w:rPr>
                      <w:rFonts w:hint="default" w:ascii="Times New Roman" w:hAnsi="Times New Roman" w:cs="Times New Roman"/>
                      <w:b w:val="0"/>
                      <w:bCs w:val="0"/>
                      <w:sz w:val="21"/>
                      <w:szCs w:val="21"/>
                      <w:lang w:val="en-US" w:eastAsia="zh-CN"/>
                    </w:rPr>
                    <w:t>三级公路，且涉及环境敏感区</w:t>
                  </w:r>
                  <w:r>
                    <w:rPr>
                      <w:rFonts w:hint="eastAsia" w:ascii="Times New Roman" w:cs="Times New Roman"/>
                      <w:b w:val="0"/>
                      <w:bCs w:val="0"/>
                      <w:sz w:val="21"/>
                      <w:szCs w:val="21"/>
                      <w:lang w:val="en-US" w:eastAsia="zh-CN"/>
                    </w:rPr>
                    <w:t>（桐柏山-大别山国家级水土流失重点预防区），判定需编制报告表</w:t>
                  </w:r>
                </w:p>
              </w:tc>
            </w:tr>
          </w:tbl>
          <w:p w14:paraId="3AFA7BF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val="0"/>
                <w:bCs w:val="0"/>
                <w:color w:val="auto"/>
                <w:sz w:val="24"/>
                <w:szCs w:val="24"/>
                <w:vertAlign w:val="baseline"/>
                <w:lang w:val="en-US" w:eastAsia="zh-CN"/>
              </w:rPr>
              <w:t>我单位在接受委托以后，向该公司提交了环评所需的资料清单，并对该项目所在地周围环境状况进行了实地勘查，与项目建设单位有关技术人员及环境保护有关人员进行讨论和技术交流，收集了大量的背景资料，初步完成了环评工作的前期准备。编制完成了《</w:t>
            </w:r>
            <w:r>
              <w:rPr>
                <w:rFonts w:hint="eastAsia" w:ascii="Times New Roman" w:hAnsi="Times New Roman" w:eastAsia="宋体" w:cs="Times New Roman"/>
                <w:b w:val="0"/>
                <w:bCs w:val="0"/>
                <w:color w:val="auto"/>
                <w:sz w:val="24"/>
                <w:szCs w:val="24"/>
                <w:vertAlign w:val="baseline"/>
                <w:lang w:val="en-US" w:eastAsia="zh-CN"/>
              </w:rPr>
              <w:t>金寨县关庙乡沙坪沟至蔡家湾公路升级改造工程</w:t>
            </w:r>
            <w:r>
              <w:rPr>
                <w:rFonts w:hint="default" w:ascii="Times New Roman" w:hAnsi="Times New Roman" w:eastAsia="宋体" w:cs="Times New Roman"/>
                <w:b w:val="0"/>
                <w:bCs w:val="0"/>
                <w:color w:val="auto"/>
                <w:sz w:val="24"/>
                <w:szCs w:val="24"/>
                <w:vertAlign w:val="baseline"/>
                <w:lang w:val="en-US" w:eastAsia="zh-CN"/>
              </w:rPr>
              <w:t>环境影响报告表》，</w:t>
            </w:r>
            <w:r>
              <w:rPr>
                <w:rFonts w:hint="default" w:ascii="Times New Roman" w:hAnsi="Times New Roman" w:eastAsia="宋体" w:cs="Times New Roman"/>
                <w:b w:val="0"/>
                <w:bCs w:val="0"/>
                <w:color w:val="auto"/>
                <w:sz w:val="24"/>
                <w:szCs w:val="24"/>
                <w:highlight w:val="none"/>
                <w:vertAlign w:val="baseline"/>
                <w:lang w:val="en-US" w:eastAsia="zh-CN"/>
              </w:rPr>
              <w:t>现上报生态环境主管部门审核。</w:t>
            </w:r>
          </w:p>
          <w:p w14:paraId="3C6B644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项目组成及规模</w:t>
            </w:r>
          </w:p>
          <w:p w14:paraId="11F32039">
            <w:pPr>
              <w:pStyle w:val="54"/>
              <w:ind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项目道路总长</w:t>
            </w:r>
            <w:r>
              <w:rPr>
                <w:rFonts w:hint="eastAsia" w:cs="Times New Roman"/>
                <w:color w:val="auto"/>
                <w:sz w:val="24"/>
                <w:lang w:val="en-US" w:eastAsia="zh-CN"/>
              </w:rPr>
              <w:t>2.34</w:t>
            </w:r>
            <w:r>
              <w:rPr>
                <w:rFonts w:hint="default" w:ascii="Times New Roman" w:hAnsi="Times New Roman" w:eastAsia="宋体" w:cs="Times New Roman"/>
                <w:color w:val="auto"/>
                <w:sz w:val="24"/>
              </w:rPr>
              <w:t>km</w:t>
            </w:r>
            <w:r>
              <w:rPr>
                <w:rFonts w:hint="default" w:ascii="Times New Roman" w:hAnsi="Times New Roman" w:cs="Times New Roman"/>
                <w:color w:val="auto"/>
                <w:sz w:val="24"/>
                <w:highlight w:val="none"/>
                <w:lang w:val="en-US" w:eastAsia="zh-CN"/>
              </w:rPr>
              <w:t>，路线采用三级公路标准建设，双向两车道，设计车速30km/h，路基宽8.5m，路面宽7.0m，具体布置为：2×（3.25米行车道+0.25米硬路肩+0.75米土路肩），路面横坡度为2.0%，土路肩横坡度为4.0%。工程建设主要内容包括道路、排水、交通、绿化及附属工程等。</w:t>
            </w:r>
          </w:p>
          <w:p w14:paraId="2A09D5BE">
            <w:pPr>
              <w:pStyle w:val="54"/>
              <w:ind w:firstLine="480"/>
              <w:rPr>
                <w:rFonts w:hint="default" w:ascii="Times New Roman" w:hAnsi="Times New Roman" w:cs="Times New Roman"/>
                <w:color w:val="auto"/>
                <w:sz w:val="24"/>
                <w:szCs w:val="24"/>
                <w:highlight w:val="none"/>
                <w:lang w:eastAsia="zh-CN"/>
              </w:rPr>
            </w:pPr>
            <w:r>
              <w:rPr>
                <w:rFonts w:hint="default" w:ascii="Times New Roman" w:hAnsi="Times New Roman" w:eastAsia="宋体" w:cs="Times New Roman"/>
                <w:color w:val="auto"/>
                <w:sz w:val="24"/>
                <w:highlight w:val="none"/>
              </w:rPr>
              <w:t>具体</w:t>
            </w:r>
            <w:r>
              <w:rPr>
                <w:rFonts w:hint="default" w:ascii="Times New Roman" w:hAnsi="Times New Roman" w:eastAsia="宋体" w:cs="Times New Roman"/>
                <w:color w:val="auto"/>
                <w:sz w:val="24"/>
                <w:szCs w:val="24"/>
                <w:highlight w:val="none"/>
              </w:rPr>
              <w:t>工程内容见下表</w:t>
            </w:r>
            <w:r>
              <w:rPr>
                <w:rFonts w:hint="default" w:ascii="Times New Roman" w:hAnsi="Times New Roman" w:cs="Times New Roman"/>
                <w:color w:val="auto"/>
                <w:sz w:val="24"/>
                <w:szCs w:val="24"/>
                <w:highlight w:val="none"/>
                <w:lang w:eastAsia="zh-CN"/>
              </w:rPr>
              <w:t>：</w:t>
            </w:r>
          </w:p>
          <w:p w14:paraId="447DDA46">
            <w:pPr>
              <w:autoSpaceDE w:val="0"/>
              <w:autoSpaceDN w:val="0"/>
              <w:adjustRightInd w:val="0"/>
              <w:snapToGrid w:val="0"/>
              <w:spacing w:line="240" w:lineRule="auto"/>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表2-</w:t>
            </w:r>
            <w:r>
              <w:rPr>
                <w:rFonts w:hint="default" w:ascii="Times New Roman" w:hAnsi="Times New Roman" w:eastAsia="宋体" w:cs="Times New Roman"/>
                <w:b/>
                <w:bCs/>
                <w:color w:val="auto"/>
                <w:kern w:val="0"/>
                <w:szCs w:val="21"/>
                <w:highlight w:val="none"/>
                <w:lang w:val="en-US" w:eastAsia="zh-CN"/>
              </w:rPr>
              <w:t>2</w:t>
            </w:r>
            <w:r>
              <w:rPr>
                <w:rFonts w:hint="default" w:ascii="Times New Roman" w:hAnsi="Times New Roman" w:eastAsia="宋体" w:cs="Times New Roman"/>
                <w:b/>
                <w:bCs/>
                <w:color w:val="auto"/>
                <w:kern w:val="0"/>
                <w:szCs w:val="21"/>
                <w:highlight w:val="none"/>
              </w:rPr>
              <w:t xml:space="preserve"> </w:t>
            </w:r>
            <w:r>
              <w:rPr>
                <w:rFonts w:hint="default" w:ascii="Times New Roman" w:hAnsi="Times New Roman" w:eastAsia="宋体" w:cs="Times New Roman"/>
                <w:b/>
                <w:bCs/>
                <w:color w:val="auto"/>
                <w:kern w:val="0"/>
                <w:szCs w:val="21"/>
                <w:highlight w:val="none"/>
                <w:lang w:val="en-US" w:eastAsia="zh-CN"/>
              </w:rPr>
              <w:t xml:space="preserve"> </w:t>
            </w:r>
            <w:r>
              <w:rPr>
                <w:rFonts w:hint="default" w:ascii="Times New Roman" w:hAnsi="Times New Roman" w:eastAsia="宋体" w:cs="Times New Roman"/>
                <w:b/>
                <w:bCs/>
                <w:color w:val="auto"/>
                <w:kern w:val="0"/>
                <w:szCs w:val="21"/>
                <w:highlight w:val="none"/>
              </w:rPr>
              <w:t>项目工程内容</w:t>
            </w:r>
          </w:p>
          <w:tbl>
            <w:tblPr>
              <w:tblStyle w:val="29"/>
              <w:tblW w:w="83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9"/>
              <w:gridCol w:w="850"/>
              <w:gridCol w:w="917"/>
              <w:gridCol w:w="5928"/>
            </w:tblGrid>
            <w:tr w14:paraId="375B5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9" w:type="dxa"/>
                  <w:noWrap w:val="0"/>
                  <w:vAlign w:val="center"/>
                </w:tcPr>
                <w:p w14:paraId="5907BB15">
                  <w:pPr>
                    <w:autoSpaceDE w:val="0"/>
                    <w:autoSpaceDN w:val="0"/>
                    <w:adjustRightInd w:val="0"/>
                    <w:snapToGrid w:val="0"/>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工程类别</w:t>
                  </w:r>
                </w:p>
              </w:tc>
              <w:tc>
                <w:tcPr>
                  <w:tcW w:w="850" w:type="dxa"/>
                  <w:noWrap w:val="0"/>
                  <w:vAlign w:val="center"/>
                </w:tcPr>
                <w:p w14:paraId="5686DD0E">
                  <w:pPr>
                    <w:autoSpaceDE w:val="0"/>
                    <w:autoSpaceDN w:val="0"/>
                    <w:adjustRightInd w:val="0"/>
                    <w:snapToGrid w:val="0"/>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单项工程名称</w:t>
                  </w:r>
                </w:p>
              </w:tc>
              <w:tc>
                <w:tcPr>
                  <w:tcW w:w="6845" w:type="dxa"/>
                  <w:gridSpan w:val="2"/>
                  <w:noWrap w:val="0"/>
                  <w:vAlign w:val="center"/>
                </w:tcPr>
                <w:p w14:paraId="23453C70">
                  <w:pPr>
                    <w:autoSpaceDE w:val="0"/>
                    <w:autoSpaceDN w:val="0"/>
                    <w:adjustRightInd w:val="0"/>
                    <w:snapToGrid w:val="0"/>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建设内容</w:t>
                  </w:r>
                </w:p>
              </w:tc>
            </w:tr>
            <w:tr w14:paraId="2901A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9" w:type="dxa"/>
                  <w:vMerge w:val="restart"/>
                  <w:noWrap w:val="0"/>
                  <w:vAlign w:val="center"/>
                </w:tcPr>
                <w:p w14:paraId="5AC6638F">
                  <w:pPr>
                    <w:autoSpaceDE w:val="0"/>
                    <w:autoSpaceDN w:val="0"/>
                    <w:adjustRightInd w:val="0"/>
                    <w:snapToGrid w:val="0"/>
                    <w:jc w:val="center"/>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kern w:val="0"/>
                      <w:szCs w:val="21"/>
                    </w:rPr>
                    <w:t>主体工程</w:t>
                  </w:r>
                </w:p>
              </w:tc>
              <w:tc>
                <w:tcPr>
                  <w:tcW w:w="850" w:type="dxa"/>
                  <w:noWrap w:val="0"/>
                  <w:vAlign w:val="center"/>
                </w:tcPr>
                <w:p w14:paraId="101E4F24">
                  <w:pPr>
                    <w:autoSpaceDE w:val="0"/>
                    <w:autoSpaceDN w:val="0"/>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lang w:val="en-US" w:eastAsia="zh-CN"/>
                    </w:rPr>
                    <w:t>路线</w:t>
                  </w:r>
                </w:p>
              </w:tc>
              <w:tc>
                <w:tcPr>
                  <w:tcW w:w="6845" w:type="dxa"/>
                  <w:gridSpan w:val="2"/>
                  <w:noWrap w:val="0"/>
                  <w:vAlign w:val="center"/>
                </w:tcPr>
                <w:p w14:paraId="05074D5D">
                  <w:pPr>
                    <w:autoSpaceDE w:val="0"/>
                    <w:autoSpaceDN w:val="0"/>
                    <w:adjustRightInd w:val="0"/>
                    <w:snapToGrid w:val="0"/>
                    <w:rPr>
                      <w:rFonts w:hint="default" w:ascii="Times New Roman" w:hAnsi="Times New Roman" w:eastAsia="宋体" w:cs="Times New Roman"/>
                      <w:color w:val="auto"/>
                      <w:kern w:val="0"/>
                      <w:sz w:val="21"/>
                      <w:szCs w:val="16"/>
                      <w:lang w:val="en-US" w:eastAsia="zh-CN"/>
                    </w:rPr>
                  </w:pPr>
                  <w:r>
                    <w:rPr>
                      <w:rFonts w:hint="default" w:ascii="Times New Roman" w:hAnsi="Times New Roman" w:eastAsia="宋体" w:cs="Times New Roman"/>
                      <w:color w:val="auto"/>
                      <w:kern w:val="0"/>
                      <w:sz w:val="21"/>
                      <w:szCs w:val="16"/>
                      <w:lang w:eastAsia="zh-CN"/>
                    </w:rPr>
                    <w:t>本项目主线起点位于关庙乡银山村银山沟与沙坪沟</w:t>
                  </w:r>
                  <w:r>
                    <w:rPr>
                      <w:rFonts w:hint="eastAsia" w:ascii="Times New Roman" w:hAnsi="Times New Roman" w:eastAsia="宋体" w:cs="Times New Roman"/>
                      <w:color w:val="auto"/>
                      <w:kern w:val="0"/>
                      <w:sz w:val="21"/>
                      <w:szCs w:val="16"/>
                      <w:lang w:eastAsia="zh-CN"/>
                    </w:rPr>
                    <w:t>交界处</w:t>
                  </w:r>
                  <w:r>
                    <w:rPr>
                      <w:rFonts w:hint="default" w:ascii="Times New Roman" w:hAnsi="Times New Roman" w:eastAsia="宋体" w:cs="Times New Roman"/>
                      <w:color w:val="auto"/>
                      <w:kern w:val="0"/>
                      <w:sz w:val="21"/>
                      <w:szCs w:val="16"/>
                      <w:lang w:eastAsia="zh-CN"/>
                    </w:rPr>
                    <w:t>，</w:t>
                  </w:r>
                  <w:r>
                    <w:rPr>
                      <w:rFonts w:hint="default" w:ascii="Times New Roman" w:hAnsi="Times New Roman" w:eastAsia="宋体" w:cs="Times New Roman"/>
                      <w:color w:val="auto"/>
                      <w:kern w:val="0"/>
                      <w:sz w:val="21"/>
                      <w:szCs w:val="16"/>
                      <w:lang w:val="en-US" w:eastAsia="zh-CN"/>
                    </w:rPr>
                    <w:t>与</w:t>
                  </w:r>
                  <w:r>
                    <w:rPr>
                      <w:rFonts w:hint="eastAsia" w:ascii="Times New Roman" w:hAnsi="Times New Roman" w:eastAsia="宋体" w:cs="Times New Roman"/>
                      <w:color w:val="auto"/>
                      <w:kern w:val="0"/>
                      <w:sz w:val="21"/>
                      <w:szCs w:val="16"/>
                      <w:lang w:val="en-US" w:eastAsia="zh-CN"/>
                    </w:rPr>
                    <w:t>规划</w:t>
                  </w:r>
                  <w:r>
                    <w:rPr>
                      <w:rFonts w:hint="default" w:ascii="Times New Roman" w:hAnsi="Times New Roman" w:eastAsia="宋体" w:cs="Times New Roman"/>
                      <w:color w:val="auto"/>
                      <w:kern w:val="0"/>
                      <w:sz w:val="21"/>
                      <w:szCs w:val="16"/>
                      <w:lang w:val="en-US" w:eastAsia="zh-CN"/>
                    </w:rPr>
                    <w:t>S517相交，起始由西向东基本沿老路布线，终点附近为顺接采选场地标高，提前起坡选择合适地形沿山腰布线，终点位于蔡家湾</w:t>
                  </w:r>
                  <w:r>
                    <w:rPr>
                      <w:rFonts w:hint="eastAsia" w:ascii="Times New Roman" w:hAnsi="Times New Roman" w:eastAsia="宋体" w:cs="Times New Roman"/>
                      <w:color w:val="auto"/>
                      <w:kern w:val="0"/>
                      <w:sz w:val="21"/>
                      <w:szCs w:val="16"/>
                      <w:lang w:eastAsia="zh-CN"/>
                    </w:rPr>
                    <w:t>，</w:t>
                  </w:r>
                  <w:r>
                    <w:rPr>
                      <w:rFonts w:hint="eastAsia" w:ascii="Times New Roman" w:hAnsi="Times New Roman" w:eastAsia="宋体" w:cs="Times New Roman"/>
                      <w:color w:val="auto"/>
                      <w:kern w:val="0"/>
                      <w:sz w:val="21"/>
                      <w:szCs w:val="16"/>
                      <w:lang w:val="en-US" w:eastAsia="zh-CN"/>
                    </w:rPr>
                    <w:t>路线全长2.34km。</w:t>
                  </w:r>
                </w:p>
              </w:tc>
            </w:tr>
            <w:tr w14:paraId="23DF6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jc w:val="center"/>
              </w:trPr>
              <w:tc>
                <w:tcPr>
                  <w:tcW w:w="679" w:type="dxa"/>
                  <w:vMerge w:val="continue"/>
                  <w:noWrap w:val="0"/>
                  <w:vAlign w:val="center"/>
                </w:tcPr>
                <w:p w14:paraId="065379E1">
                  <w:pPr>
                    <w:autoSpaceDE w:val="0"/>
                    <w:autoSpaceDN w:val="0"/>
                    <w:adjustRightInd w:val="0"/>
                    <w:snapToGrid w:val="0"/>
                    <w:jc w:val="center"/>
                    <w:rPr>
                      <w:rFonts w:hint="default" w:ascii="Times New Roman" w:hAnsi="Times New Roman" w:eastAsia="宋体" w:cs="Times New Roman"/>
                      <w:b/>
                      <w:bCs/>
                      <w:color w:val="auto"/>
                      <w:kern w:val="0"/>
                      <w:szCs w:val="21"/>
                    </w:rPr>
                  </w:pPr>
                </w:p>
              </w:tc>
              <w:tc>
                <w:tcPr>
                  <w:tcW w:w="850" w:type="dxa"/>
                  <w:noWrap w:val="0"/>
                  <w:vAlign w:val="center"/>
                </w:tcPr>
                <w:p w14:paraId="1C789B46">
                  <w:pPr>
                    <w:autoSpaceDE w:val="0"/>
                    <w:autoSpaceDN w:val="0"/>
                    <w:adjustRightInd w:val="0"/>
                    <w:snapToGrid w:val="0"/>
                    <w:jc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val="en-US" w:eastAsia="zh-CN"/>
                    </w:rPr>
                    <w:t>横断面</w:t>
                  </w:r>
                </w:p>
              </w:tc>
              <w:tc>
                <w:tcPr>
                  <w:tcW w:w="6845" w:type="dxa"/>
                  <w:gridSpan w:val="2"/>
                  <w:noWrap w:val="0"/>
                  <w:vAlign w:val="center"/>
                </w:tcPr>
                <w:p w14:paraId="49F22F4A">
                  <w:pPr>
                    <w:autoSpaceDE w:val="0"/>
                    <w:autoSpaceDN w:val="0"/>
                    <w:adjustRightInd w:val="0"/>
                    <w:snapToGrid w:val="0"/>
                    <w:rPr>
                      <w:rFonts w:hint="default" w:ascii="Times New Roman" w:hAnsi="Times New Roman" w:eastAsia="宋体" w:cs="Times New Roman"/>
                      <w:color w:val="auto"/>
                      <w:kern w:val="0"/>
                      <w:sz w:val="21"/>
                      <w:szCs w:val="16"/>
                      <w:lang w:val="en-US" w:eastAsia="zh-CN"/>
                    </w:rPr>
                  </w:pPr>
                  <w:r>
                    <w:rPr>
                      <w:rFonts w:hint="default" w:ascii="Times New Roman" w:hAnsi="Times New Roman" w:eastAsia="宋体" w:cs="Times New Roman"/>
                      <w:color w:val="auto"/>
                      <w:kern w:val="0"/>
                      <w:sz w:val="21"/>
                      <w:szCs w:val="16"/>
                      <w:lang w:val="en-US" w:eastAsia="zh-CN"/>
                    </w:rPr>
                    <w:t>路基全宽为8.5米，其中路面宽7.0米，具体布置为：2×（3.25米行车道+0.25米硬路肩+0.75米土路肩）。路面横坡度为2.0%，土路肩横坡度为4.0%。</w:t>
                  </w:r>
                </w:p>
              </w:tc>
            </w:tr>
            <w:tr w14:paraId="64D26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jc w:val="center"/>
              </w:trPr>
              <w:tc>
                <w:tcPr>
                  <w:tcW w:w="679" w:type="dxa"/>
                  <w:vMerge w:val="continue"/>
                  <w:noWrap w:val="0"/>
                  <w:vAlign w:val="center"/>
                </w:tcPr>
                <w:p w14:paraId="5ED2A403">
                  <w:pPr>
                    <w:autoSpaceDE w:val="0"/>
                    <w:autoSpaceDN w:val="0"/>
                    <w:adjustRightInd w:val="0"/>
                    <w:snapToGrid w:val="0"/>
                    <w:jc w:val="center"/>
                    <w:rPr>
                      <w:rFonts w:hint="default" w:ascii="Times New Roman" w:hAnsi="Times New Roman" w:eastAsia="宋体" w:cs="Times New Roman"/>
                      <w:b/>
                      <w:bCs/>
                      <w:color w:val="auto"/>
                      <w:kern w:val="0"/>
                      <w:szCs w:val="21"/>
                    </w:rPr>
                  </w:pPr>
                </w:p>
              </w:tc>
              <w:tc>
                <w:tcPr>
                  <w:tcW w:w="850" w:type="dxa"/>
                  <w:noWrap w:val="0"/>
                  <w:vAlign w:val="center"/>
                </w:tcPr>
                <w:p w14:paraId="7A155F95">
                  <w:pPr>
                    <w:autoSpaceDE w:val="0"/>
                    <w:autoSpaceDN w:val="0"/>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纵断面</w:t>
                  </w:r>
                </w:p>
              </w:tc>
              <w:tc>
                <w:tcPr>
                  <w:tcW w:w="6845" w:type="dxa"/>
                  <w:gridSpan w:val="2"/>
                  <w:noWrap w:val="0"/>
                  <w:vAlign w:val="center"/>
                </w:tcPr>
                <w:p w14:paraId="5352F7CA">
                  <w:pPr>
                    <w:autoSpaceDE w:val="0"/>
                    <w:autoSpaceDN w:val="0"/>
                    <w:adjustRightInd w:val="0"/>
                    <w:snapToGrid w:val="0"/>
                    <w:rPr>
                      <w:rFonts w:hint="default" w:ascii="Times New Roman" w:hAnsi="Times New Roman" w:eastAsia="宋体" w:cs="Times New Roman"/>
                      <w:color w:val="auto"/>
                      <w:kern w:val="0"/>
                      <w:sz w:val="21"/>
                      <w:szCs w:val="16"/>
                      <w:lang w:val="en-US" w:eastAsia="zh-CN"/>
                    </w:rPr>
                  </w:pPr>
                  <w:r>
                    <w:rPr>
                      <w:rFonts w:hint="default" w:ascii="Times New Roman" w:hAnsi="Times New Roman" w:eastAsia="宋体" w:cs="Times New Roman"/>
                      <w:color w:val="auto"/>
                      <w:kern w:val="0"/>
                      <w:sz w:val="21"/>
                      <w:szCs w:val="16"/>
                      <w:lang w:val="en-US" w:eastAsia="zh-CN"/>
                    </w:rPr>
                    <w:t>项目周边地势起伏较大，现状标高262.23~305.98m，设计路面标高为2</w:t>
                  </w:r>
                  <w:r>
                    <w:rPr>
                      <w:rFonts w:hint="eastAsia" w:ascii="Times New Roman" w:hAnsi="Times New Roman" w:eastAsia="宋体" w:cs="Times New Roman"/>
                      <w:color w:val="auto"/>
                      <w:kern w:val="0"/>
                      <w:sz w:val="21"/>
                      <w:szCs w:val="16"/>
                      <w:lang w:val="en-US" w:eastAsia="zh-CN"/>
                    </w:rPr>
                    <w:t>58.58</w:t>
                  </w:r>
                  <w:r>
                    <w:rPr>
                      <w:rFonts w:hint="default" w:ascii="Times New Roman" w:hAnsi="Times New Roman" w:eastAsia="宋体" w:cs="Times New Roman"/>
                      <w:color w:val="auto"/>
                      <w:kern w:val="0"/>
                      <w:sz w:val="21"/>
                      <w:szCs w:val="16"/>
                      <w:lang w:val="en-US" w:eastAsia="zh-CN"/>
                    </w:rPr>
                    <w:t>~</w:t>
                  </w:r>
                  <w:r>
                    <w:rPr>
                      <w:rFonts w:hint="eastAsia" w:ascii="Times New Roman" w:hAnsi="Times New Roman" w:eastAsia="宋体" w:cs="Times New Roman"/>
                      <w:color w:val="auto"/>
                      <w:kern w:val="0"/>
                      <w:sz w:val="21"/>
                      <w:szCs w:val="16"/>
                      <w:lang w:val="en-US" w:eastAsia="zh-CN"/>
                    </w:rPr>
                    <w:t>345.00</w:t>
                  </w:r>
                  <w:r>
                    <w:rPr>
                      <w:rFonts w:hint="default" w:ascii="Times New Roman" w:hAnsi="Times New Roman" w:eastAsia="宋体" w:cs="Times New Roman"/>
                      <w:color w:val="auto"/>
                      <w:kern w:val="0"/>
                      <w:sz w:val="21"/>
                      <w:szCs w:val="16"/>
                      <w:lang w:val="en-US" w:eastAsia="zh-CN"/>
                    </w:rPr>
                    <w:t>m。</w:t>
                  </w:r>
                </w:p>
              </w:tc>
            </w:tr>
            <w:tr w14:paraId="4A0C7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679" w:type="dxa"/>
                  <w:vMerge w:val="continue"/>
                  <w:noWrap w:val="0"/>
                  <w:vAlign w:val="center"/>
                </w:tcPr>
                <w:p w14:paraId="58874C51">
                  <w:pPr>
                    <w:autoSpaceDE w:val="0"/>
                    <w:autoSpaceDN w:val="0"/>
                    <w:adjustRightInd w:val="0"/>
                    <w:snapToGrid w:val="0"/>
                    <w:jc w:val="center"/>
                    <w:rPr>
                      <w:rFonts w:hint="default" w:ascii="Times New Roman" w:hAnsi="Times New Roman" w:eastAsia="宋体" w:cs="Times New Roman"/>
                      <w:b/>
                      <w:bCs/>
                      <w:color w:val="auto"/>
                      <w:kern w:val="0"/>
                      <w:szCs w:val="21"/>
                    </w:rPr>
                  </w:pPr>
                </w:p>
              </w:tc>
              <w:tc>
                <w:tcPr>
                  <w:tcW w:w="850" w:type="dxa"/>
                  <w:noWrap w:val="0"/>
                  <w:vAlign w:val="center"/>
                </w:tcPr>
                <w:p w14:paraId="1299AEC5">
                  <w:pPr>
                    <w:autoSpaceDE w:val="0"/>
                    <w:autoSpaceDN w:val="0"/>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路面</w:t>
                  </w:r>
                </w:p>
              </w:tc>
              <w:tc>
                <w:tcPr>
                  <w:tcW w:w="6845" w:type="dxa"/>
                  <w:gridSpan w:val="2"/>
                  <w:noWrap w:val="0"/>
                  <w:vAlign w:val="center"/>
                </w:tcPr>
                <w:p w14:paraId="64ED5D97">
                  <w:pPr>
                    <w:autoSpaceDE w:val="0"/>
                    <w:autoSpaceDN w:val="0"/>
                    <w:adjustRightInd w:val="0"/>
                    <w:snapToGrid w:val="0"/>
                    <w:rPr>
                      <w:rFonts w:hint="default" w:ascii="Times New Roman" w:hAnsi="Times New Roman" w:cs="Times New Roman"/>
                      <w:lang w:eastAsia="zh-CN"/>
                    </w:rPr>
                  </w:pPr>
                  <w:r>
                    <w:rPr>
                      <w:rFonts w:hint="default" w:ascii="Times New Roman" w:hAnsi="Times New Roman" w:eastAsia="宋体" w:cs="Times New Roman"/>
                      <w:color w:val="auto"/>
                      <w:kern w:val="0"/>
                      <w:sz w:val="21"/>
                      <w:szCs w:val="16"/>
                      <w:lang w:val="en-US" w:eastAsia="zh-CN"/>
                    </w:rPr>
                    <w:t>本项目路面结构基本上为新建，路面宽7.0米</w:t>
                  </w:r>
                  <w:r>
                    <w:rPr>
                      <w:rFonts w:hint="eastAsia" w:ascii="Times New Roman" w:hAnsi="Times New Roman" w:eastAsia="宋体" w:cs="Times New Roman"/>
                      <w:color w:val="auto"/>
                      <w:kern w:val="0"/>
                      <w:sz w:val="21"/>
                      <w:szCs w:val="16"/>
                      <w:lang w:val="en-US" w:eastAsia="zh-CN"/>
                    </w:rPr>
                    <w:t>，采用</w:t>
                  </w:r>
                  <w:r>
                    <w:rPr>
                      <w:rFonts w:hint="eastAsia" w:ascii="Times New Roman" w:hAnsi="Times New Roman" w:cs="Times New Roman"/>
                      <w:lang w:val="en-US" w:eastAsia="zh-CN"/>
                    </w:rPr>
                    <w:t>4</w:t>
                  </w:r>
                  <w:r>
                    <w:rPr>
                      <w:rFonts w:hint="default" w:ascii="Times New Roman" w:hAnsi="Times New Roman" w:cs="Times New Roman"/>
                      <w:lang w:eastAsia="zh-CN"/>
                    </w:rPr>
                    <w:t>cm</w:t>
                  </w:r>
                  <w:r>
                    <w:rPr>
                      <w:rFonts w:hint="default" w:ascii="Times New Roman" w:hAnsi="Times New Roman" w:cs="Times New Roman"/>
                      <w:lang w:val="en-US" w:eastAsia="zh-CN"/>
                    </w:rPr>
                    <w:t>AC-13C细粒式沥青砼</w:t>
                  </w:r>
                  <w:r>
                    <w:rPr>
                      <w:rFonts w:hint="default" w:ascii="Times New Roman" w:hAnsi="Times New Roman" w:cs="Times New Roman"/>
                      <w:lang w:eastAsia="zh-CN"/>
                    </w:rPr>
                    <w:t>+</w:t>
                  </w:r>
                  <w:r>
                    <w:rPr>
                      <w:rFonts w:hint="eastAsia" w:ascii="Times New Roman" w:hAnsi="Times New Roman" w:cs="Times New Roman"/>
                      <w:lang w:val="en-US" w:eastAsia="zh-CN"/>
                    </w:rPr>
                    <w:t>6cm</w:t>
                  </w:r>
                  <w:r>
                    <w:rPr>
                      <w:rFonts w:hint="default" w:ascii="Times New Roman" w:hAnsi="Times New Roman" w:cs="Times New Roman"/>
                      <w:lang w:eastAsia="zh-CN"/>
                    </w:rPr>
                    <w:t>AC-20C中粒式沥青砼+</w:t>
                  </w:r>
                  <w:r>
                    <w:rPr>
                      <w:rFonts w:hint="eastAsia" w:ascii="Times New Roman" w:hAnsi="Times New Roman" w:cs="Times New Roman"/>
                      <w:lang w:val="en-US" w:eastAsia="zh-CN"/>
                    </w:rPr>
                    <w:t>20</w:t>
                  </w:r>
                  <w:r>
                    <w:rPr>
                      <w:rFonts w:hint="default" w:ascii="Times New Roman" w:hAnsi="Times New Roman" w:cs="Times New Roman"/>
                      <w:lang w:eastAsia="zh-CN"/>
                    </w:rPr>
                    <w:t>cm</w:t>
                  </w:r>
                  <w:r>
                    <w:rPr>
                      <w:rFonts w:hint="default" w:ascii="Times New Roman" w:hAnsi="Times New Roman" w:cs="Times New Roman"/>
                      <w:lang w:val="en-US" w:eastAsia="zh-CN"/>
                    </w:rPr>
                    <w:t>水泥稳定碎石</w:t>
                  </w:r>
                  <w:r>
                    <w:rPr>
                      <w:rFonts w:hint="default" w:ascii="Times New Roman" w:hAnsi="Times New Roman" w:cs="Times New Roman"/>
                      <w:lang w:eastAsia="zh-CN"/>
                    </w:rPr>
                    <w:t>+20cm</w:t>
                  </w:r>
                  <w:r>
                    <w:rPr>
                      <w:rFonts w:hint="default" w:ascii="Times New Roman" w:hAnsi="Times New Roman" w:cs="Times New Roman"/>
                      <w:lang w:val="en-US" w:eastAsia="zh-CN"/>
                    </w:rPr>
                    <w:t>低剂量水泥稳定碎石</w:t>
                  </w:r>
                  <w:r>
                    <w:rPr>
                      <w:rFonts w:hint="default" w:ascii="Times New Roman" w:hAnsi="Times New Roman" w:cs="Times New Roman"/>
                      <w:lang w:eastAsia="zh-CN"/>
                    </w:rPr>
                    <w:t>。</w:t>
                  </w:r>
                </w:p>
              </w:tc>
            </w:tr>
            <w:tr w14:paraId="7F588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679" w:type="dxa"/>
                  <w:vMerge w:val="continue"/>
                  <w:noWrap w:val="0"/>
                  <w:vAlign w:val="center"/>
                </w:tcPr>
                <w:p w14:paraId="57EF1951">
                  <w:pPr>
                    <w:autoSpaceDE w:val="0"/>
                    <w:autoSpaceDN w:val="0"/>
                    <w:adjustRightInd w:val="0"/>
                    <w:snapToGrid w:val="0"/>
                    <w:jc w:val="center"/>
                    <w:rPr>
                      <w:rFonts w:hint="default" w:ascii="Times New Roman" w:hAnsi="Times New Roman" w:eastAsia="宋体" w:cs="Times New Roman"/>
                      <w:b/>
                      <w:bCs/>
                      <w:color w:val="auto"/>
                      <w:kern w:val="0"/>
                      <w:szCs w:val="21"/>
                    </w:rPr>
                  </w:pPr>
                </w:p>
              </w:tc>
              <w:tc>
                <w:tcPr>
                  <w:tcW w:w="850" w:type="dxa"/>
                  <w:noWrap w:val="0"/>
                  <w:vAlign w:val="center"/>
                </w:tcPr>
                <w:p w14:paraId="0C692B6E">
                  <w:pPr>
                    <w:autoSpaceDE w:val="0"/>
                    <w:autoSpaceDN w:val="0"/>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桥涵</w:t>
                  </w:r>
                </w:p>
                <w:p w14:paraId="08CB3B11">
                  <w:pPr>
                    <w:autoSpaceDE w:val="0"/>
                    <w:autoSpaceDN w:val="0"/>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工程</w:t>
                  </w:r>
                </w:p>
              </w:tc>
              <w:tc>
                <w:tcPr>
                  <w:tcW w:w="6845" w:type="dxa"/>
                  <w:gridSpan w:val="2"/>
                  <w:noWrap w:val="0"/>
                  <w:vAlign w:val="center"/>
                </w:tcPr>
                <w:p w14:paraId="689E210C">
                  <w:pPr>
                    <w:autoSpaceDE w:val="0"/>
                    <w:autoSpaceDN w:val="0"/>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本项目无桥梁，涵洞的设置应保证水流的通畅，避免洪水对道路的破坏和造成地表水土流失。本项目涵洞的设置主要考虑排涝的需要，设置孔径较大的盖板涵和圆管涵。对于沿线老路原有涵洞本次设计予以利用。本项目全线设置涵洞 17 道，其中2道为盖板涵，15道为圆管涵</w:t>
                  </w:r>
                  <w:r>
                    <w:rPr>
                      <w:rFonts w:hint="default" w:ascii="Times New Roman" w:hAnsi="Times New Roman" w:eastAsia="宋体" w:cs="Times New Roman"/>
                      <w:color w:val="auto"/>
                      <w:kern w:val="0"/>
                      <w:sz w:val="21"/>
                      <w:szCs w:val="16"/>
                      <w:highlight w:val="none"/>
                      <w:lang w:val="en-US" w:eastAsia="zh-CN"/>
                    </w:rPr>
                    <w:t>。</w:t>
                  </w:r>
                </w:p>
              </w:tc>
            </w:tr>
            <w:tr w14:paraId="74F55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79" w:type="dxa"/>
                  <w:vMerge w:val="continue"/>
                  <w:noWrap w:val="0"/>
                  <w:vAlign w:val="center"/>
                </w:tcPr>
                <w:p w14:paraId="706EA0D8">
                  <w:pPr>
                    <w:autoSpaceDE w:val="0"/>
                    <w:autoSpaceDN w:val="0"/>
                    <w:adjustRightInd w:val="0"/>
                    <w:snapToGrid w:val="0"/>
                    <w:jc w:val="center"/>
                    <w:rPr>
                      <w:rFonts w:hint="default" w:ascii="Times New Roman" w:hAnsi="Times New Roman" w:eastAsia="宋体" w:cs="Times New Roman"/>
                      <w:b/>
                      <w:bCs/>
                      <w:color w:val="auto"/>
                      <w:kern w:val="0"/>
                      <w:szCs w:val="21"/>
                    </w:rPr>
                  </w:pPr>
                </w:p>
              </w:tc>
              <w:tc>
                <w:tcPr>
                  <w:tcW w:w="850" w:type="dxa"/>
                  <w:noWrap w:val="0"/>
                  <w:vAlign w:val="center"/>
                </w:tcPr>
                <w:p w14:paraId="3BDF2D29">
                  <w:pPr>
                    <w:autoSpaceDE w:val="0"/>
                    <w:autoSpaceDN w:val="0"/>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交叉</w:t>
                  </w:r>
                </w:p>
                <w:p w14:paraId="36A5E926">
                  <w:pPr>
                    <w:autoSpaceDE w:val="0"/>
                    <w:autoSpaceDN w:val="0"/>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工程</w:t>
                  </w:r>
                </w:p>
              </w:tc>
              <w:tc>
                <w:tcPr>
                  <w:tcW w:w="6845" w:type="dxa"/>
                  <w:gridSpan w:val="2"/>
                  <w:noWrap w:val="0"/>
                  <w:vAlign w:val="center"/>
                </w:tcPr>
                <w:p w14:paraId="3F618383">
                  <w:pPr>
                    <w:autoSpaceDE w:val="0"/>
                    <w:autoSpaceDN w:val="0"/>
                    <w:adjustRightInd w:val="0"/>
                    <w:snapToGrid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本项目共设平面交叉</w:t>
                  </w: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处，交叉设计采用加铺转角、渠化等方式处理。</w:t>
                  </w:r>
                </w:p>
              </w:tc>
            </w:tr>
            <w:tr w14:paraId="022E7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679" w:type="dxa"/>
                  <w:vMerge w:val="restart"/>
                  <w:noWrap w:val="0"/>
                  <w:vAlign w:val="center"/>
                </w:tcPr>
                <w:p w14:paraId="35C85672">
                  <w:pPr>
                    <w:autoSpaceDE w:val="0"/>
                    <w:autoSpaceDN w:val="0"/>
                    <w:adjustRightInd w:val="0"/>
                    <w:snapToGrid w:val="0"/>
                    <w:jc w:val="center"/>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kern w:val="0"/>
                      <w:szCs w:val="21"/>
                      <w:highlight w:val="none"/>
                      <w:lang w:val="en-US" w:eastAsia="zh-CN"/>
                    </w:rPr>
                    <w:t>临时工程</w:t>
                  </w:r>
                </w:p>
              </w:tc>
              <w:tc>
                <w:tcPr>
                  <w:tcW w:w="850" w:type="dxa"/>
                  <w:noWrap w:val="0"/>
                  <w:vAlign w:val="center"/>
                </w:tcPr>
                <w:p w14:paraId="57617A13">
                  <w:pPr>
                    <w:autoSpaceDE w:val="0"/>
                    <w:autoSpaceDN w:val="0"/>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eastAsia="zh-CN"/>
                    </w:rPr>
                    <w:t>搅拌站</w:t>
                  </w:r>
                </w:p>
              </w:tc>
              <w:tc>
                <w:tcPr>
                  <w:tcW w:w="6845" w:type="dxa"/>
                  <w:gridSpan w:val="2"/>
                  <w:noWrap w:val="0"/>
                  <w:vAlign w:val="center"/>
                </w:tcPr>
                <w:p w14:paraId="3EC8A4B3">
                  <w:pPr>
                    <w:autoSpaceDE w:val="0"/>
                    <w:autoSpaceDN w:val="0"/>
                    <w:adjustRightInd w:val="0"/>
                    <w:snapToGrid w:val="0"/>
                    <w:jc w:val="both"/>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rPr>
                    <w:t>本项目所需</w:t>
                  </w:r>
                  <w:r>
                    <w:rPr>
                      <w:rFonts w:hint="default" w:ascii="Times New Roman" w:hAnsi="Times New Roman" w:eastAsia="宋体" w:cs="Times New Roman"/>
                      <w:color w:val="auto"/>
                      <w:highlight w:val="none"/>
                      <w:lang w:val="en-US" w:eastAsia="zh-CN"/>
                    </w:rPr>
                    <w:t>水泥</w:t>
                  </w:r>
                  <w:r>
                    <w:rPr>
                      <w:rFonts w:hint="default" w:ascii="Times New Roman" w:hAnsi="Times New Roman" w:eastAsia="宋体" w:cs="Times New Roman"/>
                      <w:color w:val="auto"/>
                      <w:highlight w:val="none"/>
                    </w:rPr>
                    <w:t>混凝土</w:t>
                  </w:r>
                  <w:r>
                    <w:rPr>
                      <w:rFonts w:hint="default" w:ascii="Times New Roman" w:hAnsi="Times New Roman" w:eastAsia="宋体" w:cs="Times New Roman"/>
                      <w:color w:val="auto"/>
                      <w:highlight w:val="none"/>
                      <w:lang w:val="en-US" w:eastAsia="zh-CN"/>
                    </w:rPr>
                    <w:t>等</w:t>
                  </w:r>
                  <w:r>
                    <w:rPr>
                      <w:rFonts w:hint="default" w:ascii="Times New Roman" w:hAnsi="Times New Roman" w:eastAsia="宋体" w:cs="Times New Roman"/>
                      <w:color w:val="auto"/>
                      <w:highlight w:val="none"/>
                    </w:rPr>
                    <w:t>均从指定地点购买，不设置混凝土搅拌站。</w:t>
                  </w:r>
                </w:p>
              </w:tc>
            </w:tr>
            <w:tr w14:paraId="5E2B0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9" w:type="dxa"/>
                  <w:vMerge w:val="continue"/>
                  <w:noWrap w:val="0"/>
                  <w:vAlign w:val="center"/>
                </w:tcPr>
                <w:p w14:paraId="5018FB46">
                  <w:pPr>
                    <w:autoSpaceDE w:val="0"/>
                    <w:autoSpaceDN w:val="0"/>
                    <w:adjustRightInd w:val="0"/>
                    <w:snapToGrid w:val="0"/>
                    <w:jc w:val="center"/>
                    <w:rPr>
                      <w:rFonts w:hint="default" w:ascii="Times New Roman" w:hAnsi="Times New Roman" w:eastAsia="宋体" w:cs="Times New Roman"/>
                      <w:b/>
                      <w:bCs/>
                      <w:color w:val="auto"/>
                      <w:kern w:val="0"/>
                      <w:szCs w:val="21"/>
                      <w:highlight w:val="none"/>
                    </w:rPr>
                  </w:pPr>
                </w:p>
              </w:tc>
              <w:tc>
                <w:tcPr>
                  <w:tcW w:w="850" w:type="dxa"/>
                  <w:noWrap w:val="0"/>
                  <w:vAlign w:val="center"/>
                </w:tcPr>
                <w:p w14:paraId="5968126C">
                  <w:pPr>
                    <w:autoSpaceDE w:val="0"/>
                    <w:autoSpaceDN w:val="0"/>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取弃</w:t>
                  </w:r>
                </w:p>
                <w:p w14:paraId="6CA03683">
                  <w:pPr>
                    <w:autoSpaceDE w:val="0"/>
                    <w:autoSpaceDN w:val="0"/>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土场</w:t>
                  </w:r>
                </w:p>
              </w:tc>
              <w:tc>
                <w:tcPr>
                  <w:tcW w:w="6845" w:type="dxa"/>
                  <w:gridSpan w:val="2"/>
                  <w:noWrap w:val="0"/>
                  <w:vAlign w:val="center"/>
                </w:tcPr>
                <w:p w14:paraId="3F0E91CB">
                  <w:pPr>
                    <w:autoSpaceDE w:val="0"/>
                    <w:autoSpaceDN w:val="0"/>
                    <w:adjustRightInd w:val="0"/>
                    <w:snapToGrid w:val="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本项目不设置取</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弃土场，施工过程中产生的弃土方全部外运至同期实施项目进行综合利用，不在施工场地长期堆存。</w:t>
                  </w:r>
                </w:p>
              </w:tc>
            </w:tr>
            <w:tr w14:paraId="2F169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9" w:type="dxa"/>
                  <w:vMerge w:val="continue"/>
                  <w:noWrap w:val="0"/>
                  <w:vAlign w:val="center"/>
                </w:tcPr>
                <w:p w14:paraId="0A999186">
                  <w:pPr>
                    <w:autoSpaceDE w:val="0"/>
                    <w:autoSpaceDN w:val="0"/>
                    <w:adjustRightInd w:val="0"/>
                    <w:snapToGrid w:val="0"/>
                    <w:jc w:val="center"/>
                    <w:rPr>
                      <w:rFonts w:hint="default" w:ascii="Times New Roman" w:hAnsi="Times New Roman" w:eastAsia="宋体" w:cs="Times New Roman"/>
                      <w:b/>
                      <w:bCs/>
                      <w:color w:val="auto"/>
                      <w:kern w:val="0"/>
                      <w:szCs w:val="21"/>
                      <w:highlight w:val="none"/>
                    </w:rPr>
                  </w:pPr>
                </w:p>
              </w:tc>
              <w:tc>
                <w:tcPr>
                  <w:tcW w:w="850" w:type="dxa"/>
                  <w:noWrap w:val="0"/>
                  <w:vAlign w:val="center"/>
                </w:tcPr>
                <w:p w14:paraId="6FE3B248">
                  <w:pPr>
                    <w:autoSpaceDE w:val="0"/>
                    <w:autoSpaceDN w:val="0"/>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施工</w:t>
                  </w:r>
                </w:p>
                <w:p w14:paraId="17035B21">
                  <w:pPr>
                    <w:autoSpaceDE w:val="0"/>
                    <w:autoSpaceDN w:val="0"/>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便道</w:t>
                  </w:r>
                </w:p>
              </w:tc>
              <w:tc>
                <w:tcPr>
                  <w:tcW w:w="6845" w:type="dxa"/>
                  <w:gridSpan w:val="2"/>
                  <w:noWrap w:val="0"/>
                  <w:vAlign w:val="center"/>
                </w:tcPr>
                <w:p w14:paraId="22BF1994">
                  <w:pPr>
                    <w:autoSpaceDE w:val="0"/>
                    <w:autoSpaceDN w:val="0"/>
                    <w:adjustRightInd w:val="0"/>
                    <w:snapToGrid w:val="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Cs w:val="21"/>
                      <w:highlight w:val="none"/>
                    </w:rPr>
                    <w:t>利用周边现有道路作为施工道路，</w:t>
                  </w:r>
                  <w:r>
                    <w:rPr>
                      <w:rFonts w:hint="default" w:ascii="Times New Roman" w:hAnsi="Times New Roman" w:eastAsia="宋体" w:cs="Times New Roman"/>
                      <w:color w:val="auto"/>
                      <w:kern w:val="0"/>
                      <w:szCs w:val="21"/>
                      <w:highlight w:val="none"/>
                      <w:lang w:val="en-US" w:eastAsia="zh-CN"/>
                    </w:rPr>
                    <w:t>不设置临时施工便道。</w:t>
                  </w:r>
                </w:p>
              </w:tc>
            </w:tr>
            <w:tr w14:paraId="33848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9" w:type="dxa"/>
                  <w:vMerge w:val="continue"/>
                  <w:noWrap w:val="0"/>
                  <w:vAlign w:val="center"/>
                </w:tcPr>
                <w:p w14:paraId="269D0EA7">
                  <w:pPr>
                    <w:autoSpaceDE w:val="0"/>
                    <w:autoSpaceDN w:val="0"/>
                    <w:adjustRightInd w:val="0"/>
                    <w:snapToGrid w:val="0"/>
                    <w:jc w:val="center"/>
                    <w:rPr>
                      <w:rFonts w:hint="default" w:ascii="Times New Roman" w:hAnsi="Times New Roman" w:eastAsia="宋体" w:cs="Times New Roman"/>
                      <w:b/>
                      <w:bCs/>
                      <w:color w:val="auto"/>
                      <w:kern w:val="0"/>
                      <w:szCs w:val="21"/>
                      <w:highlight w:val="none"/>
                    </w:rPr>
                  </w:pPr>
                </w:p>
              </w:tc>
              <w:tc>
                <w:tcPr>
                  <w:tcW w:w="850" w:type="dxa"/>
                  <w:noWrap w:val="0"/>
                  <w:vAlign w:val="center"/>
                </w:tcPr>
                <w:p w14:paraId="41E9E670">
                  <w:pPr>
                    <w:spacing w:line="240" w:lineRule="auto"/>
                    <w:ind w:left="0" w:leftChars="0"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 w:val="21"/>
                      <w:szCs w:val="21"/>
                      <w:highlight w:val="none"/>
                      <w:vertAlign w:val="baseline"/>
                      <w:lang w:val="en-US" w:eastAsia="zh-CN"/>
                    </w:rPr>
                    <w:t>施工场地</w:t>
                  </w:r>
                </w:p>
              </w:tc>
              <w:tc>
                <w:tcPr>
                  <w:tcW w:w="6845" w:type="dxa"/>
                  <w:gridSpan w:val="2"/>
                  <w:noWrap w:val="0"/>
                  <w:vAlign w:val="center"/>
                </w:tcPr>
                <w:p w14:paraId="0F9B2897">
                  <w:pPr>
                    <w:spacing w:line="240" w:lineRule="auto"/>
                    <w:ind w:left="0" w:leftChars="0" w:firstLine="0" w:firstLineChars="0"/>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sz w:val="21"/>
                      <w:szCs w:val="21"/>
                      <w:highlight w:val="none"/>
                      <w:lang w:val="en-US" w:eastAsia="zh-CN"/>
                    </w:rPr>
                    <w:t>本项目不涉及施工场地，租用附近民房。</w:t>
                  </w:r>
                </w:p>
              </w:tc>
            </w:tr>
            <w:tr w14:paraId="23313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9" w:type="dxa"/>
                  <w:vMerge w:val="continue"/>
                  <w:noWrap w:val="0"/>
                  <w:vAlign w:val="center"/>
                </w:tcPr>
                <w:p w14:paraId="3CE552D5">
                  <w:pPr>
                    <w:autoSpaceDE w:val="0"/>
                    <w:autoSpaceDN w:val="0"/>
                    <w:adjustRightInd w:val="0"/>
                    <w:snapToGrid w:val="0"/>
                    <w:jc w:val="center"/>
                    <w:rPr>
                      <w:rFonts w:hint="default" w:ascii="Times New Roman" w:hAnsi="Times New Roman" w:eastAsia="宋体" w:cs="Times New Roman"/>
                      <w:b/>
                      <w:bCs/>
                      <w:color w:val="auto"/>
                      <w:kern w:val="0"/>
                      <w:szCs w:val="21"/>
                      <w:highlight w:val="none"/>
                    </w:rPr>
                  </w:pPr>
                </w:p>
              </w:tc>
              <w:tc>
                <w:tcPr>
                  <w:tcW w:w="850" w:type="dxa"/>
                  <w:noWrap w:val="0"/>
                  <w:vAlign w:val="center"/>
                </w:tcPr>
                <w:p w14:paraId="508F0022">
                  <w:pPr>
                    <w:pStyle w:val="9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sz w:val="21"/>
                      <w:szCs w:val="21"/>
                      <w:lang w:val="en-US" w:eastAsia="zh-CN"/>
                    </w:rPr>
                    <w:t>临时堆土场</w:t>
                  </w:r>
                </w:p>
              </w:tc>
              <w:tc>
                <w:tcPr>
                  <w:tcW w:w="6845" w:type="dxa"/>
                  <w:gridSpan w:val="2"/>
                  <w:noWrap w:val="0"/>
                  <w:vAlign w:val="center"/>
                </w:tcPr>
                <w:p w14:paraId="1B25499A">
                  <w:pPr>
                    <w:pStyle w:val="95"/>
                    <w:keepNext w:val="0"/>
                    <w:keepLines w:val="0"/>
                    <w:suppressLineNumbers w:val="0"/>
                    <w:bidi w:val="0"/>
                    <w:spacing w:before="0" w:beforeAutospacing="0" w:after="0" w:afterAutospacing="0"/>
                    <w:ind w:left="0" w:leftChars="0" w:right="0" w:rightChars="0" w:firstLine="0" w:firstLineChars="0"/>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施工中挖方尽可能采取即挖即运，多余土方及时转运</w:t>
                  </w:r>
                  <w:r>
                    <w:rPr>
                      <w:rFonts w:hint="eastAsia" w:cs="Times New Roman"/>
                      <w:b w:val="0"/>
                      <w:bCs/>
                      <w:sz w:val="21"/>
                      <w:szCs w:val="21"/>
                      <w:highlight w:val="none"/>
                      <w:lang w:val="en-US" w:eastAsia="zh-CN"/>
                    </w:rPr>
                    <w:t>同期项目综合利用</w:t>
                  </w:r>
                  <w:r>
                    <w:rPr>
                      <w:rFonts w:hint="default" w:ascii="Times New Roman" w:hAnsi="Times New Roman" w:eastAsia="宋体" w:cs="Times New Roman"/>
                      <w:b w:val="0"/>
                      <w:bCs/>
                      <w:sz w:val="21"/>
                      <w:szCs w:val="21"/>
                      <w:highlight w:val="none"/>
                      <w:lang w:val="en-US" w:eastAsia="zh-CN"/>
                    </w:rPr>
                    <w:t>，不能及时转运土方可临时堆放于道路</w:t>
                  </w:r>
                  <w:r>
                    <w:rPr>
                      <w:rFonts w:hint="default" w:ascii="Times New Roman" w:hAnsi="Times New Roman" w:cs="Times New Roman"/>
                      <w:b w:val="0"/>
                      <w:bCs/>
                      <w:sz w:val="21"/>
                      <w:szCs w:val="21"/>
                      <w:highlight w:val="none"/>
                      <w:lang w:val="en-US" w:eastAsia="zh-CN"/>
                    </w:rPr>
                    <w:t>红线范围内</w:t>
                  </w:r>
                  <w:r>
                    <w:rPr>
                      <w:rFonts w:hint="default" w:ascii="Times New Roman" w:hAnsi="Times New Roman" w:eastAsia="宋体" w:cs="Times New Roman"/>
                      <w:b w:val="0"/>
                      <w:bCs/>
                      <w:sz w:val="21"/>
                      <w:szCs w:val="21"/>
                      <w:highlight w:val="none"/>
                      <w:lang w:val="en-US" w:eastAsia="zh-CN"/>
                    </w:rPr>
                    <w:t>，不单独设置临时堆土场。</w:t>
                  </w:r>
                </w:p>
              </w:tc>
            </w:tr>
            <w:tr w14:paraId="4833F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679" w:type="dxa"/>
                  <w:vMerge w:val="restart"/>
                  <w:noWrap w:val="0"/>
                  <w:vAlign w:val="center"/>
                </w:tcPr>
                <w:p w14:paraId="6A361D04">
                  <w:pPr>
                    <w:autoSpaceDE w:val="0"/>
                    <w:autoSpaceDN w:val="0"/>
                    <w:adjustRightInd w:val="0"/>
                    <w:snapToGrid w:val="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配套工程</w:t>
                  </w:r>
                </w:p>
              </w:tc>
              <w:tc>
                <w:tcPr>
                  <w:tcW w:w="850" w:type="dxa"/>
                  <w:noWrap w:val="0"/>
                  <w:vAlign w:val="center"/>
                </w:tcPr>
                <w:p w14:paraId="591DC864">
                  <w:pPr>
                    <w:autoSpaceDE w:val="0"/>
                    <w:autoSpaceDN w:val="0"/>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排水</w:t>
                  </w:r>
                </w:p>
                <w:p w14:paraId="6238713E">
                  <w:pPr>
                    <w:autoSpaceDE w:val="0"/>
                    <w:autoSpaceDN w:val="0"/>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工程</w:t>
                  </w:r>
                </w:p>
              </w:tc>
              <w:tc>
                <w:tcPr>
                  <w:tcW w:w="6845" w:type="dxa"/>
                  <w:gridSpan w:val="2"/>
                  <w:noWrap w:val="0"/>
                  <w:vAlign w:val="center"/>
                </w:tcPr>
                <w:p w14:paraId="20866AC6">
                  <w:pPr>
                    <w:pStyle w:val="15"/>
                    <w:rPr>
                      <w:rFonts w:hint="default" w:ascii="Times New Roman" w:hAnsi="Times New Roman" w:cs="Times New Roman" w:eastAsiaTheme="minorEastAsia"/>
                      <w:color w:val="auto"/>
                      <w:lang w:eastAsia="zh-CN"/>
                    </w:rPr>
                  </w:pPr>
                  <w:r>
                    <w:rPr>
                      <w:rFonts w:hint="default" w:ascii="Times New Roman" w:hAnsi="Times New Roman" w:cs="Times New Roman" w:eastAsiaTheme="minorEastAsia"/>
                      <w:color w:val="auto"/>
                      <w:lang w:eastAsia="zh-CN"/>
                    </w:rPr>
                    <w:t>①路基排水</w:t>
                  </w:r>
                </w:p>
                <w:p w14:paraId="1CABC3C4">
                  <w:pPr>
                    <w:pStyle w:val="15"/>
                    <w:rPr>
                      <w:rFonts w:hint="default" w:ascii="Times New Roman" w:hAnsi="Times New Roman" w:cs="Times New Roman" w:eastAsiaTheme="minorEastAsia"/>
                      <w:color w:val="auto"/>
                      <w:lang w:eastAsia="zh-CN"/>
                    </w:rPr>
                  </w:pPr>
                  <w:r>
                    <w:rPr>
                      <w:rFonts w:hint="default" w:ascii="Times New Roman" w:hAnsi="Times New Roman" w:cs="Times New Roman" w:eastAsiaTheme="minorEastAsia"/>
                      <w:color w:val="auto"/>
                      <w:lang w:eastAsia="zh-CN"/>
                    </w:rPr>
                    <w:t>1）一般挖方段设置矩形边沟，沟体与路肩硬化相结合，采用C30砼现浇，边沟过水断面尺寸为60×40cm。</w:t>
                  </w:r>
                </w:p>
                <w:p w14:paraId="42970DE7">
                  <w:pPr>
                    <w:pStyle w:val="15"/>
                    <w:rPr>
                      <w:rFonts w:hint="default" w:ascii="Times New Roman" w:hAnsi="Times New Roman" w:cs="Times New Roman" w:eastAsiaTheme="minorEastAsia"/>
                      <w:color w:val="auto"/>
                      <w:lang w:eastAsia="zh-CN"/>
                    </w:rPr>
                  </w:pPr>
                  <w:r>
                    <w:rPr>
                      <w:rFonts w:hint="default" w:ascii="Times New Roman" w:hAnsi="Times New Roman" w:cs="Times New Roman" w:eastAsiaTheme="minorEastAsia"/>
                      <w:color w:val="auto"/>
                      <w:lang w:eastAsia="zh-CN"/>
                    </w:rPr>
                    <w:t>2）截水沟</w:t>
                  </w:r>
                  <w:r>
                    <w:rPr>
                      <w:rFonts w:hint="default" w:ascii="Times New Roman" w:hAnsi="Times New Roman" w:cs="Times New Roman"/>
                      <w:color w:val="auto"/>
                      <w:lang w:eastAsia="zh-CN"/>
                    </w:rPr>
                    <w:t>：对于挖方段山体汇水较大，对路基边坡具有一定的冲刷危害路段，在距离挖方坡口不小于5m处设置截水沟，采用M10浆砌片石砌筑</w:t>
                  </w:r>
                  <w:r>
                    <w:rPr>
                      <w:rFonts w:hint="default" w:ascii="Times New Roman" w:hAnsi="Times New Roman" w:cs="Times New Roman" w:eastAsiaTheme="minorEastAsia"/>
                      <w:color w:val="auto"/>
                      <w:lang w:eastAsia="zh-CN"/>
                    </w:rPr>
                    <w:t>。</w:t>
                  </w:r>
                </w:p>
                <w:p w14:paraId="3FB0D3E3">
                  <w:pPr>
                    <w:pStyle w:val="15"/>
                    <w:rPr>
                      <w:rFonts w:hint="default" w:ascii="Times New Roman" w:hAnsi="Times New Roman" w:cs="Times New Roman" w:eastAsiaTheme="minorEastAsia"/>
                      <w:color w:val="auto"/>
                      <w:lang w:eastAsia="zh-CN"/>
                    </w:rPr>
                  </w:pPr>
                  <w:r>
                    <w:rPr>
                      <w:rFonts w:hint="default" w:ascii="Times New Roman" w:hAnsi="Times New Roman" w:cs="Times New Roman" w:eastAsiaTheme="minorEastAsia"/>
                      <w:color w:val="auto"/>
                      <w:lang w:eastAsia="zh-CN"/>
                    </w:rPr>
                    <w:t>②路面排水</w:t>
                  </w:r>
                </w:p>
                <w:p w14:paraId="04AD35D1">
                  <w:pPr>
                    <w:pStyle w:val="15"/>
                    <w:rPr>
                      <w:rFonts w:hint="default" w:ascii="Times New Roman" w:hAnsi="Times New Roman" w:cs="Times New Roman" w:eastAsiaTheme="minorEastAsia"/>
                      <w:color w:val="auto"/>
                      <w:lang w:eastAsia="zh-CN"/>
                    </w:rPr>
                  </w:pPr>
                  <w:r>
                    <w:rPr>
                      <w:rFonts w:hint="default" w:ascii="Times New Roman" w:hAnsi="Times New Roman" w:cs="Times New Roman" w:eastAsiaTheme="minorEastAsia"/>
                      <w:color w:val="auto"/>
                      <w:lang w:eastAsia="zh-CN"/>
                    </w:rPr>
                    <w:t>本项目路面排水主要通过路面漫流方式汇入拦水带，通过</w:t>
                  </w:r>
                  <w:r>
                    <w:rPr>
                      <w:rFonts w:hint="eastAsia" w:ascii="Times New Roman" w:hAnsi="Times New Roman" w:cs="Times New Roman"/>
                      <w:color w:val="auto"/>
                      <w:lang w:eastAsia="zh-CN"/>
                    </w:rPr>
                    <w:t>截流</w:t>
                  </w:r>
                  <w:r>
                    <w:rPr>
                      <w:rFonts w:hint="default" w:ascii="Times New Roman" w:hAnsi="Times New Roman" w:cs="Times New Roman" w:eastAsiaTheme="minorEastAsia"/>
                      <w:color w:val="auto"/>
                      <w:lang w:eastAsia="zh-CN"/>
                    </w:rPr>
                    <w:t>槽、排水沟应引至路基以外。</w:t>
                  </w:r>
                </w:p>
              </w:tc>
            </w:tr>
            <w:tr w14:paraId="38366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679" w:type="dxa"/>
                  <w:vMerge w:val="continue"/>
                  <w:noWrap w:val="0"/>
                  <w:vAlign w:val="center"/>
                </w:tcPr>
                <w:p w14:paraId="32C8F088">
                  <w:pPr>
                    <w:autoSpaceDE w:val="0"/>
                    <w:autoSpaceDN w:val="0"/>
                    <w:adjustRightInd w:val="0"/>
                    <w:snapToGrid w:val="0"/>
                    <w:jc w:val="center"/>
                    <w:rPr>
                      <w:rFonts w:hint="default" w:ascii="Times New Roman" w:hAnsi="Times New Roman" w:eastAsia="宋体" w:cs="Times New Roman"/>
                      <w:color w:val="auto"/>
                      <w:kern w:val="0"/>
                      <w:szCs w:val="21"/>
                      <w:highlight w:val="none"/>
                    </w:rPr>
                  </w:pPr>
                </w:p>
              </w:tc>
              <w:tc>
                <w:tcPr>
                  <w:tcW w:w="850" w:type="dxa"/>
                  <w:noWrap w:val="0"/>
                  <w:vAlign w:val="center"/>
                </w:tcPr>
                <w:p w14:paraId="4ECE1671">
                  <w:pPr>
                    <w:autoSpaceDE w:val="0"/>
                    <w:autoSpaceDN w:val="0"/>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交通</w:t>
                  </w:r>
                </w:p>
                <w:p w14:paraId="393E334F">
                  <w:pPr>
                    <w:autoSpaceDE w:val="0"/>
                    <w:autoSpaceDN w:val="0"/>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工程</w:t>
                  </w:r>
                </w:p>
              </w:tc>
              <w:tc>
                <w:tcPr>
                  <w:tcW w:w="6845" w:type="dxa"/>
                  <w:gridSpan w:val="2"/>
                  <w:noWrap w:val="0"/>
                  <w:vAlign w:val="center"/>
                </w:tcPr>
                <w:p w14:paraId="37567349">
                  <w:pPr>
                    <w:autoSpaceDE w:val="0"/>
                    <w:autoSpaceDN w:val="0"/>
                    <w:adjustRightInd w:val="0"/>
                    <w:snapToGrid w:val="0"/>
                    <w:jc w:val="left"/>
                    <w:rPr>
                      <w:rFonts w:hint="default" w:ascii="Times New Roman" w:hAnsi="Times New Roman" w:eastAsia="宋体" w:cs="Times New Roman"/>
                      <w:b w:val="0"/>
                      <w:bCs w:val="0"/>
                      <w:color w:val="auto"/>
                      <w:kern w:val="0"/>
                      <w:szCs w:val="21"/>
                      <w:highlight w:val="none"/>
                      <w:lang w:eastAsia="zh-CN"/>
                    </w:rPr>
                  </w:pPr>
                  <w:r>
                    <w:rPr>
                      <w:rFonts w:hint="default" w:ascii="Times New Roman" w:hAnsi="Times New Roman" w:eastAsia="宋体" w:cs="Times New Roman"/>
                      <w:b w:val="0"/>
                      <w:bCs w:val="0"/>
                      <w:color w:val="auto"/>
                      <w:kern w:val="0"/>
                      <w:szCs w:val="21"/>
                      <w:highlight w:val="none"/>
                      <w:lang w:eastAsia="zh-CN"/>
                    </w:rPr>
                    <w:t>包含道路标志、道路标线、防撞护栏、交通信号控制系统、电子监控系统以及其他附属设施。</w:t>
                  </w:r>
                </w:p>
              </w:tc>
            </w:tr>
            <w:tr w14:paraId="26968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679" w:type="dxa"/>
                  <w:vMerge w:val="continue"/>
                  <w:noWrap w:val="0"/>
                  <w:vAlign w:val="center"/>
                </w:tcPr>
                <w:p w14:paraId="72F9AEB4">
                  <w:pPr>
                    <w:autoSpaceDE w:val="0"/>
                    <w:autoSpaceDN w:val="0"/>
                    <w:adjustRightInd w:val="0"/>
                    <w:snapToGrid w:val="0"/>
                    <w:jc w:val="center"/>
                    <w:rPr>
                      <w:rFonts w:hint="default" w:ascii="Times New Roman" w:hAnsi="Times New Roman" w:eastAsia="宋体" w:cs="Times New Roman"/>
                      <w:color w:val="auto"/>
                      <w:kern w:val="0"/>
                      <w:szCs w:val="21"/>
                      <w:highlight w:val="none"/>
                    </w:rPr>
                  </w:pPr>
                </w:p>
              </w:tc>
              <w:tc>
                <w:tcPr>
                  <w:tcW w:w="850" w:type="dxa"/>
                  <w:noWrap w:val="0"/>
                  <w:vAlign w:val="center"/>
                </w:tcPr>
                <w:p w14:paraId="526FFAC8">
                  <w:pPr>
                    <w:autoSpaceDE w:val="0"/>
                    <w:autoSpaceDN w:val="0"/>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景观</w:t>
                  </w:r>
                </w:p>
                <w:p w14:paraId="2A0FA52A">
                  <w:pPr>
                    <w:autoSpaceDE w:val="0"/>
                    <w:autoSpaceDN w:val="0"/>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Cs w:val="21"/>
                      <w:lang w:val="en-US" w:eastAsia="zh-CN"/>
                    </w:rPr>
                    <w:t>绿化</w:t>
                  </w:r>
                </w:p>
              </w:tc>
              <w:tc>
                <w:tcPr>
                  <w:tcW w:w="6845" w:type="dxa"/>
                  <w:gridSpan w:val="2"/>
                  <w:noWrap w:val="0"/>
                  <w:vAlign w:val="center"/>
                </w:tcPr>
                <w:p w14:paraId="243CD797">
                  <w:pPr>
                    <w:autoSpaceDE w:val="0"/>
                    <w:autoSpaceDN w:val="0"/>
                    <w:adjustRightInd w:val="0"/>
                    <w:snapToGrid w:val="0"/>
                    <w:jc w:val="left"/>
                    <w:rPr>
                      <w:rFonts w:hint="default" w:ascii="Times New Roman" w:hAnsi="Times New Roman" w:eastAsia="宋体" w:cs="Times New Roman"/>
                      <w:b w:val="0"/>
                      <w:bCs w:val="0"/>
                      <w:color w:val="auto"/>
                      <w:kern w:val="2"/>
                      <w:sz w:val="21"/>
                      <w:szCs w:val="24"/>
                      <w:lang w:val="en-US" w:eastAsia="zh-CN" w:bidi="ar-SA"/>
                    </w:rPr>
                  </w:pPr>
                  <w:r>
                    <w:rPr>
                      <w:rFonts w:hint="default" w:ascii="Times New Roman" w:hAnsi="Times New Roman" w:eastAsia="宋体" w:cs="Times New Roman"/>
                      <w:b w:val="0"/>
                      <w:bCs w:val="0"/>
                      <w:color w:val="auto"/>
                      <w:szCs w:val="24"/>
                      <w:lang w:eastAsia="zh-CN"/>
                    </w:rPr>
                    <w:t>道路边坡、土路肩、桥下陆地区域采用植草绿化。</w:t>
                  </w:r>
                </w:p>
              </w:tc>
            </w:tr>
            <w:tr w14:paraId="4ECB9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679" w:type="dxa"/>
                  <w:vMerge w:val="continue"/>
                  <w:noWrap w:val="0"/>
                  <w:vAlign w:val="center"/>
                </w:tcPr>
                <w:p w14:paraId="08C64921">
                  <w:pPr>
                    <w:autoSpaceDE w:val="0"/>
                    <w:autoSpaceDN w:val="0"/>
                    <w:adjustRightInd w:val="0"/>
                    <w:snapToGrid w:val="0"/>
                    <w:jc w:val="center"/>
                    <w:rPr>
                      <w:rFonts w:hint="default" w:ascii="Times New Roman" w:hAnsi="Times New Roman" w:eastAsia="宋体" w:cs="Times New Roman"/>
                      <w:color w:val="auto"/>
                      <w:kern w:val="0"/>
                      <w:szCs w:val="21"/>
                    </w:rPr>
                  </w:pPr>
                </w:p>
              </w:tc>
              <w:tc>
                <w:tcPr>
                  <w:tcW w:w="850" w:type="dxa"/>
                  <w:noWrap w:val="0"/>
                  <w:vAlign w:val="center"/>
                </w:tcPr>
                <w:p w14:paraId="158DE5D8">
                  <w:pPr>
                    <w:autoSpaceDE w:val="0"/>
                    <w:autoSpaceDN w:val="0"/>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拆迁</w:t>
                  </w:r>
                </w:p>
                <w:p w14:paraId="3C6DBC0D">
                  <w:pPr>
                    <w:autoSpaceDE w:val="0"/>
                    <w:autoSpaceDN w:val="0"/>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工程</w:t>
                  </w:r>
                </w:p>
              </w:tc>
              <w:tc>
                <w:tcPr>
                  <w:tcW w:w="6845" w:type="dxa"/>
                  <w:gridSpan w:val="2"/>
                  <w:noWrap w:val="0"/>
                  <w:vAlign w:val="center"/>
                </w:tcPr>
                <w:p w14:paraId="2A07E290">
                  <w:pPr>
                    <w:autoSpaceDE w:val="0"/>
                    <w:autoSpaceDN w:val="0"/>
                    <w:adjustRightInd w:val="0"/>
                    <w:snapToGrid w:val="0"/>
                    <w:jc w:val="left"/>
                    <w:rPr>
                      <w:rFonts w:hint="default" w:ascii="Times New Roman" w:hAnsi="Times New Roman" w:eastAsia="宋体" w:cs="Times New Roman"/>
                      <w:b w:val="0"/>
                      <w:bCs w:val="0"/>
                      <w:color w:val="auto"/>
                      <w:szCs w:val="24"/>
                      <w:lang w:eastAsia="zh-CN"/>
                    </w:rPr>
                  </w:pPr>
                  <w:r>
                    <w:rPr>
                      <w:rFonts w:hint="default" w:ascii="Times New Roman" w:hAnsi="Times New Roman" w:eastAsia="宋体" w:cs="Times New Roman"/>
                      <w:b w:val="0"/>
                      <w:bCs w:val="0"/>
                      <w:color w:val="auto"/>
                      <w:szCs w:val="24"/>
                      <w:lang w:eastAsia="zh-CN"/>
                    </w:rPr>
                    <w:t>需拆迁</w:t>
                  </w:r>
                  <w:r>
                    <w:rPr>
                      <w:rFonts w:hint="default" w:ascii="Times New Roman" w:hAnsi="Times New Roman" w:eastAsia="宋体" w:cs="Times New Roman"/>
                      <w:b w:val="0"/>
                      <w:bCs w:val="0"/>
                      <w:color w:val="auto"/>
                      <w:szCs w:val="24"/>
                      <w:lang w:val="en-US" w:eastAsia="zh-CN"/>
                    </w:rPr>
                    <w:t>建筑物</w:t>
                  </w:r>
                  <w:r>
                    <w:rPr>
                      <w:rFonts w:hint="eastAsia" w:ascii="Times New Roman" w:hAnsi="Times New Roman" w:eastAsia="宋体" w:cs="Times New Roman"/>
                      <w:b w:val="0"/>
                      <w:bCs w:val="0"/>
                      <w:color w:val="auto"/>
                      <w:szCs w:val="24"/>
                      <w:lang w:val="en-US" w:eastAsia="zh-CN"/>
                    </w:rPr>
                    <w:t>2030</w:t>
                  </w:r>
                  <w:r>
                    <w:rPr>
                      <w:rFonts w:hint="default" w:ascii="Times New Roman" w:hAnsi="Times New Roman" w:eastAsia="宋体" w:cs="Times New Roman"/>
                      <w:b w:val="0"/>
                      <w:bCs w:val="0"/>
                      <w:color w:val="auto"/>
                      <w:szCs w:val="24"/>
                      <w:lang w:eastAsia="zh-CN"/>
                    </w:rPr>
                    <w:t>m</w:t>
                  </w:r>
                  <w:r>
                    <w:rPr>
                      <w:rFonts w:hint="default" w:ascii="Times New Roman" w:hAnsi="Times New Roman" w:eastAsia="宋体" w:cs="Times New Roman"/>
                      <w:b w:val="0"/>
                      <w:bCs w:val="0"/>
                      <w:color w:val="auto"/>
                      <w:szCs w:val="24"/>
                      <w:vertAlign w:val="superscript"/>
                      <w:lang w:eastAsia="zh-CN"/>
                    </w:rPr>
                    <w:t>2</w:t>
                  </w:r>
                  <w:r>
                    <w:rPr>
                      <w:rFonts w:hint="default" w:ascii="Times New Roman" w:hAnsi="Times New Roman" w:eastAsia="宋体" w:cs="Times New Roman"/>
                      <w:b w:val="0"/>
                      <w:bCs w:val="0"/>
                      <w:color w:val="auto"/>
                      <w:szCs w:val="24"/>
                      <w:vertAlign w:val="baseline"/>
                      <w:lang w:eastAsia="zh-CN"/>
                    </w:rPr>
                    <w:t>，</w:t>
                  </w:r>
                  <w:r>
                    <w:rPr>
                      <w:rFonts w:hint="default" w:ascii="Times New Roman" w:hAnsi="Times New Roman" w:eastAsia="宋体" w:cs="Times New Roman"/>
                      <w:b w:val="0"/>
                      <w:bCs w:val="0"/>
                      <w:color w:val="auto"/>
                      <w:szCs w:val="24"/>
                      <w:lang w:val="en-US" w:eastAsia="zh-CN"/>
                    </w:rPr>
                    <w:t>电力和电讯杆</w:t>
                  </w:r>
                  <w:r>
                    <w:rPr>
                      <w:rFonts w:hint="eastAsia" w:ascii="Times New Roman" w:hAnsi="Times New Roman" w:eastAsia="宋体" w:cs="Times New Roman"/>
                      <w:b w:val="0"/>
                      <w:bCs w:val="0"/>
                      <w:color w:val="auto"/>
                      <w:szCs w:val="24"/>
                      <w:lang w:val="en-US" w:eastAsia="zh-CN"/>
                    </w:rPr>
                    <w:t>24</w:t>
                  </w:r>
                  <w:r>
                    <w:rPr>
                      <w:rFonts w:hint="default" w:ascii="Times New Roman" w:hAnsi="Times New Roman" w:eastAsia="宋体" w:cs="Times New Roman"/>
                      <w:b w:val="0"/>
                      <w:bCs w:val="0"/>
                      <w:color w:val="auto"/>
                      <w:szCs w:val="24"/>
                      <w:lang w:eastAsia="zh-CN"/>
                    </w:rPr>
                    <w:t>根</w:t>
                  </w:r>
                  <w:r>
                    <w:rPr>
                      <w:rFonts w:hint="eastAsia" w:ascii="Times New Roman" w:hAnsi="Times New Roman" w:eastAsia="宋体" w:cs="Times New Roman"/>
                      <w:b w:val="0"/>
                      <w:bCs w:val="0"/>
                      <w:color w:val="auto"/>
                      <w:szCs w:val="24"/>
                      <w:lang w:eastAsia="zh-CN"/>
                    </w:rPr>
                    <w:t>。</w:t>
                  </w:r>
                </w:p>
              </w:tc>
            </w:tr>
            <w:tr w14:paraId="7E05A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679" w:type="dxa"/>
                  <w:vMerge w:val="restart"/>
                  <w:noWrap w:val="0"/>
                  <w:vAlign w:val="center"/>
                </w:tcPr>
                <w:p w14:paraId="080D63F1">
                  <w:pPr>
                    <w:autoSpaceDE w:val="0"/>
                    <w:autoSpaceDN w:val="0"/>
                    <w:adjustRightInd w:val="0"/>
                    <w:snapToGrid w:val="0"/>
                    <w:jc w:val="center"/>
                    <w:rPr>
                      <w:rFonts w:hint="default" w:ascii="Times New Roman" w:hAnsi="Times New Roman" w:eastAsia="宋体" w:cs="Times New Roman"/>
                      <w:color w:val="auto"/>
                      <w:kern w:val="0"/>
                      <w:szCs w:val="21"/>
                    </w:rPr>
                  </w:pPr>
                  <w:bookmarkStart w:id="890" w:name="_GoBack" w:colFirst="0" w:colLast="3"/>
                  <w:r>
                    <w:rPr>
                      <w:rFonts w:hint="default" w:ascii="Times New Roman" w:hAnsi="Times New Roman" w:eastAsia="宋体" w:cs="Times New Roman"/>
                      <w:b/>
                      <w:bCs/>
                      <w:color w:val="auto"/>
                      <w:kern w:val="0"/>
                      <w:szCs w:val="21"/>
                    </w:rPr>
                    <w:t>环保工程</w:t>
                  </w:r>
                </w:p>
              </w:tc>
              <w:tc>
                <w:tcPr>
                  <w:tcW w:w="850" w:type="dxa"/>
                  <w:vMerge w:val="restart"/>
                  <w:noWrap w:val="0"/>
                  <w:vAlign w:val="center"/>
                </w:tcPr>
                <w:p w14:paraId="423C7199">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大气污染防治措施</w:t>
                  </w:r>
                </w:p>
              </w:tc>
              <w:tc>
                <w:tcPr>
                  <w:tcW w:w="917" w:type="dxa"/>
                  <w:noWrap w:val="0"/>
                  <w:vAlign w:val="center"/>
                </w:tcPr>
                <w:p w14:paraId="40625361">
                  <w:pPr>
                    <w:autoSpaceDE w:val="0"/>
                    <w:autoSpaceDN w:val="0"/>
                    <w:adjustRightInd w:val="0"/>
                    <w:snapToGri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施工期</w:t>
                  </w:r>
                </w:p>
              </w:tc>
              <w:tc>
                <w:tcPr>
                  <w:tcW w:w="5928" w:type="dxa"/>
                  <w:noWrap w:val="0"/>
                  <w:vAlign w:val="center"/>
                </w:tcPr>
                <w:p w14:paraId="3DC07C72">
                  <w:pPr>
                    <w:autoSpaceDE w:val="0"/>
                    <w:autoSpaceDN w:val="0"/>
                    <w:adjustRightInd w:val="0"/>
                    <w:snapToGrid w:val="0"/>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lang w:eastAsia="zh-CN"/>
                    </w:rPr>
                    <w:t>①</w:t>
                  </w:r>
                  <w:r>
                    <w:rPr>
                      <w:rFonts w:hint="default" w:ascii="Times New Roman" w:hAnsi="Times New Roman" w:eastAsia="宋体" w:cs="Times New Roman"/>
                      <w:color w:val="auto"/>
                      <w:kern w:val="0"/>
                      <w:szCs w:val="21"/>
                    </w:rPr>
                    <w:t>设置施工围挡，现场定时洒水抑尘等措施；</w:t>
                  </w:r>
                </w:p>
                <w:p w14:paraId="7914BEF5">
                  <w:pPr>
                    <w:autoSpaceDE w:val="0"/>
                    <w:autoSpaceDN w:val="0"/>
                    <w:adjustRightInd w:val="0"/>
                    <w:snapToGrid w:val="0"/>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lang w:eastAsia="zh-CN"/>
                    </w:rPr>
                    <w:t>②</w:t>
                  </w:r>
                  <w:r>
                    <w:rPr>
                      <w:rFonts w:hint="default" w:ascii="Times New Roman" w:hAnsi="Times New Roman" w:eastAsia="宋体" w:cs="Times New Roman"/>
                      <w:color w:val="auto"/>
                      <w:kern w:val="0"/>
                      <w:szCs w:val="21"/>
                    </w:rPr>
                    <w:t>施工材料应采用遮盖物如帆布等进行压盖，以免扬尘污染；</w:t>
                  </w:r>
                </w:p>
                <w:p w14:paraId="1B11A63A">
                  <w:pPr>
                    <w:autoSpaceDE w:val="0"/>
                    <w:autoSpaceDN w:val="0"/>
                    <w:adjustRightInd w:val="0"/>
                    <w:snapToGrid w:val="0"/>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lang w:eastAsia="zh-CN"/>
                    </w:rPr>
                    <w:t>③</w:t>
                  </w:r>
                  <w:r>
                    <w:rPr>
                      <w:rFonts w:hint="default" w:ascii="Times New Roman" w:hAnsi="Times New Roman" w:eastAsia="宋体" w:cs="Times New Roman"/>
                      <w:color w:val="auto"/>
                      <w:kern w:val="0"/>
                      <w:szCs w:val="21"/>
                    </w:rPr>
                    <w:t>运输车辆加篷布覆盖，限制车辆行驶速度及道路应采取洒水抑尘措施</w:t>
                  </w:r>
                  <w:r>
                    <w:rPr>
                      <w:rFonts w:hint="default" w:ascii="Times New Roman" w:hAnsi="Times New Roman" w:eastAsia="宋体" w:cs="Times New Roman"/>
                      <w:color w:val="auto"/>
                      <w:kern w:val="0"/>
                      <w:szCs w:val="21"/>
                      <w:lang w:eastAsia="zh-CN"/>
                    </w:rPr>
                    <w:t>，</w:t>
                  </w:r>
                  <w:r>
                    <w:rPr>
                      <w:rFonts w:hint="default" w:ascii="Times New Roman" w:hAnsi="Times New Roman" w:eastAsia="宋体" w:cs="Times New Roman"/>
                      <w:color w:val="auto"/>
                      <w:kern w:val="0"/>
                      <w:szCs w:val="21"/>
                    </w:rPr>
                    <w:t>施工现场出入口道路硬化，施工现场配备的高压水枪对车辆进行冲洗</w:t>
                  </w:r>
                  <w:r>
                    <w:rPr>
                      <w:rFonts w:hint="default" w:ascii="Times New Roman" w:hAnsi="Times New Roman" w:eastAsia="宋体" w:cs="Times New Roman"/>
                      <w:color w:val="auto"/>
                      <w:kern w:val="0"/>
                      <w:szCs w:val="21"/>
                      <w:lang w:eastAsia="zh-CN"/>
                    </w:rPr>
                    <w:t>；</w:t>
                  </w:r>
                </w:p>
                <w:p w14:paraId="3EBB448F">
                  <w:pPr>
                    <w:autoSpaceDE w:val="0"/>
                    <w:autoSpaceDN w:val="0"/>
                    <w:adjustRightInd w:val="0"/>
                    <w:snapToGrid w:val="0"/>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lang w:eastAsia="zh-CN"/>
                    </w:rPr>
                    <w:t>④</w:t>
                  </w:r>
                  <w:r>
                    <w:rPr>
                      <w:rFonts w:hint="default" w:ascii="Times New Roman" w:hAnsi="Times New Roman" w:eastAsia="宋体" w:cs="Times New Roman"/>
                      <w:color w:val="auto"/>
                      <w:kern w:val="0"/>
                      <w:szCs w:val="21"/>
                    </w:rPr>
                    <w:t>施工现场应合理布置运输车辆行驶路线</w:t>
                  </w:r>
                  <w:r>
                    <w:rPr>
                      <w:rFonts w:hint="default" w:ascii="Times New Roman" w:hAnsi="Times New Roman" w:eastAsia="宋体" w:cs="Times New Roman"/>
                      <w:color w:val="auto"/>
                      <w:kern w:val="0"/>
                      <w:szCs w:val="21"/>
                      <w:lang w:eastAsia="zh-CN"/>
                    </w:rPr>
                    <w:t>。</w:t>
                  </w:r>
                </w:p>
              </w:tc>
            </w:tr>
            <w:tr w14:paraId="39C63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9" w:type="dxa"/>
                  <w:vMerge w:val="continue"/>
                  <w:noWrap w:val="0"/>
                  <w:vAlign w:val="center"/>
                </w:tcPr>
                <w:p w14:paraId="1C37F998">
                  <w:pPr>
                    <w:autoSpaceDE w:val="0"/>
                    <w:autoSpaceDN w:val="0"/>
                    <w:adjustRightInd w:val="0"/>
                    <w:snapToGrid w:val="0"/>
                    <w:jc w:val="center"/>
                    <w:rPr>
                      <w:rFonts w:hint="default" w:ascii="Times New Roman" w:hAnsi="Times New Roman" w:eastAsia="宋体" w:cs="Times New Roman"/>
                      <w:b/>
                      <w:bCs/>
                      <w:color w:val="auto"/>
                      <w:kern w:val="0"/>
                      <w:szCs w:val="21"/>
                    </w:rPr>
                  </w:pPr>
                </w:p>
              </w:tc>
              <w:tc>
                <w:tcPr>
                  <w:tcW w:w="850" w:type="dxa"/>
                  <w:vMerge w:val="continue"/>
                  <w:noWrap w:val="0"/>
                  <w:vAlign w:val="center"/>
                </w:tcPr>
                <w:p w14:paraId="36DFBC05">
                  <w:pPr>
                    <w:autoSpaceDE w:val="0"/>
                    <w:autoSpaceDN w:val="0"/>
                    <w:adjustRightInd w:val="0"/>
                    <w:snapToGrid w:val="0"/>
                    <w:jc w:val="center"/>
                    <w:rPr>
                      <w:rFonts w:hint="default" w:ascii="Times New Roman" w:hAnsi="Times New Roman" w:eastAsia="宋体" w:cs="Times New Roman"/>
                      <w:color w:val="auto"/>
                      <w:kern w:val="0"/>
                      <w:szCs w:val="21"/>
                    </w:rPr>
                  </w:pPr>
                </w:p>
              </w:tc>
              <w:tc>
                <w:tcPr>
                  <w:tcW w:w="917" w:type="dxa"/>
                  <w:noWrap w:val="0"/>
                  <w:vAlign w:val="center"/>
                </w:tcPr>
                <w:p w14:paraId="3CDA6EB4">
                  <w:pPr>
                    <w:autoSpaceDE w:val="0"/>
                    <w:autoSpaceDN w:val="0"/>
                    <w:adjustRightInd w:val="0"/>
                    <w:snapToGri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lang w:eastAsia="zh-CN"/>
                    </w:rPr>
                    <w:t>运营期</w:t>
                  </w:r>
                </w:p>
              </w:tc>
              <w:tc>
                <w:tcPr>
                  <w:tcW w:w="5928" w:type="dxa"/>
                  <w:noWrap w:val="0"/>
                  <w:vAlign w:val="center"/>
                </w:tcPr>
                <w:p w14:paraId="66E5DA08">
                  <w:pPr>
                    <w:autoSpaceDE w:val="0"/>
                    <w:autoSpaceDN w:val="0"/>
                    <w:adjustRightInd w:val="0"/>
                    <w:snapToGrid w:val="0"/>
                    <w:jc w:val="left"/>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加强道路管理及路面养护；道路沿线进行绿化。</w:t>
                  </w:r>
                </w:p>
              </w:tc>
            </w:tr>
            <w:tr w14:paraId="27038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679" w:type="dxa"/>
                  <w:vMerge w:val="continue"/>
                  <w:noWrap w:val="0"/>
                  <w:vAlign w:val="center"/>
                </w:tcPr>
                <w:p w14:paraId="22CFB0DA">
                  <w:pPr>
                    <w:autoSpaceDE w:val="0"/>
                    <w:autoSpaceDN w:val="0"/>
                    <w:adjustRightInd w:val="0"/>
                    <w:snapToGrid w:val="0"/>
                    <w:jc w:val="center"/>
                    <w:rPr>
                      <w:rFonts w:hint="default" w:ascii="Times New Roman" w:hAnsi="Times New Roman" w:eastAsia="宋体" w:cs="Times New Roman"/>
                      <w:color w:val="auto"/>
                      <w:kern w:val="0"/>
                      <w:szCs w:val="21"/>
                    </w:rPr>
                  </w:pPr>
                </w:p>
              </w:tc>
              <w:tc>
                <w:tcPr>
                  <w:tcW w:w="850" w:type="dxa"/>
                  <w:vMerge w:val="restart"/>
                  <w:noWrap w:val="0"/>
                  <w:vAlign w:val="center"/>
                </w:tcPr>
                <w:p w14:paraId="2030C572">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水污染防治措施</w:t>
                  </w:r>
                </w:p>
              </w:tc>
              <w:tc>
                <w:tcPr>
                  <w:tcW w:w="917" w:type="dxa"/>
                  <w:noWrap w:val="0"/>
                  <w:vAlign w:val="center"/>
                </w:tcPr>
                <w:p w14:paraId="643F213B">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b w:val="0"/>
                      <w:bCs w:val="0"/>
                      <w:color w:val="auto"/>
                      <w:kern w:val="0"/>
                      <w:szCs w:val="21"/>
                    </w:rPr>
                    <w:t>施工期</w:t>
                  </w:r>
                </w:p>
              </w:tc>
              <w:tc>
                <w:tcPr>
                  <w:tcW w:w="5928" w:type="dxa"/>
                  <w:noWrap w:val="0"/>
                  <w:vAlign w:val="center"/>
                </w:tcPr>
                <w:p w14:paraId="2612096B">
                  <w:pPr>
                    <w:autoSpaceDE w:val="0"/>
                    <w:autoSpaceDN w:val="0"/>
                    <w:adjustRightInd w:val="0"/>
                    <w:snapToGrid w:val="0"/>
                    <w:jc w:val="both"/>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施工车辆、机械冲洗废水经</w:t>
                  </w:r>
                  <w:r>
                    <w:rPr>
                      <w:rFonts w:hint="default" w:ascii="Times New Roman" w:hAnsi="Times New Roman" w:eastAsia="宋体" w:cs="Times New Roman"/>
                      <w:color w:val="auto"/>
                      <w:kern w:val="0"/>
                      <w:szCs w:val="21"/>
                      <w:lang w:val="en-US" w:eastAsia="zh-CN"/>
                    </w:rPr>
                    <w:t>隔油</w:t>
                  </w:r>
                  <w:r>
                    <w:rPr>
                      <w:rFonts w:hint="default" w:ascii="Times New Roman" w:hAnsi="Times New Roman" w:eastAsia="宋体" w:cs="Times New Roman"/>
                      <w:color w:val="auto"/>
                      <w:kern w:val="0"/>
                      <w:szCs w:val="21"/>
                    </w:rPr>
                    <w:t>沉淀后回用，不外排；生活污水</w:t>
                  </w:r>
                  <w:r>
                    <w:rPr>
                      <w:rFonts w:hint="default" w:ascii="Times New Roman" w:hAnsi="Times New Roman" w:eastAsia="宋体" w:cs="Times New Roman"/>
                      <w:color w:val="auto"/>
                      <w:kern w:val="0"/>
                      <w:szCs w:val="21"/>
                      <w:lang w:eastAsia="zh-CN"/>
                    </w:rPr>
                    <w:t>经化粪池</w:t>
                  </w:r>
                  <w:r>
                    <w:rPr>
                      <w:rFonts w:hint="default" w:ascii="Times New Roman" w:hAnsi="Times New Roman" w:eastAsia="宋体" w:cs="Times New Roman"/>
                      <w:color w:val="auto"/>
                      <w:kern w:val="0"/>
                      <w:szCs w:val="21"/>
                      <w:lang w:val="en-US" w:eastAsia="zh-CN"/>
                    </w:rPr>
                    <w:t>处理后定期清掏用作农肥</w:t>
                  </w:r>
                  <w:r>
                    <w:rPr>
                      <w:rFonts w:hint="default" w:ascii="Times New Roman" w:hAnsi="Times New Roman" w:eastAsia="宋体" w:cs="Times New Roman"/>
                      <w:color w:val="auto"/>
                      <w:kern w:val="0"/>
                      <w:szCs w:val="21"/>
                    </w:rPr>
                    <w:t>。</w:t>
                  </w:r>
                </w:p>
              </w:tc>
            </w:tr>
            <w:tr w14:paraId="04698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679" w:type="dxa"/>
                  <w:vMerge w:val="continue"/>
                  <w:noWrap w:val="0"/>
                  <w:vAlign w:val="center"/>
                </w:tcPr>
                <w:p w14:paraId="37A08BF6">
                  <w:pPr>
                    <w:autoSpaceDE w:val="0"/>
                    <w:autoSpaceDN w:val="0"/>
                    <w:adjustRightInd w:val="0"/>
                    <w:snapToGrid w:val="0"/>
                    <w:jc w:val="center"/>
                    <w:rPr>
                      <w:rFonts w:hint="default" w:ascii="Times New Roman" w:hAnsi="Times New Roman" w:eastAsia="宋体" w:cs="Times New Roman"/>
                      <w:color w:val="auto"/>
                      <w:kern w:val="0"/>
                      <w:szCs w:val="21"/>
                    </w:rPr>
                  </w:pPr>
                </w:p>
              </w:tc>
              <w:tc>
                <w:tcPr>
                  <w:tcW w:w="850" w:type="dxa"/>
                  <w:vMerge w:val="continue"/>
                  <w:noWrap w:val="0"/>
                  <w:vAlign w:val="center"/>
                </w:tcPr>
                <w:p w14:paraId="3EC123ED">
                  <w:pPr>
                    <w:autoSpaceDE w:val="0"/>
                    <w:autoSpaceDN w:val="0"/>
                    <w:adjustRightInd w:val="0"/>
                    <w:snapToGrid w:val="0"/>
                    <w:jc w:val="center"/>
                    <w:rPr>
                      <w:rFonts w:hint="default" w:ascii="Times New Roman" w:hAnsi="Times New Roman" w:eastAsia="宋体" w:cs="Times New Roman"/>
                      <w:color w:val="auto"/>
                      <w:kern w:val="0"/>
                      <w:szCs w:val="21"/>
                    </w:rPr>
                  </w:pPr>
                </w:p>
              </w:tc>
              <w:tc>
                <w:tcPr>
                  <w:tcW w:w="917" w:type="dxa"/>
                  <w:noWrap w:val="0"/>
                  <w:vAlign w:val="center"/>
                </w:tcPr>
                <w:p w14:paraId="3EDAC562">
                  <w:pPr>
                    <w:autoSpaceDE w:val="0"/>
                    <w:autoSpaceDN w:val="0"/>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b w:val="0"/>
                      <w:bCs w:val="0"/>
                      <w:color w:val="auto"/>
                      <w:kern w:val="0"/>
                      <w:szCs w:val="21"/>
                      <w:highlight w:val="none"/>
                      <w:lang w:eastAsia="zh-CN"/>
                    </w:rPr>
                    <w:t>运营期</w:t>
                  </w:r>
                </w:p>
              </w:tc>
              <w:tc>
                <w:tcPr>
                  <w:tcW w:w="5928" w:type="dxa"/>
                  <w:noWrap w:val="0"/>
                  <w:vAlign w:val="center"/>
                </w:tcPr>
                <w:p w14:paraId="222386A3">
                  <w:pPr>
                    <w:autoSpaceDE w:val="0"/>
                    <w:autoSpaceDN w:val="0"/>
                    <w:adjustRightInd w:val="0"/>
                    <w:snapToGrid w:val="0"/>
                    <w:jc w:val="left"/>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设置排水沟导排路面雨水。</w:t>
                  </w:r>
                </w:p>
              </w:tc>
            </w:tr>
            <w:tr w14:paraId="43883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679" w:type="dxa"/>
                  <w:vMerge w:val="continue"/>
                  <w:noWrap w:val="0"/>
                  <w:vAlign w:val="center"/>
                </w:tcPr>
                <w:p w14:paraId="3F1648D6">
                  <w:pPr>
                    <w:autoSpaceDE w:val="0"/>
                    <w:autoSpaceDN w:val="0"/>
                    <w:adjustRightInd w:val="0"/>
                    <w:snapToGrid w:val="0"/>
                    <w:jc w:val="center"/>
                    <w:rPr>
                      <w:rFonts w:hint="default" w:ascii="Times New Roman" w:hAnsi="Times New Roman" w:eastAsia="宋体" w:cs="Times New Roman"/>
                      <w:color w:val="auto"/>
                      <w:kern w:val="0"/>
                      <w:szCs w:val="21"/>
                    </w:rPr>
                  </w:pPr>
                </w:p>
              </w:tc>
              <w:tc>
                <w:tcPr>
                  <w:tcW w:w="850" w:type="dxa"/>
                  <w:vMerge w:val="restart"/>
                  <w:noWrap w:val="0"/>
                  <w:vAlign w:val="center"/>
                </w:tcPr>
                <w:p w14:paraId="31118945">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噪声污染防治措施</w:t>
                  </w:r>
                </w:p>
              </w:tc>
              <w:tc>
                <w:tcPr>
                  <w:tcW w:w="917" w:type="dxa"/>
                  <w:noWrap w:val="0"/>
                  <w:vAlign w:val="center"/>
                </w:tcPr>
                <w:p w14:paraId="5454116B">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b w:val="0"/>
                      <w:bCs w:val="0"/>
                      <w:color w:val="auto"/>
                      <w:kern w:val="0"/>
                      <w:szCs w:val="21"/>
                    </w:rPr>
                    <w:t>施工期</w:t>
                  </w:r>
                </w:p>
              </w:tc>
              <w:tc>
                <w:tcPr>
                  <w:tcW w:w="5928" w:type="dxa"/>
                  <w:noWrap w:val="0"/>
                  <w:vAlign w:val="center"/>
                </w:tcPr>
                <w:p w14:paraId="2FC26F8D">
                  <w:pPr>
                    <w:autoSpaceDE w:val="0"/>
                    <w:autoSpaceDN w:val="0"/>
                    <w:adjustRightInd w:val="0"/>
                    <w:snapToGrid w:val="0"/>
                    <w:jc w:val="left"/>
                    <w:rPr>
                      <w:rFonts w:hint="eastAsia" w:ascii="Times New Roman" w:hAnsi="Times New Roman" w:eastAsia="宋体" w:cs="Times New Roman"/>
                      <w:color w:val="auto"/>
                      <w:kern w:val="0"/>
                      <w:szCs w:val="21"/>
                      <w:lang w:eastAsia="zh-CN"/>
                    </w:rPr>
                  </w:pPr>
                  <w:r>
                    <w:rPr>
                      <w:rFonts w:hint="default" w:ascii="Times New Roman" w:hAnsi="Times New Roman" w:eastAsia="宋体" w:cs="Times New Roman"/>
                      <w:color w:val="auto"/>
                      <w:szCs w:val="21"/>
                    </w:rPr>
                    <w:t>合理安排施工运输车辆的行走路线和行走时间</w:t>
                  </w:r>
                </w:p>
              </w:tc>
            </w:tr>
            <w:tr w14:paraId="7F78C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679" w:type="dxa"/>
                  <w:vMerge w:val="continue"/>
                  <w:noWrap w:val="0"/>
                  <w:vAlign w:val="center"/>
                </w:tcPr>
                <w:p w14:paraId="4423B677">
                  <w:pPr>
                    <w:autoSpaceDE w:val="0"/>
                    <w:autoSpaceDN w:val="0"/>
                    <w:adjustRightInd w:val="0"/>
                    <w:snapToGrid w:val="0"/>
                    <w:jc w:val="center"/>
                    <w:rPr>
                      <w:rFonts w:hint="default" w:ascii="Times New Roman" w:hAnsi="Times New Roman" w:eastAsia="宋体" w:cs="Times New Roman"/>
                      <w:color w:val="auto"/>
                      <w:kern w:val="0"/>
                      <w:szCs w:val="21"/>
                    </w:rPr>
                  </w:pPr>
                </w:p>
              </w:tc>
              <w:tc>
                <w:tcPr>
                  <w:tcW w:w="850" w:type="dxa"/>
                  <w:vMerge w:val="continue"/>
                  <w:noWrap w:val="0"/>
                  <w:vAlign w:val="center"/>
                </w:tcPr>
                <w:p w14:paraId="41DC314E">
                  <w:pPr>
                    <w:autoSpaceDE w:val="0"/>
                    <w:autoSpaceDN w:val="0"/>
                    <w:adjustRightInd w:val="0"/>
                    <w:snapToGrid w:val="0"/>
                    <w:jc w:val="center"/>
                    <w:rPr>
                      <w:rFonts w:hint="default" w:ascii="Times New Roman" w:hAnsi="Times New Roman" w:eastAsia="宋体" w:cs="Times New Roman"/>
                      <w:color w:val="auto"/>
                      <w:kern w:val="0"/>
                      <w:szCs w:val="21"/>
                    </w:rPr>
                  </w:pPr>
                </w:p>
              </w:tc>
              <w:tc>
                <w:tcPr>
                  <w:tcW w:w="917" w:type="dxa"/>
                  <w:noWrap w:val="0"/>
                  <w:vAlign w:val="center"/>
                </w:tcPr>
                <w:p w14:paraId="3F42DFDA">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b w:val="0"/>
                      <w:bCs w:val="0"/>
                      <w:color w:val="auto"/>
                      <w:kern w:val="0"/>
                      <w:szCs w:val="21"/>
                      <w:lang w:eastAsia="zh-CN"/>
                    </w:rPr>
                    <w:t>运营期</w:t>
                  </w:r>
                </w:p>
              </w:tc>
              <w:tc>
                <w:tcPr>
                  <w:tcW w:w="5928" w:type="dxa"/>
                  <w:noWrap w:val="0"/>
                  <w:vAlign w:val="center"/>
                </w:tcPr>
                <w:p w14:paraId="32A52FFE">
                  <w:pPr>
                    <w:autoSpaceDE w:val="0"/>
                    <w:autoSpaceDN w:val="0"/>
                    <w:adjustRightInd w:val="0"/>
                    <w:snapToGrid w:val="0"/>
                    <w:jc w:val="left"/>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完善道路警示标志；加强道路的维修保养，保持路面平整，避免路况不佳造成车辆颠簸增大噪声。对道路两侧绿化带进行维护、管理，使其具有良好的降噪效果。</w:t>
                  </w:r>
                </w:p>
              </w:tc>
            </w:tr>
            <w:tr w14:paraId="43623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679" w:type="dxa"/>
                  <w:vMerge w:val="continue"/>
                  <w:noWrap w:val="0"/>
                  <w:vAlign w:val="center"/>
                </w:tcPr>
                <w:p w14:paraId="5E2BA984">
                  <w:pPr>
                    <w:autoSpaceDE w:val="0"/>
                    <w:autoSpaceDN w:val="0"/>
                    <w:adjustRightInd w:val="0"/>
                    <w:snapToGrid w:val="0"/>
                    <w:jc w:val="center"/>
                    <w:rPr>
                      <w:rFonts w:hint="default" w:ascii="Times New Roman" w:hAnsi="Times New Roman" w:eastAsia="宋体" w:cs="Times New Roman"/>
                      <w:color w:val="auto"/>
                      <w:kern w:val="0"/>
                      <w:szCs w:val="21"/>
                    </w:rPr>
                  </w:pPr>
                </w:p>
              </w:tc>
              <w:tc>
                <w:tcPr>
                  <w:tcW w:w="850" w:type="dxa"/>
                  <w:vMerge w:val="restart"/>
                  <w:noWrap w:val="0"/>
                  <w:vAlign w:val="center"/>
                </w:tcPr>
                <w:p w14:paraId="17746411">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固废污染防治措施</w:t>
                  </w:r>
                </w:p>
              </w:tc>
              <w:tc>
                <w:tcPr>
                  <w:tcW w:w="917" w:type="dxa"/>
                  <w:noWrap w:val="0"/>
                  <w:vAlign w:val="center"/>
                </w:tcPr>
                <w:p w14:paraId="13F2795B">
                  <w:pPr>
                    <w:autoSpaceDE w:val="0"/>
                    <w:autoSpaceDN w:val="0"/>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b w:val="0"/>
                      <w:bCs w:val="0"/>
                      <w:color w:val="auto"/>
                      <w:kern w:val="0"/>
                      <w:szCs w:val="21"/>
                      <w:highlight w:val="none"/>
                    </w:rPr>
                    <w:t>施工期</w:t>
                  </w:r>
                </w:p>
              </w:tc>
              <w:tc>
                <w:tcPr>
                  <w:tcW w:w="5928" w:type="dxa"/>
                  <w:noWrap w:val="0"/>
                  <w:vAlign w:val="center"/>
                </w:tcPr>
                <w:p w14:paraId="078A3DE1">
                  <w:pPr>
                    <w:autoSpaceDE w:val="0"/>
                    <w:autoSpaceDN w:val="0"/>
                    <w:adjustRightInd w:val="0"/>
                    <w:snapToGrid w:val="0"/>
                    <w:jc w:val="both"/>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弃方外运至同期实施项目进行综合利用，不得随意外弃；拆迁建筑垃圾、</w:t>
                  </w:r>
                  <w:r>
                    <w:rPr>
                      <w:rFonts w:hint="default" w:ascii="Times New Roman" w:hAnsi="Times New Roman" w:eastAsia="宋体" w:cs="Times New Roman"/>
                      <w:color w:val="auto"/>
                      <w:kern w:val="0"/>
                      <w:szCs w:val="21"/>
                      <w:highlight w:val="none"/>
                      <w:lang w:val="en-US" w:eastAsia="zh-CN"/>
                    </w:rPr>
                    <w:t>部分</w:t>
                  </w:r>
                  <w:r>
                    <w:rPr>
                      <w:rFonts w:hint="default" w:ascii="Times New Roman" w:hAnsi="Times New Roman" w:eastAsia="宋体" w:cs="Times New Roman"/>
                      <w:color w:val="auto"/>
                      <w:kern w:val="0"/>
                      <w:szCs w:val="21"/>
                      <w:highlight w:val="none"/>
                    </w:rPr>
                    <w:t>老路破除弃渣</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施工材料包装物、其他施工过</w:t>
                  </w:r>
                  <w:r>
                    <w:rPr>
                      <w:rFonts w:hint="eastAsia" w:ascii="Times New Roman" w:hAnsi="Times New Roman" w:eastAsia="宋体" w:cs="Times New Roman"/>
                      <w:color w:val="auto"/>
                      <w:kern w:val="0"/>
                      <w:szCs w:val="21"/>
                      <w:highlight w:val="none"/>
                      <w:lang w:eastAsia="zh-CN"/>
                    </w:rPr>
                    <w:t>程中</w:t>
                  </w:r>
                  <w:r>
                    <w:rPr>
                      <w:rFonts w:hint="default" w:ascii="Times New Roman" w:hAnsi="Times New Roman" w:eastAsia="宋体" w:cs="Times New Roman"/>
                      <w:color w:val="auto"/>
                      <w:kern w:val="0"/>
                      <w:szCs w:val="21"/>
                      <w:highlight w:val="none"/>
                    </w:rPr>
                    <w:t>产生的建筑垃圾，应优先资源化回收利用和出售，不能利用的外运至同期实施项目进行综合利用，不得随意外弃；生活垃圾委托环卫部门处置。</w:t>
                  </w:r>
                </w:p>
              </w:tc>
            </w:tr>
            <w:tr w14:paraId="0BE92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679" w:type="dxa"/>
                  <w:vMerge w:val="continue"/>
                  <w:noWrap w:val="0"/>
                  <w:vAlign w:val="center"/>
                </w:tcPr>
                <w:p w14:paraId="7581A365">
                  <w:pPr>
                    <w:autoSpaceDE w:val="0"/>
                    <w:autoSpaceDN w:val="0"/>
                    <w:adjustRightInd w:val="0"/>
                    <w:snapToGrid w:val="0"/>
                    <w:jc w:val="center"/>
                    <w:rPr>
                      <w:rFonts w:hint="default" w:ascii="Times New Roman" w:hAnsi="Times New Roman" w:eastAsia="宋体" w:cs="Times New Roman"/>
                      <w:color w:val="auto"/>
                      <w:kern w:val="0"/>
                      <w:szCs w:val="21"/>
                    </w:rPr>
                  </w:pPr>
                </w:p>
              </w:tc>
              <w:tc>
                <w:tcPr>
                  <w:tcW w:w="850" w:type="dxa"/>
                  <w:vMerge w:val="continue"/>
                  <w:noWrap w:val="0"/>
                  <w:vAlign w:val="center"/>
                </w:tcPr>
                <w:p w14:paraId="799C08D0">
                  <w:pPr>
                    <w:autoSpaceDE w:val="0"/>
                    <w:autoSpaceDN w:val="0"/>
                    <w:adjustRightInd w:val="0"/>
                    <w:snapToGrid w:val="0"/>
                    <w:jc w:val="center"/>
                    <w:rPr>
                      <w:rFonts w:hint="default" w:ascii="Times New Roman" w:hAnsi="Times New Roman" w:eastAsia="宋体" w:cs="Times New Roman"/>
                      <w:color w:val="auto"/>
                      <w:kern w:val="0"/>
                      <w:szCs w:val="21"/>
                    </w:rPr>
                  </w:pPr>
                </w:p>
              </w:tc>
              <w:tc>
                <w:tcPr>
                  <w:tcW w:w="917" w:type="dxa"/>
                  <w:noWrap w:val="0"/>
                  <w:vAlign w:val="center"/>
                </w:tcPr>
                <w:p w14:paraId="538620A0">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b w:val="0"/>
                      <w:bCs w:val="0"/>
                      <w:color w:val="auto"/>
                      <w:kern w:val="0"/>
                      <w:szCs w:val="21"/>
                      <w:lang w:eastAsia="zh-CN"/>
                    </w:rPr>
                    <w:t>运营期</w:t>
                  </w:r>
                </w:p>
              </w:tc>
              <w:tc>
                <w:tcPr>
                  <w:tcW w:w="5928" w:type="dxa"/>
                  <w:noWrap w:val="0"/>
                  <w:vAlign w:val="center"/>
                </w:tcPr>
                <w:p w14:paraId="2F7F591B">
                  <w:pPr>
                    <w:autoSpaceDE w:val="0"/>
                    <w:autoSpaceDN w:val="0"/>
                    <w:adjustRightInd w:val="0"/>
                    <w:snapToGrid w:val="0"/>
                    <w:jc w:val="left"/>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路面垃圾，由当地环卫部门统一清运处理。</w:t>
                  </w:r>
                </w:p>
              </w:tc>
            </w:tr>
            <w:tr w14:paraId="6ADC7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679" w:type="dxa"/>
                  <w:vMerge w:val="continue"/>
                  <w:noWrap w:val="0"/>
                  <w:vAlign w:val="center"/>
                </w:tcPr>
                <w:p w14:paraId="2DA81F4B">
                  <w:pPr>
                    <w:autoSpaceDE w:val="0"/>
                    <w:autoSpaceDN w:val="0"/>
                    <w:adjustRightInd w:val="0"/>
                    <w:snapToGrid w:val="0"/>
                    <w:jc w:val="center"/>
                    <w:rPr>
                      <w:rFonts w:hint="default" w:ascii="Times New Roman" w:hAnsi="Times New Roman" w:eastAsia="宋体" w:cs="Times New Roman"/>
                      <w:color w:val="auto"/>
                      <w:kern w:val="0"/>
                      <w:szCs w:val="21"/>
                    </w:rPr>
                  </w:pPr>
                </w:p>
              </w:tc>
              <w:tc>
                <w:tcPr>
                  <w:tcW w:w="850" w:type="dxa"/>
                  <w:vMerge w:val="restart"/>
                  <w:noWrap w:val="0"/>
                  <w:vAlign w:val="center"/>
                </w:tcPr>
                <w:p w14:paraId="1414C41C">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水土保持</w:t>
                  </w:r>
                </w:p>
              </w:tc>
              <w:tc>
                <w:tcPr>
                  <w:tcW w:w="917" w:type="dxa"/>
                  <w:noWrap w:val="0"/>
                  <w:vAlign w:val="center"/>
                </w:tcPr>
                <w:p w14:paraId="188793ED">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b w:val="0"/>
                      <w:bCs w:val="0"/>
                      <w:color w:val="auto"/>
                      <w:kern w:val="0"/>
                      <w:szCs w:val="21"/>
                    </w:rPr>
                    <w:t>施工期</w:t>
                  </w:r>
                </w:p>
              </w:tc>
              <w:tc>
                <w:tcPr>
                  <w:tcW w:w="5928" w:type="dxa"/>
                  <w:noWrap w:val="0"/>
                  <w:vAlign w:val="center"/>
                </w:tcPr>
                <w:p w14:paraId="77B0F081">
                  <w:pPr>
                    <w:autoSpaceDE w:val="0"/>
                    <w:autoSpaceDN w:val="0"/>
                    <w:adjustRightInd w:val="0"/>
                    <w:snapToGrid w:val="0"/>
                    <w:jc w:val="both"/>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val="en-US" w:eastAsia="zh-CN"/>
                    </w:rPr>
                    <w:t>表土剥离、土地整治、设置排水沟、沉沙池、堆土表面采用密目网进行苫盖、绿化等。</w:t>
                  </w:r>
                </w:p>
              </w:tc>
            </w:tr>
            <w:tr w14:paraId="544E2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679" w:type="dxa"/>
                  <w:vMerge w:val="continue"/>
                  <w:noWrap w:val="0"/>
                  <w:vAlign w:val="center"/>
                </w:tcPr>
                <w:p w14:paraId="446CE795">
                  <w:pPr>
                    <w:autoSpaceDE w:val="0"/>
                    <w:autoSpaceDN w:val="0"/>
                    <w:adjustRightInd w:val="0"/>
                    <w:snapToGrid w:val="0"/>
                    <w:jc w:val="center"/>
                    <w:rPr>
                      <w:rFonts w:hint="default" w:ascii="Times New Roman" w:hAnsi="Times New Roman" w:eastAsia="宋体" w:cs="Times New Roman"/>
                      <w:color w:val="auto"/>
                      <w:kern w:val="0"/>
                      <w:szCs w:val="21"/>
                    </w:rPr>
                  </w:pPr>
                </w:p>
              </w:tc>
              <w:tc>
                <w:tcPr>
                  <w:tcW w:w="850" w:type="dxa"/>
                  <w:vMerge w:val="continue"/>
                  <w:noWrap w:val="0"/>
                  <w:vAlign w:val="center"/>
                </w:tcPr>
                <w:p w14:paraId="6D11BEE6">
                  <w:pPr>
                    <w:autoSpaceDE w:val="0"/>
                    <w:autoSpaceDN w:val="0"/>
                    <w:adjustRightInd w:val="0"/>
                    <w:snapToGrid w:val="0"/>
                    <w:jc w:val="center"/>
                    <w:rPr>
                      <w:rFonts w:hint="default" w:ascii="Times New Roman" w:hAnsi="Times New Roman" w:eastAsia="宋体" w:cs="Times New Roman"/>
                      <w:color w:val="auto"/>
                      <w:kern w:val="0"/>
                      <w:szCs w:val="21"/>
                    </w:rPr>
                  </w:pPr>
                </w:p>
              </w:tc>
              <w:tc>
                <w:tcPr>
                  <w:tcW w:w="917" w:type="dxa"/>
                  <w:noWrap w:val="0"/>
                  <w:vAlign w:val="center"/>
                </w:tcPr>
                <w:p w14:paraId="50018D5F">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b w:val="0"/>
                      <w:bCs w:val="0"/>
                      <w:color w:val="auto"/>
                      <w:kern w:val="0"/>
                      <w:szCs w:val="21"/>
                      <w:lang w:eastAsia="zh-CN"/>
                    </w:rPr>
                    <w:t>运营期</w:t>
                  </w:r>
                </w:p>
              </w:tc>
              <w:tc>
                <w:tcPr>
                  <w:tcW w:w="5928" w:type="dxa"/>
                  <w:noWrap w:val="0"/>
                  <w:vAlign w:val="center"/>
                </w:tcPr>
                <w:p w14:paraId="55DFEFDE">
                  <w:pPr>
                    <w:autoSpaceDE w:val="0"/>
                    <w:autoSpaceDN w:val="0"/>
                    <w:adjustRightInd w:val="0"/>
                    <w:snapToGrid w:val="0"/>
                    <w:jc w:val="left"/>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rPr>
                    <w:t>道路绿化等</w:t>
                  </w:r>
                  <w:r>
                    <w:rPr>
                      <w:rFonts w:hint="default" w:ascii="Times New Roman" w:hAnsi="Times New Roman" w:eastAsia="宋体" w:cs="Times New Roman"/>
                      <w:color w:val="auto"/>
                      <w:kern w:val="0"/>
                      <w:szCs w:val="21"/>
                      <w:lang w:eastAsia="zh-CN"/>
                    </w:rPr>
                    <w:t>。</w:t>
                  </w:r>
                </w:p>
              </w:tc>
            </w:tr>
            <w:tr w14:paraId="15FA1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9" w:type="dxa"/>
                  <w:vMerge w:val="continue"/>
                  <w:noWrap w:val="0"/>
                  <w:vAlign w:val="center"/>
                </w:tcPr>
                <w:p w14:paraId="71ABB333">
                  <w:pPr>
                    <w:autoSpaceDE w:val="0"/>
                    <w:autoSpaceDN w:val="0"/>
                    <w:adjustRightInd w:val="0"/>
                    <w:snapToGrid w:val="0"/>
                    <w:jc w:val="center"/>
                    <w:rPr>
                      <w:rFonts w:hint="default" w:ascii="Times New Roman" w:hAnsi="Times New Roman" w:eastAsia="宋体" w:cs="Times New Roman"/>
                      <w:color w:val="auto"/>
                      <w:kern w:val="0"/>
                      <w:szCs w:val="21"/>
                    </w:rPr>
                  </w:pPr>
                </w:p>
              </w:tc>
              <w:tc>
                <w:tcPr>
                  <w:tcW w:w="850" w:type="dxa"/>
                  <w:noWrap w:val="0"/>
                  <w:vAlign w:val="center"/>
                </w:tcPr>
                <w:p w14:paraId="0ECE4E03">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生态保护措施</w:t>
                  </w:r>
                </w:p>
              </w:tc>
              <w:tc>
                <w:tcPr>
                  <w:tcW w:w="6845" w:type="dxa"/>
                  <w:gridSpan w:val="2"/>
                  <w:noWrap w:val="0"/>
                  <w:vAlign w:val="center"/>
                </w:tcPr>
                <w:p w14:paraId="57E838BC">
                  <w:pPr>
                    <w:autoSpaceDE w:val="0"/>
                    <w:autoSpaceDN w:val="0"/>
                    <w:adjustRightInd w:val="0"/>
                    <w:snapToGrid w:val="0"/>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①对占地范围内乔木进行移植，后期可用于绿化带植被。</w:t>
                  </w:r>
                </w:p>
                <w:p w14:paraId="6BEF954E">
                  <w:pPr>
                    <w:autoSpaceDE w:val="0"/>
                    <w:autoSpaceDN w:val="0"/>
                    <w:adjustRightInd w:val="0"/>
                    <w:snapToGrid w:val="0"/>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lang w:val="en-US" w:eastAsia="zh-CN"/>
                    </w:rPr>
                    <w:t>②</w:t>
                  </w:r>
                  <w:r>
                    <w:rPr>
                      <w:rFonts w:hint="default" w:ascii="Times New Roman" w:hAnsi="Times New Roman" w:eastAsia="宋体" w:cs="Times New Roman"/>
                      <w:color w:val="auto"/>
                      <w:kern w:val="0"/>
                      <w:szCs w:val="21"/>
                    </w:rPr>
                    <w:t>表土保存、后期表土回覆。</w:t>
                  </w:r>
                </w:p>
                <w:p w14:paraId="3E2EAA08">
                  <w:pPr>
                    <w:autoSpaceDE w:val="0"/>
                    <w:autoSpaceDN w:val="0"/>
                    <w:adjustRightInd w:val="0"/>
                    <w:snapToGrid w:val="0"/>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lang w:val="en-US" w:eastAsia="zh-CN"/>
                    </w:rPr>
                    <w:t>③</w:t>
                  </w:r>
                  <w:r>
                    <w:rPr>
                      <w:rFonts w:hint="default" w:ascii="Times New Roman" w:hAnsi="Times New Roman" w:eastAsia="宋体" w:cs="Times New Roman"/>
                      <w:color w:val="auto"/>
                      <w:kern w:val="0"/>
                      <w:szCs w:val="21"/>
                    </w:rPr>
                    <w:t>加强施工人员环保意识，避免施工作业、施工车辆等损坏植被。</w:t>
                  </w:r>
                </w:p>
                <w:p w14:paraId="0EA4BF0D">
                  <w:pPr>
                    <w:autoSpaceDE w:val="0"/>
                    <w:autoSpaceDN w:val="0"/>
                    <w:adjustRightInd w:val="0"/>
                    <w:snapToGrid w:val="0"/>
                    <w:jc w:val="left"/>
                    <w:rPr>
                      <w:rFonts w:hint="default" w:ascii="Times New Roman" w:hAnsi="Times New Roman" w:cs="Times New Roman"/>
                      <w:lang w:val="en-US" w:eastAsia="zh-CN"/>
                    </w:rPr>
                  </w:pPr>
                  <w:r>
                    <w:rPr>
                      <w:rFonts w:hint="default" w:ascii="Times New Roman" w:hAnsi="Times New Roman" w:eastAsia="宋体" w:cs="Times New Roman"/>
                      <w:color w:val="auto"/>
                      <w:kern w:val="0"/>
                      <w:szCs w:val="21"/>
                      <w:lang w:val="en-US" w:eastAsia="zh-CN"/>
                    </w:rPr>
                    <w:t>④土地整治、设置排水沟、沉沙池、堆土表面采用彩布条进行苫盖等水土保持措施。</w:t>
                  </w:r>
                </w:p>
              </w:tc>
            </w:tr>
            <w:bookmarkEnd w:id="890"/>
          </w:tbl>
          <w:p w14:paraId="4413806A">
            <w:pPr>
              <w:autoSpaceDE w:val="0"/>
              <w:autoSpaceDN w:val="0"/>
              <w:adjustRightInd w:val="0"/>
              <w:snapToGrid w:val="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表2-</w:t>
            </w:r>
            <w:r>
              <w:rPr>
                <w:rFonts w:hint="default" w:ascii="Times New Roman" w:hAnsi="Times New Roman" w:eastAsia="宋体" w:cs="Times New Roman"/>
                <w:b/>
                <w:bCs/>
                <w:color w:val="auto"/>
                <w:kern w:val="0"/>
                <w:szCs w:val="21"/>
                <w:highlight w:val="none"/>
                <w:lang w:val="en-US" w:eastAsia="zh-CN"/>
              </w:rPr>
              <w:t>3</w:t>
            </w:r>
            <w:r>
              <w:rPr>
                <w:rFonts w:hint="default" w:ascii="Times New Roman" w:hAnsi="Times New Roman" w:eastAsia="宋体" w:cs="Times New Roman"/>
                <w:b/>
                <w:bCs/>
                <w:color w:val="auto"/>
                <w:kern w:val="0"/>
                <w:szCs w:val="21"/>
                <w:highlight w:val="none"/>
              </w:rPr>
              <w:t xml:space="preserve"> </w:t>
            </w:r>
            <w:r>
              <w:rPr>
                <w:rFonts w:hint="default" w:ascii="Times New Roman" w:hAnsi="Times New Roman" w:eastAsia="宋体" w:cs="Times New Roman"/>
                <w:b/>
                <w:bCs/>
                <w:color w:val="auto"/>
                <w:kern w:val="0"/>
                <w:szCs w:val="21"/>
                <w:highlight w:val="none"/>
                <w:lang w:val="en-US" w:eastAsia="zh-CN"/>
              </w:rPr>
              <w:t xml:space="preserve"> </w:t>
            </w:r>
            <w:r>
              <w:rPr>
                <w:rFonts w:hint="default" w:ascii="Times New Roman" w:hAnsi="Times New Roman" w:eastAsia="宋体" w:cs="Times New Roman"/>
                <w:b/>
                <w:bCs/>
                <w:color w:val="auto"/>
                <w:szCs w:val="21"/>
                <w:highlight w:val="none"/>
              </w:rPr>
              <w:t>主要技术指标表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49"/>
              <w:gridCol w:w="1532"/>
              <w:gridCol w:w="3892"/>
            </w:tblGrid>
            <w:tr w14:paraId="299A1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3709388D">
                  <w:pPr>
                    <w:adjustRightInd w:val="0"/>
                    <w:snapToGrid w:val="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lang w:val="en-US" w:eastAsia="zh-CN"/>
                    </w:rPr>
                    <w:t>指标</w:t>
                  </w:r>
                  <w:r>
                    <w:rPr>
                      <w:rFonts w:hint="default" w:ascii="Times New Roman" w:hAnsi="Times New Roman" w:eastAsia="宋体" w:cs="Times New Roman"/>
                      <w:b/>
                      <w:bCs/>
                      <w:color w:val="auto"/>
                      <w:kern w:val="0"/>
                      <w:szCs w:val="21"/>
                      <w:highlight w:val="none"/>
                    </w:rPr>
                    <w:t>名称</w:t>
                  </w:r>
                </w:p>
              </w:tc>
              <w:tc>
                <w:tcPr>
                  <w:tcW w:w="1532" w:type="dxa"/>
                  <w:noWrap w:val="0"/>
                  <w:vAlign w:val="center"/>
                </w:tcPr>
                <w:p w14:paraId="773AF24D">
                  <w:pPr>
                    <w:adjustRightInd w:val="0"/>
                    <w:snapToGrid w:val="0"/>
                    <w:jc w:val="center"/>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kern w:val="0"/>
                      <w:szCs w:val="21"/>
                      <w:highlight w:val="none"/>
                      <w:lang w:val="en-US" w:eastAsia="zh-CN"/>
                    </w:rPr>
                    <w:t>单位</w:t>
                  </w:r>
                </w:p>
              </w:tc>
              <w:tc>
                <w:tcPr>
                  <w:tcW w:w="3892" w:type="dxa"/>
                  <w:noWrap w:val="0"/>
                  <w:vAlign w:val="center"/>
                </w:tcPr>
                <w:p w14:paraId="10A99942">
                  <w:pPr>
                    <w:adjustRightInd w:val="0"/>
                    <w:snapToGrid w:val="0"/>
                    <w:jc w:val="center"/>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kern w:val="0"/>
                      <w:szCs w:val="21"/>
                      <w:highlight w:val="none"/>
                      <w:lang w:val="en-US" w:eastAsia="zh-CN"/>
                    </w:rPr>
                    <w:t>采用值</w:t>
                  </w:r>
                </w:p>
              </w:tc>
            </w:tr>
            <w:tr w14:paraId="49EB0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030CFE50">
                  <w:pPr>
                    <w:adjustRightInd w:val="0"/>
                    <w:snapToGrid w:val="0"/>
                    <w:jc w:val="center"/>
                    <w:rPr>
                      <w:rFonts w:hint="default" w:ascii="Times New Roman" w:hAnsi="Times New Roman" w:eastAsia="宋体" w:cs="Times New Roman"/>
                      <w:b w:val="0"/>
                      <w:bCs w:val="0"/>
                      <w:color w:val="auto"/>
                      <w:kern w:val="0"/>
                      <w:szCs w:val="21"/>
                      <w:highlight w:val="none"/>
                      <w:lang w:val="en-US" w:eastAsia="zh-CN"/>
                    </w:rPr>
                  </w:pPr>
                  <w:r>
                    <w:rPr>
                      <w:rFonts w:hint="default" w:ascii="Times New Roman" w:hAnsi="Times New Roman" w:eastAsia="宋体" w:cs="Times New Roman"/>
                      <w:b w:val="0"/>
                      <w:bCs w:val="0"/>
                      <w:color w:val="auto"/>
                      <w:kern w:val="0"/>
                      <w:szCs w:val="21"/>
                      <w:highlight w:val="none"/>
                      <w:lang w:val="en-US" w:eastAsia="zh-CN"/>
                    </w:rPr>
                    <w:t>公路等级</w:t>
                  </w:r>
                </w:p>
              </w:tc>
              <w:tc>
                <w:tcPr>
                  <w:tcW w:w="1532" w:type="dxa"/>
                  <w:noWrap w:val="0"/>
                  <w:vAlign w:val="center"/>
                </w:tcPr>
                <w:p w14:paraId="54678342">
                  <w:pPr>
                    <w:adjustRightInd w:val="0"/>
                    <w:snapToGrid w:val="0"/>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3892" w:type="dxa"/>
                  <w:noWrap w:val="0"/>
                  <w:vAlign w:val="center"/>
                </w:tcPr>
                <w:p w14:paraId="204B826E">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lang w:eastAsia="zh-CN"/>
                    </w:rPr>
                    <w:t>双向两车道三级公路</w:t>
                  </w:r>
                </w:p>
              </w:tc>
            </w:tr>
            <w:tr w14:paraId="13206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699BD3B3">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设计速度</w:t>
                  </w:r>
                </w:p>
              </w:tc>
              <w:tc>
                <w:tcPr>
                  <w:tcW w:w="1532" w:type="dxa"/>
                  <w:noWrap w:val="0"/>
                  <w:vAlign w:val="center"/>
                </w:tcPr>
                <w:p w14:paraId="6D4739B4">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公里/小时</w:t>
                  </w:r>
                </w:p>
              </w:tc>
              <w:tc>
                <w:tcPr>
                  <w:tcW w:w="3892" w:type="dxa"/>
                  <w:noWrap w:val="0"/>
                  <w:vAlign w:val="center"/>
                </w:tcPr>
                <w:p w14:paraId="2BE7FEE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30</w:t>
                  </w:r>
                </w:p>
              </w:tc>
            </w:tr>
            <w:tr w14:paraId="7FC07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35487D40">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路基宽度</w:t>
                  </w:r>
                </w:p>
              </w:tc>
              <w:tc>
                <w:tcPr>
                  <w:tcW w:w="1532" w:type="dxa"/>
                  <w:noWrap w:val="0"/>
                  <w:vAlign w:val="center"/>
                </w:tcPr>
                <w:p w14:paraId="2B94AA2E">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米</w:t>
                  </w:r>
                </w:p>
              </w:tc>
              <w:tc>
                <w:tcPr>
                  <w:tcW w:w="3892" w:type="dxa"/>
                  <w:noWrap w:val="0"/>
                  <w:vAlign w:val="center"/>
                </w:tcPr>
                <w:p w14:paraId="7A0B0EF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8.5</w:t>
                  </w:r>
                </w:p>
              </w:tc>
            </w:tr>
            <w:tr w14:paraId="3C167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6B79A7ED">
                  <w:pPr>
                    <w:adjustRightInd w:val="0"/>
                    <w:snapToGrid w:val="0"/>
                    <w:jc w:val="center"/>
                    <w:rPr>
                      <w:rFonts w:hint="default" w:ascii="Times New Roman" w:hAnsi="Times New Roman" w:eastAsia="宋体" w:cs="Times New Roman"/>
                      <w:b w:val="0"/>
                      <w:bCs w:val="0"/>
                      <w:color w:val="auto"/>
                      <w:kern w:val="0"/>
                      <w:szCs w:val="21"/>
                      <w:highlight w:val="none"/>
                      <w:lang w:val="en-US" w:eastAsia="zh-CN"/>
                    </w:rPr>
                  </w:pPr>
                  <w:r>
                    <w:rPr>
                      <w:rFonts w:hint="default" w:ascii="Times New Roman" w:hAnsi="Times New Roman" w:eastAsia="宋体" w:cs="Times New Roman"/>
                      <w:b w:val="0"/>
                      <w:bCs w:val="0"/>
                      <w:color w:val="auto"/>
                      <w:kern w:val="0"/>
                      <w:szCs w:val="21"/>
                      <w:highlight w:val="none"/>
                      <w:lang w:val="en-US" w:eastAsia="zh-CN"/>
                    </w:rPr>
                    <w:t>平曲线一般/极限最小半径</w:t>
                  </w:r>
                </w:p>
              </w:tc>
              <w:tc>
                <w:tcPr>
                  <w:tcW w:w="1532" w:type="dxa"/>
                  <w:noWrap w:val="0"/>
                  <w:vAlign w:val="center"/>
                </w:tcPr>
                <w:p w14:paraId="4C64B8B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lang w:val="en-US" w:eastAsia="zh-CN"/>
                    </w:rPr>
                    <w:t>米</w:t>
                  </w:r>
                </w:p>
              </w:tc>
              <w:tc>
                <w:tcPr>
                  <w:tcW w:w="3892" w:type="dxa"/>
                  <w:noWrap w:val="0"/>
                  <w:vAlign w:val="center"/>
                </w:tcPr>
                <w:p w14:paraId="55112EC9">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60</w:t>
                  </w:r>
                </w:p>
              </w:tc>
            </w:tr>
            <w:tr w14:paraId="14646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1623F14F">
                  <w:pPr>
                    <w:adjustRightInd w:val="0"/>
                    <w:snapToGrid w:val="0"/>
                    <w:jc w:val="center"/>
                    <w:rPr>
                      <w:rFonts w:hint="default" w:ascii="Times New Roman" w:hAnsi="Times New Roman" w:eastAsia="宋体" w:cs="Times New Roman"/>
                      <w:b w:val="0"/>
                      <w:bCs w:val="0"/>
                      <w:color w:val="auto"/>
                      <w:kern w:val="0"/>
                      <w:szCs w:val="21"/>
                      <w:highlight w:val="none"/>
                      <w:lang w:val="en-US" w:eastAsia="zh-CN"/>
                    </w:rPr>
                  </w:pPr>
                  <w:r>
                    <w:rPr>
                      <w:rFonts w:hint="default" w:ascii="Times New Roman" w:hAnsi="Times New Roman" w:eastAsia="宋体" w:cs="Times New Roman"/>
                      <w:b w:val="0"/>
                      <w:bCs w:val="0"/>
                      <w:color w:val="auto"/>
                      <w:kern w:val="0"/>
                      <w:szCs w:val="21"/>
                      <w:highlight w:val="none"/>
                      <w:lang w:val="en-US" w:eastAsia="zh-CN"/>
                    </w:rPr>
                    <w:t>缓和曲线最小长度</w:t>
                  </w:r>
                </w:p>
              </w:tc>
              <w:tc>
                <w:tcPr>
                  <w:tcW w:w="1532" w:type="dxa"/>
                  <w:noWrap w:val="0"/>
                  <w:vAlign w:val="center"/>
                </w:tcPr>
                <w:p w14:paraId="53CE0BAD">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米</w:t>
                  </w:r>
                </w:p>
              </w:tc>
              <w:tc>
                <w:tcPr>
                  <w:tcW w:w="3892" w:type="dxa"/>
                  <w:noWrap w:val="0"/>
                  <w:vAlign w:val="center"/>
                </w:tcPr>
                <w:p w14:paraId="2A613A7E">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35</w:t>
                  </w:r>
                </w:p>
              </w:tc>
            </w:tr>
            <w:tr w14:paraId="74094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511838F0">
                  <w:pPr>
                    <w:adjustRightInd w:val="0"/>
                    <w:snapToGrid w:val="0"/>
                    <w:jc w:val="center"/>
                    <w:rPr>
                      <w:rFonts w:hint="default" w:ascii="Times New Roman" w:hAnsi="Times New Roman" w:eastAsia="宋体" w:cs="Times New Roman"/>
                      <w:b w:val="0"/>
                      <w:bCs w:val="0"/>
                      <w:color w:val="auto"/>
                      <w:kern w:val="0"/>
                      <w:szCs w:val="21"/>
                      <w:highlight w:val="none"/>
                      <w:lang w:val="en-US" w:eastAsia="zh-CN"/>
                    </w:rPr>
                  </w:pPr>
                  <w:r>
                    <w:rPr>
                      <w:rFonts w:hint="default" w:ascii="Times New Roman" w:hAnsi="Times New Roman" w:eastAsia="宋体" w:cs="Times New Roman"/>
                      <w:b w:val="0"/>
                      <w:bCs w:val="0"/>
                      <w:color w:val="auto"/>
                      <w:kern w:val="0"/>
                      <w:szCs w:val="21"/>
                      <w:highlight w:val="none"/>
                      <w:lang w:val="en-US" w:eastAsia="zh-CN"/>
                    </w:rPr>
                    <w:t>停车视距</w:t>
                  </w:r>
                </w:p>
              </w:tc>
              <w:tc>
                <w:tcPr>
                  <w:tcW w:w="1532" w:type="dxa"/>
                  <w:noWrap w:val="0"/>
                  <w:vAlign w:val="center"/>
                </w:tcPr>
                <w:p w14:paraId="77847F3B">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米</w:t>
                  </w:r>
                </w:p>
              </w:tc>
              <w:tc>
                <w:tcPr>
                  <w:tcW w:w="3892" w:type="dxa"/>
                  <w:noWrap w:val="0"/>
                  <w:vAlign w:val="center"/>
                </w:tcPr>
                <w:p w14:paraId="019B06E2">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30</w:t>
                  </w:r>
                </w:p>
              </w:tc>
            </w:tr>
            <w:tr w14:paraId="58EBF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42D251CE">
                  <w:pPr>
                    <w:adjustRightInd w:val="0"/>
                    <w:snapToGrid w:val="0"/>
                    <w:jc w:val="center"/>
                    <w:rPr>
                      <w:rFonts w:hint="default" w:ascii="Times New Roman" w:hAnsi="Times New Roman" w:eastAsia="宋体" w:cs="Times New Roman"/>
                      <w:b w:val="0"/>
                      <w:bCs w:val="0"/>
                      <w:color w:val="auto"/>
                      <w:kern w:val="0"/>
                      <w:szCs w:val="21"/>
                      <w:highlight w:val="none"/>
                      <w:lang w:val="en-US" w:eastAsia="zh-CN"/>
                    </w:rPr>
                  </w:pPr>
                  <w:r>
                    <w:rPr>
                      <w:rFonts w:hint="default" w:ascii="Times New Roman" w:hAnsi="Times New Roman" w:eastAsia="宋体" w:cs="Times New Roman"/>
                      <w:b w:val="0"/>
                      <w:bCs w:val="0"/>
                      <w:color w:val="auto"/>
                      <w:kern w:val="0"/>
                      <w:szCs w:val="21"/>
                      <w:highlight w:val="none"/>
                      <w:lang w:val="en-US" w:eastAsia="zh-CN"/>
                    </w:rPr>
                    <w:t>荷载等级</w:t>
                  </w:r>
                </w:p>
              </w:tc>
              <w:tc>
                <w:tcPr>
                  <w:tcW w:w="1532" w:type="dxa"/>
                  <w:noWrap w:val="0"/>
                  <w:vAlign w:val="center"/>
                </w:tcPr>
                <w:p w14:paraId="2DE8EEE9">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3892" w:type="dxa"/>
                  <w:noWrap w:val="0"/>
                  <w:vAlign w:val="center"/>
                </w:tcPr>
                <w:p w14:paraId="464ABC2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公路-Ⅱ级</w:t>
                  </w:r>
                </w:p>
              </w:tc>
            </w:tr>
            <w:tr w14:paraId="6C145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460E5E12">
                  <w:pPr>
                    <w:adjustRightInd w:val="0"/>
                    <w:snapToGrid w:val="0"/>
                    <w:jc w:val="center"/>
                    <w:rPr>
                      <w:rFonts w:hint="default" w:ascii="Times New Roman" w:hAnsi="Times New Roman" w:eastAsia="宋体" w:cs="Times New Roman"/>
                      <w:b w:val="0"/>
                      <w:bCs w:val="0"/>
                      <w:color w:val="auto"/>
                      <w:kern w:val="0"/>
                      <w:szCs w:val="21"/>
                      <w:highlight w:val="none"/>
                      <w:lang w:val="en-US" w:eastAsia="zh-CN"/>
                    </w:rPr>
                  </w:pPr>
                  <w:r>
                    <w:rPr>
                      <w:rFonts w:hint="default" w:ascii="Times New Roman" w:hAnsi="Times New Roman" w:eastAsia="宋体" w:cs="Times New Roman"/>
                      <w:b w:val="0"/>
                      <w:bCs w:val="0"/>
                      <w:color w:val="auto"/>
                      <w:kern w:val="0"/>
                      <w:szCs w:val="21"/>
                      <w:highlight w:val="none"/>
                      <w:lang w:val="en-US" w:eastAsia="zh-CN"/>
                    </w:rPr>
                    <w:t>地震动峰值加速度</w:t>
                  </w:r>
                </w:p>
              </w:tc>
              <w:tc>
                <w:tcPr>
                  <w:tcW w:w="1532" w:type="dxa"/>
                  <w:noWrap w:val="0"/>
                  <w:vAlign w:val="center"/>
                </w:tcPr>
                <w:p w14:paraId="721DA6F0">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3892" w:type="dxa"/>
                  <w:noWrap w:val="0"/>
                  <w:vAlign w:val="center"/>
                </w:tcPr>
                <w:p w14:paraId="0AFA6A2F">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0.05g</w:t>
                  </w:r>
                </w:p>
              </w:tc>
            </w:tr>
            <w:tr w14:paraId="5C5E8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7E5C04E1">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设计洪水频率</w:t>
                  </w:r>
                </w:p>
              </w:tc>
              <w:tc>
                <w:tcPr>
                  <w:tcW w:w="1532" w:type="dxa"/>
                  <w:noWrap w:val="0"/>
                  <w:vAlign w:val="center"/>
                </w:tcPr>
                <w:p w14:paraId="5FCEA96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3892" w:type="dxa"/>
                  <w:noWrap w:val="0"/>
                  <w:vAlign w:val="center"/>
                </w:tcPr>
                <w:p w14:paraId="108A526F">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1/50（大、中桥），</w:t>
                  </w:r>
                </w:p>
                <w:p w14:paraId="3B7F57CE">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1/25（小桥、涵洞）</w:t>
                  </w:r>
                </w:p>
              </w:tc>
            </w:tr>
            <w:tr w14:paraId="34691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2D592397">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路面类型</w:t>
                  </w:r>
                </w:p>
              </w:tc>
              <w:tc>
                <w:tcPr>
                  <w:tcW w:w="1532" w:type="dxa"/>
                  <w:noWrap w:val="0"/>
                  <w:vAlign w:val="center"/>
                </w:tcPr>
                <w:p w14:paraId="1A5CEB06">
                  <w:pPr>
                    <w:adjustRightInd w:val="0"/>
                    <w:snapToGrid w:val="0"/>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3892" w:type="dxa"/>
                  <w:noWrap w:val="0"/>
                  <w:vAlign w:val="center"/>
                </w:tcPr>
                <w:p w14:paraId="2685499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沥青混凝土</w:t>
                  </w:r>
                </w:p>
              </w:tc>
            </w:tr>
            <w:tr w14:paraId="2BC79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67BF0961">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路面标准轴载</w:t>
                  </w:r>
                </w:p>
              </w:tc>
              <w:tc>
                <w:tcPr>
                  <w:tcW w:w="1532" w:type="dxa"/>
                  <w:noWrap w:val="0"/>
                  <w:vAlign w:val="center"/>
                </w:tcPr>
                <w:p w14:paraId="6EA182F6">
                  <w:pPr>
                    <w:adjustRightInd w:val="0"/>
                    <w:snapToGrid w:val="0"/>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3892" w:type="dxa"/>
                  <w:noWrap w:val="0"/>
                  <w:vAlign w:val="center"/>
                </w:tcPr>
                <w:p w14:paraId="5B35F92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双轮组单轴100kN</w:t>
                  </w:r>
                </w:p>
              </w:tc>
            </w:tr>
          </w:tbl>
          <w:p w14:paraId="308A9C6A">
            <w:pPr>
              <w:pStyle w:val="25"/>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482" w:firstLineChars="200"/>
              <w:textAlignment w:val="auto"/>
              <w:rPr>
                <w:rFonts w:hint="default" w:ascii="Times New Roman" w:hAnsi="Times New Roman" w:eastAsia="宋体" w:cs="Times New Roman"/>
                <w:b/>
                <w:bCs/>
                <w:color w:val="auto"/>
                <w:kern w:val="0"/>
                <w:sz w:val="24"/>
                <w:lang w:val="en-US" w:eastAsia="zh-CN"/>
              </w:rPr>
            </w:pPr>
            <w:r>
              <w:rPr>
                <w:rFonts w:hint="default" w:ascii="Times New Roman" w:hAnsi="Times New Roman" w:eastAsia="宋体" w:cs="Times New Roman"/>
                <w:b/>
                <w:bCs/>
                <w:color w:val="auto"/>
                <w:kern w:val="0"/>
                <w:sz w:val="24"/>
                <w:lang w:val="en-US" w:eastAsia="zh-CN"/>
              </w:rPr>
              <w:t>3、</w:t>
            </w:r>
            <w:bookmarkEnd w:id="17"/>
            <w:r>
              <w:rPr>
                <w:rFonts w:hint="default" w:ascii="Times New Roman" w:hAnsi="Times New Roman" w:eastAsia="宋体" w:cs="Times New Roman"/>
                <w:b/>
                <w:bCs/>
                <w:color w:val="auto"/>
                <w:kern w:val="0"/>
                <w:sz w:val="24"/>
                <w:lang w:val="en-US" w:eastAsia="zh-CN"/>
              </w:rPr>
              <w:t>老路现状</w:t>
            </w:r>
          </w:p>
          <w:p w14:paraId="7AD43D19">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（一）利用老路段老路公路等级、标准</w:t>
            </w:r>
          </w:p>
          <w:p w14:paraId="232F7BC7">
            <w:pPr>
              <w:autoSpaceDE w:val="0"/>
              <w:autoSpaceDN w:val="0"/>
              <w:adjustRightInd w:val="0"/>
              <w:snapToGrid w:val="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表2-</w:t>
            </w:r>
            <w:r>
              <w:rPr>
                <w:rFonts w:hint="eastAsia" w:ascii="Times New Roman" w:hAnsi="Times New Roman" w:eastAsia="宋体" w:cs="Times New Roman"/>
                <w:b/>
                <w:bCs/>
                <w:color w:val="auto"/>
                <w:kern w:val="0"/>
                <w:szCs w:val="21"/>
                <w:highlight w:val="none"/>
                <w:lang w:val="en-US" w:eastAsia="zh-CN"/>
              </w:rPr>
              <w:t>4</w:t>
            </w:r>
            <w:r>
              <w:rPr>
                <w:rFonts w:hint="default" w:ascii="Times New Roman" w:hAnsi="Times New Roman" w:eastAsia="宋体" w:cs="Times New Roman"/>
                <w:b/>
                <w:bCs/>
                <w:color w:val="auto"/>
                <w:kern w:val="0"/>
                <w:szCs w:val="21"/>
                <w:highlight w:val="none"/>
              </w:rPr>
              <w:t xml:space="preserve"> </w:t>
            </w:r>
            <w:r>
              <w:rPr>
                <w:rFonts w:hint="default" w:ascii="Times New Roman" w:hAnsi="Times New Roman" w:eastAsia="宋体" w:cs="Times New Roman"/>
                <w:b/>
                <w:bCs/>
                <w:color w:val="auto"/>
                <w:kern w:val="0"/>
                <w:szCs w:val="21"/>
                <w:highlight w:val="none"/>
                <w:lang w:val="en-US" w:eastAsia="zh-CN"/>
              </w:rPr>
              <w:t xml:space="preserve"> 老路</w:t>
            </w:r>
            <w:r>
              <w:rPr>
                <w:rFonts w:hint="default" w:ascii="Times New Roman" w:hAnsi="Times New Roman" w:eastAsia="宋体" w:cs="Times New Roman"/>
                <w:b/>
                <w:bCs/>
                <w:color w:val="auto"/>
                <w:szCs w:val="21"/>
                <w:highlight w:val="none"/>
              </w:rPr>
              <w:t>主要技术指标表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49"/>
              <w:gridCol w:w="1532"/>
              <w:gridCol w:w="3892"/>
            </w:tblGrid>
            <w:tr w14:paraId="618B8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71E4A602">
                  <w:pPr>
                    <w:adjustRightInd w:val="0"/>
                    <w:snapToGrid w:val="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lang w:val="en-US" w:eastAsia="zh-CN"/>
                    </w:rPr>
                    <w:t>指标</w:t>
                  </w:r>
                  <w:r>
                    <w:rPr>
                      <w:rFonts w:hint="default" w:ascii="Times New Roman" w:hAnsi="Times New Roman" w:eastAsia="宋体" w:cs="Times New Roman"/>
                      <w:b/>
                      <w:bCs/>
                      <w:color w:val="auto"/>
                      <w:kern w:val="0"/>
                      <w:szCs w:val="21"/>
                      <w:highlight w:val="none"/>
                    </w:rPr>
                    <w:t>名称</w:t>
                  </w:r>
                </w:p>
              </w:tc>
              <w:tc>
                <w:tcPr>
                  <w:tcW w:w="1532" w:type="dxa"/>
                  <w:noWrap w:val="0"/>
                  <w:vAlign w:val="center"/>
                </w:tcPr>
                <w:p w14:paraId="4190DB3E">
                  <w:pPr>
                    <w:adjustRightInd w:val="0"/>
                    <w:snapToGrid w:val="0"/>
                    <w:jc w:val="center"/>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kern w:val="0"/>
                      <w:szCs w:val="21"/>
                      <w:highlight w:val="none"/>
                      <w:lang w:val="en-US" w:eastAsia="zh-CN"/>
                    </w:rPr>
                    <w:t>单位</w:t>
                  </w:r>
                </w:p>
              </w:tc>
              <w:tc>
                <w:tcPr>
                  <w:tcW w:w="3892" w:type="dxa"/>
                  <w:noWrap w:val="0"/>
                  <w:vAlign w:val="center"/>
                </w:tcPr>
                <w:p w14:paraId="21B01EBA">
                  <w:pPr>
                    <w:adjustRightInd w:val="0"/>
                    <w:snapToGrid w:val="0"/>
                    <w:jc w:val="center"/>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kern w:val="0"/>
                      <w:szCs w:val="21"/>
                      <w:highlight w:val="none"/>
                      <w:lang w:val="en-US" w:eastAsia="zh-CN"/>
                    </w:rPr>
                    <w:t>采用值</w:t>
                  </w:r>
                </w:p>
              </w:tc>
            </w:tr>
            <w:tr w14:paraId="6E412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40C8A6D8">
                  <w:pPr>
                    <w:adjustRightInd w:val="0"/>
                    <w:snapToGrid w:val="0"/>
                    <w:jc w:val="center"/>
                    <w:rPr>
                      <w:rFonts w:hint="default" w:ascii="Times New Roman" w:hAnsi="Times New Roman" w:eastAsia="宋体" w:cs="Times New Roman"/>
                      <w:b w:val="0"/>
                      <w:bCs w:val="0"/>
                      <w:color w:val="auto"/>
                      <w:kern w:val="0"/>
                      <w:szCs w:val="21"/>
                      <w:highlight w:val="none"/>
                      <w:lang w:val="en-US" w:eastAsia="zh-CN"/>
                    </w:rPr>
                  </w:pPr>
                  <w:r>
                    <w:rPr>
                      <w:rFonts w:hint="default" w:ascii="Times New Roman" w:hAnsi="Times New Roman" w:eastAsia="宋体" w:cs="Times New Roman"/>
                      <w:b w:val="0"/>
                      <w:bCs w:val="0"/>
                      <w:color w:val="auto"/>
                      <w:kern w:val="0"/>
                      <w:szCs w:val="21"/>
                      <w:highlight w:val="none"/>
                      <w:lang w:val="en-US" w:eastAsia="zh-CN"/>
                    </w:rPr>
                    <w:t>公路等级</w:t>
                  </w:r>
                </w:p>
              </w:tc>
              <w:tc>
                <w:tcPr>
                  <w:tcW w:w="1532" w:type="dxa"/>
                  <w:noWrap w:val="0"/>
                  <w:vAlign w:val="center"/>
                </w:tcPr>
                <w:p w14:paraId="277D650C">
                  <w:pPr>
                    <w:adjustRightInd w:val="0"/>
                    <w:snapToGrid w:val="0"/>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3892" w:type="dxa"/>
                  <w:noWrap w:val="0"/>
                  <w:vAlign w:val="center"/>
                </w:tcPr>
                <w:p w14:paraId="1FC877DA">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lang w:val="en-US" w:eastAsia="zh-CN"/>
                    </w:rPr>
                    <w:t>四级公路（部分路段为等外路标准）</w:t>
                  </w:r>
                </w:p>
              </w:tc>
            </w:tr>
            <w:tr w14:paraId="7B453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5E1F8BC6">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设计速度</w:t>
                  </w:r>
                </w:p>
              </w:tc>
              <w:tc>
                <w:tcPr>
                  <w:tcW w:w="1532" w:type="dxa"/>
                  <w:noWrap w:val="0"/>
                  <w:vAlign w:val="center"/>
                </w:tcPr>
                <w:p w14:paraId="0C2DF4A1">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公里/小时</w:t>
                  </w:r>
                </w:p>
              </w:tc>
              <w:tc>
                <w:tcPr>
                  <w:tcW w:w="3892" w:type="dxa"/>
                  <w:noWrap w:val="0"/>
                  <w:vAlign w:val="center"/>
                </w:tcPr>
                <w:p w14:paraId="2A64839C">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20</w:t>
                  </w:r>
                </w:p>
              </w:tc>
            </w:tr>
            <w:tr w14:paraId="14DD5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1D80DA85">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路线长度</w:t>
                  </w:r>
                </w:p>
              </w:tc>
              <w:tc>
                <w:tcPr>
                  <w:tcW w:w="1532" w:type="dxa"/>
                  <w:noWrap w:val="0"/>
                  <w:vAlign w:val="center"/>
                </w:tcPr>
                <w:p w14:paraId="5E2EAC67">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千米</w:t>
                  </w:r>
                </w:p>
              </w:tc>
              <w:tc>
                <w:tcPr>
                  <w:tcW w:w="3892" w:type="dxa"/>
                  <w:noWrap w:val="0"/>
                  <w:vAlign w:val="center"/>
                </w:tcPr>
                <w:p w14:paraId="471FF5B9">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2.4</w:t>
                  </w:r>
                </w:p>
              </w:tc>
            </w:tr>
            <w:tr w14:paraId="61C4B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55FC9308">
                  <w:pPr>
                    <w:adjustRightInd w:val="0"/>
                    <w:snapToGrid w:val="0"/>
                    <w:jc w:val="center"/>
                    <w:rPr>
                      <w:rFonts w:hint="default" w:ascii="Times New Roman" w:hAnsi="Times New Roman" w:eastAsia="宋体" w:cs="Times New Roman"/>
                      <w:b w:val="0"/>
                      <w:bCs w:val="0"/>
                      <w:color w:val="auto"/>
                      <w:kern w:val="0"/>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bidi="ar-SA"/>
                    </w:rPr>
                    <w:t>路基宽度</w:t>
                  </w:r>
                </w:p>
              </w:tc>
              <w:tc>
                <w:tcPr>
                  <w:tcW w:w="1532" w:type="dxa"/>
                  <w:noWrap w:val="0"/>
                  <w:vAlign w:val="center"/>
                </w:tcPr>
                <w:p w14:paraId="77DF2B3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lang w:val="en-US" w:eastAsia="zh-CN"/>
                    </w:rPr>
                    <w:t>米</w:t>
                  </w:r>
                </w:p>
              </w:tc>
              <w:tc>
                <w:tcPr>
                  <w:tcW w:w="3892" w:type="dxa"/>
                  <w:noWrap w:val="0"/>
                  <w:vAlign w:val="center"/>
                </w:tcPr>
                <w:p w14:paraId="41BAA8F5">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4.5</w:t>
                  </w:r>
                </w:p>
              </w:tc>
            </w:tr>
            <w:tr w14:paraId="0CCAD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3F69167B">
                  <w:pPr>
                    <w:adjustRightInd w:val="0"/>
                    <w:snapToGrid w:val="0"/>
                    <w:jc w:val="center"/>
                    <w:rPr>
                      <w:rFonts w:hint="default" w:ascii="Times New Roman" w:hAnsi="Times New Roman" w:eastAsia="宋体" w:cs="Times New Roman"/>
                      <w:b w:val="0"/>
                      <w:bCs w:val="0"/>
                      <w:color w:val="auto"/>
                      <w:kern w:val="0"/>
                      <w:szCs w:val="21"/>
                      <w:highlight w:val="none"/>
                      <w:lang w:val="en-US" w:eastAsia="zh-CN"/>
                    </w:rPr>
                  </w:pPr>
                  <w:r>
                    <w:rPr>
                      <w:rFonts w:hint="default" w:ascii="Times New Roman" w:hAnsi="Times New Roman" w:eastAsia="宋体" w:cs="Times New Roman"/>
                      <w:b w:val="0"/>
                      <w:bCs w:val="0"/>
                      <w:color w:val="auto"/>
                      <w:kern w:val="0"/>
                      <w:szCs w:val="21"/>
                      <w:highlight w:val="none"/>
                      <w:lang w:val="en-US" w:eastAsia="zh-CN"/>
                    </w:rPr>
                    <w:t>路面宽度</w:t>
                  </w:r>
                </w:p>
              </w:tc>
              <w:tc>
                <w:tcPr>
                  <w:tcW w:w="1532" w:type="dxa"/>
                  <w:noWrap w:val="0"/>
                  <w:vAlign w:val="center"/>
                </w:tcPr>
                <w:p w14:paraId="10C0666E">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lang w:val="en-US" w:eastAsia="zh-CN"/>
                    </w:rPr>
                    <w:t>米</w:t>
                  </w:r>
                </w:p>
              </w:tc>
              <w:tc>
                <w:tcPr>
                  <w:tcW w:w="3892" w:type="dxa"/>
                  <w:noWrap w:val="0"/>
                  <w:vAlign w:val="center"/>
                </w:tcPr>
                <w:p w14:paraId="1336663F">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3.5</w:t>
                  </w:r>
                </w:p>
              </w:tc>
            </w:tr>
            <w:tr w14:paraId="0B33B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4418EEC9">
                  <w:pPr>
                    <w:adjustRightInd w:val="0"/>
                    <w:snapToGrid w:val="0"/>
                    <w:jc w:val="center"/>
                    <w:rPr>
                      <w:rFonts w:hint="default" w:ascii="Times New Roman" w:hAnsi="Times New Roman" w:eastAsia="宋体" w:cs="Times New Roman"/>
                      <w:b w:val="0"/>
                      <w:bCs w:val="0"/>
                      <w:color w:val="auto"/>
                      <w:kern w:val="0"/>
                      <w:szCs w:val="21"/>
                      <w:highlight w:val="none"/>
                      <w:lang w:val="en-US" w:eastAsia="zh-CN"/>
                    </w:rPr>
                  </w:pPr>
                  <w:r>
                    <w:rPr>
                      <w:rFonts w:hint="default" w:ascii="Times New Roman" w:hAnsi="Times New Roman" w:eastAsia="宋体" w:cs="Times New Roman"/>
                      <w:b w:val="0"/>
                      <w:bCs w:val="0"/>
                      <w:color w:val="auto"/>
                      <w:kern w:val="0"/>
                      <w:szCs w:val="21"/>
                      <w:highlight w:val="none"/>
                      <w:lang w:val="en-US" w:eastAsia="zh-CN"/>
                    </w:rPr>
                    <w:t>荷载等级</w:t>
                  </w:r>
                </w:p>
              </w:tc>
              <w:tc>
                <w:tcPr>
                  <w:tcW w:w="1532" w:type="dxa"/>
                  <w:noWrap w:val="0"/>
                  <w:vAlign w:val="center"/>
                </w:tcPr>
                <w:p w14:paraId="738FD54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3892" w:type="dxa"/>
                  <w:noWrap w:val="0"/>
                  <w:vAlign w:val="center"/>
                </w:tcPr>
                <w:p w14:paraId="30CE6A94">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公路-Ⅱ级</w:t>
                  </w:r>
                </w:p>
              </w:tc>
            </w:tr>
            <w:tr w14:paraId="51248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1BBEBC74">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设计洪水频率</w:t>
                  </w:r>
                </w:p>
              </w:tc>
              <w:tc>
                <w:tcPr>
                  <w:tcW w:w="1532" w:type="dxa"/>
                  <w:noWrap w:val="0"/>
                  <w:vAlign w:val="center"/>
                </w:tcPr>
                <w:p w14:paraId="684EC7B9">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3892" w:type="dxa"/>
                  <w:noWrap w:val="0"/>
                  <w:vAlign w:val="center"/>
                </w:tcPr>
                <w:p w14:paraId="0FA76884">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路基、涵洞均为1/25</w:t>
                  </w:r>
                </w:p>
              </w:tc>
            </w:tr>
            <w:tr w14:paraId="4F94B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9" w:type="dxa"/>
                  <w:noWrap w:val="0"/>
                  <w:vAlign w:val="center"/>
                </w:tcPr>
                <w:p w14:paraId="5E89E95B">
                  <w:pPr>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路面类型</w:t>
                  </w:r>
                </w:p>
              </w:tc>
              <w:tc>
                <w:tcPr>
                  <w:tcW w:w="1532" w:type="dxa"/>
                  <w:noWrap w:val="0"/>
                  <w:vAlign w:val="center"/>
                </w:tcPr>
                <w:p w14:paraId="58430CE6">
                  <w:pPr>
                    <w:adjustRightInd w:val="0"/>
                    <w:snapToGrid w:val="0"/>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3892" w:type="dxa"/>
                  <w:noWrap w:val="0"/>
                  <w:vAlign w:val="center"/>
                </w:tcPr>
                <w:p w14:paraId="464855AB">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水泥混凝土</w:t>
                  </w:r>
                </w:p>
              </w:tc>
            </w:tr>
          </w:tbl>
          <w:p w14:paraId="782A81C7">
            <w:pPr>
              <w:pStyle w:val="25"/>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（二）主要存在问题</w:t>
            </w:r>
          </w:p>
          <w:p w14:paraId="19EA4BF3">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（1）老路宽度较窄，车辆错车较为困难。</w:t>
            </w:r>
          </w:p>
          <w:p w14:paraId="14EA2F5F">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（2）平纵面指标低。平面线形扭曲，不成形，局部弯道半径仅20m；纵面短碎坡普遍，局部最大纵坡达11%。道路通行能力和服务水平低，导致交通不畅，制约了钼矿矿产开发及地方经济发展。</w:t>
            </w:r>
          </w:p>
          <w:p w14:paraId="69BBB8F3">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（3）安全防护设施不完善，安全隐患多，局部路段存在水毁，雨雪天气道路边坡存在坍塌和落石现象。</w:t>
            </w:r>
          </w:p>
          <w:p w14:paraId="6D77346B">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（4）路容路貌较差，与周围景观协调性效果不佳。</w:t>
            </w:r>
          </w:p>
          <w:p w14:paraId="2F72C95D">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（三）路线</w:t>
            </w:r>
          </w:p>
          <w:p w14:paraId="250C3824">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老路建设年代较早，受等级、地形地貌限制，项目平纵面线形指标较低，陡坡、急弯、视距不良现象普遍，局部路段平纵指标超限，存在一定的安全隐患。</w:t>
            </w:r>
          </w:p>
          <w:tbl>
            <w:tblPr>
              <w:tblStyle w:val="30"/>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94"/>
              <w:gridCol w:w="4194"/>
            </w:tblGrid>
            <w:tr w14:paraId="0A608B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192" w:type="dxa"/>
                  <w:vAlign w:val="center"/>
                </w:tcPr>
                <w:p w14:paraId="67BA1EFD">
                  <w:pPr>
                    <w:pStyle w:val="25"/>
                    <w:keepNext w:val="0"/>
                    <w:keepLines w:val="0"/>
                    <w:pageBreakBefore w:val="0"/>
                    <w:widowControl w:val="0"/>
                    <w:kinsoku/>
                    <w:wordWrap/>
                    <w:overflowPunct/>
                    <w:topLinePunct w:val="0"/>
                    <w:autoSpaceDE/>
                    <w:autoSpaceDN/>
                    <w:bidi w:val="0"/>
                    <w:adjustRightInd w:val="0"/>
                    <w:snapToGrid w:val="0"/>
                    <w:spacing w:before="157" w:beforeLines="50" w:after="0" w:line="240" w:lineRule="auto"/>
                    <w:ind w:left="0" w:leftChars="0" w:firstLine="0" w:firstLineChars="0"/>
                    <w:jc w:val="center"/>
                    <w:textAlignment w:val="auto"/>
                    <w:rPr>
                      <w:rFonts w:hint="default" w:ascii="Times New Roman" w:hAnsi="Times New Roman" w:eastAsia="宋体" w:cs="Times New Roman"/>
                      <w:b/>
                      <w:bCs/>
                      <w:color w:val="auto"/>
                      <w:kern w:val="0"/>
                      <w:sz w:val="24"/>
                      <w:vertAlign w:val="baseline"/>
                      <w:lang w:val="en-US" w:eastAsia="zh-CN"/>
                    </w:rPr>
                  </w:pPr>
                  <w:r>
                    <w:rPr>
                      <w:rFonts w:hint="default" w:ascii="Times New Roman" w:hAnsi="Times New Roman" w:cs="Times New Roman"/>
                    </w:rPr>
                    <w:drawing>
                      <wp:inline distT="0" distB="0" distL="114300" distR="114300">
                        <wp:extent cx="2520950" cy="1887220"/>
                        <wp:effectExtent l="0" t="0" r="12700" b="177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7"/>
                                <a:stretch>
                                  <a:fillRect/>
                                </a:stretch>
                              </pic:blipFill>
                              <pic:spPr>
                                <a:xfrm>
                                  <a:off x="0" y="0"/>
                                  <a:ext cx="2520950" cy="1887220"/>
                                </a:xfrm>
                                <a:prstGeom prst="rect">
                                  <a:avLst/>
                                </a:prstGeom>
                                <a:noFill/>
                                <a:ln>
                                  <a:noFill/>
                                </a:ln>
                              </pic:spPr>
                            </pic:pic>
                          </a:graphicData>
                        </a:graphic>
                      </wp:inline>
                    </w:drawing>
                  </w:r>
                </w:p>
              </w:tc>
              <w:tc>
                <w:tcPr>
                  <w:tcW w:w="4192" w:type="dxa"/>
                  <w:vAlign w:val="center"/>
                </w:tcPr>
                <w:p w14:paraId="17832496">
                  <w:pPr>
                    <w:pStyle w:val="25"/>
                    <w:keepNext w:val="0"/>
                    <w:keepLines w:val="0"/>
                    <w:pageBreakBefore w:val="0"/>
                    <w:widowControl w:val="0"/>
                    <w:kinsoku/>
                    <w:wordWrap/>
                    <w:overflowPunct/>
                    <w:topLinePunct w:val="0"/>
                    <w:autoSpaceDE/>
                    <w:autoSpaceDN/>
                    <w:bidi w:val="0"/>
                    <w:adjustRightInd w:val="0"/>
                    <w:snapToGrid w:val="0"/>
                    <w:spacing w:before="157" w:beforeLines="50" w:after="0" w:line="240" w:lineRule="auto"/>
                    <w:ind w:left="0" w:leftChars="0" w:firstLine="0" w:firstLineChars="0"/>
                    <w:jc w:val="center"/>
                    <w:textAlignment w:val="auto"/>
                    <w:rPr>
                      <w:rFonts w:hint="default" w:ascii="Times New Roman" w:hAnsi="Times New Roman" w:eastAsia="宋体" w:cs="Times New Roman"/>
                      <w:b/>
                      <w:bCs/>
                      <w:color w:val="auto"/>
                      <w:kern w:val="0"/>
                      <w:sz w:val="24"/>
                      <w:vertAlign w:val="baseline"/>
                      <w:lang w:val="en-US" w:eastAsia="zh-CN"/>
                    </w:rPr>
                  </w:pPr>
                  <w:r>
                    <w:rPr>
                      <w:rFonts w:hint="default" w:ascii="Times New Roman" w:hAnsi="Times New Roman" w:cs="Times New Roman"/>
                    </w:rPr>
                    <w:drawing>
                      <wp:inline distT="0" distB="0" distL="114300" distR="114300">
                        <wp:extent cx="2520950" cy="1880235"/>
                        <wp:effectExtent l="0" t="0" r="12700" b="571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8"/>
                                <a:stretch>
                                  <a:fillRect/>
                                </a:stretch>
                              </pic:blipFill>
                              <pic:spPr>
                                <a:xfrm>
                                  <a:off x="0" y="0"/>
                                  <a:ext cx="2520950" cy="1880235"/>
                                </a:xfrm>
                                <a:prstGeom prst="rect">
                                  <a:avLst/>
                                </a:prstGeom>
                                <a:noFill/>
                                <a:ln>
                                  <a:noFill/>
                                </a:ln>
                              </pic:spPr>
                            </pic:pic>
                          </a:graphicData>
                        </a:graphic>
                      </wp:inline>
                    </w:drawing>
                  </w:r>
                </w:p>
              </w:tc>
            </w:tr>
            <w:tr w14:paraId="3EFEC7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192" w:type="dxa"/>
                  <w:vAlign w:val="center"/>
                </w:tcPr>
                <w:p w14:paraId="542CDB8B">
                  <w:pPr>
                    <w:pStyle w:val="25"/>
                    <w:keepNext w:val="0"/>
                    <w:keepLines w:val="0"/>
                    <w:pageBreakBefore w:val="0"/>
                    <w:widowControl w:val="0"/>
                    <w:kinsoku/>
                    <w:wordWrap/>
                    <w:overflowPunct/>
                    <w:topLinePunct w:val="0"/>
                    <w:autoSpaceDE/>
                    <w:autoSpaceDN/>
                    <w:bidi w:val="0"/>
                    <w:adjustRightInd w:val="0"/>
                    <w:snapToGrid w:val="0"/>
                    <w:spacing w:before="157" w:beforeLines="50" w:after="0" w:line="240" w:lineRule="auto"/>
                    <w:ind w:left="0" w:leftChars="0" w:firstLine="0" w:firstLineChars="0"/>
                    <w:jc w:val="center"/>
                    <w:textAlignment w:val="auto"/>
                    <w:rPr>
                      <w:rFonts w:hint="default" w:ascii="Times New Roman" w:hAnsi="Times New Roman" w:eastAsia="宋体" w:cs="Times New Roman"/>
                      <w:b/>
                      <w:bCs/>
                      <w:color w:val="auto"/>
                      <w:kern w:val="0"/>
                      <w:sz w:val="21"/>
                      <w:szCs w:val="13"/>
                      <w:vertAlign w:val="baseline"/>
                      <w:lang w:val="en-US" w:eastAsia="zh-CN"/>
                    </w:rPr>
                  </w:pPr>
                  <w:r>
                    <w:rPr>
                      <w:rFonts w:hint="default" w:ascii="Times New Roman" w:hAnsi="Times New Roman" w:eastAsia="宋体" w:cs="Times New Roman"/>
                      <w:b/>
                      <w:bCs/>
                      <w:color w:val="auto"/>
                      <w:kern w:val="0"/>
                      <w:sz w:val="21"/>
                      <w:szCs w:val="13"/>
                      <w:vertAlign w:val="baseline"/>
                      <w:lang w:val="en-US" w:eastAsia="zh-CN"/>
                    </w:rPr>
                    <w:t>老路急弯</w:t>
                  </w:r>
                </w:p>
              </w:tc>
              <w:tc>
                <w:tcPr>
                  <w:tcW w:w="4192" w:type="dxa"/>
                  <w:vAlign w:val="center"/>
                </w:tcPr>
                <w:p w14:paraId="59819AC1">
                  <w:pPr>
                    <w:pStyle w:val="25"/>
                    <w:keepNext w:val="0"/>
                    <w:keepLines w:val="0"/>
                    <w:pageBreakBefore w:val="0"/>
                    <w:widowControl w:val="0"/>
                    <w:kinsoku/>
                    <w:wordWrap/>
                    <w:overflowPunct/>
                    <w:topLinePunct w:val="0"/>
                    <w:autoSpaceDE/>
                    <w:autoSpaceDN/>
                    <w:bidi w:val="0"/>
                    <w:adjustRightInd w:val="0"/>
                    <w:snapToGrid w:val="0"/>
                    <w:spacing w:before="157" w:beforeLines="50" w:after="0" w:line="240" w:lineRule="auto"/>
                    <w:ind w:left="0" w:leftChars="0" w:firstLine="0" w:firstLineChars="0"/>
                    <w:jc w:val="center"/>
                    <w:textAlignment w:val="auto"/>
                    <w:rPr>
                      <w:rFonts w:hint="default" w:ascii="Times New Roman" w:hAnsi="Times New Roman" w:eastAsia="宋体" w:cs="Times New Roman"/>
                      <w:b/>
                      <w:bCs/>
                      <w:color w:val="auto"/>
                      <w:kern w:val="0"/>
                      <w:sz w:val="21"/>
                      <w:szCs w:val="13"/>
                      <w:vertAlign w:val="baseline"/>
                      <w:lang w:val="en-US" w:eastAsia="zh-CN"/>
                    </w:rPr>
                  </w:pPr>
                  <w:r>
                    <w:rPr>
                      <w:rFonts w:hint="default" w:ascii="Times New Roman" w:hAnsi="Times New Roman" w:eastAsia="宋体" w:cs="Times New Roman"/>
                      <w:b/>
                      <w:bCs/>
                      <w:color w:val="auto"/>
                      <w:kern w:val="0"/>
                      <w:sz w:val="21"/>
                      <w:szCs w:val="13"/>
                      <w:vertAlign w:val="baseline"/>
                      <w:lang w:val="en-US" w:eastAsia="zh-CN"/>
                    </w:rPr>
                    <w:t>老路陡坡</w:t>
                  </w:r>
                </w:p>
              </w:tc>
            </w:tr>
          </w:tbl>
          <w:p w14:paraId="30D299B4">
            <w:pPr>
              <w:pStyle w:val="25"/>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（四）路基、路面及排水</w:t>
            </w:r>
          </w:p>
          <w:p w14:paraId="5E5D6063">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本项目老路路面宽3.5米，水泥混凝土路面，该段路面状况总体良好，局部路段上边坡存在小规模塌方。全线基本无边沟或为土质边沟。</w:t>
            </w:r>
          </w:p>
          <w:tbl>
            <w:tblPr>
              <w:tblStyle w:val="30"/>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94"/>
              <w:gridCol w:w="4194"/>
            </w:tblGrid>
            <w:tr w14:paraId="4C23D8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187" w:type="dxa"/>
                  <w:vAlign w:val="center"/>
                </w:tcPr>
                <w:p w14:paraId="55A65839">
                  <w:pPr>
                    <w:pStyle w:val="25"/>
                    <w:keepNext w:val="0"/>
                    <w:keepLines w:val="0"/>
                    <w:pageBreakBefore w:val="0"/>
                    <w:widowControl w:val="0"/>
                    <w:kinsoku/>
                    <w:wordWrap/>
                    <w:overflowPunct/>
                    <w:topLinePunct w:val="0"/>
                    <w:autoSpaceDE/>
                    <w:autoSpaceDN/>
                    <w:bidi w:val="0"/>
                    <w:adjustRightInd w:val="0"/>
                    <w:snapToGrid w:val="0"/>
                    <w:spacing w:before="157" w:beforeLines="50" w:after="0" w:line="240" w:lineRule="auto"/>
                    <w:ind w:left="0" w:leftChars="0" w:firstLine="0" w:firstLineChars="0"/>
                    <w:jc w:val="center"/>
                    <w:textAlignment w:val="auto"/>
                    <w:rPr>
                      <w:rFonts w:hint="default" w:ascii="Times New Roman" w:hAnsi="Times New Roman" w:eastAsia="宋体" w:cs="Times New Roman"/>
                      <w:b/>
                      <w:bCs/>
                      <w:color w:val="auto"/>
                      <w:kern w:val="0"/>
                      <w:sz w:val="24"/>
                      <w:vertAlign w:val="baseline"/>
                      <w:lang w:val="en-US" w:eastAsia="zh-CN"/>
                    </w:rPr>
                  </w:pPr>
                  <w:r>
                    <w:rPr>
                      <w:rFonts w:hint="default" w:ascii="Times New Roman" w:hAnsi="Times New Roman" w:cs="Times New Roman"/>
                    </w:rPr>
                    <w:drawing>
                      <wp:inline distT="0" distB="0" distL="114300" distR="114300">
                        <wp:extent cx="2522220" cy="1885950"/>
                        <wp:effectExtent l="0" t="0" r="11430" b="0"/>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19"/>
                                <a:stretch>
                                  <a:fillRect/>
                                </a:stretch>
                              </pic:blipFill>
                              <pic:spPr>
                                <a:xfrm>
                                  <a:off x="0" y="0"/>
                                  <a:ext cx="2522220" cy="1885950"/>
                                </a:xfrm>
                                <a:prstGeom prst="rect">
                                  <a:avLst/>
                                </a:prstGeom>
                                <a:noFill/>
                                <a:ln>
                                  <a:noFill/>
                                </a:ln>
                              </pic:spPr>
                            </pic:pic>
                          </a:graphicData>
                        </a:graphic>
                      </wp:inline>
                    </w:drawing>
                  </w:r>
                </w:p>
              </w:tc>
              <w:tc>
                <w:tcPr>
                  <w:tcW w:w="4187" w:type="dxa"/>
                  <w:vAlign w:val="center"/>
                </w:tcPr>
                <w:p w14:paraId="59E39B23">
                  <w:pPr>
                    <w:pStyle w:val="25"/>
                    <w:keepNext w:val="0"/>
                    <w:keepLines w:val="0"/>
                    <w:pageBreakBefore w:val="0"/>
                    <w:widowControl w:val="0"/>
                    <w:kinsoku/>
                    <w:wordWrap/>
                    <w:overflowPunct/>
                    <w:topLinePunct w:val="0"/>
                    <w:autoSpaceDE/>
                    <w:autoSpaceDN/>
                    <w:bidi w:val="0"/>
                    <w:adjustRightInd w:val="0"/>
                    <w:snapToGrid w:val="0"/>
                    <w:spacing w:before="157" w:beforeLines="50" w:after="0" w:line="240" w:lineRule="auto"/>
                    <w:ind w:left="0" w:leftChars="0" w:firstLine="0" w:firstLineChars="0"/>
                    <w:jc w:val="center"/>
                    <w:textAlignment w:val="auto"/>
                    <w:rPr>
                      <w:rFonts w:hint="default" w:ascii="Times New Roman" w:hAnsi="Times New Roman" w:eastAsia="宋体" w:cs="Times New Roman"/>
                      <w:b/>
                      <w:bCs/>
                      <w:color w:val="auto"/>
                      <w:kern w:val="0"/>
                      <w:sz w:val="24"/>
                      <w:vertAlign w:val="baseline"/>
                      <w:lang w:val="en-US" w:eastAsia="zh-CN"/>
                    </w:rPr>
                  </w:pPr>
                  <w:r>
                    <w:rPr>
                      <w:rFonts w:hint="default" w:ascii="Times New Roman" w:hAnsi="Times New Roman" w:cs="Times New Roman"/>
                    </w:rPr>
                    <w:drawing>
                      <wp:inline distT="0" distB="0" distL="114300" distR="114300">
                        <wp:extent cx="2524125" cy="1889125"/>
                        <wp:effectExtent l="0" t="0" r="9525" b="15875"/>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20"/>
                                <a:stretch>
                                  <a:fillRect/>
                                </a:stretch>
                              </pic:blipFill>
                              <pic:spPr>
                                <a:xfrm>
                                  <a:off x="0" y="0"/>
                                  <a:ext cx="2524125" cy="1889125"/>
                                </a:xfrm>
                                <a:prstGeom prst="rect">
                                  <a:avLst/>
                                </a:prstGeom>
                                <a:noFill/>
                                <a:ln>
                                  <a:noFill/>
                                </a:ln>
                              </pic:spPr>
                            </pic:pic>
                          </a:graphicData>
                        </a:graphic>
                      </wp:inline>
                    </w:drawing>
                  </w:r>
                </w:p>
              </w:tc>
            </w:tr>
            <w:tr w14:paraId="09A6F5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187" w:type="dxa"/>
                  <w:vAlign w:val="center"/>
                </w:tcPr>
                <w:p w14:paraId="5B662698">
                  <w:pPr>
                    <w:pStyle w:val="25"/>
                    <w:keepNext w:val="0"/>
                    <w:keepLines w:val="0"/>
                    <w:pageBreakBefore w:val="0"/>
                    <w:widowControl w:val="0"/>
                    <w:kinsoku/>
                    <w:wordWrap/>
                    <w:overflowPunct/>
                    <w:topLinePunct w:val="0"/>
                    <w:autoSpaceDE/>
                    <w:autoSpaceDN/>
                    <w:bidi w:val="0"/>
                    <w:adjustRightInd w:val="0"/>
                    <w:snapToGrid w:val="0"/>
                    <w:spacing w:before="157" w:beforeLines="50" w:after="0" w:line="240" w:lineRule="exact"/>
                    <w:ind w:left="0" w:leftChars="0" w:firstLine="0" w:firstLineChars="0"/>
                    <w:jc w:val="center"/>
                    <w:textAlignment w:val="auto"/>
                    <w:rPr>
                      <w:rFonts w:hint="default" w:ascii="Times New Roman" w:hAnsi="Times New Roman" w:eastAsia="宋体" w:cs="Times New Roman"/>
                      <w:b/>
                      <w:bCs/>
                      <w:color w:val="auto"/>
                      <w:kern w:val="0"/>
                      <w:sz w:val="21"/>
                      <w:szCs w:val="13"/>
                      <w:vertAlign w:val="baseline"/>
                      <w:lang w:val="en-US" w:eastAsia="zh-CN"/>
                    </w:rPr>
                  </w:pPr>
                  <w:r>
                    <w:rPr>
                      <w:rFonts w:hint="default" w:ascii="Times New Roman" w:hAnsi="Times New Roman" w:eastAsia="宋体" w:cs="Times New Roman"/>
                      <w:b/>
                      <w:bCs/>
                      <w:color w:val="auto"/>
                      <w:kern w:val="0"/>
                      <w:sz w:val="21"/>
                      <w:szCs w:val="13"/>
                      <w:vertAlign w:val="baseline"/>
                      <w:lang w:val="en-US" w:eastAsia="zh-CN"/>
                    </w:rPr>
                    <w:t>边坡塌方</w:t>
                  </w:r>
                </w:p>
              </w:tc>
              <w:tc>
                <w:tcPr>
                  <w:tcW w:w="4187" w:type="dxa"/>
                  <w:vAlign w:val="center"/>
                </w:tcPr>
                <w:p w14:paraId="46196CBA">
                  <w:pPr>
                    <w:pStyle w:val="25"/>
                    <w:keepNext w:val="0"/>
                    <w:keepLines w:val="0"/>
                    <w:pageBreakBefore w:val="0"/>
                    <w:widowControl w:val="0"/>
                    <w:kinsoku/>
                    <w:wordWrap/>
                    <w:overflowPunct/>
                    <w:topLinePunct w:val="0"/>
                    <w:autoSpaceDE/>
                    <w:autoSpaceDN/>
                    <w:bidi w:val="0"/>
                    <w:adjustRightInd w:val="0"/>
                    <w:snapToGrid w:val="0"/>
                    <w:spacing w:before="157" w:beforeLines="50" w:after="0" w:line="240" w:lineRule="exact"/>
                    <w:ind w:left="0" w:leftChars="0" w:firstLine="0" w:firstLineChars="0"/>
                    <w:jc w:val="center"/>
                    <w:textAlignment w:val="auto"/>
                    <w:rPr>
                      <w:rFonts w:hint="default" w:ascii="Times New Roman" w:hAnsi="Times New Roman" w:eastAsia="宋体" w:cs="Times New Roman"/>
                      <w:b/>
                      <w:bCs/>
                      <w:color w:val="auto"/>
                      <w:kern w:val="0"/>
                      <w:sz w:val="21"/>
                      <w:szCs w:val="13"/>
                      <w:vertAlign w:val="baseline"/>
                      <w:lang w:val="en-US" w:eastAsia="zh-CN"/>
                    </w:rPr>
                  </w:pPr>
                  <w:r>
                    <w:rPr>
                      <w:rFonts w:hint="default" w:ascii="Times New Roman" w:hAnsi="Times New Roman" w:eastAsia="宋体" w:cs="Times New Roman"/>
                      <w:b/>
                      <w:bCs/>
                      <w:color w:val="auto"/>
                      <w:kern w:val="0"/>
                      <w:sz w:val="21"/>
                      <w:szCs w:val="13"/>
                      <w:vertAlign w:val="baseline"/>
                      <w:lang w:val="en-US" w:eastAsia="zh-CN"/>
                    </w:rPr>
                    <w:t>路基水毁</w:t>
                  </w:r>
                </w:p>
              </w:tc>
            </w:tr>
            <w:tr w14:paraId="16FF6D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187" w:type="dxa"/>
                  <w:vAlign w:val="center"/>
                </w:tcPr>
                <w:p w14:paraId="75DD68ED">
                  <w:pPr>
                    <w:pStyle w:val="25"/>
                    <w:keepNext w:val="0"/>
                    <w:keepLines w:val="0"/>
                    <w:pageBreakBefore w:val="0"/>
                    <w:widowControl w:val="0"/>
                    <w:kinsoku/>
                    <w:wordWrap/>
                    <w:overflowPunct/>
                    <w:topLinePunct w:val="0"/>
                    <w:autoSpaceDE/>
                    <w:autoSpaceDN/>
                    <w:bidi w:val="0"/>
                    <w:adjustRightInd w:val="0"/>
                    <w:snapToGrid w:val="0"/>
                    <w:spacing w:before="157" w:beforeLines="50" w:after="0" w:line="240" w:lineRule="auto"/>
                    <w:ind w:left="0" w:leftChars="0" w:firstLine="0" w:firstLineChars="0"/>
                    <w:jc w:val="center"/>
                    <w:textAlignment w:val="auto"/>
                    <w:rPr>
                      <w:rFonts w:hint="default" w:ascii="Times New Roman" w:hAnsi="Times New Roman" w:eastAsia="宋体" w:cs="Times New Roman"/>
                      <w:b/>
                      <w:bCs/>
                      <w:color w:val="auto"/>
                      <w:kern w:val="0"/>
                      <w:sz w:val="21"/>
                      <w:szCs w:val="13"/>
                      <w:vertAlign w:val="baseline"/>
                      <w:lang w:val="en-US" w:eastAsia="zh-CN"/>
                    </w:rPr>
                  </w:pPr>
                  <w:r>
                    <w:rPr>
                      <w:rFonts w:hint="default" w:ascii="Times New Roman" w:hAnsi="Times New Roman" w:cs="Times New Roman"/>
                    </w:rPr>
                    <w:drawing>
                      <wp:inline distT="0" distB="0" distL="114300" distR="114300">
                        <wp:extent cx="2522855" cy="1882775"/>
                        <wp:effectExtent l="0" t="0" r="10795" b="3175"/>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21"/>
                                <a:stretch>
                                  <a:fillRect/>
                                </a:stretch>
                              </pic:blipFill>
                              <pic:spPr>
                                <a:xfrm>
                                  <a:off x="0" y="0"/>
                                  <a:ext cx="2522855" cy="1882775"/>
                                </a:xfrm>
                                <a:prstGeom prst="rect">
                                  <a:avLst/>
                                </a:prstGeom>
                                <a:noFill/>
                                <a:ln>
                                  <a:noFill/>
                                </a:ln>
                              </pic:spPr>
                            </pic:pic>
                          </a:graphicData>
                        </a:graphic>
                      </wp:inline>
                    </w:drawing>
                  </w:r>
                </w:p>
              </w:tc>
              <w:tc>
                <w:tcPr>
                  <w:tcW w:w="4187" w:type="dxa"/>
                  <w:vAlign w:val="center"/>
                </w:tcPr>
                <w:p w14:paraId="0D0AFA08">
                  <w:pPr>
                    <w:pStyle w:val="25"/>
                    <w:keepNext w:val="0"/>
                    <w:keepLines w:val="0"/>
                    <w:pageBreakBefore w:val="0"/>
                    <w:widowControl w:val="0"/>
                    <w:kinsoku/>
                    <w:wordWrap/>
                    <w:overflowPunct/>
                    <w:topLinePunct w:val="0"/>
                    <w:autoSpaceDE/>
                    <w:autoSpaceDN/>
                    <w:bidi w:val="0"/>
                    <w:adjustRightInd w:val="0"/>
                    <w:snapToGrid w:val="0"/>
                    <w:spacing w:before="157" w:beforeLines="50" w:after="0" w:line="240" w:lineRule="auto"/>
                    <w:ind w:left="0" w:leftChars="0" w:firstLine="0" w:firstLineChars="0"/>
                    <w:jc w:val="center"/>
                    <w:textAlignment w:val="auto"/>
                    <w:rPr>
                      <w:rFonts w:hint="default" w:ascii="Times New Roman" w:hAnsi="Times New Roman" w:eastAsia="宋体" w:cs="Times New Roman"/>
                      <w:b/>
                      <w:bCs/>
                      <w:color w:val="auto"/>
                      <w:kern w:val="0"/>
                      <w:sz w:val="21"/>
                      <w:szCs w:val="13"/>
                      <w:vertAlign w:val="baseline"/>
                      <w:lang w:val="en-US" w:eastAsia="zh-CN"/>
                    </w:rPr>
                  </w:pPr>
                  <w:r>
                    <w:rPr>
                      <w:rFonts w:hint="default" w:ascii="Times New Roman" w:hAnsi="Times New Roman" w:cs="Times New Roman"/>
                    </w:rPr>
                    <w:drawing>
                      <wp:inline distT="0" distB="0" distL="114300" distR="114300">
                        <wp:extent cx="2522855" cy="1898015"/>
                        <wp:effectExtent l="0" t="0" r="10795" b="6985"/>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22"/>
                                <a:stretch>
                                  <a:fillRect/>
                                </a:stretch>
                              </pic:blipFill>
                              <pic:spPr>
                                <a:xfrm>
                                  <a:off x="0" y="0"/>
                                  <a:ext cx="2522855" cy="1898015"/>
                                </a:xfrm>
                                <a:prstGeom prst="rect">
                                  <a:avLst/>
                                </a:prstGeom>
                                <a:noFill/>
                                <a:ln>
                                  <a:noFill/>
                                </a:ln>
                              </pic:spPr>
                            </pic:pic>
                          </a:graphicData>
                        </a:graphic>
                      </wp:inline>
                    </w:drawing>
                  </w:r>
                </w:p>
              </w:tc>
            </w:tr>
            <w:tr w14:paraId="49C7DD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187" w:type="dxa"/>
                  <w:vAlign w:val="center"/>
                </w:tcPr>
                <w:p w14:paraId="609A8FD4">
                  <w:pPr>
                    <w:pStyle w:val="25"/>
                    <w:keepNext w:val="0"/>
                    <w:keepLines w:val="0"/>
                    <w:pageBreakBefore w:val="0"/>
                    <w:widowControl w:val="0"/>
                    <w:kinsoku/>
                    <w:wordWrap/>
                    <w:overflowPunct/>
                    <w:topLinePunct w:val="0"/>
                    <w:autoSpaceDE/>
                    <w:autoSpaceDN/>
                    <w:bidi w:val="0"/>
                    <w:adjustRightInd w:val="0"/>
                    <w:snapToGrid w:val="0"/>
                    <w:spacing w:before="157" w:beforeLines="50" w:after="0" w:line="240" w:lineRule="exact"/>
                    <w:ind w:left="0" w:leftChars="0" w:firstLine="0" w:firstLineChars="0"/>
                    <w:jc w:val="center"/>
                    <w:textAlignment w:val="auto"/>
                    <w:rPr>
                      <w:rFonts w:hint="default" w:ascii="Times New Roman" w:hAnsi="Times New Roman" w:eastAsia="宋体" w:cs="Times New Roman"/>
                      <w:b/>
                      <w:bCs/>
                      <w:color w:val="auto"/>
                      <w:kern w:val="0"/>
                      <w:sz w:val="21"/>
                      <w:szCs w:val="13"/>
                      <w:vertAlign w:val="baseline"/>
                      <w:lang w:val="en-US" w:eastAsia="zh-CN"/>
                    </w:rPr>
                  </w:pPr>
                  <w:r>
                    <w:rPr>
                      <w:rFonts w:hint="default" w:ascii="Times New Roman" w:hAnsi="Times New Roman" w:eastAsia="宋体" w:cs="Times New Roman"/>
                      <w:b/>
                      <w:bCs/>
                      <w:color w:val="auto"/>
                      <w:kern w:val="0"/>
                      <w:sz w:val="21"/>
                      <w:szCs w:val="13"/>
                      <w:vertAlign w:val="baseline"/>
                      <w:lang w:val="en-US" w:eastAsia="zh-CN"/>
                    </w:rPr>
                    <w:t>老路无边沟</w:t>
                  </w:r>
                </w:p>
              </w:tc>
              <w:tc>
                <w:tcPr>
                  <w:tcW w:w="4187" w:type="dxa"/>
                  <w:vAlign w:val="center"/>
                </w:tcPr>
                <w:p w14:paraId="5523E7C6">
                  <w:pPr>
                    <w:pStyle w:val="25"/>
                    <w:keepNext w:val="0"/>
                    <w:keepLines w:val="0"/>
                    <w:pageBreakBefore w:val="0"/>
                    <w:widowControl w:val="0"/>
                    <w:kinsoku/>
                    <w:wordWrap/>
                    <w:overflowPunct/>
                    <w:topLinePunct w:val="0"/>
                    <w:autoSpaceDE/>
                    <w:autoSpaceDN/>
                    <w:bidi w:val="0"/>
                    <w:adjustRightInd w:val="0"/>
                    <w:snapToGrid w:val="0"/>
                    <w:spacing w:before="157" w:beforeLines="50" w:after="0" w:line="240" w:lineRule="exact"/>
                    <w:ind w:left="0" w:leftChars="0" w:firstLine="0" w:firstLineChars="0"/>
                    <w:jc w:val="center"/>
                    <w:textAlignment w:val="auto"/>
                    <w:rPr>
                      <w:rFonts w:hint="default" w:ascii="Times New Roman" w:hAnsi="Times New Roman" w:eastAsia="宋体" w:cs="Times New Roman"/>
                      <w:b/>
                      <w:bCs/>
                      <w:color w:val="auto"/>
                      <w:kern w:val="0"/>
                      <w:sz w:val="21"/>
                      <w:szCs w:val="13"/>
                      <w:vertAlign w:val="baseline"/>
                      <w:lang w:val="en-US" w:eastAsia="zh-CN"/>
                    </w:rPr>
                  </w:pPr>
                  <w:r>
                    <w:rPr>
                      <w:rFonts w:hint="default" w:ascii="Times New Roman" w:hAnsi="Times New Roman" w:eastAsia="宋体" w:cs="Times New Roman"/>
                      <w:b/>
                      <w:bCs/>
                      <w:color w:val="auto"/>
                      <w:kern w:val="0"/>
                      <w:sz w:val="21"/>
                      <w:szCs w:val="13"/>
                      <w:vertAlign w:val="baseline"/>
                      <w:lang w:val="en-US" w:eastAsia="zh-CN"/>
                    </w:rPr>
                    <w:t>老路土质边沟</w:t>
                  </w:r>
                </w:p>
              </w:tc>
            </w:tr>
          </w:tbl>
          <w:p w14:paraId="2EFFDE47">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rPr>
            </w:pPr>
            <w:r>
              <w:rPr>
                <w:rFonts w:hint="eastAsia" w:eastAsia="宋体" w:cs="Times New Roman"/>
                <w:b/>
                <w:bCs/>
                <w:color w:val="auto"/>
                <w:sz w:val="24"/>
                <w:lang w:val="en-US" w:eastAsia="zh-CN"/>
              </w:rPr>
              <w:t>（</w:t>
            </w:r>
            <w:r>
              <w:rPr>
                <w:rFonts w:hint="default" w:ascii="Times New Roman" w:hAnsi="Times New Roman" w:eastAsia="宋体" w:cs="Times New Roman"/>
                <w:b/>
                <w:bCs/>
                <w:color w:val="auto"/>
                <w:sz w:val="24"/>
                <w:lang w:val="en-US" w:eastAsia="zh-CN"/>
              </w:rPr>
              <w:t>五）桥梁、涵洞</w:t>
            </w:r>
          </w:p>
          <w:p w14:paraId="638FDF84">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本项目全线有老桥1座，K0+109左右跨越银山沟，老桥为1-10m现浇板，由于老桥处线位不佳，无法满足三级公路要求，本次设计对其进行改线处理，老涵洞共计8道，结构形式为盖板涵、圆管涵。</w:t>
            </w:r>
          </w:p>
          <w:p w14:paraId="20413B48">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经调查，沿线部分涵洞功能齐全、保存完好和孔径满足新规范的要求。绝大部分老涵洞存在以下情况：</w:t>
            </w:r>
          </w:p>
          <w:p w14:paraId="53AE3414">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1）老涵洞管节端部有露筋现象，管节或盖板间存在渗水；</w:t>
            </w:r>
          </w:p>
          <w:p w14:paraId="7695E03B">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2）大部分老涵洞洞内及洞口存在淤堵现象，导致流水不畅；</w:t>
            </w:r>
          </w:p>
          <w:p w14:paraId="045F8FE4">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3）部分老涵洞孔径过小，不能满足泄洪要求；</w:t>
            </w:r>
          </w:p>
          <w:p w14:paraId="4088A8E5">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4）少量老涵洞由于建设年代较久、经过多次维修、接长，涵洞主体结构技术状况较差，需拆除重建。</w:t>
            </w:r>
          </w:p>
          <w:p w14:paraId="50BE69DC">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对于满足本次设计荷载、过水断面要求，主体结构良好，仅有轻微损坏或淤堵的涵洞，维修、养护或清淤后完全利用，对于道路加宽路段，涵洞主体结构完好的涵洞接长利用；少量老涵由于水系的改变导致丧失使用功能，本次设计予以移位重建；对于通过调查不满足本次设计要求的予以拆除重建。</w:t>
            </w:r>
          </w:p>
          <w:p w14:paraId="1BDF2537">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（六）路线交叉</w:t>
            </w:r>
          </w:p>
          <w:p w14:paraId="0436BB6A">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本项目起点与S517相交，规范交通流，以保障交叉口的行车安全，应进行加铺转角处理。</w:t>
            </w:r>
          </w:p>
          <w:p w14:paraId="54FB48FF">
            <w:pPr>
              <w:pStyle w:val="25"/>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482" w:firstLineChars="200"/>
              <w:textAlignment w:val="auto"/>
              <w:rPr>
                <w:rFonts w:hint="default" w:ascii="Times New Roman" w:hAnsi="Times New Roman" w:eastAsia="宋体" w:cs="Times New Roman"/>
                <w:b/>
                <w:bCs/>
                <w:color w:val="auto"/>
                <w:sz w:val="24"/>
                <w:szCs w:val="24"/>
                <w:highlight w:val="none"/>
                <w:lang w:val="en-US"/>
              </w:rPr>
            </w:pPr>
            <w:r>
              <w:rPr>
                <w:rFonts w:hint="default" w:ascii="Times New Roman" w:hAnsi="Times New Roman" w:eastAsia="宋体" w:cs="Times New Roman"/>
                <w:b/>
                <w:bCs/>
                <w:color w:val="auto"/>
                <w:kern w:val="0"/>
                <w:sz w:val="24"/>
                <w:lang w:val="en-US" w:eastAsia="zh-CN"/>
              </w:rPr>
              <w:t>4、工程设</w:t>
            </w:r>
            <w:r>
              <w:rPr>
                <w:rFonts w:hint="default" w:ascii="Times New Roman" w:hAnsi="Times New Roman" w:eastAsia="宋体" w:cs="Times New Roman"/>
                <w:b/>
                <w:bCs/>
                <w:color w:val="auto"/>
                <w:kern w:val="0"/>
                <w:sz w:val="24"/>
                <w:highlight w:val="none"/>
                <w:lang w:val="en-US" w:eastAsia="zh-CN"/>
              </w:rPr>
              <w:t>计方案</w:t>
            </w:r>
          </w:p>
          <w:p w14:paraId="4FBAAA70">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路线设计</w:t>
            </w:r>
          </w:p>
          <w:p w14:paraId="37511F2E">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1、路线起点位于银山沟与沙坪沟</w:t>
            </w:r>
            <w:r>
              <w:rPr>
                <w:rFonts w:hint="eastAsia" w:eastAsia="宋体" w:cs="Times New Roman"/>
                <w:color w:val="auto"/>
                <w:sz w:val="24"/>
                <w:lang w:val="en-US" w:eastAsia="zh-CN"/>
              </w:rPr>
              <w:t>交界处</w:t>
            </w:r>
            <w:r>
              <w:rPr>
                <w:rFonts w:hint="default" w:ascii="Times New Roman" w:hAnsi="Times New Roman" w:eastAsia="宋体" w:cs="Times New Roman"/>
                <w:color w:val="auto"/>
                <w:sz w:val="24"/>
                <w:lang w:val="en-US" w:eastAsia="zh-CN"/>
              </w:rPr>
              <w:t>，与S517相交，跨越银山沟后基本沿沙坪沟老路线，通过裁弯取直、合并弯道、</w:t>
            </w:r>
            <w:r>
              <w:rPr>
                <w:rFonts w:hint="eastAsia" w:eastAsia="宋体" w:cs="Times New Roman"/>
                <w:color w:val="auto"/>
                <w:sz w:val="24"/>
                <w:lang w:val="en-US" w:eastAsia="zh-CN"/>
              </w:rPr>
              <w:t>增大转弯半径</w:t>
            </w:r>
            <w:r>
              <w:rPr>
                <w:rFonts w:hint="default" w:ascii="Times New Roman" w:hAnsi="Times New Roman" w:eastAsia="宋体" w:cs="Times New Roman"/>
                <w:color w:val="auto"/>
                <w:sz w:val="24"/>
                <w:lang w:val="en-US" w:eastAsia="zh-CN"/>
              </w:rPr>
              <w:t>等手段以使道路满足三级公路标准，</w:t>
            </w:r>
            <w:r>
              <w:rPr>
                <w:rFonts w:hint="eastAsia" w:eastAsia="宋体" w:cs="Times New Roman"/>
                <w:color w:val="auto"/>
                <w:sz w:val="24"/>
                <w:lang w:val="en-US" w:eastAsia="zh-CN"/>
              </w:rPr>
              <w:t>途经</w:t>
            </w:r>
            <w:r>
              <w:rPr>
                <w:rFonts w:hint="default" w:ascii="Times New Roman" w:hAnsi="Times New Roman" w:eastAsia="宋体" w:cs="Times New Roman"/>
                <w:color w:val="auto"/>
                <w:sz w:val="24"/>
                <w:lang w:val="en-US" w:eastAsia="zh-CN"/>
              </w:rPr>
              <w:t>蒋家湾。</w:t>
            </w:r>
          </w:p>
          <w:p w14:paraId="50C7CD69">
            <w:pPr>
              <w:pStyle w:val="25"/>
              <w:adjustRightInd w:val="0"/>
              <w:snapToGrid w:val="0"/>
              <w:spacing w:after="0" w:line="360" w:lineRule="auto"/>
              <w:ind w:left="0" w:leftChars="0" w:firstLine="480" w:firstLineChars="200"/>
              <w:rPr>
                <w:rFonts w:hint="eastAsia" w:eastAsia="宋体" w:cs="Times New Roman"/>
                <w:color w:val="auto"/>
                <w:sz w:val="24"/>
                <w:lang w:val="en-US" w:eastAsia="zh-CN"/>
              </w:rPr>
            </w:pPr>
            <w:r>
              <w:rPr>
                <w:rFonts w:hint="default" w:ascii="Times New Roman" w:hAnsi="Times New Roman" w:eastAsia="宋体" w:cs="Times New Roman"/>
                <w:color w:val="auto"/>
                <w:sz w:val="24"/>
                <w:lang w:val="en-US" w:eastAsia="zh-CN"/>
              </w:rPr>
              <w:t>2、终点附近为顺接钼矿采选场地标高，提前起坡沿山腰线选择合理地形进行布设，终点与矿区规划路相衔接。</w:t>
            </w:r>
            <w:r>
              <w:rPr>
                <w:rFonts w:hint="eastAsia" w:eastAsia="宋体" w:cs="Times New Roman"/>
                <w:color w:val="auto"/>
                <w:sz w:val="24"/>
                <w:lang w:val="en-US" w:eastAsia="zh-CN"/>
              </w:rPr>
              <w:t>路线平面走向如下图所示：</w:t>
            </w:r>
          </w:p>
          <w:p w14:paraId="5818F1B3">
            <w:pPr>
              <w:pStyle w:val="25"/>
              <w:adjustRightInd w:val="0"/>
              <w:snapToGrid w:val="0"/>
              <w:spacing w:after="0" w:line="360" w:lineRule="auto"/>
              <w:ind w:left="0" w:leftChars="0" w:firstLine="480" w:firstLineChars="200"/>
              <w:rPr>
                <w:rFonts w:hint="eastAsia" w:eastAsia="宋体" w:cs="Times New Roman"/>
                <w:color w:val="auto"/>
                <w:sz w:val="24"/>
                <w:lang w:val="en-US" w:eastAsia="zh-CN"/>
              </w:rPr>
            </w:pPr>
          </w:p>
          <w:p w14:paraId="58B65A98">
            <w:pPr>
              <w:pStyle w:val="25"/>
              <w:adjustRightInd w:val="0"/>
              <w:snapToGrid w:val="0"/>
              <w:spacing w:after="0" w:line="360" w:lineRule="auto"/>
              <w:ind w:left="0" w:leftChars="0" w:firstLine="480" w:firstLineChars="200"/>
              <w:rPr>
                <w:rFonts w:hint="eastAsia" w:eastAsia="宋体" w:cs="Times New Roman"/>
                <w:color w:val="auto"/>
                <w:sz w:val="24"/>
                <w:lang w:val="en-US" w:eastAsia="zh-CN"/>
              </w:rPr>
            </w:pPr>
          </w:p>
          <w:p w14:paraId="6B2D3C52">
            <w:pPr>
              <w:pStyle w:val="25"/>
              <w:adjustRightInd w:val="0"/>
              <w:snapToGrid w:val="0"/>
              <w:spacing w:after="0" w:line="360" w:lineRule="auto"/>
              <w:ind w:left="0" w:leftChars="0" w:firstLine="480" w:firstLineChars="200"/>
              <w:rPr>
                <w:rFonts w:hint="eastAsia" w:eastAsia="宋体" w:cs="Times New Roman"/>
                <w:color w:val="auto"/>
                <w:sz w:val="24"/>
                <w:lang w:val="en-US" w:eastAsia="zh-CN"/>
              </w:rPr>
            </w:pPr>
          </w:p>
          <w:p w14:paraId="67CB4511">
            <w:pPr>
              <w:pStyle w:val="25"/>
              <w:adjustRightInd w:val="0"/>
              <w:snapToGrid w:val="0"/>
              <w:spacing w:after="0" w:line="360" w:lineRule="auto"/>
              <w:ind w:left="0" w:leftChars="0" w:firstLine="480" w:firstLineChars="200"/>
              <w:rPr>
                <w:rFonts w:hint="eastAsia" w:eastAsia="宋体" w:cs="Times New Roman"/>
                <w:color w:val="auto"/>
                <w:sz w:val="24"/>
                <w:lang w:val="en-US" w:eastAsia="zh-CN"/>
              </w:rPr>
            </w:pPr>
          </w:p>
          <w:p w14:paraId="56B62FF7">
            <w:pPr>
              <w:pStyle w:val="25"/>
              <w:adjustRightInd w:val="0"/>
              <w:snapToGrid w:val="0"/>
              <w:spacing w:after="0" w:line="360" w:lineRule="auto"/>
              <w:ind w:left="0" w:leftChars="0" w:firstLine="480" w:firstLineChars="200"/>
              <w:rPr>
                <w:rFonts w:hint="eastAsia" w:eastAsia="宋体" w:cs="Times New Roman"/>
                <w:color w:val="auto"/>
                <w:sz w:val="24"/>
                <w:lang w:val="en-US" w:eastAsia="zh-CN"/>
              </w:rPr>
            </w:pPr>
          </w:p>
          <w:p w14:paraId="68F6CDA2">
            <w:pPr>
              <w:pStyle w:val="25"/>
              <w:adjustRightInd w:val="0"/>
              <w:snapToGrid w:val="0"/>
              <w:spacing w:after="0" w:line="360" w:lineRule="auto"/>
              <w:ind w:left="0" w:leftChars="0" w:firstLine="480" w:firstLineChars="200"/>
              <w:rPr>
                <w:rFonts w:hint="eastAsia" w:eastAsia="宋体" w:cs="Times New Roman"/>
                <w:color w:val="auto"/>
                <w:sz w:val="24"/>
                <w:lang w:val="en-US" w:eastAsia="zh-CN"/>
              </w:rPr>
            </w:pPr>
          </w:p>
          <w:p w14:paraId="22387F89">
            <w:pPr>
              <w:pStyle w:val="25"/>
              <w:adjustRightInd w:val="0"/>
              <w:snapToGrid w:val="0"/>
              <w:spacing w:after="0" w:line="360" w:lineRule="auto"/>
              <w:ind w:left="0" w:leftChars="0" w:firstLine="480" w:firstLineChars="200"/>
              <w:rPr>
                <w:rFonts w:hint="eastAsia" w:eastAsia="宋体" w:cs="Times New Roman"/>
                <w:color w:val="auto"/>
                <w:sz w:val="24"/>
                <w:lang w:val="en-US" w:eastAsia="zh-CN"/>
              </w:rPr>
            </w:pPr>
          </w:p>
          <w:p w14:paraId="32C07D2D">
            <w:pPr>
              <w:pStyle w:val="25"/>
              <w:adjustRightInd w:val="0"/>
              <w:snapToGrid w:val="0"/>
              <w:spacing w:after="0" w:line="360" w:lineRule="auto"/>
              <w:ind w:left="0" w:leftChars="0" w:firstLine="480" w:firstLineChars="200"/>
              <w:rPr>
                <w:rFonts w:hint="eastAsia" w:eastAsia="宋体" w:cs="Times New Roman"/>
                <w:color w:val="auto"/>
                <w:sz w:val="24"/>
                <w:lang w:val="en-US" w:eastAsia="zh-CN"/>
              </w:rPr>
            </w:pPr>
          </w:p>
          <w:p w14:paraId="49DA96BC">
            <w:pPr>
              <w:pStyle w:val="25"/>
              <w:adjustRightInd w:val="0"/>
              <w:snapToGrid w:val="0"/>
              <w:spacing w:after="0" w:line="360" w:lineRule="auto"/>
              <w:ind w:left="0" w:leftChars="0" w:firstLine="0" w:firstLineChars="0"/>
              <w:rPr>
                <w:rFonts w:hint="default" w:eastAsia="宋体" w:cs="Times New Roman"/>
                <w:color w:val="auto"/>
                <w:sz w:val="24"/>
                <w:lang w:val="en-US" w:eastAsia="zh-CN"/>
              </w:rPr>
            </w:pPr>
          </w:p>
          <w:p w14:paraId="005DD685">
            <w:pPr>
              <w:pStyle w:val="25"/>
              <w:adjustRightInd w:val="0"/>
              <w:snapToGrid w:val="0"/>
              <w:spacing w:after="0" w:line="360" w:lineRule="auto"/>
              <w:ind w:left="0" w:leftChars="0" w:firstLine="0" w:firstLineChars="0"/>
              <w:jc w:val="center"/>
              <w:rPr>
                <w:rFonts w:hint="default" w:ascii="Times New Roman" w:hAnsi="Times New Roman" w:eastAsia="宋体" w:cs="Times New Roman"/>
                <w:color w:val="auto"/>
                <w:sz w:val="24"/>
              </w:rPr>
            </w:pPr>
            <w:r>
              <w:drawing>
                <wp:inline distT="0" distB="0" distL="114300" distR="114300">
                  <wp:extent cx="4878705" cy="3190240"/>
                  <wp:effectExtent l="9525" t="9525" r="26670" b="19685"/>
                  <wp:docPr id="9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
                          <pic:cNvPicPr>
                            <a:picLocks noChangeAspect="1"/>
                          </pic:cNvPicPr>
                        </pic:nvPicPr>
                        <pic:blipFill>
                          <a:blip r:embed="rId23"/>
                          <a:stretch>
                            <a:fillRect/>
                          </a:stretch>
                        </pic:blipFill>
                        <pic:spPr>
                          <a:xfrm>
                            <a:off x="0" y="0"/>
                            <a:ext cx="4878705" cy="3190240"/>
                          </a:xfrm>
                          <a:prstGeom prst="rect">
                            <a:avLst/>
                          </a:prstGeom>
                          <a:noFill/>
                          <a:ln>
                            <a:solidFill>
                              <a:schemeClr val="tx1"/>
                            </a:solidFill>
                          </a:ln>
                        </pic:spPr>
                      </pic:pic>
                    </a:graphicData>
                  </a:graphic>
                </wp:inline>
              </w:drawing>
            </w:r>
          </w:p>
          <w:p w14:paraId="68335BE1">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lang w:eastAsia="zh-CN"/>
              </w:rPr>
              <w:t>）横断面设计</w:t>
            </w:r>
          </w:p>
          <w:p w14:paraId="3A5F5941">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参照《公路工程技术标准》JTGB01-2014及《公路路基设计规范》JTGD30-2015，结合项目的功能定位，拟定本标段路基横断面形式如下：路基宽8.5米，横向布置为0.75m土路肩+0.25m硬路肩+3.25m×2行车道+0.25m硬路肩+0.75m土路肩。路基标准横断面见下图：</w:t>
            </w:r>
          </w:p>
          <w:p w14:paraId="3893C217">
            <w:pPr>
              <w:pStyle w:val="25"/>
              <w:adjustRightInd w:val="0"/>
              <w:snapToGrid w:val="0"/>
              <w:spacing w:after="0" w:line="360" w:lineRule="auto"/>
              <w:ind w:left="0" w:leftChars="0" w:firstLine="0" w:firstLineChars="0"/>
              <w:rPr>
                <w:rFonts w:hint="default" w:ascii="Times New Roman" w:hAnsi="Times New Roman" w:eastAsia="宋体" w:cs="Times New Roman"/>
                <w:color w:val="auto"/>
                <w:sz w:val="24"/>
                <w:szCs w:val="24"/>
              </w:rPr>
            </w:pPr>
            <w:r>
              <w:drawing>
                <wp:inline distT="0" distB="0" distL="114300" distR="114300">
                  <wp:extent cx="5319395" cy="3074670"/>
                  <wp:effectExtent l="9525" t="9525" r="24130" b="20955"/>
                  <wp:docPr id="1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
                          <pic:cNvPicPr>
                            <a:picLocks noChangeAspect="1"/>
                          </pic:cNvPicPr>
                        </pic:nvPicPr>
                        <pic:blipFill>
                          <a:blip r:embed="rId24"/>
                          <a:stretch>
                            <a:fillRect/>
                          </a:stretch>
                        </pic:blipFill>
                        <pic:spPr>
                          <a:xfrm>
                            <a:off x="0" y="0"/>
                            <a:ext cx="5319395" cy="3074670"/>
                          </a:xfrm>
                          <a:prstGeom prst="rect">
                            <a:avLst/>
                          </a:prstGeom>
                          <a:noFill/>
                          <a:ln>
                            <a:solidFill>
                              <a:schemeClr val="tx1"/>
                            </a:solidFill>
                          </a:ln>
                        </pic:spPr>
                      </pic:pic>
                    </a:graphicData>
                  </a:graphic>
                </wp:inline>
              </w:drawing>
            </w:r>
          </w:p>
          <w:p w14:paraId="7F94A54D">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val="en-US" w:eastAsia="zh-CN"/>
              </w:rPr>
              <w:t>（3）超高、加宽设计</w:t>
            </w:r>
          </w:p>
          <w:p w14:paraId="7670E599">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超高的横坡度根据设计车速、圆曲线半径、路面类型、自然条件和车辆组成情况确定，同时按运行速度进行验算。不设超高路段行车道路拱横坡为2%，路肩路拱横坡为4%；超高段以行车道中线为超高旋转轴，最大超高值6%。圆曲线半径小于等于250m时，弯道内侧进行加宽，采用三类加宽值。</w:t>
            </w:r>
          </w:p>
          <w:p w14:paraId="536CF9A4">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lang w:eastAsia="zh-CN"/>
              </w:rPr>
              <w:t>）</w:t>
            </w:r>
            <w:r>
              <w:rPr>
                <w:rFonts w:hint="eastAsia" w:eastAsia="宋体" w:cs="Times New Roman"/>
                <w:b/>
                <w:bCs/>
                <w:color w:val="auto"/>
                <w:sz w:val="24"/>
                <w:szCs w:val="24"/>
                <w:lang w:val="en-US" w:eastAsia="zh-CN"/>
              </w:rPr>
              <w:t>路基边坡</w:t>
            </w:r>
          </w:p>
          <w:p w14:paraId="4FA7E6FF">
            <w:pPr>
              <w:pStyle w:val="25"/>
              <w:adjustRightInd w:val="0"/>
              <w:snapToGrid w:val="0"/>
              <w:spacing w:after="0" w:line="360" w:lineRule="auto"/>
              <w:ind w:left="0" w:leftChars="0" w:firstLine="480" w:firstLineChars="200"/>
              <w:rPr>
                <w:rFonts w:hint="eastAsia" w:eastAsia="宋体" w:cs="Times New Roman"/>
                <w:color w:val="auto"/>
                <w:sz w:val="24"/>
                <w:szCs w:val="24"/>
                <w:lang w:val="en-US" w:eastAsia="zh-CN"/>
              </w:rPr>
            </w:pPr>
            <w:r>
              <w:rPr>
                <w:rFonts w:hint="eastAsia" w:eastAsia="宋体" w:cs="Times New Roman"/>
                <w:color w:val="auto"/>
                <w:sz w:val="24"/>
                <w:szCs w:val="24"/>
                <w:lang w:val="en-US" w:eastAsia="zh-CN"/>
              </w:rPr>
              <w:t>路基填方边坡坡度为1:1.5；挖方边坡坡度为1：n，n由土质而定，当挖方边坡为土质时n=1.0；碎石土或砾石土时n=0.75；当为石质时根据石质的密实程度并结合倾向和走向，在确保边坡稳定情况下，采用1:0.5～1:0.3。</w:t>
            </w:r>
          </w:p>
          <w:p w14:paraId="29F44391">
            <w:pPr>
              <w:pStyle w:val="25"/>
              <w:adjustRightInd w:val="0"/>
              <w:snapToGrid w:val="0"/>
              <w:spacing w:after="0" w:line="360" w:lineRule="auto"/>
              <w:ind w:left="0" w:leftChars="0" w:firstLine="482" w:firstLineChars="200"/>
              <w:rPr>
                <w:rFonts w:hint="eastAsia" w:eastAsia="宋体" w:cs="Times New Roman"/>
                <w:color w:val="auto"/>
                <w:sz w:val="24"/>
                <w:szCs w:val="24"/>
                <w:lang w:val="en-US" w:eastAsia="zh-CN"/>
              </w:rPr>
            </w:pPr>
            <w:r>
              <w:rPr>
                <w:rFonts w:hint="eastAsia" w:eastAsia="宋体" w:cs="Times New Roman"/>
                <w:b/>
                <w:bCs/>
                <w:color w:val="auto"/>
                <w:sz w:val="24"/>
                <w:szCs w:val="24"/>
                <w:lang w:val="en-US" w:eastAsia="zh-CN"/>
              </w:rPr>
              <w:t>1）填方边坡：</w:t>
            </w:r>
            <w:r>
              <w:rPr>
                <w:rFonts w:hint="eastAsia" w:eastAsia="宋体" w:cs="Times New Roman"/>
                <w:color w:val="auto"/>
                <w:sz w:val="24"/>
                <w:szCs w:val="24"/>
                <w:lang w:val="en-US" w:eastAsia="zh-CN"/>
              </w:rPr>
              <w:t>当边坡高度小于10米时，边坡坡率采用1:1.5；当边坡高度大于10米时，每8米设一2米宽的平台，自上向下边坡率分别为1:1.5、1:1.75，平台上设截水沟。坡脚设置宽度1m的护坡道，护坡道保证向外4%的横坡，护坡道外侧设置矩形边沟，边沟外2m设置用地界，局部可调整征地宽度，使路基边沟在一段长度内保证平面线形顺畅，以利于排水，美化景观。局部路段采用支挡构造物收缩坡脚，减小路基占地宽度。</w:t>
            </w:r>
          </w:p>
          <w:p w14:paraId="662983A8">
            <w:pPr>
              <w:pStyle w:val="25"/>
              <w:adjustRightInd w:val="0"/>
              <w:snapToGrid w:val="0"/>
              <w:spacing w:after="0" w:line="360" w:lineRule="auto"/>
              <w:ind w:left="0" w:leftChars="0" w:firstLine="482" w:firstLineChars="200"/>
              <w:rPr>
                <w:rFonts w:hint="eastAsia" w:eastAsia="宋体" w:cs="Times New Roman"/>
                <w:color w:val="auto"/>
                <w:sz w:val="24"/>
                <w:szCs w:val="24"/>
                <w:lang w:val="en-US" w:eastAsia="zh-CN"/>
              </w:rPr>
            </w:pPr>
            <w:r>
              <w:rPr>
                <w:rFonts w:hint="eastAsia" w:eastAsia="宋体" w:cs="Times New Roman"/>
                <w:b/>
                <w:bCs/>
                <w:color w:val="auto"/>
                <w:sz w:val="24"/>
                <w:szCs w:val="24"/>
                <w:lang w:val="en-US" w:eastAsia="zh-CN"/>
              </w:rPr>
              <w:t>2）挖方边坡：</w:t>
            </w:r>
            <w:r>
              <w:rPr>
                <w:rFonts w:hint="eastAsia" w:eastAsia="宋体" w:cs="Times New Roman"/>
                <w:color w:val="auto"/>
                <w:sz w:val="24"/>
                <w:szCs w:val="24"/>
                <w:lang w:val="en-US" w:eastAsia="zh-CN"/>
              </w:rPr>
              <w:t>当边坡高度小于10米时，一坡到顶；高度大于10米时，每隔8.0米设置一2.0米宽平台，平台保证向内4%的横坡。根据工程的实际，在平台位置设截水沟，截水沟尺寸为30x30cm，外侧沟壁垂直，内侧同路堑边坡率；挖方路堑坡顶未设截水沟时，用地界碑离坡口距离为2m；当需设置截水沟时，截水沟离坡口距离为 5m，用地界碑离截水沟外边缘为2m。</w:t>
            </w:r>
          </w:p>
          <w:p w14:paraId="64882E2B">
            <w:pPr>
              <w:pStyle w:val="25"/>
              <w:adjustRightInd w:val="0"/>
              <w:snapToGrid w:val="0"/>
              <w:spacing w:after="0" w:line="360" w:lineRule="auto"/>
              <w:ind w:left="0" w:leftChars="0" w:firstLine="480" w:firstLineChars="200"/>
              <w:rPr>
                <w:rFonts w:hint="eastAsia" w:eastAsia="宋体" w:cs="Times New Roman"/>
                <w:color w:val="auto"/>
                <w:sz w:val="24"/>
                <w:szCs w:val="24"/>
                <w:lang w:val="en-US" w:eastAsia="zh-CN"/>
              </w:rPr>
            </w:pPr>
            <w:r>
              <w:rPr>
                <w:rFonts w:hint="eastAsia" w:eastAsia="宋体" w:cs="Times New Roman"/>
                <w:color w:val="auto"/>
                <w:sz w:val="24"/>
                <w:szCs w:val="24"/>
                <w:lang w:val="en-US" w:eastAsia="zh-CN"/>
              </w:rPr>
              <w:t>挖方边坡坡率在保证边坡安全稳定的前提下，选择时体现个性化和灵活性，不采用全线统一的标准化的边坡坡率。对借土量比较大的路段可适当放缓边坡坡率，既有利于改善道路整体景观，又增加了挖方利用量；对挖方坡口已越过山脊最高点的路段，由于边坡放缓后挖方量增加不大，但可有效降低边坡高度，提高边坡稳定性，也有利于采用绿色防护，同时改善视觉效果，可适当放缓坡率。土质挖方边坡坡率应根据土质、填挖平衡、边坡景观等因素综合分析确定；石质挖方的开挖坡率应视其岩层产状、岩体风化破碎程度、岩石风化难易程度、边坡高度等具体情况而定。</w:t>
            </w:r>
          </w:p>
          <w:p w14:paraId="25A4AE2C">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eastAsia" w:eastAsia="宋体" w:cs="Times New Roman"/>
                <w:color w:val="auto"/>
                <w:sz w:val="24"/>
                <w:szCs w:val="24"/>
                <w:lang w:val="en-US" w:eastAsia="zh-CN"/>
              </w:rPr>
              <w:t>对局部路段坡体开挖后剩余量较少，从景观、绿化、驾驶者行车心理综合考虑，结合取弃土、景观以及观景台等进行整体设计，将其全部挖除。为了减少爆破对石质挖方路段坡体的影响，建议在石质挖方段采用光面、预裂爆破技术施工。否则将影响边坡安全及防护与绿化方案的实施。边坡为软弱松散岩质路堑，采用分层开挖、及时防护和坡脚预加固措施</w:t>
            </w:r>
            <w:r>
              <w:rPr>
                <w:rFonts w:hint="default" w:ascii="Times New Roman" w:hAnsi="Times New Roman" w:eastAsia="宋体" w:cs="Times New Roman"/>
                <w:color w:val="auto"/>
                <w:sz w:val="24"/>
                <w:szCs w:val="24"/>
                <w:lang w:val="en-US" w:eastAsia="zh-CN"/>
              </w:rPr>
              <w:t>。</w:t>
            </w:r>
          </w:p>
          <w:p w14:paraId="77D85F59">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w:t>
            </w:r>
            <w:r>
              <w:rPr>
                <w:rFonts w:hint="eastAsia"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lang w:val="en-US" w:eastAsia="zh-CN"/>
              </w:rPr>
              <w:t>）陡坡路堤设计</w:t>
            </w:r>
          </w:p>
          <w:p w14:paraId="4249037C">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在清除地表松散土后，基底应开挖成向内倾斜2%～4%横坡的台阶，且台阶的宽度不小于2m。在级配碎石底部和最上一级台阶上各铺设双向钢塑土工格栅，台阶上搭接宽度为 2m。</w:t>
            </w:r>
          </w:p>
          <w:p w14:paraId="74BFF094">
            <w:pPr>
              <w:pStyle w:val="25"/>
              <w:adjustRightInd w:val="0"/>
              <w:snapToGrid w:val="0"/>
              <w:spacing w:after="0" w:line="360" w:lineRule="auto"/>
              <w:ind w:left="0" w:leftChars="0" w:firstLine="482"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lang w:val="en-US" w:eastAsia="zh-CN"/>
              </w:rPr>
              <w:t>横向陡坡：</w:t>
            </w:r>
            <w:r>
              <w:rPr>
                <w:rFonts w:hint="default" w:ascii="Times New Roman" w:hAnsi="Times New Roman" w:eastAsia="宋体" w:cs="Times New Roman"/>
                <w:color w:val="auto"/>
                <w:sz w:val="24"/>
                <w:szCs w:val="24"/>
                <w:lang w:val="en-US" w:eastAsia="zh-CN"/>
              </w:rPr>
              <w:t>在清除地表松散土后，基底应开挖成向内倾斜2%～4%横坡的台阶，且台阶的宽度不小于2m。在一、二级台阶上各铺设双向钢塑土工格栅，台阶上搭接宽度为2m。</w:t>
            </w:r>
          </w:p>
          <w:p w14:paraId="369D3686">
            <w:pPr>
              <w:pStyle w:val="25"/>
              <w:adjustRightInd w:val="0"/>
              <w:snapToGrid w:val="0"/>
              <w:spacing w:after="0" w:line="360" w:lineRule="auto"/>
              <w:ind w:left="0" w:leftChars="0" w:firstLine="482"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lang w:val="en-US" w:eastAsia="zh-CN"/>
              </w:rPr>
              <w:t>纵向陡坡：</w:t>
            </w:r>
            <w:r>
              <w:rPr>
                <w:rFonts w:hint="default" w:ascii="Times New Roman" w:hAnsi="Times New Roman" w:eastAsia="宋体" w:cs="Times New Roman"/>
                <w:color w:val="auto"/>
                <w:sz w:val="24"/>
                <w:szCs w:val="24"/>
                <w:lang w:val="en-US" w:eastAsia="zh-CN"/>
              </w:rPr>
              <w:t>路基开挖时，应向挖方侧超挖不小于5m长，靠近挖方侧的一端应开挖不小于40cm深（回填时，可根据挖方路床处理一并实施），并按1:5的坡度向填方侧</w:t>
            </w:r>
            <w:r>
              <w:rPr>
                <w:rFonts w:hint="eastAsia" w:eastAsia="宋体" w:cs="Times New Roman"/>
                <w:color w:val="auto"/>
                <w:sz w:val="24"/>
                <w:szCs w:val="24"/>
                <w:lang w:val="en-US" w:eastAsia="zh-CN"/>
              </w:rPr>
              <w:t>过渡</w:t>
            </w:r>
            <w:r>
              <w:rPr>
                <w:rFonts w:hint="default" w:ascii="Times New Roman" w:hAnsi="Times New Roman" w:eastAsia="宋体" w:cs="Times New Roman"/>
                <w:color w:val="auto"/>
                <w:sz w:val="24"/>
                <w:szCs w:val="24"/>
                <w:lang w:val="en-US" w:eastAsia="zh-CN"/>
              </w:rPr>
              <w:t>，保证2m宽富余，用以放置土工格栅。土工格栅设置两层，一层在路面结构层底下填挖交界每侧4m，另一层设在第一级台阶顶面，挖方侧搭接2m，其余6m置于填方侧，与路基填筑同步实施。</w:t>
            </w:r>
          </w:p>
          <w:p w14:paraId="4DA5E59A">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铺设土工格栅时，应采用U型钉进行有效的锚固，锚钉采用φ10钢筋弯制而成。在全风化土质挖方段长度不应小于 20cm，在石质挖方段锚固长度不应小于15cm。格栅材料采用双向凸节点钢塑土工格栅，其经、纬向拉伸屈服强度≥80KN/m；屈服延伸率≤5%</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节点极限剥离力≥300N。</w:t>
            </w:r>
          </w:p>
          <w:p w14:paraId="01AC4D03">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（6）</w:t>
            </w:r>
            <w:r>
              <w:rPr>
                <w:rFonts w:hint="default" w:ascii="Times New Roman" w:hAnsi="Times New Roman" w:eastAsia="宋体" w:cs="Times New Roman"/>
                <w:b/>
                <w:bCs/>
                <w:color w:val="auto"/>
                <w:sz w:val="24"/>
                <w:szCs w:val="24"/>
                <w:lang w:val="en-US" w:eastAsia="zh-CN"/>
              </w:rPr>
              <w:t>路基防护</w:t>
            </w:r>
          </w:p>
          <w:p w14:paraId="289DCEEB">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路基防护设计与水土保持、环境保护相结合，遵循“因地制宜、就地取材、以防为主、防治结合”的方针，综合考虑安全、美观、经济、实用性和各路段不同的地质水文条件。经过充分的方案比选论证，选择在技术、经济、工艺、经验和效果各方面具有综合优势的防护方案。</w:t>
            </w:r>
          </w:p>
          <w:p w14:paraId="093BA9C1">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本项目路基防护有以下几个方面的重点： </w:t>
            </w:r>
          </w:p>
          <w:p w14:paraId="25C26CF0">
            <w:pPr>
              <w:pStyle w:val="25"/>
              <w:adjustRightInd w:val="0"/>
              <w:snapToGrid w:val="0"/>
              <w:spacing w:after="0" w:line="360" w:lineRule="auto"/>
              <w:ind w:left="0" w:leftChars="0" w:firstLine="482"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lang w:val="en-US" w:eastAsia="zh-CN"/>
              </w:rPr>
              <w:t>生态防护：</w:t>
            </w:r>
            <w:r>
              <w:rPr>
                <w:rFonts w:hint="default" w:ascii="Times New Roman" w:hAnsi="Times New Roman" w:eastAsia="宋体" w:cs="Times New Roman"/>
                <w:color w:val="auto"/>
                <w:sz w:val="24"/>
                <w:szCs w:val="24"/>
                <w:lang w:val="en-US" w:eastAsia="zh-CN"/>
              </w:rPr>
              <w:t>结合地方植被发育特点，通过乔、灌、草联合种植建设立体生态系统，贯彻“宜花则花、宜草则草”的原则，利用当地野生物种，恢复边坡的原生态自然风貌；</w:t>
            </w:r>
          </w:p>
          <w:p w14:paraId="62E46308">
            <w:pPr>
              <w:pStyle w:val="25"/>
              <w:adjustRightInd w:val="0"/>
              <w:snapToGrid w:val="0"/>
              <w:spacing w:after="0" w:line="360" w:lineRule="auto"/>
              <w:ind w:left="0" w:leftChars="0" w:firstLine="482"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lang w:val="en-US" w:eastAsia="zh-CN"/>
              </w:rPr>
              <w:t>工程防护：</w:t>
            </w:r>
            <w:r>
              <w:rPr>
                <w:rFonts w:hint="default" w:ascii="Times New Roman" w:hAnsi="Times New Roman" w:eastAsia="宋体" w:cs="Times New Roman"/>
                <w:color w:val="auto"/>
                <w:sz w:val="24"/>
                <w:szCs w:val="24"/>
                <w:lang w:val="en-US" w:eastAsia="zh-CN"/>
              </w:rPr>
              <w:t>通过分析论证，在确保路基稳定的前提下，做到安全可靠、经济适用，同时考虑防护设施的视觉效果，体现其自然性、流动性、隐蔽性和实用性。</w:t>
            </w:r>
          </w:p>
          <w:p w14:paraId="346C2781">
            <w:pPr>
              <w:pStyle w:val="25"/>
              <w:adjustRightInd w:val="0"/>
              <w:snapToGrid w:val="0"/>
              <w:spacing w:after="0" w:line="360" w:lineRule="auto"/>
              <w:ind w:left="0" w:leftChars="0" w:firstLine="482"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lang w:val="en-US" w:eastAsia="zh-CN"/>
              </w:rPr>
              <w:t>不做防护：</w:t>
            </w:r>
            <w:r>
              <w:rPr>
                <w:rFonts w:hint="default" w:ascii="Times New Roman" w:hAnsi="Times New Roman" w:eastAsia="宋体" w:cs="Times New Roman"/>
                <w:color w:val="auto"/>
                <w:sz w:val="24"/>
                <w:szCs w:val="24"/>
                <w:lang w:val="en-US" w:eastAsia="zh-CN"/>
              </w:rPr>
              <w:t xml:space="preserve">当路基及边坡本身具有良好的稳定性和生态恢复能力时，通过合理配置工期，利用大自然自身的生态恢复能力，使生态环境得到修复和建设；当路堑边坡稳定，岩体完全坚硬，且具备形成自然风光的条件时，不加防护设施，使其自成一景。 </w:t>
            </w:r>
          </w:p>
          <w:p w14:paraId="601EB7B6">
            <w:pPr>
              <w:pStyle w:val="25"/>
              <w:adjustRightInd w:val="0"/>
              <w:snapToGrid w:val="0"/>
              <w:spacing w:after="0" w:line="360" w:lineRule="auto"/>
              <w:ind w:left="0" w:leftChars="0" w:firstLine="482"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lang w:val="en-US" w:eastAsia="zh-CN"/>
              </w:rPr>
              <w:t>填方段路基防护：</w:t>
            </w:r>
            <w:r>
              <w:rPr>
                <w:rFonts w:hint="default" w:ascii="Times New Roman" w:hAnsi="Times New Roman" w:eastAsia="宋体" w:cs="Times New Roman"/>
                <w:color w:val="auto"/>
                <w:sz w:val="24"/>
                <w:szCs w:val="24"/>
                <w:lang w:val="en-US" w:eastAsia="zh-CN"/>
              </w:rPr>
              <w:t>①一般路段采用液压喷播护坡；②对于地表横坡较陡、难以填筑路段及部分沿溪路段，采用路肩墙、路堤墙及护肩墙以收缩、稳固坡脚。</w:t>
            </w:r>
          </w:p>
          <w:p w14:paraId="08944E1F">
            <w:pPr>
              <w:pStyle w:val="25"/>
              <w:adjustRightInd w:val="0"/>
              <w:snapToGrid w:val="0"/>
              <w:spacing w:after="0" w:line="360" w:lineRule="auto"/>
              <w:ind w:left="0" w:leftChars="0" w:firstLine="482"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lang w:val="en-US" w:eastAsia="zh-CN"/>
              </w:rPr>
              <w:t>挖方段路基防护：</w:t>
            </w:r>
            <w:r>
              <w:rPr>
                <w:rFonts w:hint="default" w:ascii="Times New Roman" w:hAnsi="Times New Roman" w:eastAsia="宋体" w:cs="Times New Roman"/>
                <w:color w:val="auto"/>
                <w:sz w:val="24"/>
                <w:szCs w:val="24"/>
                <w:lang w:val="en-US" w:eastAsia="zh-CN"/>
              </w:rPr>
              <w:t>①对于少量覆盖层较厚的浅挖路段，坡面防护采用液压喷播防护；②对于新开挖的岩石高陡边坡，坡面防护采用厚层基材处理；③对于部分岩体较为破碎的挖方段进行挂主动网处理，以确保道路运营安全</w:t>
            </w:r>
            <w:r>
              <w:rPr>
                <w:rFonts w:hint="eastAsia" w:ascii="Times New Roman" w:hAnsi="Times New Roman" w:eastAsia="宋体" w:cs="Times New Roman"/>
                <w:color w:val="auto"/>
                <w:sz w:val="24"/>
                <w:szCs w:val="24"/>
                <w:lang w:val="en-US" w:eastAsia="zh-CN"/>
              </w:rPr>
              <w:t>。</w:t>
            </w:r>
          </w:p>
          <w:p w14:paraId="3B8506A0">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eastAsia="zh-CN"/>
              </w:rPr>
              <w:t>（</w:t>
            </w:r>
            <w:r>
              <w:rPr>
                <w:rFonts w:hint="eastAsia" w:eastAsia="宋体" w:cs="Times New Roman"/>
                <w:b/>
                <w:bCs/>
                <w:color w:val="auto"/>
                <w:sz w:val="24"/>
                <w:szCs w:val="24"/>
                <w:lang w:val="en-US" w:eastAsia="zh-CN"/>
              </w:rPr>
              <w:t>7</w:t>
            </w: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lang w:val="en-US" w:eastAsia="zh-CN"/>
              </w:rPr>
              <w:t>路面工程</w:t>
            </w:r>
          </w:p>
          <w:p w14:paraId="70738804">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lang w:val="en-US" w:eastAsia="zh-CN"/>
              </w:rPr>
              <w:t>本项目路面结构基本上为新建，路面宽7.0米，采用4cmAC-13C细粒式沥青砼+6cmAC-20C中粒式沥青砼+20cm水泥稳定碎石+20cm低剂量水泥稳定碎石</w:t>
            </w:r>
            <w:r>
              <w:rPr>
                <w:rFonts w:hint="default" w:ascii="Times New Roman" w:hAnsi="Times New Roman" w:eastAsia="宋体" w:cs="Times New Roman"/>
                <w:color w:val="auto"/>
                <w:sz w:val="24"/>
                <w:szCs w:val="24"/>
                <w:highlight w:val="none"/>
                <w:lang w:val="en-US" w:eastAsia="zh-CN"/>
              </w:rPr>
              <w:t>。</w:t>
            </w:r>
          </w:p>
          <w:p w14:paraId="577B8EF5">
            <w:pPr>
              <w:pStyle w:val="25"/>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eastAsia="zh-CN"/>
              </w:rPr>
              <w:t>（</w:t>
            </w:r>
            <w:r>
              <w:rPr>
                <w:rFonts w:hint="eastAsia" w:eastAsia="宋体"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桥涵工程</w:t>
            </w:r>
          </w:p>
          <w:p w14:paraId="6E3BB6FB">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无桥梁，涵洞的设置应保证水流的通畅，避免洪水对道路的破坏和造成地表水土流失。本项目涵洞的设置主要考虑排涝的需要，设置孔径较大的盖板涵和圆管涵。对于沿线老路原有涵洞本次设计予以利用。本项目全线设置涵洞17道，其中2道为盖板涵，15道为圆管涵</w:t>
            </w:r>
            <w:r>
              <w:rPr>
                <w:rFonts w:hint="eastAsia" w:eastAsia="宋体" w:cs="Times New Roman"/>
                <w:color w:val="auto"/>
                <w:sz w:val="24"/>
                <w:szCs w:val="24"/>
                <w:lang w:val="en-US" w:eastAsia="zh-CN"/>
              </w:rPr>
              <w:t>。</w:t>
            </w:r>
          </w:p>
          <w:p w14:paraId="2CECB4DA">
            <w:pPr>
              <w:pStyle w:val="25"/>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eastAsia="zh-CN"/>
              </w:rPr>
              <w:t>（</w:t>
            </w:r>
            <w:r>
              <w:rPr>
                <w:rFonts w:hint="eastAsia" w:eastAsia="宋体" w:cs="Times New Roman"/>
                <w:b/>
                <w:bCs/>
                <w:color w:val="auto"/>
                <w:sz w:val="24"/>
                <w:szCs w:val="24"/>
                <w:highlight w:val="none"/>
                <w:lang w:val="en-US" w:eastAsia="zh-CN"/>
              </w:rPr>
              <w:t>9</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交叉工程</w:t>
            </w:r>
          </w:p>
          <w:p w14:paraId="6D9FF14B">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设置平面交叉是为路线经过的沿线地区能充分利用道路，发挥道路对沿线经济的带动作用。平面交叉的型式应根据相交公路的等级、功能和在路网中的地位、设计速度、直行和转向交通量、交通组成、交通管理方式以及合理的转弯速度等因素，并结合地形、用地等条件来确定。路线交叉设置的优化设计原则</w:t>
            </w:r>
          </w:p>
          <w:p w14:paraId="1C5DB3CA">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1）正确分配主次道路设置相应的</w:t>
            </w:r>
            <w:r>
              <w:rPr>
                <w:rFonts w:hint="eastAsia"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路权分配</w:t>
            </w:r>
            <w:r>
              <w:rPr>
                <w:rFonts w:hint="eastAsia"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措施；</w:t>
            </w:r>
          </w:p>
          <w:p w14:paraId="75F457EC">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2）尽量设置左右转弯车道；</w:t>
            </w:r>
          </w:p>
          <w:p w14:paraId="7F7A95F8">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3）尽量缩小交叉口通过距离；</w:t>
            </w:r>
          </w:p>
          <w:p w14:paraId="3DC7953B">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4）保持直行车道直线状；</w:t>
            </w:r>
          </w:p>
          <w:p w14:paraId="523591D0">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5）左右转弯车道在直行车道左右分别拓宽；</w:t>
            </w:r>
          </w:p>
          <w:p w14:paraId="58227439">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6）建立4个弧形角区的</w:t>
            </w:r>
            <w:r>
              <w:rPr>
                <w:rFonts w:hint="eastAsia" w:eastAsia="宋体" w:cs="Times New Roman"/>
                <w:color w:val="auto"/>
                <w:sz w:val="24"/>
                <w:szCs w:val="24"/>
                <w:lang w:val="en-US" w:eastAsia="zh-CN"/>
              </w:rPr>
              <w:t>三角形</w:t>
            </w:r>
            <w:r>
              <w:rPr>
                <w:rFonts w:hint="default" w:ascii="Times New Roman" w:hAnsi="Times New Roman" w:eastAsia="宋体" w:cs="Times New Roman"/>
                <w:color w:val="auto"/>
                <w:sz w:val="24"/>
                <w:szCs w:val="24"/>
                <w:lang w:val="en-US" w:eastAsia="zh-CN"/>
              </w:rPr>
              <w:t>安全岛来缩短交叉口通过距离。</w:t>
            </w:r>
          </w:p>
          <w:p w14:paraId="07A204D2">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项目主要为三级公路，根据被交道路等级、功能等因素合理设计平面交叉方案。根据需要本次共设计平面交叉2处</w:t>
            </w:r>
            <w:r>
              <w:rPr>
                <w:rFonts w:hint="eastAsia" w:eastAsia="宋体" w:cs="Times New Roman"/>
                <w:color w:val="auto"/>
                <w:sz w:val="24"/>
                <w:szCs w:val="24"/>
                <w:lang w:val="en-US" w:eastAsia="zh-CN"/>
              </w:rPr>
              <w:t>。</w:t>
            </w:r>
          </w:p>
          <w:p w14:paraId="6031E1DE">
            <w:pPr>
              <w:pStyle w:val="25"/>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eastAsia="zh-CN"/>
              </w:rPr>
              <w:t>（</w:t>
            </w:r>
            <w:r>
              <w:rPr>
                <w:rFonts w:hint="eastAsia" w:eastAsia="宋体" w:cs="Times New Roman"/>
                <w:b/>
                <w:bCs/>
                <w:color w:val="auto"/>
                <w:sz w:val="24"/>
                <w:szCs w:val="24"/>
                <w:lang w:val="en-US" w:eastAsia="zh-CN"/>
              </w:rPr>
              <w:t>10</w:t>
            </w: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lang w:val="en-US" w:eastAsia="zh-CN"/>
              </w:rPr>
              <w:t>排水工程</w:t>
            </w:r>
          </w:p>
          <w:p w14:paraId="35742ACE">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1）路基排水</w:t>
            </w:r>
          </w:p>
          <w:p w14:paraId="4EB6C62E">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①边沟采用矩形混凝土边沟，边沟一般断面 0.6×0.6m，特殊路段，需增大边沟过水能力时，采用底宽 0.8m，沟深为 0.8m 的断面，同一系统各组成部分在纵向上应保证截面和过水能力的连续。特殊路段的排水设施如有线外排水要求时与桥涵专业组协调设计。</w:t>
            </w:r>
          </w:p>
          <w:p w14:paraId="16EAAFF7">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②路堤</w:t>
            </w:r>
            <w:r>
              <w:rPr>
                <w:rFonts w:hint="eastAsia" w:eastAsia="宋体" w:cs="Times New Roman"/>
                <w:color w:val="auto"/>
                <w:sz w:val="24"/>
                <w:szCs w:val="24"/>
                <w:lang w:val="en-US" w:eastAsia="zh-CN"/>
              </w:rPr>
              <w:t>边沟</w:t>
            </w:r>
            <w:r>
              <w:rPr>
                <w:rFonts w:hint="default" w:ascii="Times New Roman" w:hAnsi="Times New Roman" w:eastAsia="宋体" w:cs="Times New Roman"/>
                <w:color w:val="auto"/>
                <w:sz w:val="24"/>
                <w:szCs w:val="24"/>
                <w:lang w:val="en-US" w:eastAsia="zh-CN"/>
              </w:rPr>
              <w:t>承接路面汇水，通过路基排水系统集中路面水，经净化池过滤后再与自然水系连通，有条件时将路面水导出敏感区。净化池采用围堤挡水式或开挖集水式，特殊路段布置在桥下以减少占地。</w:t>
            </w:r>
          </w:p>
          <w:p w14:paraId="1CC39C96">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③排水设施进入沟渠水塘，流量≥0.10m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 xml:space="preserve"> /s，并配套设置消力池，边坡平台截水沟与下方排水设施连接时设置急流槽。</w:t>
            </w:r>
          </w:p>
          <w:p w14:paraId="72022115">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④长度大于500米且汇水量大的路堑边沟根据地形条件在中部设置横向出水口，出水口采用明沟或暗埋式，当一侧汇水量大且无条件设横向出口、另一侧有条件设横向出口时，增设横向圆管涵排水，以免因边沟汇水量过大或因堵塞造成行车困难。</w:t>
            </w:r>
          </w:p>
          <w:p w14:paraId="475868B0">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⑤路堤平台全部设置平台截水沟，平台截水沟底面采用水泥混凝土封水。</w:t>
            </w:r>
          </w:p>
          <w:p w14:paraId="017B9ACA">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⑥取土场根据场地的汇水状况设置排水设施。</w:t>
            </w:r>
          </w:p>
          <w:p w14:paraId="73FEA6B8">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⑦地下水丰富的挖方路段、低填及软弱土路段通过渗沟排出地下水，渗沟截流水可通过填挖交界路段的横向渗沟或低填路段的横向排水管引入路堤边沟。在沿洼地纵向填筑的路堤内设置渗沟排除地下汇水。</w:t>
            </w:r>
          </w:p>
          <w:p w14:paraId="54CC45D7">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2）路面排水</w:t>
            </w:r>
          </w:p>
          <w:p w14:paraId="6D6FB11C">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本项目路面排水主要通过路面漫流方式汇入拦水带，通过</w:t>
            </w:r>
            <w:r>
              <w:rPr>
                <w:rFonts w:hint="eastAsia" w:eastAsia="宋体" w:cs="Times New Roman"/>
                <w:color w:val="auto"/>
                <w:sz w:val="24"/>
                <w:szCs w:val="24"/>
                <w:lang w:val="en-US" w:eastAsia="zh-CN"/>
              </w:rPr>
              <w:t>截流</w:t>
            </w:r>
            <w:r>
              <w:rPr>
                <w:rFonts w:hint="default" w:ascii="Times New Roman" w:hAnsi="Times New Roman" w:eastAsia="宋体" w:cs="Times New Roman"/>
                <w:color w:val="auto"/>
                <w:sz w:val="24"/>
                <w:szCs w:val="24"/>
                <w:lang w:val="en-US" w:eastAsia="zh-CN"/>
              </w:rPr>
              <w:t>槽、排水沟应引至路基以外。</w:t>
            </w:r>
          </w:p>
          <w:p w14:paraId="73086AB3">
            <w:pPr>
              <w:pStyle w:val="25"/>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482" w:firstLineChars="200"/>
              <w:textAlignment w:val="auto"/>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b/>
                <w:bCs/>
                <w:color w:val="auto"/>
                <w:sz w:val="24"/>
                <w:szCs w:val="24"/>
                <w:lang w:eastAsia="zh-CN"/>
              </w:rPr>
              <w:t>（</w:t>
            </w:r>
            <w:r>
              <w:rPr>
                <w:rFonts w:hint="eastAsia" w:eastAsia="宋体" w:cs="Times New Roman"/>
                <w:b/>
                <w:bCs/>
                <w:color w:val="auto"/>
                <w:sz w:val="24"/>
                <w:szCs w:val="24"/>
                <w:lang w:val="en-US" w:eastAsia="zh-CN"/>
              </w:rPr>
              <w:t>11</w:t>
            </w: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lang w:val="en-US" w:eastAsia="zh-CN"/>
              </w:rPr>
              <w:t>绿化景观</w:t>
            </w:r>
          </w:p>
          <w:p w14:paraId="7BEAB927">
            <w:pPr>
              <w:pStyle w:val="25"/>
              <w:adjustRightInd w:val="0"/>
              <w:snapToGrid w:val="0"/>
              <w:spacing w:after="0" w:line="360" w:lineRule="auto"/>
              <w:ind w:left="0" w:leftChars="0" w:firstLine="480" w:firstLineChars="200"/>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sz w:val="24"/>
                <w:szCs w:val="24"/>
                <w:lang w:val="en-US" w:eastAsia="zh-CN"/>
              </w:rPr>
              <w:t>边坡、土路肩进行</w:t>
            </w:r>
            <w:r>
              <w:rPr>
                <w:rFonts w:hint="default" w:ascii="Times New Roman" w:hAnsi="Times New Roman" w:eastAsia="宋体" w:cs="Times New Roman"/>
                <w:color w:val="auto"/>
                <w:sz w:val="24"/>
                <w:szCs w:val="24"/>
                <w:highlight w:val="none"/>
                <w:lang w:val="en-US" w:eastAsia="zh-CN"/>
              </w:rPr>
              <w:t>植草绿化。</w:t>
            </w:r>
          </w:p>
          <w:p w14:paraId="32CCEEFB">
            <w:pPr>
              <w:pStyle w:val="25"/>
              <w:adjustRightInd w:val="0"/>
              <w:snapToGrid w:val="0"/>
              <w:spacing w:after="0" w:line="360" w:lineRule="auto"/>
              <w:ind w:left="0" w:leftChars="0"/>
              <w:rPr>
                <w:rFonts w:hint="default" w:ascii="Times New Roman" w:hAnsi="Times New Roman" w:eastAsia="宋体" w:cs="Times New Roman"/>
                <w:b/>
                <w:bCs/>
                <w:color w:val="auto"/>
                <w:sz w:val="24"/>
                <w:szCs w:val="21"/>
                <w:highlight w:val="none"/>
                <w:lang w:val="en-US"/>
              </w:rPr>
            </w:pPr>
            <w:r>
              <w:rPr>
                <w:rFonts w:hint="default" w:ascii="Times New Roman" w:hAnsi="Times New Roman" w:eastAsia="宋体" w:cs="Times New Roman"/>
                <w:b/>
                <w:bCs/>
                <w:color w:val="auto"/>
                <w:sz w:val="24"/>
                <w:szCs w:val="21"/>
                <w:highlight w:val="none"/>
                <w:lang w:val="en-US" w:eastAsia="zh-CN"/>
              </w:rPr>
              <w:t>5、工程占地及</w:t>
            </w:r>
            <w:r>
              <w:rPr>
                <w:rFonts w:hint="eastAsia" w:ascii="Times New Roman" w:hAnsi="Times New Roman" w:eastAsia="宋体" w:cs="Times New Roman"/>
                <w:b/>
                <w:bCs/>
                <w:color w:val="auto"/>
                <w:sz w:val="24"/>
                <w:szCs w:val="21"/>
                <w:highlight w:val="none"/>
                <w:lang w:val="en-US" w:eastAsia="zh-CN"/>
              </w:rPr>
              <w:t>拆迁</w:t>
            </w:r>
            <w:r>
              <w:rPr>
                <w:rFonts w:hint="default" w:ascii="Times New Roman" w:hAnsi="Times New Roman" w:eastAsia="宋体" w:cs="Times New Roman"/>
                <w:b/>
                <w:bCs/>
                <w:color w:val="auto"/>
                <w:sz w:val="24"/>
                <w:szCs w:val="21"/>
                <w:highlight w:val="none"/>
                <w:lang w:val="en-US" w:eastAsia="zh-CN"/>
              </w:rPr>
              <w:t>工程</w:t>
            </w:r>
          </w:p>
          <w:p w14:paraId="6956FD6D">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szCs w:val="21"/>
                <w:highlight w:val="none"/>
              </w:rPr>
            </w:pPr>
            <w:r>
              <w:rPr>
                <w:rFonts w:hint="default" w:ascii="Times New Roman" w:hAnsi="Times New Roman" w:eastAsia="宋体" w:cs="Times New Roman"/>
                <w:b/>
                <w:bCs/>
                <w:color w:val="auto"/>
                <w:sz w:val="24"/>
                <w:szCs w:val="21"/>
                <w:highlight w:val="none"/>
              </w:rPr>
              <w:t>（1）</w:t>
            </w:r>
            <w:r>
              <w:rPr>
                <w:rFonts w:hint="default" w:ascii="Times New Roman" w:hAnsi="Times New Roman" w:eastAsia="宋体" w:cs="Times New Roman"/>
                <w:b/>
                <w:bCs/>
                <w:color w:val="auto"/>
                <w:sz w:val="24"/>
                <w:szCs w:val="21"/>
                <w:highlight w:val="none"/>
                <w:lang w:val="en-US" w:eastAsia="zh-CN"/>
              </w:rPr>
              <w:t>工程</w:t>
            </w:r>
            <w:r>
              <w:rPr>
                <w:rFonts w:hint="default" w:ascii="Times New Roman" w:hAnsi="Times New Roman" w:eastAsia="宋体" w:cs="Times New Roman"/>
                <w:b/>
                <w:bCs/>
                <w:color w:val="auto"/>
                <w:sz w:val="24"/>
                <w:szCs w:val="21"/>
                <w:highlight w:val="none"/>
              </w:rPr>
              <w:t>占地</w:t>
            </w:r>
          </w:p>
          <w:p w14:paraId="1DAB016D">
            <w:pPr>
              <w:pStyle w:val="25"/>
              <w:adjustRightInd w:val="0"/>
              <w:snapToGrid w:val="0"/>
              <w:spacing w:after="0" w:line="360" w:lineRule="auto"/>
              <w:ind w:left="0" w:leftChars="0" w:firstLine="480" w:firstLineChars="200"/>
              <w:rPr>
                <w:rFonts w:hint="default" w:ascii="Times New Roman" w:hAnsi="Times New Roman" w:eastAsia="宋体" w:cs="Times New Roman"/>
                <w:sz w:val="24"/>
                <w:szCs w:val="21"/>
                <w:highlight w:val="none"/>
                <w:lang w:val="en-US" w:eastAsia="zh-CN"/>
              </w:rPr>
            </w:pPr>
            <w:r>
              <w:rPr>
                <w:rFonts w:hint="default" w:ascii="Times New Roman" w:hAnsi="Times New Roman" w:eastAsia="宋体" w:cs="Times New Roman"/>
                <w:sz w:val="24"/>
                <w:szCs w:val="21"/>
                <w:highlight w:val="none"/>
                <w:lang w:eastAsia="zh-CN"/>
              </w:rPr>
              <w:t>本工程</w:t>
            </w:r>
            <w:r>
              <w:rPr>
                <w:rFonts w:hint="default" w:ascii="Times New Roman" w:hAnsi="Times New Roman" w:eastAsia="宋体" w:cs="Times New Roman"/>
                <w:sz w:val="24"/>
                <w:szCs w:val="21"/>
                <w:highlight w:val="none"/>
                <w:lang w:val="en-US" w:eastAsia="zh-CN"/>
              </w:rPr>
              <w:t>占地面积为</w:t>
            </w:r>
            <w:r>
              <w:rPr>
                <w:rFonts w:hint="eastAsia" w:cs="Times New Roman"/>
                <w:sz w:val="24"/>
                <w:szCs w:val="21"/>
                <w:highlight w:val="none"/>
                <w:lang w:val="en-US" w:eastAsia="zh-CN"/>
              </w:rPr>
              <w:t>5.2909</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default" w:ascii="Times New Roman" w:hAnsi="Times New Roman" w:eastAsia="宋体" w:cs="Times New Roman"/>
                <w:sz w:val="24"/>
                <w:szCs w:val="21"/>
                <w:highlight w:val="none"/>
                <w:lang w:val="en-US" w:eastAsia="zh-CN"/>
              </w:rPr>
              <w:t>，</w:t>
            </w:r>
            <w:r>
              <w:rPr>
                <w:rFonts w:hint="eastAsia" w:cs="Times New Roman"/>
                <w:sz w:val="24"/>
                <w:szCs w:val="21"/>
                <w:highlight w:val="none"/>
                <w:lang w:val="en-US" w:eastAsia="zh-CN"/>
              </w:rPr>
              <w:t>均为</w:t>
            </w:r>
            <w:r>
              <w:rPr>
                <w:rFonts w:hint="default" w:ascii="Times New Roman" w:hAnsi="Times New Roman" w:eastAsia="宋体" w:cs="Times New Roman"/>
                <w:sz w:val="24"/>
                <w:szCs w:val="21"/>
                <w:highlight w:val="none"/>
                <w:lang w:val="en-US" w:eastAsia="zh-CN"/>
              </w:rPr>
              <w:t>永久占地</w:t>
            </w:r>
            <w:r>
              <w:rPr>
                <w:rFonts w:hint="default" w:ascii="Times New Roman" w:hAnsi="Times New Roman" w:eastAsia="宋体" w:cs="Times New Roman"/>
                <w:sz w:val="24"/>
                <w:szCs w:val="21"/>
                <w:highlight w:val="none"/>
                <w:lang w:eastAsia="zh-CN"/>
              </w:rPr>
              <w:t>。</w:t>
            </w:r>
            <w:r>
              <w:rPr>
                <w:rFonts w:hint="default" w:ascii="Times New Roman" w:hAnsi="Times New Roman" w:eastAsia="宋体" w:cs="Times New Roman"/>
                <w:sz w:val="24"/>
                <w:szCs w:val="21"/>
                <w:highlight w:val="none"/>
                <w:lang w:val="en-US" w:eastAsia="zh-CN"/>
              </w:rPr>
              <w:t>其中</w:t>
            </w:r>
            <w:r>
              <w:rPr>
                <w:rFonts w:hint="eastAsia" w:eastAsia="宋体" w:cs="Times New Roman"/>
                <w:sz w:val="24"/>
                <w:szCs w:val="21"/>
                <w:highlight w:val="none"/>
                <w:lang w:val="en-US" w:eastAsia="zh-CN"/>
              </w:rPr>
              <w:t>农用地</w:t>
            </w:r>
            <w:r>
              <w:rPr>
                <w:rFonts w:hint="eastAsia" w:cs="Times New Roman"/>
                <w:sz w:val="24"/>
                <w:szCs w:val="21"/>
                <w:highlight w:val="none"/>
                <w:lang w:val="en-US" w:eastAsia="zh-CN"/>
              </w:rPr>
              <w:t>4.7699</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eastAsia" w:eastAsia="宋体" w:cs="Times New Roman"/>
                <w:sz w:val="24"/>
                <w:szCs w:val="21"/>
                <w:highlight w:val="none"/>
                <w:vertAlign w:val="baseline"/>
                <w:lang w:val="en-US" w:eastAsia="zh-CN"/>
              </w:rPr>
              <w:t>（其中：</w:t>
            </w:r>
            <w:r>
              <w:rPr>
                <w:rFonts w:hint="default" w:ascii="Times New Roman" w:hAnsi="Times New Roman" w:eastAsia="宋体" w:cs="Times New Roman"/>
                <w:sz w:val="24"/>
                <w:szCs w:val="21"/>
                <w:highlight w:val="none"/>
                <w:lang w:val="en-US" w:eastAsia="zh-CN"/>
              </w:rPr>
              <w:t>耕地</w:t>
            </w:r>
            <w:r>
              <w:rPr>
                <w:rFonts w:hint="eastAsia" w:cs="Times New Roman"/>
                <w:sz w:val="24"/>
                <w:szCs w:val="21"/>
                <w:highlight w:val="none"/>
                <w:lang w:val="en-US" w:eastAsia="zh-CN"/>
              </w:rPr>
              <w:t>0.5238</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default" w:ascii="Times New Roman" w:hAnsi="Times New Roman" w:eastAsia="宋体" w:cs="Times New Roman"/>
                <w:sz w:val="24"/>
                <w:szCs w:val="21"/>
                <w:highlight w:val="none"/>
                <w:lang w:val="en-US" w:eastAsia="zh-CN"/>
              </w:rPr>
              <w:t>，</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其他农用地</w:t>
            </w:r>
            <w:r>
              <w:rPr>
                <w:rFonts w:hint="eastAsia" w:cs="Times New Roman"/>
                <w:color w:val="000000" w:themeColor="text1"/>
                <w:sz w:val="24"/>
                <w:szCs w:val="21"/>
                <w:highlight w:val="none"/>
                <w:lang w:val="en-US" w:eastAsia="zh-CN"/>
                <w14:textFill>
                  <w14:solidFill>
                    <w14:schemeClr w14:val="tx1"/>
                  </w14:solidFill>
                </w14:textFill>
              </w:rPr>
              <w:t>4.246</w:t>
            </w:r>
            <w:r>
              <w:rPr>
                <w:rFonts w:hint="eastAsia" w:eastAsia="宋体" w:cs="Times New Roman"/>
                <w:color w:val="000000" w:themeColor="text1"/>
                <w:sz w:val="24"/>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hm</w:t>
            </w:r>
            <w:r>
              <w:rPr>
                <w:rFonts w:hint="default" w:ascii="Times New Roman" w:hAnsi="Times New Roman" w:eastAsia="宋体" w:cs="Times New Roman"/>
                <w:color w:val="000000" w:themeColor="text1"/>
                <w:sz w:val="24"/>
                <w:szCs w:val="21"/>
                <w:highlight w:val="none"/>
                <w:vertAlign w:val="superscript"/>
                <w:lang w:val="en-US" w:eastAsia="zh-CN"/>
                <w14:textFill>
                  <w14:solidFill>
                    <w14:schemeClr w14:val="tx1"/>
                  </w14:solidFill>
                </w14:textFill>
              </w:rPr>
              <w:t>2</w:t>
            </w:r>
            <w:r>
              <w:rPr>
                <w:rFonts w:hint="eastAsia" w:eastAsia="宋体" w:cs="Times New Roman"/>
                <w:sz w:val="24"/>
                <w:szCs w:val="21"/>
                <w:highlight w:val="none"/>
                <w:vertAlign w:val="baseline"/>
                <w:lang w:val="en-US" w:eastAsia="zh-CN"/>
              </w:rPr>
              <w:t>）</w:t>
            </w:r>
            <w:r>
              <w:rPr>
                <w:rFonts w:hint="default" w:ascii="Times New Roman" w:hAnsi="Times New Roman" w:eastAsia="宋体" w:cs="Times New Roman"/>
                <w:sz w:val="24"/>
                <w:szCs w:val="21"/>
                <w:highlight w:val="none"/>
                <w:lang w:val="en-US" w:eastAsia="zh-CN"/>
              </w:rPr>
              <w:t>，建设用地</w:t>
            </w:r>
            <w:r>
              <w:rPr>
                <w:rFonts w:hint="eastAsia" w:cs="Times New Roman"/>
                <w:sz w:val="24"/>
                <w:szCs w:val="21"/>
                <w:highlight w:val="none"/>
                <w:lang w:val="en-US" w:eastAsia="zh-CN"/>
              </w:rPr>
              <w:t>0.4273</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default" w:ascii="Times New Roman" w:hAnsi="Times New Roman" w:eastAsia="宋体" w:cs="Times New Roman"/>
                <w:sz w:val="24"/>
                <w:szCs w:val="21"/>
                <w:highlight w:val="none"/>
                <w:lang w:val="en-US" w:eastAsia="zh-CN"/>
              </w:rPr>
              <w:t>，未利用土地</w:t>
            </w:r>
            <w:r>
              <w:rPr>
                <w:rFonts w:hint="eastAsia" w:cs="Times New Roman"/>
                <w:sz w:val="24"/>
                <w:szCs w:val="21"/>
                <w:highlight w:val="none"/>
                <w:lang w:val="en-US" w:eastAsia="zh-CN"/>
              </w:rPr>
              <w:t>0.0937</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eastAsia" w:eastAsia="宋体" w:cs="Times New Roman"/>
                <w:sz w:val="24"/>
                <w:szCs w:val="21"/>
                <w:highlight w:val="none"/>
                <w:lang w:val="en-US" w:eastAsia="zh-CN"/>
              </w:rPr>
              <w:t>。</w:t>
            </w:r>
            <w:r>
              <w:rPr>
                <w:rFonts w:hint="default" w:ascii="Times New Roman" w:hAnsi="Times New Roman" w:eastAsia="宋体" w:cs="Times New Roman"/>
                <w:sz w:val="24"/>
                <w:szCs w:val="21"/>
                <w:highlight w:val="none"/>
                <w:lang w:val="en-US" w:eastAsia="zh-CN"/>
              </w:rPr>
              <w:t>详见下表：</w:t>
            </w:r>
          </w:p>
          <w:p w14:paraId="6C0DE404">
            <w:pPr>
              <w:pStyle w:val="25"/>
              <w:adjustRightInd w:val="0"/>
              <w:snapToGrid w:val="0"/>
              <w:spacing w:after="0" w:line="240" w:lineRule="auto"/>
              <w:ind w:left="0" w:leftChars="0" w:firstLine="422" w:firstLineChars="200"/>
              <w:jc w:val="center"/>
              <w:rPr>
                <w:rFonts w:hint="default" w:ascii="Times New Roman" w:hAnsi="Times New Roman" w:eastAsia="宋体" w:cs="Times New Roman"/>
                <w:b/>
                <w:bCs/>
                <w:sz w:val="21"/>
                <w:szCs w:val="18"/>
                <w:highlight w:val="none"/>
                <w:lang w:val="en-US" w:eastAsia="zh-CN"/>
              </w:rPr>
            </w:pPr>
            <w:r>
              <w:rPr>
                <w:rFonts w:hint="default" w:ascii="Times New Roman" w:hAnsi="Times New Roman" w:eastAsia="宋体" w:cs="Times New Roman"/>
                <w:b/>
                <w:bCs/>
                <w:sz w:val="21"/>
                <w:szCs w:val="18"/>
                <w:highlight w:val="none"/>
              </w:rPr>
              <w:t>表</w:t>
            </w:r>
            <w:r>
              <w:rPr>
                <w:rFonts w:hint="eastAsia" w:eastAsia="宋体" w:cs="Times New Roman"/>
                <w:b/>
                <w:bCs/>
                <w:sz w:val="21"/>
                <w:szCs w:val="18"/>
                <w:highlight w:val="none"/>
                <w:lang w:val="en-US" w:eastAsia="zh-CN"/>
              </w:rPr>
              <w:t>2-5</w:t>
            </w:r>
            <w:r>
              <w:rPr>
                <w:rFonts w:hint="default" w:ascii="Times New Roman" w:hAnsi="Times New Roman" w:eastAsia="宋体" w:cs="Times New Roman"/>
                <w:b/>
                <w:bCs/>
                <w:sz w:val="21"/>
                <w:szCs w:val="18"/>
                <w:highlight w:val="none"/>
                <w:lang w:val="en-US" w:eastAsia="zh-CN"/>
              </w:rPr>
              <w:t xml:space="preserve"> </w:t>
            </w:r>
            <w:r>
              <w:rPr>
                <w:rFonts w:hint="default" w:ascii="Times New Roman" w:hAnsi="Times New Roman" w:eastAsia="宋体" w:cs="Times New Roman"/>
                <w:b/>
                <w:bCs/>
                <w:sz w:val="21"/>
                <w:szCs w:val="18"/>
                <w:highlight w:val="none"/>
              </w:rPr>
              <w:t xml:space="preserve"> 土地利用现状统计表</w:t>
            </w:r>
            <w:r>
              <w:rPr>
                <w:rFonts w:hint="default" w:ascii="Times New Roman" w:hAnsi="Times New Roman" w:eastAsia="宋体" w:cs="Times New Roman"/>
                <w:b/>
                <w:bCs/>
                <w:sz w:val="21"/>
                <w:szCs w:val="18"/>
                <w:highlight w:val="none"/>
                <w:lang w:val="en-US" w:eastAsia="zh-CN"/>
              </w:rPr>
              <w:t xml:space="preserve">  单位：hm</w:t>
            </w:r>
            <w:r>
              <w:rPr>
                <w:rFonts w:hint="default" w:ascii="Times New Roman" w:hAnsi="Times New Roman" w:eastAsia="宋体" w:cs="Times New Roman"/>
                <w:b/>
                <w:bCs/>
                <w:sz w:val="21"/>
                <w:szCs w:val="18"/>
                <w:highlight w:val="none"/>
                <w:vertAlign w:val="superscript"/>
                <w:lang w:val="en-US" w:eastAsia="zh-CN"/>
              </w:rPr>
              <w:t>2</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7"/>
              <w:gridCol w:w="1165"/>
              <w:gridCol w:w="1218"/>
              <w:gridCol w:w="1404"/>
              <w:gridCol w:w="1683"/>
              <w:gridCol w:w="1278"/>
            </w:tblGrid>
            <w:tr w14:paraId="15412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71" w:type="pct"/>
                  <w:vMerge w:val="restart"/>
                  <w:vAlign w:val="center"/>
                </w:tcPr>
                <w:p w14:paraId="0F6555F6">
                  <w:pPr>
                    <w:pStyle w:val="25"/>
                    <w:adjustRightInd w:val="0"/>
                    <w:snapToGrid w:val="0"/>
                    <w:spacing w:after="0" w:line="240" w:lineRule="auto"/>
                    <w:ind w:left="0" w:leftChars="0" w:firstLine="0" w:firstLineChars="0"/>
                    <w:jc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sz w:val="21"/>
                      <w:szCs w:val="21"/>
                      <w:highlight w:val="none"/>
                      <w:vertAlign w:val="baseline"/>
                      <w:lang w:val="en-US" w:eastAsia="zh-CN"/>
                    </w:rPr>
                    <w:t>占地类型</w:t>
                  </w:r>
                </w:p>
              </w:tc>
              <w:tc>
                <w:tcPr>
                  <w:tcW w:w="1422" w:type="pct"/>
                  <w:gridSpan w:val="2"/>
                  <w:vAlign w:val="center"/>
                </w:tcPr>
                <w:p w14:paraId="74A8F5D7">
                  <w:pPr>
                    <w:pStyle w:val="25"/>
                    <w:adjustRightInd w:val="0"/>
                    <w:snapToGrid w:val="0"/>
                    <w:spacing w:after="0" w:line="240" w:lineRule="auto"/>
                    <w:ind w:left="0" w:leftChars="0" w:firstLine="0" w:firstLineChars="0"/>
                    <w:jc w:val="center"/>
                    <w:rPr>
                      <w:rFonts w:hint="default" w:ascii="Times New Roman" w:hAnsi="Times New Roman" w:eastAsia="宋体" w:cs="Times New Roman"/>
                      <w:b/>
                      <w:bCs/>
                      <w:i w:val="0"/>
                      <w:iCs w:val="0"/>
                      <w:color w:val="000000"/>
                      <w:kern w:val="0"/>
                      <w:sz w:val="21"/>
                      <w:szCs w:val="21"/>
                      <w:highlight w:val="none"/>
                      <w:u w:val="none"/>
                      <w:lang w:val="en-US" w:eastAsia="zh-CN" w:bidi="ar"/>
                    </w:rPr>
                  </w:pPr>
                  <w:r>
                    <w:rPr>
                      <w:rFonts w:hint="default" w:ascii="Times New Roman" w:hAnsi="Times New Roman" w:eastAsia="宋体" w:cs="Times New Roman"/>
                      <w:b/>
                      <w:bCs/>
                      <w:sz w:val="21"/>
                      <w:szCs w:val="21"/>
                      <w:highlight w:val="none"/>
                      <w:vertAlign w:val="baseline"/>
                      <w:lang w:val="en-US" w:eastAsia="zh-CN"/>
                    </w:rPr>
                    <w:t>农用地</w:t>
                  </w:r>
                </w:p>
              </w:tc>
              <w:tc>
                <w:tcPr>
                  <w:tcW w:w="838" w:type="pct"/>
                  <w:vMerge w:val="restart"/>
                  <w:vAlign w:val="center"/>
                </w:tcPr>
                <w:p w14:paraId="04A1A06E">
                  <w:pPr>
                    <w:pStyle w:val="25"/>
                    <w:adjustRightInd w:val="0"/>
                    <w:snapToGrid w:val="0"/>
                    <w:spacing w:after="0" w:line="240" w:lineRule="auto"/>
                    <w:ind w:left="0" w:leftChars="0" w:firstLine="0" w:firstLineChars="0"/>
                    <w:jc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建</w:t>
                  </w:r>
                  <w:r>
                    <w:rPr>
                      <w:rStyle w:val="92"/>
                      <w:rFonts w:hint="default" w:ascii="Times New Roman" w:hAnsi="Times New Roman" w:eastAsia="宋体" w:cs="Times New Roman"/>
                      <w:b/>
                      <w:bCs/>
                      <w:sz w:val="21"/>
                      <w:szCs w:val="21"/>
                      <w:highlight w:val="none"/>
                      <w:lang w:val="en-US" w:eastAsia="zh-CN" w:bidi="ar"/>
                    </w:rPr>
                    <w:t>设用地</w:t>
                  </w:r>
                </w:p>
              </w:tc>
              <w:tc>
                <w:tcPr>
                  <w:tcW w:w="1004" w:type="pct"/>
                  <w:vMerge w:val="restart"/>
                  <w:vAlign w:val="center"/>
                </w:tcPr>
                <w:p w14:paraId="4087A9CA">
                  <w:pPr>
                    <w:keepNext w:val="0"/>
                    <w:keepLines w:val="0"/>
                    <w:widowControl/>
                    <w:suppressLineNumbers w:val="0"/>
                    <w:spacing w:line="240" w:lineRule="auto"/>
                    <w:jc w:val="center"/>
                    <w:textAlignment w:val="bottom"/>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未利用土</w:t>
                  </w:r>
                  <w:r>
                    <w:rPr>
                      <w:rStyle w:val="92"/>
                      <w:rFonts w:hint="default" w:ascii="Times New Roman" w:hAnsi="Times New Roman" w:eastAsia="宋体" w:cs="Times New Roman"/>
                      <w:b/>
                      <w:bCs/>
                      <w:sz w:val="21"/>
                      <w:szCs w:val="21"/>
                      <w:highlight w:val="none"/>
                      <w:lang w:val="en-US" w:eastAsia="zh-CN" w:bidi="ar"/>
                    </w:rPr>
                    <w:t>地</w:t>
                  </w:r>
                </w:p>
              </w:tc>
              <w:tc>
                <w:tcPr>
                  <w:tcW w:w="762" w:type="pct"/>
                  <w:vMerge w:val="restart"/>
                  <w:vAlign w:val="center"/>
                </w:tcPr>
                <w:p w14:paraId="2C2272CF">
                  <w:pPr>
                    <w:pStyle w:val="25"/>
                    <w:adjustRightInd w:val="0"/>
                    <w:snapToGrid w:val="0"/>
                    <w:spacing w:after="0" w:line="240" w:lineRule="auto"/>
                    <w:ind w:left="0" w:leftChars="0" w:firstLine="0" w:firstLineChars="0"/>
                    <w:jc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sz w:val="21"/>
                      <w:szCs w:val="21"/>
                      <w:highlight w:val="none"/>
                      <w:vertAlign w:val="baseline"/>
                      <w:lang w:val="en-US" w:eastAsia="zh-CN"/>
                    </w:rPr>
                    <w:t>合计</w:t>
                  </w:r>
                </w:p>
              </w:tc>
            </w:tr>
            <w:tr w14:paraId="30B5B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1" w:type="pct"/>
                  <w:vMerge w:val="continue"/>
                  <w:vAlign w:val="center"/>
                </w:tcPr>
                <w:p w14:paraId="07486628">
                  <w:pPr>
                    <w:keepNext w:val="0"/>
                    <w:keepLines w:val="0"/>
                    <w:widowControl/>
                    <w:suppressLineNumbers w:val="0"/>
                    <w:spacing w:line="240" w:lineRule="auto"/>
                    <w:jc w:val="center"/>
                    <w:textAlignment w:val="center"/>
                    <w:rPr>
                      <w:rFonts w:hint="default" w:ascii="Times New Roman" w:hAnsi="Times New Roman" w:eastAsia="宋体" w:cs="Times New Roman"/>
                      <w:b/>
                      <w:bCs/>
                      <w:sz w:val="21"/>
                      <w:szCs w:val="21"/>
                      <w:highlight w:val="none"/>
                      <w:vertAlign w:val="baseline"/>
                      <w:lang w:val="en-US" w:eastAsia="zh-CN"/>
                    </w:rPr>
                  </w:pPr>
                </w:p>
              </w:tc>
              <w:tc>
                <w:tcPr>
                  <w:tcW w:w="695" w:type="pct"/>
                  <w:vAlign w:val="center"/>
                </w:tcPr>
                <w:p w14:paraId="5EF39384">
                  <w:pPr>
                    <w:keepNext w:val="0"/>
                    <w:keepLines w:val="0"/>
                    <w:widowControl/>
                    <w:suppressLineNumbers w:val="0"/>
                    <w:spacing w:line="240" w:lineRule="auto"/>
                    <w:jc w:val="center"/>
                    <w:textAlignment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sz w:val="21"/>
                      <w:szCs w:val="21"/>
                      <w:highlight w:val="none"/>
                      <w:vertAlign w:val="baseline"/>
                      <w:lang w:val="en-US" w:eastAsia="zh-CN"/>
                    </w:rPr>
                    <w:t>耕地</w:t>
                  </w:r>
                </w:p>
              </w:tc>
              <w:tc>
                <w:tcPr>
                  <w:tcW w:w="727" w:type="pct"/>
                  <w:vAlign w:val="center"/>
                </w:tcPr>
                <w:p w14:paraId="14B6F362">
                  <w:pPr>
                    <w:keepNext w:val="0"/>
                    <w:keepLines w:val="0"/>
                    <w:widowControl/>
                    <w:suppressLineNumbers w:val="0"/>
                    <w:spacing w:line="240" w:lineRule="auto"/>
                    <w:jc w:val="center"/>
                    <w:textAlignment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其他农用地</w:t>
                  </w:r>
                </w:p>
              </w:tc>
              <w:tc>
                <w:tcPr>
                  <w:tcW w:w="838" w:type="pct"/>
                  <w:vMerge w:val="continue"/>
                  <w:vAlign w:val="center"/>
                </w:tcPr>
                <w:p w14:paraId="3268354E">
                  <w:pPr>
                    <w:keepNext w:val="0"/>
                    <w:keepLines w:val="0"/>
                    <w:widowControl/>
                    <w:suppressLineNumbers w:val="0"/>
                    <w:spacing w:line="240" w:lineRule="auto"/>
                    <w:jc w:val="center"/>
                    <w:textAlignment w:val="top"/>
                    <w:rPr>
                      <w:rFonts w:hint="default" w:ascii="Times New Roman" w:hAnsi="Times New Roman" w:eastAsia="宋体" w:cs="Times New Roman"/>
                      <w:b/>
                      <w:bCs/>
                      <w:sz w:val="21"/>
                      <w:szCs w:val="21"/>
                      <w:highlight w:val="none"/>
                      <w:vertAlign w:val="baseline"/>
                      <w:lang w:val="en-US" w:eastAsia="zh-CN"/>
                    </w:rPr>
                  </w:pPr>
                </w:p>
              </w:tc>
              <w:tc>
                <w:tcPr>
                  <w:tcW w:w="1004" w:type="pct"/>
                  <w:vMerge w:val="continue"/>
                  <w:vAlign w:val="center"/>
                </w:tcPr>
                <w:p w14:paraId="28713EB5">
                  <w:pPr>
                    <w:pStyle w:val="25"/>
                    <w:adjustRightInd w:val="0"/>
                    <w:snapToGrid w:val="0"/>
                    <w:spacing w:after="0" w:line="240" w:lineRule="auto"/>
                    <w:ind w:left="0" w:leftChars="0" w:firstLine="0" w:firstLineChars="0"/>
                    <w:jc w:val="center"/>
                    <w:rPr>
                      <w:rFonts w:hint="default" w:ascii="Times New Roman" w:hAnsi="Times New Roman" w:eastAsia="宋体" w:cs="Times New Roman"/>
                      <w:b w:val="0"/>
                      <w:bCs w:val="0"/>
                      <w:sz w:val="21"/>
                      <w:szCs w:val="21"/>
                      <w:highlight w:val="none"/>
                      <w:vertAlign w:val="baseline"/>
                      <w:lang w:val="en-US" w:eastAsia="zh-CN"/>
                    </w:rPr>
                  </w:pPr>
                </w:p>
              </w:tc>
              <w:tc>
                <w:tcPr>
                  <w:tcW w:w="762" w:type="pct"/>
                  <w:vMerge w:val="continue"/>
                  <w:vAlign w:val="center"/>
                </w:tcPr>
                <w:p w14:paraId="33592E35">
                  <w:pPr>
                    <w:pStyle w:val="25"/>
                    <w:adjustRightInd w:val="0"/>
                    <w:snapToGrid w:val="0"/>
                    <w:spacing w:after="0" w:line="240" w:lineRule="auto"/>
                    <w:ind w:left="0" w:leftChars="0" w:firstLine="0" w:firstLineChars="0"/>
                    <w:jc w:val="center"/>
                    <w:rPr>
                      <w:rFonts w:hint="default" w:ascii="Times New Roman" w:hAnsi="Times New Roman" w:eastAsia="宋体" w:cs="Times New Roman"/>
                      <w:b w:val="0"/>
                      <w:bCs w:val="0"/>
                      <w:sz w:val="21"/>
                      <w:szCs w:val="21"/>
                      <w:highlight w:val="none"/>
                      <w:vertAlign w:val="baseline"/>
                      <w:lang w:val="en-US" w:eastAsia="zh-CN"/>
                    </w:rPr>
                  </w:pPr>
                </w:p>
              </w:tc>
            </w:tr>
            <w:tr w14:paraId="6AF7D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971" w:type="pct"/>
                  <w:vAlign w:val="center"/>
                </w:tcPr>
                <w:p w14:paraId="38C9606D">
                  <w:pPr>
                    <w:keepNext w:val="0"/>
                    <w:keepLines w:val="0"/>
                    <w:widowControl/>
                    <w:suppressLineNumbers w:val="0"/>
                    <w:spacing w:line="240" w:lineRule="auto"/>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永久占地</w:t>
                  </w:r>
                </w:p>
              </w:tc>
              <w:tc>
                <w:tcPr>
                  <w:tcW w:w="695" w:type="pct"/>
                  <w:vAlign w:val="center"/>
                </w:tcPr>
                <w:p w14:paraId="027CC18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0.5238</w:t>
                  </w:r>
                </w:p>
              </w:tc>
              <w:tc>
                <w:tcPr>
                  <w:tcW w:w="727" w:type="pct"/>
                  <w:vAlign w:val="center"/>
                </w:tcPr>
                <w:p w14:paraId="12407EF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4.2461</w:t>
                  </w:r>
                </w:p>
              </w:tc>
              <w:tc>
                <w:tcPr>
                  <w:tcW w:w="838" w:type="pct"/>
                  <w:vAlign w:val="center"/>
                </w:tcPr>
                <w:p w14:paraId="570A71E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0.4273</w:t>
                  </w:r>
                </w:p>
              </w:tc>
              <w:tc>
                <w:tcPr>
                  <w:tcW w:w="1004" w:type="pct"/>
                  <w:vAlign w:val="center"/>
                </w:tcPr>
                <w:p w14:paraId="3A3E1DDE">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0.0937</w:t>
                  </w:r>
                </w:p>
              </w:tc>
              <w:tc>
                <w:tcPr>
                  <w:tcW w:w="762" w:type="pct"/>
                  <w:vAlign w:val="center"/>
                </w:tcPr>
                <w:p w14:paraId="1B5F831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5.2909</w:t>
                  </w:r>
                </w:p>
              </w:tc>
            </w:tr>
          </w:tbl>
          <w:p w14:paraId="1978EF2C">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szCs w:val="21"/>
                <w:highlight w:val="none"/>
                <w:lang w:val="en-US"/>
              </w:rPr>
            </w:pPr>
            <w:r>
              <w:rPr>
                <w:rFonts w:hint="default" w:ascii="Times New Roman" w:hAnsi="Times New Roman" w:eastAsia="宋体" w:cs="Times New Roman"/>
                <w:b/>
                <w:bCs/>
                <w:color w:val="auto"/>
                <w:sz w:val="24"/>
                <w:szCs w:val="21"/>
                <w:highlight w:val="none"/>
              </w:rPr>
              <w:t>（</w:t>
            </w:r>
            <w:r>
              <w:rPr>
                <w:rFonts w:hint="default" w:ascii="Times New Roman" w:hAnsi="Times New Roman" w:eastAsia="宋体" w:cs="Times New Roman"/>
                <w:b/>
                <w:bCs/>
                <w:color w:val="auto"/>
                <w:sz w:val="24"/>
                <w:szCs w:val="21"/>
                <w:highlight w:val="none"/>
                <w:lang w:val="en-US" w:eastAsia="zh-CN"/>
              </w:rPr>
              <w:t>2</w:t>
            </w:r>
            <w:r>
              <w:rPr>
                <w:rFonts w:hint="default" w:ascii="Times New Roman" w:hAnsi="Times New Roman" w:eastAsia="宋体" w:cs="Times New Roman"/>
                <w:b/>
                <w:bCs/>
                <w:color w:val="auto"/>
                <w:sz w:val="24"/>
                <w:szCs w:val="21"/>
                <w:highlight w:val="none"/>
              </w:rPr>
              <w:t>）</w:t>
            </w:r>
            <w:r>
              <w:rPr>
                <w:rFonts w:hint="default" w:ascii="Times New Roman" w:hAnsi="Times New Roman" w:eastAsia="宋体" w:cs="Times New Roman"/>
                <w:b/>
                <w:bCs/>
                <w:color w:val="auto"/>
                <w:sz w:val="24"/>
                <w:szCs w:val="21"/>
                <w:highlight w:val="none"/>
                <w:lang w:val="en-US" w:eastAsia="zh-CN"/>
              </w:rPr>
              <w:t>拆迁工程</w:t>
            </w:r>
          </w:p>
          <w:p w14:paraId="4008DE69">
            <w:pPr>
              <w:pStyle w:val="25"/>
              <w:adjustRightInd w:val="0"/>
              <w:snapToGrid w:val="0"/>
              <w:spacing w:after="0" w:line="360" w:lineRule="auto"/>
              <w:ind w:left="0" w:leftChars="0" w:firstLine="480" w:firstLineChars="200"/>
              <w:rPr>
                <w:rFonts w:hint="default" w:ascii="Times New Roman" w:hAnsi="Times New Roman" w:eastAsia="宋体" w:cs="Times New Roman"/>
                <w:b w:val="0"/>
                <w:bCs w:val="0"/>
                <w:color w:val="auto"/>
                <w:sz w:val="24"/>
                <w:szCs w:val="21"/>
                <w:highlight w:val="none"/>
              </w:rPr>
            </w:pPr>
            <w:r>
              <w:rPr>
                <w:rFonts w:hint="default" w:ascii="Times New Roman" w:hAnsi="Times New Roman" w:eastAsia="宋体" w:cs="Times New Roman"/>
                <w:b w:val="0"/>
                <w:bCs w:val="0"/>
                <w:color w:val="auto"/>
                <w:sz w:val="24"/>
                <w:szCs w:val="21"/>
                <w:highlight w:val="none"/>
              </w:rPr>
              <w:t>需拆迁建筑物</w:t>
            </w:r>
            <w:r>
              <w:rPr>
                <w:rFonts w:hint="eastAsia" w:eastAsia="宋体" w:cs="Times New Roman"/>
                <w:b w:val="0"/>
                <w:bCs w:val="0"/>
                <w:color w:val="auto"/>
                <w:sz w:val="24"/>
                <w:szCs w:val="21"/>
                <w:highlight w:val="none"/>
                <w:lang w:val="en-US" w:eastAsia="zh-CN"/>
              </w:rPr>
              <w:t>2030</w:t>
            </w:r>
            <w:r>
              <w:rPr>
                <w:rFonts w:hint="default" w:ascii="Times New Roman" w:hAnsi="Times New Roman" w:eastAsia="宋体" w:cs="Times New Roman"/>
                <w:b w:val="0"/>
                <w:bCs w:val="0"/>
                <w:color w:val="auto"/>
                <w:sz w:val="24"/>
                <w:szCs w:val="21"/>
                <w:highlight w:val="none"/>
              </w:rPr>
              <w:t>m</w:t>
            </w:r>
            <w:r>
              <w:rPr>
                <w:rFonts w:hint="default" w:ascii="Times New Roman" w:hAnsi="Times New Roman" w:eastAsia="宋体" w:cs="Times New Roman"/>
                <w:b w:val="0"/>
                <w:bCs w:val="0"/>
                <w:color w:val="auto"/>
                <w:sz w:val="24"/>
                <w:szCs w:val="21"/>
                <w:highlight w:val="none"/>
                <w:vertAlign w:val="superscript"/>
              </w:rPr>
              <w:t>2</w:t>
            </w:r>
            <w:r>
              <w:rPr>
                <w:rFonts w:hint="default" w:ascii="Times New Roman" w:hAnsi="Times New Roman" w:eastAsia="宋体" w:cs="Times New Roman"/>
                <w:b w:val="0"/>
                <w:bCs w:val="0"/>
                <w:color w:val="auto"/>
                <w:sz w:val="24"/>
                <w:szCs w:val="21"/>
                <w:highlight w:val="none"/>
              </w:rPr>
              <w:t>，电力和电讯杆</w:t>
            </w:r>
            <w:r>
              <w:rPr>
                <w:rFonts w:hint="eastAsia" w:eastAsia="宋体" w:cs="Times New Roman"/>
                <w:b w:val="0"/>
                <w:bCs w:val="0"/>
                <w:color w:val="auto"/>
                <w:sz w:val="24"/>
                <w:szCs w:val="21"/>
                <w:highlight w:val="none"/>
                <w:lang w:val="en-US" w:eastAsia="zh-CN"/>
              </w:rPr>
              <w:t>24</w:t>
            </w:r>
            <w:r>
              <w:rPr>
                <w:rFonts w:hint="default" w:ascii="Times New Roman" w:hAnsi="Times New Roman" w:eastAsia="宋体" w:cs="Times New Roman"/>
                <w:b w:val="0"/>
                <w:bCs w:val="0"/>
                <w:color w:val="auto"/>
                <w:sz w:val="24"/>
                <w:szCs w:val="21"/>
                <w:highlight w:val="none"/>
              </w:rPr>
              <w:t>根。</w:t>
            </w:r>
          </w:p>
          <w:p w14:paraId="677A801D">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szCs w:val="21"/>
                <w:highlight w:val="none"/>
                <w:lang w:eastAsia="zh-CN"/>
              </w:rPr>
            </w:pPr>
            <w:r>
              <w:rPr>
                <w:rFonts w:hint="default" w:ascii="Times New Roman" w:hAnsi="Times New Roman" w:eastAsia="宋体" w:cs="Times New Roman"/>
                <w:b/>
                <w:bCs/>
                <w:color w:val="auto"/>
                <w:sz w:val="24"/>
                <w:szCs w:val="21"/>
                <w:highlight w:val="none"/>
              </w:rPr>
              <w:t>（</w:t>
            </w:r>
            <w:r>
              <w:rPr>
                <w:rFonts w:hint="default" w:ascii="Times New Roman" w:hAnsi="Times New Roman" w:eastAsia="宋体" w:cs="Times New Roman"/>
                <w:b/>
                <w:bCs/>
                <w:color w:val="auto"/>
                <w:sz w:val="24"/>
                <w:szCs w:val="21"/>
                <w:highlight w:val="none"/>
                <w:lang w:val="en-US" w:eastAsia="zh-CN"/>
              </w:rPr>
              <w:t>3</w:t>
            </w:r>
            <w:r>
              <w:rPr>
                <w:rFonts w:hint="default" w:ascii="Times New Roman" w:hAnsi="Times New Roman" w:eastAsia="宋体" w:cs="Times New Roman"/>
                <w:b/>
                <w:bCs/>
                <w:color w:val="auto"/>
                <w:sz w:val="24"/>
                <w:szCs w:val="21"/>
                <w:highlight w:val="none"/>
              </w:rPr>
              <w:t>）临时</w:t>
            </w:r>
            <w:r>
              <w:rPr>
                <w:rFonts w:hint="default" w:ascii="Times New Roman" w:hAnsi="Times New Roman" w:eastAsia="宋体" w:cs="Times New Roman"/>
                <w:b/>
                <w:bCs/>
                <w:color w:val="auto"/>
                <w:sz w:val="24"/>
                <w:szCs w:val="21"/>
                <w:highlight w:val="none"/>
                <w:lang w:val="en-US" w:eastAsia="zh-CN"/>
              </w:rPr>
              <w:t>工程</w:t>
            </w:r>
          </w:p>
          <w:p w14:paraId="58428829">
            <w:pPr>
              <w:widowControl w:val="0"/>
              <w:adjustRightInd w:val="0"/>
              <w:snapToGrid w:val="0"/>
              <w:spacing w:after="0" w:line="360" w:lineRule="auto"/>
              <w:ind w:left="0" w:leftChars="0" w:firstLine="482" w:firstLineChars="200"/>
              <w:jc w:val="both"/>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①临时堆土区</w:t>
            </w:r>
          </w:p>
          <w:p w14:paraId="2E97E00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eastAsia="宋体" w:cs="Times New Roman"/>
                <w:color w:val="auto"/>
                <w:kern w:val="2"/>
                <w:sz w:val="24"/>
                <w:szCs w:val="21"/>
                <w:highlight w:val="none"/>
                <w:lang w:val="en-US" w:eastAsia="zh-CN" w:bidi="ar-SA"/>
              </w:rPr>
              <w:t>本项目不设临时堆土区，随取随用，施工过程中产生的土方全部外运至同期实施项目进行综合利用，不在施工场地长期堆存</w:t>
            </w:r>
            <w:r>
              <w:rPr>
                <w:rFonts w:hint="default" w:ascii="Times New Roman" w:hAnsi="Times New Roman" w:cs="Times New Roman"/>
                <w:b w:val="0"/>
                <w:bCs w:val="0"/>
                <w:color w:val="auto"/>
                <w:sz w:val="24"/>
                <w:szCs w:val="24"/>
                <w:highlight w:val="none"/>
                <w:vertAlign w:val="baseline"/>
                <w:lang w:val="en-US" w:eastAsia="zh-CN"/>
              </w:rPr>
              <w:t>。</w:t>
            </w:r>
          </w:p>
          <w:p w14:paraId="661B6824">
            <w:pPr>
              <w:widowControl w:val="0"/>
              <w:adjustRightInd w:val="0"/>
              <w:snapToGrid w:val="0"/>
              <w:spacing w:after="0" w:line="360" w:lineRule="auto"/>
              <w:ind w:left="0" w:leftChars="0" w:firstLine="482" w:firstLineChars="200"/>
              <w:jc w:val="both"/>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②取弃土场</w:t>
            </w:r>
          </w:p>
          <w:p w14:paraId="09089E43">
            <w:pPr>
              <w:widowControl w:val="0"/>
              <w:adjustRightInd w:val="0"/>
              <w:snapToGrid w:val="0"/>
              <w:spacing w:after="0" w:line="360" w:lineRule="auto"/>
              <w:ind w:left="0" w:leftChars="0" w:firstLine="480" w:firstLineChars="200"/>
              <w:jc w:val="both"/>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sz w:val="24"/>
                <w:lang w:val="en-US" w:eastAsia="zh-CN"/>
              </w:rPr>
              <w:t>项目不设取（弃）土场，所需借方全部为其他项目多余土方利用或外购，弃方外运至同期实施项目进行综合利用，不得随意外弃。</w:t>
            </w:r>
          </w:p>
          <w:p w14:paraId="529DB51C">
            <w:pPr>
              <w:widowControl w:val="0"/>
              <w:adjustRightInd w:val="0"/>
              <w:snapToGrid w:val="0"/>
              <w:spacing w:after="0" w:line="360" w:lineRule="auto"/>
              <w:ind w:left="0" w:leftChars="0" w:firstLine="482" w:firstLineChars="200"/>
              <w:jc w:val="both"/>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③施工便道</w:t>
            </w:r>
          </w:p>
          <w:p w14:paraId="6878E127">
            <w:pPr>
              <w:widowControl w:val="0"/>
              <w:adjustRightInd w:val="0"/>
              <w:snapToGrid w:val="0"/>
              <w:spacing w:after="0" w:line="360" w:lineRule="auto"/>
              <w:ind w:left="0" w:leftChars="0" w:firstLine="480" w:firstLineChars="200"/>
              <w:jc w:val="both"/>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项目利用道路红线内的占地及项目周边现有道路作为施工便道，不设置临时施工便道</w:t>
            </w:r>
            <w:r>
              <w:rPr>
                <w:rFonts w:hint="eastAsia" w:ascii="Times New Roman" w:hAnsi="Times New Roman" w:eastAsia="宋体" w:cs="Times New Roman"/>
                <w:color w:val="auto"/>
                <w:kern w:val="2"/>
                <w:sz w:val="24"/>
                <w:szCs w:val="21"/>
                <w:highlight w:val="none"/>
                <w:lang w:val="en-US" w:eastAsia="zh-CN" w:bidi="ar-SA"/>
              </w:rPr>
              <w:t>。</w:t>
            </w:r>
          </w:p>
          <w:p w14:paraId="5D49FDE7">
            <w:pPr>
              <w:pStyle w:val="25"/>
              <w:adjustRightInd w:val="0"/>
              <w:snapToGrid w:val="0"/>
              <w:spacing w:after="0" w:line="360" w:lineRule="auto"/>
              <w:ind w:left="0" w:leftChars="0" w:firstLine="482" w:firstLineChars="200"/>
              <w:rPr>
                <w:rFonts w:hint="default" w:ascii="Times New Roman" w:hAnsi="Times New Roman" w:eastAsia="宋体" w:cs="Times New Roman"/>
                <w:b/>
                <w:bCs/>
                <w:color w:val="auto"/>
                <w:sz w:val="24"/>
                <w:szCs w:val="21"/>
                <w:highlight w:val="none"/>
              </w:rPr>
            </w:pPr>
            <w:r>
              <w:rPr>
                <w:rFonts w:hint="default" w:ascii="Times New Roman" w:hAnsi="Times New Roman" w:eastAsia="宋体" w:cs="Times New Roman"/>
                <w:b/>
                <w:bCs/>
                <w:color w:val="auto"/>
                <w:sz w:val="24"/>
                <w:szCs w:val="21"/>
                <w:highlight w:val="none"/>
              </w:rPr>
              <w:t>（</w:t>
            </w:r>
            <w:r>
              <w:rPr>
                <w:rFonts w:hint="default" w:ascii="Times New Roman" w:hAnsi="Times New Roman" w:eastAsia="宋体" w:cs="Times New Roman"/>
                <w:b/>
                <w:bCs/>
                <w:color w:val="auto"/>
                <w:sz w:val="24"/>
                <w:szCs w:val="21"/>
                <w:highlight w:val="none"/>
                <w:lang w:val="en-US" w:eastAsia="zh-CN"/>
              </w:rPr>
              <w:t>4</w:t>
            </w:r>
            <w:r>
              <w:rPr>
                <w:rFonts w:hint="default" w:ascii="Times New Roman" w:hAnsi="Times New Roman" w:eastAsia="宋体" w:cs="Times New Roman"/>
                <w:b/>
                <w:bCs/>
                <w:color w:val="auto"/>
                <w:sz w:val="24"/>
                <w:szCs w:val="21"/>
                <w:highlight w:val="none"/>
              </w:rPr>
              <w:t>）土石方工程</w:t>
            </w:r>
          </w:p>
          <w:p w14:paraId="3CE118CD">
            <w:pPr>
              <w:widowControl w:val="0"/>
              <w:adjustRightInd w:val="0"/>
              <w:snapToGrid w:val="0"/>
              <w:spacing w:after="0" w:line="360" w:lineRule="auto"/>
              <w:ind w:left="0" w:leftChars="0" w:firstLine="480" w:firstLineChars="200"/>
              <w:jc w:val="both"/>
              <w:rPr>
                <w:rFonts w:hint="default" w:ascii="Times New Roman" w:hAnsi="Times New Roman" w:eastAsia="宋体" w:cs="Times New Roman"/>
                <w:b w:val="0"/>
                <w:bCs w:val="0"/>
                <w:color w:val="auto"/>
                <w:kern w:val="2"/>
                <w:sz w:val="24"/>
                <w:szCs w:val="21"/>
                <w:highlight w:val="none"/>
                <w:lang w:val="en-US" w:eastAsia="zh-CN" w:bidi="ar-SA"/>
              </w:rPr>
            </w:pPr>
            <w:r>
              <w:rPr>
                <w:rFonts w:hint="default" w:ascii="Times New Roman" w:hAnsi="Times New Roman" w:eastAsia="宋体" w:cs="Times New Roman"/>
                <w:b w:val="0"/>
                <w:bCs w:val="0"/>
                <w:color w:val="auto"/>
                <w:kern w:val="2"/>
                <w:sz w:val="24"/>
                <w:szCs w:val="21"/>
                <w:highlight w:val="none"/>
                <w:lang w:val="en-US" w:eastAsia="zh-CN" w:bidi="ar-SA"/>
              </w:rPr>
              <w:t>本工程挖方</w:t>
            </w:r>
            <w:r>
              <w:rPr>
                <w:rFonts w:hint="eastAsia" w:ascii="Times New Roman" w:hAnsi="Times New Roman" w:eastAsia="宋体" w:cs="Times New Roman"/>
                <w:b w:val="0"/>
                <w:bCs w:val="0"/>
                <w:color w:val="auto"/>
                <w:kern w:val="2"/>
                <w:sz w:val="24"/>
                <w:szCs w:val="21"/>
                <w:highlight w:val="none"/>
                <w:lang w:val="en-US" w:eastAsia="zh-CN" w:bidi="ar-SA"/>
              </w:rPr>
              <w:t>12.05</w:t>
            </w:r>
            <w:r>
              <w:rPr>
                <w:rFonts w:hint="default" w:ascii="Times New Roman" w:hAnsi="Times New Roman" w:eastAsia="宋体" w:cs="Times New Roman"/>
                <w:b w:val="0"/>
                <w:bCs w:val="0"/>
                <w:color w:val="auto"/>
                <w:kern w:val="2"/>
                <w:sz w:val="24"/>
                <w:szCs w:val="21"/>
                <w:highlight w:val="none"/>
                <w:lang w:val="en-US" w:eastAsia="zh-CN" w:bidi="ar-SA"/>
              </w:rPr>
              <w:t>万m</w:t>
            </w:r>
            <w:r>
              <w:rPr>
                <w:rFonts w:hint="default" w:ascii="Times New Roman" w:hAnsi="Times New Roman" w:eastAsia="宋体" w:cs="Times New Roman"/>
                <w:b w:val="0"/>
                <w:bCs w:val="0"/>
                <w:color w:val="auto"/>
                <w:kern w:val="2"/>
                <w:sz w:val="24"/>
                <w:szCs w:val="21"/>
                <w:highlight w:val="none"/>
                <w:vertAlign w:val="superscript"/>
                <w:lang w:val="en-US" w:eastAsia="zh-CN" w:bidi="ar-SA"/>
              </w:rPr>
              <w:t>3</w:t>
            </w:r>
            <w:r>
              <w:rPr>
                <w:rFonts w:hint="default" w:ascii="Times New Roman" w:hAnsi="Times New Roman" w:eastAsia="宋体" w:cs="Times New Roman"/>
                <w:b w:val="0"/>
                <w:bCs w:val="0"/>
                <w:color w:val="auto"/>
                <w:kern w:val="2"/>
                <w:sz w:val="24"/>
                <w:szCs w:val="21"/>
                <w:highlight w:val="none"/>
                <w:lang w:val="en-US" w:eastAsia="zh-CN" w:bidi="ar-SA"/>
              </w:rPr>
              <w:t>，填方</w:t>
            </w:r>
            <w:r>
              <w:rPr>
                <w:rFonts w:hint="eastAsia" w:ascii="Times New Roman" w:hAnsi="Times New Roman" w:eastAsia="宋体" w:cs="Times New Roman"/>
                <w:b w:val="0"/>
                <w:bCs w:val="0"/>
                <w:color w:val="auto"/>
                <w:kern w:val="2"/>
                <w:sz w:val="24"/>
                <w:szCs w:val="21"/>
                <w:highlight w:val="none"/>
                <w:lang w:val="en-US" w:eastAsia="zh-CN" w:bidi="ar-SA"/>
              </w:rPr>
              <w:t>17.12</w:t>
            </w:r>
            <w:r>
              <w:rPr>
                <w:rFonts w:hint="default" w:ascii="Times New Roman" w:hAnsi="Times New Roman" w:eastAsia="宋体" w:cs="Times New Roman"/>
                <w:b w:val="0"/>
                <w:bCs w:val="0"/>
                <w:color w:val="auto"/>
                <w:kern w:val="2"/>
                <w:sz w:val="24"/>
                <w:szCs w:val="21"/>
                <w:highlight w:val="none"/>
                <w:lang w:val="en-US" w:eastAsia="zh-CN" w:bidi="ar-SA"/>
              </w:rPr>
              <w:t>万m</w:t>
            </w:r>
            <w:r>
              <w:rPr>
                <w:rFonts w:hint="default" w:ascii="Times New Roman" w:hAnsi="Times New Roman" w:eastAsia="宋体" w:cs="Times New Roman"/>
                <w:b w:val="0"/>
                <w:bCs w:val="0"/>
                <w:color w:val="auto"/>
                <w:kern w:val="2"/>
                <w:sz w:val="24"/>
                <w:szCs w:val="21"/>
                <w:highlight w:val="none"/>
                <w:vertAlign w:val="superscript"/>
                <w:lang w:val="en-US" w:eastAsia="zh-CN" w:bidi="ar-SA"/>
              </w:rPr>
              <w:t>3</w:t>
            </w:r>
            <w:r>
              <w:rPr>
                <w:rFonts w:hint="default" w:ascii="Times New Roman" w:hAnsi="Times New Roman" w:eastAsia="宋体" w:cs="Times New Roman"/>
                <w:b w:val="0"/>
                <w:bCs w:val="0"/>
                <w:color w:val="auto"/>
                <w:kern w:val="2"/>
                <w:sz w:val="24"/>
                <w:szCs w:val="21"/>
                <w:highlight w:val="none"/>
                <w:lang w:val="en-US" w:eastAsia="zh-CN" w:bidi="ar-SA"/>
              </w:rPr>
              <w:t>，</w:t>
            </w:r>
            <w:r>
              <w:rPr>
                <w:rFonts w:hint="eastAsia" w:ascii="Times New Roman" w:hAnsi="Times New Roman" w:eastAsia="宋体" w:cs="Times New Roman"/>
                <w:b w:val="0"/>
                <w:bCs w:val="0"/>
                <w:color w:val="auto"/>
                <w:kern w:val="2"/>
                <w:sz w:val="24"/>
                <w:szCs w:val="21"/>
                <w:highlight w:val="none"/>
                <w:lang w:val="en-US" w:eastAsia="zh-CN" w:bidi="ar-SA"/>
              </w:rPr>
              <w:t>余</w:t>
            </w:r>
            <w:r>
              <w:rPr>
                <w:rFonts w:hint="default" w:ascii="Times New Roman" w:hAnsi="Times New Roman" w:eastAsia="宋体" w:cs="Times New Roman"/>
                <w:b w:val="0"/>
                <w:bCs w:val="0"/>
                <w:color w:val="auto"/>
                <w:kern w:val="2"/>
                <w:sz w:val="24"/>
                <w:szCs w:val="21"/>
                <w:highlight w:val="none"/>
                <w:lang w:val="en-US" w:eastAsia="zh-CN" w:bidi="ar-SA"/>
              </w:rPr>
              <w:t>方</w:t>
            </w:r>
            <w:r>
              <w:rPr>
                <w:rFonts w:hint="eastAsia" w:ascii="Times New Roman" w:hAnsi="Times New Roman" w:eastAsia="宋体" w:cs="Times New Roman"/>
                <w:b w:val="0"/>
                <w:bCs w:val="0"/>
                <w:color w:val="auto"/>
                <w:kern w:val="2"/>
                <w:sz w:val="24"/>
                <w:szCs w:val="21"/>
                <w:highlight w:val="none"/>
                <w:lang w:val="en-US" w:eastAsia="zh-CN" w:bidi="ar-SA"/>
              </w:rPr>
              <w:t>5.07</w:t>
            </w:r>
            <w:r>
              <w:rPr>
                <w:rFonts w:hint="default" w:ascii="Times New Roman" w:hAnsi="Times New Roman" w:eastAsia="宋体" w:cs="Times New Roman"/>
                <w:b w:val="0"/>
                <w:bCs w:val="0"/>
                <w:color w:val="auto"/>
                <w:kern w:val="2"/>
                <w:sz w:val="24"/>
                <w:szCs w:val="21"/>
                <w:highlight w:val="none"/>
                <w:lang w:val="en-US" w:eastAsia="zh-CN" w:bidi="ar-SA"/>
              </w:rPr>
              <w:t>万m</w:t>
            </w:r>
            <w:r>
              <w:rPr>
                <w:rFonts w:hint="default" w:ascii="Times New Roman" w:hAnsi="Times New Roman" w:eastAsia="宋体" w:cs="Times New Roman"/>
                <w:b w:val="0"/>
                <w:bCs w:val="0"/>
                <w:color w:val="auto"/>
                <w:kern w:val="2"/>
                <w:sz w:val="24"/>
                <w:szCs w:val="21"/>
                <w:highlight w:val="none"/>
                <w:vertAlign w:val="superscript"/>
                <w:lang w:val="en-US" w:eastAsia="zh-CN" w:bidi="ar-SA"/>
              </w:rPr>
              <w:t>3</w:t>
            </w:r>
            <w:r>
              <w:rPr>
                <w:rFonts w:hint="default" w:ascii="Times New Roman" w:hAnsi="Times New Roman" w:eastAsia="宋体" w:cs="Times New Roman"/>
                <w:b w:val="0"/>
                <w:bCs w:val="0"/>
                <w:color w:val="auto"/>
                <w:kern w:val="2"/>
                <w:sz w:val="24"/>
                <w:szCs w:val="21"/>
                <w:highlight w:val="none"/>
                <w:lang w:val="en-US" w:eastAsia="zh-CN" w:bidi="ar-SA"/>
              </w:rPr>
              <w:t>，本项目不设置取、弃土场，施工过程中产生的弃土方全部外运至同期实施项目进行综合利用，不得随意外弃。</w:t>
            </w:r>
          </w:p>
          <w:p w14:paraId="52988542">
            <w:pPr>
              <w:pStyle w:val="25"/>
              <w:adjustRightInd w:val="0"/>
              <w:snapToGrid w:val="0"/>
              <w:spacing w:after="0" w:line="360" w:lineRule="auto"/>
              <w:ind w:left="0" w:leftChars="0"/>
              <w:rPr>
                <w:rFonts w:hint="default" w:ascii="Times New Roman" w:hAnsi="Times New Roman" w:eastAsia="宋体" w:cs="Times New Roman"/>
                <w:b/>
                <w:bCs/>
                <w:color w:val="auto"/>
                <w:sz w:val="24"/>
                <w:szCs w:val="21"/>
                <w:highlight w:val="none"/>
                <w:lang w:val="en-US"/>
              </w:rPr>
            </w:pPr>
            <w:r>
              <w:rPr>
                <w:rFonts w:hint="default" w:ascii="Times New Roman" w:hAnsi="Times New Roman" w:eastAsia="宋体" w:cs="Times New Roman"/>
                <w:b/>
                <w:bCs/>
                <w:color w:val="auto"/>
                <w:sz w:val="24"/>
                <w:szCs w:val="21"/>
                <w:highlight w:val="none"/>
                <w:lang w:val="en-US" w:eastAsia="zh-CN"/>
              </w:rPr>
              <w:t>6、交通量预测</w:t>
            </w:r>
          </w:p>
          <w:p w14:paraId="2753C8CE">
            <w:pPr>
              <w:pStyle w:val="70"/>
              <w:ind w:firstLine="482"/>
              <w:rPr>
                <w:rFonts w:hint="eastAsia" w:ascii="Times New Roman" w:hAnsi="Times New Roman" w:eastAsia="宋体" w:cs="Times New Roman"/>
                <w:b/>
                <w:bCs/>
                <w:snapToGrid/>
                <w:color w:val="auto"/>
                <w:spacing w:val="-1"/>
                <w:kern w:val="2"/>
                <w:sz w:val="24"/>
                <w:szCs w:val="24"/>
                <w:highlight w:val="none"/>
                <w:lang w:val="en-US" w:eastAsia="zh-CN" w:bidi="ar-SA"/>
              </w:rPr>
            </w:pPr>
            <w:r>
              <w:rPr>
                <w:rFonts w:hint="eastAsia" w:ascii="Times New Roman" w:hAnsi="Times New Roman" w:eastAsia="宋体" w:cs="Times New Roman"/>
                <w:b/>
                <w:bCs/>
                <w:snapToGrid/>
                <w:color w:val="auto"/>
                <w:spacing w:val="-1"/>
                <w:kern w:val="2"/>
                <w:sz w:val="24"/>
                <w:szCs w:val="24"/>
                <w:highlight w:val="none"/>
                <w:lang w:val="en-US" w:eastAsia="zh-CN" w:bidi="ar-SA"/>
              </w:rPr>
              <w:t>（1）趋势交通量</w:t>
            </w:r>
          </w:p>
          <w:p w14:paraId="3480FD0B">
            <w:pPr>
              <w:pStyle w:val="70"/>
              <w:ind w:firstLine="482"/>
              <w:rPr>
                <w:rFonts w:hint="default" w:ascii="Times New Roman" w:hAnsi="Times New Roman" w:eastAsia="宋体" w:cs="Times New Roman"/>
                <w:b w:val="0"/>
                <w:bCs w:val="0"/>
                <w:snapToGrid/>
                <w:color w:val="auto"/>
                <w:spacing w:val="-1"/>
                <w:kern w:val="2"/>
                <w:sz w:val="24"/>
                <w:szCs w:val="24"/>
                <w:highlight w:val="none"/>
                <w:lang w:val="en-US" w:eastAsia="zh-CN" w:bidi="ar-SA"/>
              </w:rPr>
            </w:pPr>
            <w:r>
              <w:rPr>
                <w:rFonts w:hint="default" w:ascii="Times New Roman" w:hAnsi="Times New Roman" w:eastAsia="宋体" w:cs="Times New Roman"/>
                <w:b w:val="0"/>
                <w:bCs w:val="0"/>
                <w:snapToGrid/>
                <w:color w:val="auto"/>
                <w:spacing w:val="-1"/>
                <w:kern w:val="2"/>
                <w:sz w:val="24"/>
                <w:szCs w:val="24"/>
                <w:highlight w:val="none"/>
                <w:lang w:val="en-US" w:eastAsia="zh-CN" w:bidi="ar-SA"/>
              </w:rPr>
              <w:t>根据《公路工程技术标准》（JTGB01-2014），在交通量预测中，交通量换算采用小客车为标准车型，畜力车、人力车、自行车等非机动车和三、四级公路上行驶的拖拉机按路侧干扰因素计，不再计入交通量统计。</w:t>
            </w:r>
          </w:p>
          <w:p w14:paraId="393A2765">
            <w:pPr>
              <w:pStyle w:val="7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kern w:val="0"/>
                <w:sz w:val="21"/>
                <w:szCs w:val="18"/>
                <w:lang w:val="en-US" w:eastAsia="zh-CN"/>
              </w:rPr>
            </w:pPr>
            <w:r>
              <w:rPr>
                <w:rFonts w:hint="default" w:ascii="Times New Roman" w:hAnsi="Times New Roman" w:eastAsia="宋体" w:cs="Times New Roman"/>
                <w:b/>
                <w:bCs w:val="0"/>
                <w:kern w:val="0"/>
                <w:sz w:val="21"/>
                <w:szCs w:val="18"/>
                <w:lang w:val="en-US" w:eastAsia="zh-CN"/>
              </w:rPr>
              <w:t>表2-6  环评预测特征年车流量核算  单位：（pcu/d）</w:t>
            </w:r>
          </w:p>
          <w:tbl>
            <w:tblPr>
              <w:tblStyle w:val="75"/>
              <w:tblW w:w="503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60"/>
              <w:gridCol w:w="2121"/>
              <w:gridCol w:w="4857"/>
            </w:tblGrid>
            <w:tr w14:paraId="31328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0" w:hRule="atLeast"/>
                <w:jc w:val="center"/>
              </w:trPr>
              <w:tc>
                <w:tcPr>
                  <w:tcW w:w="1448" w:type="dxa"/>
                  <w:vAlign w:val="center"/>
                </w:tcPr>
                <w:p w14:paraId="71A6A1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车型</w:t>
                  </w:r>
                </w:p>
              </w:tc>
              <w:tc>
                <w:tcPr>
                  <w:tcW w:w="2103" w:type="dxa"/>
                  <w:vAlign w:val="center"/>
                </w:tcPr>
                <w:p w14:paraId="7FBA91A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车辆折算系数</w:t>
                  </w:r>
                </w:p>
              </w:tc>
              <w:tc>
                <w:tcPr>
                  <w:tcW w:w="4815" w:type="dxa"/>
                  <w:vAlign w:val="center"/>
                </w:tcPr>
                <w:p w14:paraId="0903BC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划分标准</w:t>
                  </w:r>
                </w:p>
              </w:tc>
            </w:tr>
            <w:tr w14:paraId="5E568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0" w:hRule="atLeast"/>
                <w:jc w:val="center"/>
              </w:trPr>
              <w:tc>
                <w:tcPr>
                  <w:tcW w:w="1448" w:type="dxa"/>
                  <w:vAlign w:val="center"/>
                </w:tcPr>
                <w:p w14:paraId="69AE4E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小客车</w:t>
                  </w:r>
                </w:p>
              </w:tc>
              <w:tc>
                <w:tcPr>
                  <w:tcW w:w="2103" w:type="dxa"/>
                  <w:vAlign w:val="center"/>
                </w:tcPr>
                <w:p w14:paraId="4925AFF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1.0</w:t>
                  </w:r>
                </w:p>
              </w:tc>
              <w:tc>
                <w:tcPr>
                  <w:tcW w:w="4815" w:type="dxa"/>
                  <w:vAlign w:val="center"/>
                </w:tcPr>
                <w:p w14:paraId="78D370E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≤19座的客车和载质量≤2.0吨的货车</w:t>
                  </w:r>
                </w:p>
              </w:tc>
            </w:tr>
            <w:tr w14:paraId="769B1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0" w:hRule="atLeast"/>
                <w:jc w:val="center"/>
              </w:trPr>
              <w:tc>
                <w:tcPr>
                  <w:tcW w:w="1448" w:type="dxa"/>
                  <w:vAlign w:val="center"/>
                </w:tcPr>
                <w:p w14:paraId="2BCCF14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中型车</w:t>
                  </w:r>
                </w:p>
              </w:tc>
              <w:tc>
                <w:tcPr>
                  <w:tcW w:w="2103" w:type="dxa"/>
                  <w:vAlign w:val="center"/>
                </w:tcPr>
                <w:p w14:paraId="10262B2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1.5</w:t>
                  </w:r>
                </w:p>
              </w:tc>
              <w:tc>
                <w:tcPr>
                  <w:tcW w:w="4815" w:type="dxa"/>
                  <w:vAlign w:val="center"/>
                </w:tcPr>
                <w:p w14:paraId="5EA182F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＞19座的客车和载质量＞2.0～≤7.0吨的货车</w:t>
                  </w:r>
                </w:p>
              </w:tc>
            </w:tr>
            <w:tr w14:paraId="26BFE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0" w:hRule="atLeast"/>
                <w:jc w:val="center"/>
              </w:trPr>
              <w:tc>
                <w:tcPr>
                  <w:tcW w:w="1448" w:type="dxa"/>
                  <w:vAlign w:val="center"/>
                </w:tcPr>
                <w:p w14:paraId="0B3090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大型车</w:t>
                  </w:r>
                </w:p>
              </w:tc>
              <w:tc>
                <w:tcPr>
                  <w:tcW w:w="2103" w:type="dxa"/>
                  <w:vAlign w:val="center"/>
                </w:tcPr>
                <w:p w14:paraId="0C631AD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2.5</w:t>
                  </w:r>
                </w:p>
              </w:tc>
              <w:tc>
                <w:tcPr>
                  <w:tcW w:w="4815" w:type="dxa"/>
                  <w:vAlign w:val="center"/>
                </w:tcPr>
                <w:p w14:paraId="01FF40A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载质量＞7.0～≤20.0吨的货车</w:t>
                  </w:r>
                </w:p>
              </w:tc>
            </w:tr>
            <w:tr w14:paraId="35C8A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0" w:hRule="atLeast"/>
                <w:jc w:val="center"/>
              </w:trPr>
              <w:tc>
                <w:tcPr>
                  <w:tcW w:w="1448" w:type="dxa"/>
                  <w:vAlign w:val="center"/>
                </w:tcPr>
                <w:p w14:paraId="31846ED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汽车系列</w:t>
                  </w:r>
                </w:p>
              </w:tc>
              <w:tc>
                <w:tcPr>
                  <w:tcW w:w="2103" w:type="dxa"/>
                  <w:vAlign w:val="center"/>
                </w:tcPr>
                <w:p w14:paraId="29040B8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4.0</w:t>
                  </w:r>
                </w:p>
              </w:tc>
              <w:tc>
                <w:tcPr>
                  <w:tcW w:w="4815" w:type="dxa"/>
                  <w:vAlign w:val="center"/>
                </w:tcPr>
                <w:p w14:paraId="48929D6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4.0载质量＞20.0的货车</w:t>
                  </w:r>
                </w:p>
              </w:tc>
            </w:tr>
          </w:tbl>
          <w:p w14:paraId="5F26DFBF">
            <w:pPr>
              <w:pStyle w:val="70"/>
              <w:keepNext w:val="0"/>
              <w:keepLines w:val="0"/>
              <w:pageBreakBefore w:val="0"/>
              <w:widowControl w:val="0"/>
              <w:kinsoku/>
              <w:wordWrap/>
              <w:overflowPunct/>
              <w:topLinePunct w:val="0"/>
              <w:autoSpaceDE/>
              <w:autoSpaceDN/>
              <w:bidi w:val="0"/>
              <w:adjustRightInd/>
              <w:snapToGrid/>
              <w:spacing w:before="157" w:beforeLines="50"/>
              <w:ind w:firstLine="482"/>
              <w:textAlignment w:val="auto"/>
              <w:rPr>
                <w:rFonts w:hint="default" w:ascii="Times New Roman" w:hAnsi="Times New Roman" w:eastAsia="宋体" w:cs="Times New Roman"/>
                <w:b/>
                <w:bCs w:val="0"/>
                <w:kern w:val="0"/>
                <w:sz w:val="21"/>
                <w:szCs w:val="18"/>
                <w:lang w:val="en-US" w:eastAsia="zh-CN"/>
              </w:rPr>
            </w:pPr>
            <w:r>
              <w:rPr>
                <w:rFonts w:hint="default" w:ascii="Times New Roman" w:hAnsi="Times New Roman" w:eastAsia="宋体" w:cs="Times New Roman"/>
                <w:b w:val="0"/>
                <w:bCs w:val="0"/>
                <w:snapToGrid/>
                <w:color w:val="auto"/>
                <w:spacing w:val="-1"/>
                <w:kern w:val="2"/>
                <w:sz w:val="24"/>
                <w:szCs w:val="24"/>
                <w:highlight w:val="none"/>
                <w:lang w:val="en-US" w:eastAsia="zh-CN" w:bidi="ar-SA"/>
              </w:rPr>
              <w:t>根据《</w:t>
            </w:r>
            <w:r>
              <w:rPr>
                <w:rFonts w:hint="eastAsia" w:ascii="Times New Roman" w:hAnsi="Times New Roman" w:eastAsia="宋体" w:cs="Times New Roman"/>
                <w:b w:val="0"/>
                <w:bCs w:val="0"/>
                <w:snapToGrid/>
                <w:color w:val="auto"/>
                <w:spacing w:val="-1"/>
                <w:kern w:val="2"/>
                <w:sz w:val="24"/>
                <w:szCs w:val="24"/>
                <w:highlight w:val="none"/>
                <w:lang w:val="en-US" w:eastAsia="zh-CN" w:bidi="ar-SA"/>
              </w:rPr>
              <w:t>金寨县关庙乡沙坪沟至蔡家湾公路升级改造工程</w:t>
            </w:r>
            <w:r>
              <w:rPr>
                <w:rFonts w:hint="default" w:ascii="Times New Roman" w:hAnsi="Times New Roman" w:eastAsia="宋体" w:cs="Times New Roman"/>
                <w:b w:val="0"/>
                <w:bCs w:val="0"/>
                <w:snapToGrid/>
                <w:color w:val="auto"/>
                <w:spacing w:val="-1"/>
                <w:kern w:val="2"/>
                <w:sz w:val="24"/>
                <w:szCs w:val="24"/>
                <w:highlight w:val="none"/>
                <w:lang w:val="en-US" w:eastAsia="zh-CN" w:bidi="ar-SA"/>
              </w:rPr>
              <w:t>可行性研究报告》，拟建工程未来年路段交通量预测见下表，均已折算成小客车。</w:t>
            </w:r>
          </w:p>
          <w:p w14:paraId="1089FA24">
            <w:pPr>
              <w:pStyle w:val="7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kern w:val="0"/>
                <w:sz w:val="21"/>
                <w:szCs w:val="18"/>
                <w:lang w:val="en-US" w:eastAsia="zh-CN"/>
              </w:rPr>
            </w:pPr>
            <w:r>
              <w:rPr>
                <w:rFonts w:hint="default" w:ascii="Times New Roman" w:hAnsi="Times New Roman" w:eastAsia="宋体" w:cs="Times New Roman"/>
                <w:b/>
                <w:bCs w:val="0"/>
                <w:kern w:val="0"/>
                <w:sz w:val="21"/>
                <w:szCs w:val="18"/>
                <w:lang w:val="en-US" w:eastAsia="zh-CN"/>
              </w:rPr>
              <w:t>表2-7  本项目未来年趋势交通量预测结果  单位：（pcu/d）</w:t>
            </w:r>
          </w:p>
          <w:tbl>
            <w:tblPr>
              <w:tblStyle w:val="7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147"/>
              <w:gridCol w:w="4231"/>
            </w:tblGrid>
            <w:tr w14:paraId="05F16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0" w:hRule="atLeast"/>
                <w:jc w:val="center"/>
              </w:trPr>
              <w:tc>
                <w:tcPr>
                  <w:tcW w:w="1275" w:type="dxa"/>
                  <w:vAlign w:val="center"/>
                </w:tcPr>
                <w:p w14:paraId="4B917B5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特征年</w:t>
                  </w:r>
                </w:p>
              </w:tc>
              <w:tc>
                <w:tcPr>
                  <w:tcW w:w="1301" w:type="dxa"/>
                  <w:vAlign w:val="center"/>
                </w:tcPr>
                <w:p w14:paraId="5EE41D9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年平均日交通量</w:t>
                  </w:r>
                </w:p>
              </w:tc>
            </w:tr>
            <w:tr w14:paraId="21B3E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9" w:hRule="atLeast"/>
                <w:jc w:val="center"/>
              </w:trPr>
              <w:tc>
                <w:tcPr>
                  <w:tcW w:w="1275" w:type="dxa"/>
                  <w:vAlign w:val="center"/>
                </w:tcPr>
                <w:p w14:paraId="377FFA2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202</w:t>
                  </w:r>
                  <w:r>
                    <w:rPr>
                      <w:rFonts w:hint="eastAsia" w:ascii="Times New Roman" w:hAnsi="Times New Roman" w:eastAsia="宋体" w:cs="Times New Roman"/>
                      <w:lang w:val="en-US" w:eastAsia="zh-CN"/>
                    </w:rPr>
                    <w:t>6</w:t>
                  </w:r>
                  <w:r>
                    <w:rPr>
                      <w:rFonts w:hint="default" w:ascii="Times New Roman" w:hAnsi="Times New Roman" w:eastAsia="宋体" w:cs="Times New Roman"/>
                      <w:lang w:val="en-US" w:eastAsia="zh-CN"/>
                    </w:rPr>
                    <w:t>年</w:t>
                  </w:r>
                </w:p>
              </w:tc>
              <w:tc>
                <w:tcPr>
                  <w:tcW w:w="1301" w:type="dxa"/>
                  <w:vAlign w:val="center"/>
                </w:tcPr>
                <w:p w14:paraId="7208D5D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1345</w:t>
                  </w:r>
                </w:p>
              </w:tc>
            </w:tr>
            <w:tr w14:paraId="5B335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9" w:hRule="atLeast"/>
                <w:jc w:val="center"/>
              </w:trPr>
              <w:tc>
                <w:tcPr>
                  <w:tcW w:w="1275" w:type="dxa"/>
                  <w:vAlign w:val="center"/>
                </w:tcPr>
                <w:p w14:paraId="44D3042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203</w:t>
                  </w:r>
                  <w:r>
                    <w:rPr>
                      <w:rFonts w:hint="eastAsia" w:ascii="Times New Roman" w:hAnsi="Times New Roman" w:eastAsia="宋体" w:cs="Times New Roman"/>
                      <w:lang w:val="en-US" w:eastAsia="zh-CN"/>
                    </w:rPr>
                    <w:t>2</w:t>
                  </w:r>
                  <w:r>
                    <w:rPr>
                      <w:rFonts w:hint="default" w:ascii="Times New Roman" w:hAnsi="Times New Roman" w:eastAsia="宋体" w:cs="Times New Roman"/>
                      <w:lang w:val="en-US" w:eastAsia="zh-CN"/>
                    </w:rPr>
                    <w:t>年</w:t>
                  </w:r>
                </w:p>
              </w:tc>
              <w:tc>
                <w:tcPr>
                  <w:tcW w:w="1301" w:type="dxa"/>
                  <w:vAlign w:val="center"/>
                </w:tcPr>
                <w:p w14:paraId="0915329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1860</w:t>
                  </w:r>
                </w:p>
              </w:tc>
            </w:tr>
            <w:tr w14:paraId="4E981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9" w:hRule="atLeast"/>
                <w:jc w:val="center"/>
              </w:trPr>
              <w:tc>
                <w:tcPr>
                  <w:tcW w:w="1275" w:type="dxa"/>
                  <w:vAlign w:val="center"/>
                </w:tcPr>
                <w:p w14:paraId="4474274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w:t>
                  </w:r>
                  <w:r>
                    <w:rPr>
                      <w:rFonts w:hint="eastAsia" w:ascii="Times New Roman" w:hAnsi="Times New Roman" w:eastAsia="宋体" w:cs="Times New Roman"/>
                      <w:lang w:val="en-US" w:eastAsia="zh-CN"/>
                    </w:rPr>
                    <w:t>40</w:t>
                  </w:r>
                  <w:r>
                    <w:rPr>
                      <w:rFonts w:hint="default" w:ascii="Times New Roman" w:hAnsi="Times New Roman" w:eastAsia="宋体" w:cs="Times New Roman"/>
                      <w:lang w:val="en-US" w:eastAsia="zh-CN"/>
                    </w:rPr>
                    <w:t>年</w:t>
                  </w:r>
                </w:p>
              </w:tc>
              <w:tc>
                <w:tcPr>
                  <w:tcW w:w="1301" w:type="dxa"/>
                  <w:vAlign w:val="center"/>
                </w:tcPr>
                <w:p w14:paraId="441328A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2496</w:t>
                  </w:r>
                </w:p>
              </w:tc>
            </w:tr>
          </w:tbl>
          <w:p w14:paraId="45C8CB94">
            <w:pPr>
              <w:pStyle w:val="70"/>
              <w:keepNext w:val="0"/>
              <w:keepLines w:val="0"/>
              <w:pageBreakBefore w:val="0"/>
              <w:widowControl w:val="0"/>
              <w:kinsoku/>
              <w:wordWrap/>
              <w:overflowPunct/>
              <w:topLinePunct w:val="0"/>
              <w:autoSpaceDE/>
              <w:autoSpaceDN/>
              <w:bidi w:val="0"/>
              <w:adjustRightInd/>
              <w:snapToGrid/>
              <w:spacing w:before="157" w:beforeLines="50"/>
              <w:ind w:firstLine="482"/>
              <w:textAlignment w:val="auto"/>
              <w:rPr>
                <w:rFonts w:hint="default" w:ascii="Times New Roman" w:hAnsi="Times New Roman" w:eastAsia="宋体" w:cs="Times New Roman"/>
                <w:b/>
                <w:bCs/>
                <w:snapToGrid/>
                <w:color w:val="auto"/>
                <w:spacing w:val="-1"/>
                <w:kern w:val="2"/>
                <w:sz w:val="24"/>
                <w:szCs w:val="24"/>
                <w:highlight w:val="none"/>
                <w:lang w:val="en-US" w:eastAsia="zh-CN" w:bidi="ar-SA"/>
              </w:rPr>
            </w:pPr>
            <w:r>
              <w:rPr>
                <w:rFonts w:hint="eastAsia" w:ascii="Times New Roman" w:hAnsi="Times New Roman" w:eastAsia="宋体" w:cs="Times New Roman"/>
                <w:b/>
                <w:bCs/>
                <w:snapToGrid/>
                <w:color w:val="auto"/>
                <w:spacing w:val="-1"/>
                <w:kern w:val="2"/>
                <w:sz w:val="24"/>
                <w:szCs w:val="24"/>
                <w:highlight w:val="none"/>
                <w:lang w:val="en-US" w:eastAsia="zh-CN" w:bidi="ar-SA"/>
              </w:rPr>
              <w:t>（2）诱增交通量</w:t>
            </w:r>
          </w:p>
          <w:p w14:paraId="71536DA5">
            <w:pPr>
              <w:widowControl w:val="0"/>
              <w:adjustRightInd w:val="0"/>
              <w:snapToGrid w:val="0"/>
              <w:spacing w:after="0" w:line="360" w:lineRule="auto"/>
              <w:ind w:left="0" w:leftChars="0" w:firstLine="480" w:firstLineChars="200"/>
              <w:jc w:val="both"/>
              <w:rPr>
                <w:rFonts w:hint="default" w:ascii="Times New Roman" w:hAnsi="Times New Roman" w:eastAsia="宋体" w:cs="Times New Roman"/>
                <w:b w:val="0"/>
                <w:bCs w:val="0"/>
                <w:color w:val="auto"/>
                <w:kern w:val="2"/>
                <w:sz w:val="24"/>
                <w:szCs w:val="21"/>
                <w:highlight w:val="none"/>
                <w:lang w:val="en-US" w:eastAsia="zh-CN" w:bidi="ar-SA"/>
              </w:rPr>
            </w:pPr>
            <w:r>
              <w:rPr>
                <w:rFonts w:hint="default" w:ascii="Times New Roman" w:hAnsi="Times New Roman" w:eastAsia="宋体" w:cs="Times New Roman"/>
                <w:b w:val="0"/>
                <w:bCs w:val="0"/>
                <w:color w:val="auto"/>
                <w:kern w:val="2"/>
                <w:sz w:val="24"/>
                <w:szCs w:val="21"/>
                <w:highlight w:val="none"/>
                <w:lang w:val="en-US" w:eastAsia="zh-CN" w:bidi="ar-SA"/>
              </w:rPr>
              <w:t>诱增交通量结合影响区的位置、经济特点和项目建成后路网的变化，所谓诱增，是指由于外部因素的变化，促使了本不具备发生条件的潜在事件的发生，诱增交通量就是项目建设后，改善了路网结构，从而影响了区域经济结构、产业布局、道路两侧土地使用性质发生变化而诱发的交通量</w:t>
            </w:r>
            <w:r>
              <w:rPr>
                <w:rFonts w:hint="eastAsia" w:ascii="Times New Roman" w:hAnsi="Times New Roman" w:eastAsia="宋体" w:cs="Times New Roman"/>
                <w:b w:val="0"/>
                <w:bCs w:val="0"/>
                <w:color w:val="auto"/>
                <w:kern w:val="2"/>
                <w:sz w:val="24"/>
                <w:szCs w:val="21"/>
                <w:highlight w:val="none"/>
                <w:lang w:val="en-US" w:eastAsia="zh-CN" w:bidi="ar-SA"/>
              </w:rPr>
              <w:t>。</w:t>
            </w:r>
          </w:p>
          <w:p w14:paraId="79BDFDBF">
            <w:pPr>
              <w:widowControl w:val="0"/>
              <w:adjustRightInd w:val="0"/>
              <w:snapToGrid w:val="0"/>
              <w:spacing w:after="0" w:line="360" w:lineRule="auto"/>
              <w:ind w:left="0" w:leftChars="0" w:firstLine="480" w:firstLineChars="200"/>
              <w:jc w:val="both"/>
              <w:rPr>
                <w:rFonts w:hint="default" w:ascii="Times New Roman" w:hAnsi="Times New Roman" w:eastAsia="宋体" w:cs="Times New Roman"/>
                <w:b w:val="0"/>
                <w:bCs w:val="0"/>
                <w:color w:val="auto"/>
                <w:kern w:val="2"/>
                <w:sz w:val="24"/>
                <w:szCs w:val="21"/>
                <w:highlight w:val="none"/>
                <w:lang w:val="en-US" w:eastAsia="zh-CN" w:bidi="ar-SA"/>
              </w:rPr>
            </w:pPr>
            <w:r>
              <w:rPr>
                <w:rFonts w:hint="default" w:ascii="Times New Roman" w:hAnsi="Times New Roman" w:eastAsia="宋体" w:cs="Times New Roman"/>
                <w:b w:val="0"/>
                <w:bCs w:val="0"/>
                <w:color w:val="auto"/>
                <w:kern w:val="2"/>
                <w:sz w:val="24"/>
                <w:szCs w:val="21"/>
                <w:highlight w:val="none"/>
                <w:lang w:val="en-US" w:eastAsia="zh-CN" w:bidi="ar-SA"/>
              </w:rPr>
              <w:t>由于本项目的建设，提升了老路整体的服务水平，并且极大</w:t>
            </w:r>
            <w:r>
              <w:rPr>
                <w:rFonts w:hint="eastAsia" w:ascii="Times New Roman" w:hAnsi="Times New Roman" w:eastAsia="宋体" w:cs="Times New Roman"/>
                <w:b w:val="0"/>
                <w:bCs w:val="0"/>
                <w:color w:val="auto"/>
                <w:kern w:val="2"/>
                <w:sz w:val="24"/>
                <w:szCs w:val="21"/>
                <w:highlight w:val="none"/>
                <w:lang w:val="en-US" w:eastAsia="zh-CN" w:bidi="ar-SA"/>
              </w:rPr>
              <w:t>地</w:t>
            </w:r>
            <w:r>
              <w:rPr>
                <w:rFonts w:hint="default" w:ascii="Times New Roman" w:hAnsi="Times New Roman" w:eastAsia="宋体" w:cs="Times New Roman"/>
                <w:b w:val="0"/>
                <w:bCs w:val="0"/>
                <w:color w:val="auto"/>
                <w:kern w:val="2"/>
                <w:sz w:val="24"/>
                <w:szCs w:val="21"/>
                <w:highlight w:val="none"/>
                <w:lang w:val="en-US" w:eastAsia="zh-CN" w:bidi="ar-SA"/>
              </w:rPr>
              <w:t>加强了银山村与蔡家湾的沟通联系，道路交通服务质量、服务水平得到了极大提高，并促进沿线产业结构的良性发展，加快农村产业结构调整，加强了沿线乡镇之间的客货交流，有利于加快促进区域经济一体化进程和诱发城市组团内部出行，会产生一部分诱增交通量。</w:t>
            </w:r>
            <w:r>
              <w:rPr>
                <w:rFonts w:hint="eastAsia" w:ascii="Times New Roman" w:hAnsi="Times New Roman" w:eastAsia="宋体" w:cs="Times New Roman"/>
                <w:b w:val="0"/>
                <w:bCs w:val="0"/>
                <w:color w:val="auto"/>
                <w:kern w:val="2"/>
                <w:sz w:val="24"/>
                <w:szCs w:val="21"/>
                <w:highlight w:val="none"/>
                <w:lang w:val="en-US" w:eastAsia="zh-CN" w:bidi="ar-SA"/>
              </w:rPr>
              <w:t>另外</w:t>
            </w:r>
            <w:r>
              <w:rPr>
                <w:rFonts w:hint="default" w:ascii="Times New Roman" w:hAnsi="Times New Roman" w:eastAsia="宋体" w:cs="Times New Roman"/>
                <w:b w:val="0"/>
                <w:bCs w:val="0"/>
                <w:color w:val="auto"/>
                <w:kern w:val="2"/>
                <w:sz w:val="24"/>
                <w:szCs w:val="21"/>
                <w:highlight w:val="none"/>
                <w:lang w:val="en-US" w:eastAsia="zh-CN" w:bidi="ar-SA"/>
              </w:rPr>
              <w:t>随着沙坪沟钼矿矿产资源的进一步开发，必将带来大量的客货运输量，这将成为本项目的另一部分诱增交通量</w:t>
            </w:r>
            <w:r>
              <w:rPr>
                <w:rFonts w:hint="eastAsia" w:ascii="Times New Roman" w:hAnsi="Times New Roman" w:eastAsia="宋体" w:cs="Times New Roman"/>
                <w:b w:val="0"/>
                <w:bCs w:val="0"/>
                <w:color w:val="auto"/>
                <w:kern w:val="2"/>
                <w:sz w:val="24"/>
                <w:szCs w:val="21"/>
                <w:highlight w:val="none"/>
                <w:lang w:val="en-US" w:eastAsia="zh-CN" w:bidi="ar-SA"/>
              </w:rPr>
              <w:t>。</w:t>
            </w:r>
          </w:p>
          <w:p w14:paraId="3A608239">
            <w:pPr>
              <w:widowControl w:val="0"/>
              <w:adjustRightInd w:val="0"/>
              <w:snapToGrid w:val="0"/>
              <w:spacing w:after="0" w:line="360" w:lineRule="auto"/>
              <w:ind w:left="0" w:leftChars="0" w:firstLine="480" w:firstLineChars="200"/>
              <w:jc w:val="both"/>
              <w:rPr>
                <w:rFonts w:hint="default" w:ascii="Times New Roman" w:hAnsi="Times New Roman" w:eastAsia="宋体" w:cs="Times New Roman"/>
                <w:b w:val="0"/>
                <w:bCs w:val="0"/>
                <w:color w:val="auto"/>
                <w:kern w:val="2"/>
                <w:sz w:val="24"/>
                <w:szCs w:val="21"/>
                <w:highlight w:val="none"/>
                <w:lang w:val="en-US" w:eastAsia="zh-CN" w:bidi="ar-SA"/>
              </w:rPr>
            </w:pPr>
            <w:r>
              <w:rPr>
                <w:rFonts w:hint="default" w:ascii="Times New Roman" w:hAnsi="Times New Roman" w:eastAsia="宋体" w:cs="Times New Roman"/>
                <w:b w:val="0"/>
                <w:bCs w:val="0"/>
                <w:color w:val="auto"/>
                <w:kern w:val="2"/>
                <w:sz w:val="24"/>
                <w:szCs w:val="21"/>
                <w:highlight w:val="none"/>
                <w:lang w:val="en-US" w:eastAsia="zh-CN" w:bidi="ar-SA"/>
              </w:rPr>
              <w:t>根据《</w:t>
            </w:r>
            <w:r>
              <w:rPr>
                <w:rFonts w:hint="eastAsia" w:ascii="Times New Roman" w:hAnsi="Times New Roman" w:eastAsia="宋体" w:cs="Times New Roman"/>
                <w:b w:val="0"/>
                <w:bCs w:val="0"/>
                <w:color w:val="auto"/>
                <w:kern w:val="2"/>
                <w:sz w:val="24"/>
                <w:szCs w:val="21"/>
                <w:highlight w:val="none"/>
                <w:lang w:val="en-US" w:eastAsia="zh-CN" w:bidi="ar-SA"/>
              </w:rPr>
              <w:t>金寨县关庙乡沙坪沟至蔡家湾公路升级改造工程</w:t>
            </w:r>
            <w:r>
              <w:rPr>
                <w:rFonts w:hint="default" w:ascii="Times New Roman" w:hAnsi="Times New Roman" w:eastAsia="宋体" w:cs="Times New Roman"/>
                <w:b w:val="0"/>
                <w:bCs w:val="0"/>
                <w:color w:val="auto"/>
                <w:kern w:val="2"/>
                <w:sz w:val="24"/>
                <w:szCs w:val="21"/>
                <w:highlight w:val="none"/>
                <w:lang w:val="en-US" w:eastAsia="zh-CN" w:bidi="ar-SA"/>
              </w:rPr>
              <w:t>可行性研究报告》，拟建工程未来年诱增交通量预测见下表，均已折算成小客车。</w:t>
            </w:r>
          </w:p>
          <w:p w14:paraId="24A51ED5">
            <w:pPr>
              <w:pStyle w:val="7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kern w:val="0"/>
                <w:sz w:val="21"/>
                <w:szCs w:val="18"/>
                <w:lang w:val="en-US" w:eastAsia="zh-CN"/>
              </w:rPr>
            </w:pPr>
            <w:r>
              <w:rPr>
                <w:rFonts w:hint="default" w:ascii="Times New Roman" w:hAnsi="Times New Roman" w:eastAsia="宋体" w:cs="Times New Roman"/>
                <w:b/>
                <w:bCs w:val="0"/>
                <w:kern w:val="0"/>
                <w:sz w:val="21"/>
                <w:szCs w:val="18"/>
                <w:lang w:val="en-US" w:eastAsia="zh-CN"/>
              </w:rPr>
              <w:t>表2-</w:t>
            </w:r>
            <w:r>
              <w:rPr>
                <w:rFonts w:hint="eastAsia" w:ascii="Times New Roman" w:hAnsi="Times New Roman" w:eastAsia="宋体" w:cs="Times New Roman"/>
                <w:b/>
                <w:bCs w:val="0"/>
                <w:kern w:val="0"/>
                <w:sz w:val="21"/>
                <w:szCs w:val="18"/>
                <w:lang w:val="en-US" w:eastAsia="zh-CN"/>
              </w:rPr>
              <w:t>8</w:t>
            </w:r>
            <w:r>
              <w:rPr>
                <w:rFonts w:hint="default" w:ascii="Times New Roman" w:hAnsi="Times New Roman" w:eastAsia="宋体" w:cs="Times New Roman"/>
                <w:b/>
                <w:bCs w:val="0"/>
                <w:kern w:val="0"/>
                <w:sz w:val="21"/>
                <w:szCs w:val="18"/>
                <w:lang w:val="en-US" w:eastAsia="zh-CN"/>
              </w:rPr>
              <w:t xml:space="preserve">  本项目未来年诱增交通量预测结果  单位：（pcu/d）</w:t>
            </w:r>
          </w:p>
          <w:tbl>
            <w:tblPr>
              <w:tblStyle w:val="7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147"/>
              <w:gridCol w:w="4231"/>
            </w:tblGrid>
            <w:tr w14:paraId="346CB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0" w:hRule="atLeast"/>
                <w:jc w:val="center"/>
              </w:trPr>
              <w:tc>
                <w:tcPr>
                  <w:tcW w:w="1275" w:type="dxa"/>
                  <w:vAlign w:val="center"/>
                </w:tcPr>
                <w:p w14:paraId="086BE7E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特征年</w:t>
                  </w:r>
                </w:p>
              </w:tc>
              <w:tc>
                <w:tcPr>
                  <w:tcW w:w="1301" w:type="dxa"/>
                  <w:vAlign w:val="center"/>
                </w:tcPr>
                <w:p w14:paraId="01D909F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年平均日交通量</w:t>
                  </w:r>
                </w:p>
              </w:tc>
            </w:tr>
            <w:tr w14:paraId="1257C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9" w:hRule="atLeast"/>
                <w:jc w:val="center"/>
              </w:trPr>
              <w:tc>
                <w:tcPr>
                  <w:tcW w:w="1275" w:type="dxa"/>
                  <w:vAlign w:val="center"/>
                </w:tcPr>
                <w:p w14:paraId="605603C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202</w:t>
                  </w:r>
                  <w:r>
                    <w:rPr>
                      <w:rFonts w:hint="eastAsia" w:ascii="Times New Roman" w:hAnsi="Times New Roman" w:eastAsia="宋体" w:cs="Times New Roman"/>
                      <w:lang w:val="en-US" w:eastAsia="zh-CN"/>
                    </w:rPr>
                    <w:t>6</w:t>
                  </w:r>
                  <w:r>
                    <w:rPr>
                      <w:rFonts w:hint="default" w:ascii="Times New Roman" w:hAnsi="Times New Roman" w:eastAsia="宋体" w:cs="Times New Roman"/>
                      <w:lang w:val="en-US" w:eastAsia="zh-CN"/>
                    </w:rPr>
                    <w:t>年</w:t>
                  </w:r>
                </w:p>
              </w:tc>
              <w:tc>
                <w:tcPr>
                  <w:tcW w:w="1301" w:type="dxa"/>
                  <w:vAlign w:val="center"/>
                </w:tcPr>
                <w:p w14:paraId="68E5146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367</w:t>
                  </w:r>
                </w:p>
              </w:tc>
            </w:tr>
            <w:tr w14:paraId="41F65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9" w:hRule="atLeast"/>
                <w:jc w:val="center"/>
              </w:trPr>
              <w:tc>
                <w:tcPr>
                  <w:tcW w:w="1275" w:type="dxa"/>
                  <w:vAlign w:val="center"/>
                </w:tcPr>
                <w:p w14:paraId="6DC82A3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203</w:t>
                  </w:r>
                  <w:r>
                    <w:rPr>
                      <w:rFonts w:hint="eastAsia" w:ascii="Times New Roman" w:hAnsi="Times New Roman" w:eastAsia="宋体" w:cs="Times New Roman"/>
                      <w:lang w:val="en-US" w:eastAsia="zh-CN"/>
                    </w:rPr>
                    <w:t>2</w:t>
                  </w:r>
                  <w:r>
                    <w:rPr>
                      <w:rFonts w:hint="default" w:ascii="Times New Roman" w:hAnsi="Times New Roman" w:eastAsia="宋体" w:cs="Times New Roman"/>
                      <w:lang w:val="en-US" w:eastAsia="zh-CN"/>
                    </w:rPr>
                    <w:t>年</w:t>
                  </w:r>
                </w:p>
              </w:tc>
              <w:tc>
                <w:tcPr>
                  <w:tcW w:w="1301" w:type="dxa"/>
                  <w:vAlign w:val="center"/>
                </w:tcPr>
                <w:p w14:paraId="78FFC78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620</w:t>
                  </w:r>
                </w:p>
              </w:tc>
            </w:tr>
            <w:tr w14:paraId="202FE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9" w:hRule="atLeast"/>
                <w:jc w:val="center"/>
              </w:trPr>
              <w:tc>
                <w:tcPr>
                  <w:tcW w:w="1275" w:type="dxa"/>
                  <w:vAlign w:val="center"/>
                </w:tcPr>
                <w:p w14:paraId="3544DAC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w:t>
                  </w:r>
                  <w:r>
                    <w:rPr>
                      <w:rFonts w:hint="eastAsia" w:ascii="Times New Roman" w:hAnsi="Times New Roman" w:eastAsia="宋体" w:cs="Times New Roman"/>
                      <w:lang w:val="en-US" w:eastAsia="zh-CN"/>
                    </w:rPr>
                    <w:t>40</w:t>
                  </w:r>
                  <w:r>
                    <w:rPr>
                      <w:rFonts w:hint="default" w:ascii="Times New Roman" w:hAnsi="Times New Roman" w:eastAsia="宋体" w:cs="Times New Roman"/>
                      <w:lang w:val="en-US" w:eastAsia="zh-CN"/>
                    </w:rPr>
                    <w:t>年</w:t>
                  </w:r>
                </w:p>
              </w:tc>
              <w:tc>
                <w:tcPr>
                  <w:tcW w:w="1301" w:type="dxa"/>
                  <w:vAlign w:val="center"/>
                </w:tcPr>
                <w:p w14:paraId="7404BFF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960</w:t>
                  </w:r>
                </w:p>
              </w:tc>
            </w:tr>
          </w:tbl>
          <w:p w14:paraId="00B4CEE0">
            <w:pPr>
              <w:pStyle w:val="70"/>
              <w:keepNext w:val="0"/>
              <w:keepLines w:val="0"/>
              <w:pageBreakBefore w:val="0"/>
              <w:widowControl w:val="0"/>
              <w:kinsoku/>
              <w:wordWrap/>
              <w:overflowPunct/>
              <w:topLinePunct w:val="0"/>
              <w:autoSpaceDE/>
              <w:autoSpaceDN/>
              <w:bidi w:val="0"/>
              <w:adjustRightInd/>
              <w:snapToGrid/>
              <w:spacing w:before="157" w:beforeLines="50"/>
              <w:ind w:firstLine="482"/>
              <w:textAlignment w:val="auto"/>
              <w:rPr>
                <w:rFonts w:hint="default" w:ascii="Times New Roman" w:hAnsi="Times New Roman" w:eastAsia="宋体" w:cs="Times New Roman"/>
                <w:b/>
                <w:bCs/>
                <w:snapToGrid/>
                <w:color w:val="auto"/>
                <w:spacing w:val="-1"/>
                <w:kern w:val="2"/>
                <w:sz w:val="24"/>
                <w:szCs w:val="24"/>
                <w:highlight w:val="none"/>
                <w:lang w:val="en-US" w:eastAsia="zh-CN" w:bidi="ar-SA"/>
              </w:rPr>
            </w:pPr>
            <w:r>
              <w:rPr>
                <w:rFonts w:hint="eastAsia" w:ascii="Times New Roman" w:hAnsi="Times New Roman" w:eastAsia="宋体" w:cs="Times New Roman"/>
                <w:b/>
                <w:bCs/>
                <w:snapToGrid/>
                <w:color w:val="auto"/>
                <w:spacing w:val="-1"/>
                <w:kern w:val="2"/>
                <w:sz w:val="24"/>
                <w:szCs w:val="24"/>
                <w:highlight w:val="none"/>
                <w:lang w:val="en-US" w:eastAsia="zh-CN" w:bidi="ar-SA"/>
              </w:rPr>
              <w:t>（3）</w:t>
            </w:r>
            <w:r>
              <w:rPr>
                <w:rFonts w:hint="default" w:ascii="Times New Roman" w:hAnsi="Times New Roman" w:eastAsia="宋体" w:cs="Times New Roman"/>
                <w:b/>
                <w:bCs/>
                <w:snapToGrid/>
                <w:color w:val="auto"/>
                <w:spacing w:val="-1"/>
                <w:kern w:val="2"/>
                <w:sz w:val="24"/>
                <w:szCs w:val="24"/>
                <w:highlight w:val="none"/>
                <w:lang w:val="en-US" w:eastAsia="zh-CN" w:bidi="ar-SA"/>
              </w:rPr>
              <w:t>交通</w:t>
            </w:r>
            <w:r>
              <w:rPr>
                <w:rFonts w:hint="eastAsia" w:ascii="Times New Roman" w:hAnsi="Times New Roman" w:eastAsia="宋体" w:cs="Times New Roman"/>
                <w:b/>
                <w:bCs/>
                <w:snapToGrid/>
                <w:color w:val="auto"/>
                <w:spacing w:val="-1"/>
                <w:kern w:val="2"/>
                <w:sz w:val="24"/>
                <w:szCs w:val="24"/>
                <w:highlight w:val="none"/>
                <w:lang w:val="en-US" w:eastAsia="zh-CN" w:bidi="ar-SA"/>
              </w:rPr>
              <w:t>运输总</w:t>
            </w:r>
            <w:r>
              <w:rPr>
                <w:rFonts w:hint="default" w:ascii="Times New Roman" w:hAnsi="Times New Roman" w:eastAsia="宋体" w:cs="Times New Roman"/>
                <w:b/>
                <w:bCs/>
                <w:snapToGrid/>
                <w:color w:val="auto"/>
                <w:spacing w:val="-1"/>
                <w:kern w:val="2"/>
                <w:sz w:val="24"/>
                <w:szCs w:val="24"/>
                <w:highlight w:val="none"/>
                <w:lang w:val="en-US" w:eastAsia="zh-CN" w:bidi="ar-SA"/>
              </w:rPr>
              <w:t>量</w:t>
            </w:r>
          </w:p>
          <w:p w14:paraId="70AEA0FD">
            <w:pPr>
              <w:widowControl w:val="0"/>
              <w:adjustRightInd w:val="0"/>
              <w:snapToGrid w:val="0"/>
              <w:spacing w:after="0" w:line="360" w:lineRule="auto"/>
              <w:ind w:left="0" w:leftChars="0" w:firstLine="480" w:firstLineChars="200"/>
              <w:jc w:val="both"/>
              <w:rPr>
                <w:rFonts w:hint="default" w:ascii="Times New Roman" w:hAnsi="Times New Roman" w:eastAsia="宋体" w:cs="Times New Roman"/>
                <w:b w:val="0"/>
                <w:bCs w:val="0"/>
                <w:color w:val="auto"/>
                <w:kern w:val="2"/>
                <w:sz w:val="24"/>
                <w:szCs w:val="21"/>
                <w:highlight w:val="none"/>
                <w:lang w:val="en-US" w:eastAsia="zh-CN" w:bidi="ar-SA"/>
              </w:rPr>
            </w:pPr>
            <w:r>
              <w:rPr>
                <w:rFonts w:hint="eastAsia" w:ascii="Times New Roman" w:hAnsi="Times New Roman" w:eastAsia="宋体" w:cs="Times New Roman"/>
                <w:b w:val="0"/>
                <w:bCs w:val="0"/>
                <w:color w:val="auto"/>
                <w:kern w:val="2"/>
                <w:sz w:val="24"/>
                <w:szCs w:val="21"/>
                <w:highlight w:val="none"/>
                <w:lang w:val="en-US" w:eastAsia="zh-CN" w:bidi="ar-SA"/>
              </w:rPr>
              <w:t>综上，本项目交通运输总量统计如下表所示：</w:t>
            </w:r>
          </w:p>
          <w:p w14:paraId="2C41FB90">
            <w:pPr>
              <w:pStyle w:val="7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kern w:val="0"/>
                <w:sz w:val="21"/>
                <w:szCs w:val="18"/>
                <w:lang w:val="en-US" w:eastAsia="zh-CN"/>
              </w:rPr>
            </w:pPr>
            <w:r>
              <w:rPr>
                <w:rFonts w:hint="default" w:ascii="Times New Roman" w:hAnsi="Times New Roman" w:eastAsia="宋体" w:cs="Times New Roman"/>
                <w:b/>
                <w:bCs w:val="0"/>
                <w:kern w:val="0"/>
                <w:sz w:val="21"/>
                <w:szCs w:val="18"/>
                <w:lang w:val="en-US" w:eastAsia="zh-CN"/>
              </w:rPr>
              <w:t>表2-7  本项目未来年总交通量预测结果  单位：（pcu/d）</w:t>
            </w:r>
          </w:p>
          <w:tbl>
            <w:tblPr>
              <w:tblStyle w:val="7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147"/>
              <w:gridCol w:w="4231"/>
            </w:tblGrid>
            <w:tr w14:paraId="0C217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0" w:hRule="atLeast"/>
                <w:jc w:val="center"/>
              </w:trPr>
              <w:tc>
                <w:tcPr>
                  <w:tcW w:w="1275" w:type="dxa"/>
                  <w:vAlign w:val="center"/>
                </w:tcPr>
                <w:p w14:paraId="1002F25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特征年</w:t>
                  </w:r>
                </w:p>
              </w:tc>
              <w:tc>
                <w:tcPr>
                  <w:tcW w:w="1301" w:type="dxa"/>
                  <w:vAlign w:val="center"/>
                </w:tcPr>
                <w:p w14:paraId="2A829D4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年平均日交通量</w:t>
                  </w:r>
                </w:p>
              </w:tc>
            </w:tr>
            <w:tr w14:paraId="47E69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9" w:hRule="atLeast"/>
                <w:jc w:val="center"/>
              </w:trPr>
              <w:tc>
                <w:tcPr>
                  <w:tcW w:w="1275" w:type="dxa"/>
                  <w:vAlign w:val="center"/>
                </w:tcPr>
                <w:p w14:paraId="7D80B09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202</w:t>
                  </w:r>
                  <w:r>
                    <w:rPr>
                      <w:rFonts w:hint="eastAsia" w:ascii="Times New Roman" w:hAnsi="Times New Roman" w:eastAsia="宋体" w:cs="Times New Roman"/>
                      <w:lang w:val="en-US" w:eastAsia="zh-CN"/>
                    </w:rPr>
                    <w:t>6</w:t>
                  </w:r>
                  <w:r>
                    <w:rPr>
                      <w:rFonts w:hint="default" w:ascii="Times New Roman" w:hAnsi="Times New Roman" w:eastAsia="宋体" w:cs="Times New Roman"/>
                      <w:lang w:val="en-US" w:eastAsia="zh-CN"/>
                    </w:rPr>
                    <w:t>年</w:t>
                  </w:r>
                </w:p>
              </w:tc>
              <w:tc>
                <w:tcPr>
                  <w:tcW w:w="1301" w:type="dxa"/>
                  <w:vAlign w:val="center"/>
                </w:tcPr>
                <w:p w14:paraId="3C518C6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1712</w:t>
                  </w:r>
                </w:p>
              </w:tc>
            </w:tr>
            <w:tr w14:paraId="7C2F0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9" w:hRule="atLeast"/>
                <w:jc w:val="center"/>
              </w:trPr>
              <w:tc>
                <w:tcPr>
                  <w:tcW w:w="1275" w:type="dxa"/>
                  <w:vAlign w:val="center"/>
                </w:tcPr>
                <w:p w14:paraId="1E1B233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203</w:t>
                  </w:r>
                  <w:r>
                    <w:rPr>
                      <w:rFonts w:hint="eastAsia" w:ascii="Times New Roman" w:hAnsi="Times New Roman" w:eastAsia="宋体" w:cs="Times New Roman"/>
                      <w:lang w:val="en-US" w:eastAsia="zh-CN"/>
                    </w:rPr>
                    <w:t>2</w:t>
                  </w:r>
                  <w:r>
                    <w:rPr>
                      <w:rFonts w:hint="default" w:ascii="Times New Roman" w:hAnsi="Times New Roman" w:eastAsia="宋体" w:cs="Times New Roman"/>
                      <w:lang w:val="en-US" w:eastAsia="zh-CN"/>
                    </w:rPr>
                    <w:t>年</w:t>
                  </w:r>
                </w:p>
              </w:tc>
              <w:tc>
                <w:tcPr>
                  <w:tcW w:w="1301" w:type="dxa"/>
                  <w:vAlign w:val="center"/>
                </w:tcPr>
                <w:p w14:paraId="23CC8B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2480</w:t>
                  </w:r>
                </w:p>
              </w:tc>
            </w:tr>
            <w:tr w14:paraId="10CCF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9" w:hRule="atLeast"/>
                <w:jc w:val="center"/>
              </w:trPr>
              <w:tc>
                <w:tcPr>
                  <w:tcW w:w="1275" w:type="dxa"/>
                  <w:vAlign w:val="center"/>
                </w:tcPr>
                <w:p w14:paraId="30E3A4E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w:t>
                  </w:r>
                  <w:r>
                    <w:rPr>
                      <w:rFonts w:hint="eastAsia" w:ascii="Times New Roman" w:hAnsi="Times New Roman" w:eastAsia="宋体" w:cs="Times New Roman"/>
                      <w:lang w:val="en-US" w:eastAsia="zh-CN"/>
                    </w:rPr>
                    <w:t>40</w:t>
                  </w:r>
                  <w:r>
                    <w:rPr>
                      <w:rFonts w:hint="default" w:ascii="Times New Roman" w:hAnsi="Times New Roman" w:eastAsia="宋体" w:cs="Times New Roman"/>
                      <w:lang w:val="en-US" w:eastAsia="zh-CN"/>
                    </w:rPr>
                    <w:t>年</w:t>
                  </w:r>
                </w:p>
              </w:tc>
              <w:tc>
                <w:tcPr>
                  <w:tcW w:w="1301" w:type="dxa"/>
                  <w:vAlign w:val="center"/>
                </w:tcPr>
                <w:p w14:paraId="4292F00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3456</w:t>
                  </w:r>
                </w:p>
              </w:tc>
            </w:tr>
          </w:tbl>
          <w:p w14:paraId="0A0381B2">
            <w:pPr>
              <w:pStyle w:val="56"/>
              <w:spacing w:before="0" w:beforeLines="0" w:after="0" w:afterLines="0" w:line="240" w:lineRule="auto"/>
              <w:rPr>
                <w:rFonts w:hint="default" w:ascii="Times New Roman" w:hAnsi="Times New Roman" w:eastAsia="宋体" w:cs="Times New Roman"/>
                <w:b/>
                <w:bCs/>
                <w:color w:val="auto"/>
                <w:sz w:val="21"/>
                <w:szCs w:val="21"/>
                <w:highlight w:val="none"/>
              </w:rPr>
            </w:pPr>
          </w:p>
          <w:p w14:paraId="27D053AB">
            <w:pPr>
              <w:pStyle w:val="56"/>
              <w:spacing w:before="0" w:beforeLines="0" w:after="0" w:afterLines="0" w:line="240" w:lineRule="auto"/>
              <w:rPr>
                <w:rFonts w:hint="default" w:ascii="Times New Roman" w:hAnsi="Times New Roman" w:eastAsia="宋体" w:cs="Times New Roman"/>
                <w:b/>
                <w:bCs/>
                <w:color w:val="auto"/>
                <w:sz w:val="21"/>
                <w:szCs w:val="21"/>
                <w:highlight w:val="none"/>
              </w:rPr>
            </w:pPr>
          </w:p>
          <w:p w14:paraId="69A1DF38">
            <w:pPr>
              <w:pStyle w:val="56"/>
              <w:spacing w:before="0" w:beforeLines="0" w:after="0" w:afterLines="0" w:line="240" w:lineRule="auto"/>
              <w:rPr>
                <w:rFonts w:hint="default" w:ascii="Times New Roman" w:hAnsi="Times New Roman" w:eastAsia="宋体" w:cs="Times New Roman"/>
                <w:b/>
                <w:bCs/>
                <w:color w:val="auto"/>
                <w:sz w:val="21"/>
                <w:szCs w:val="21"/>
                <w:highlight w:val="none"/>
                <w:lang w:val="en-US"/>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2-</w:t>
            </w:r>
            <w:r>
              <w:rPr>
                <w:rFonts w:hint="eastAsia" w:eastAsia="宋体" w:cs="Times New Roman"/>
                <w:b/>
                <w:bCs/>
                <w:color w:val="auto"/>
                <w:sz w:val="21"/>
                <w:szCs w:val="21"/>
                <w:highlight w:val="none"/>
                <w:lang w:val="en-US" w:eastAsia="zh-CN"/>
              </w:rPr>
              <w:t>9</w:t>
            </w:r>
            <w:r>
              <w:rPr>
                <w:rFonts w:hint="default" w:ascii="Times New Roman" w:hAnsi="Times New Roman" w:eastAsia="宋体" w:cs="Times New Roman"/>
                <w:b/>
                <w:bCs/>
                <w:color w:val="auto"/>
                <w:sz w:val="21"/>
                <w:szCs w:val="21"/>
                <w:highlight w:val="none"/>
              </w:rPr>
              <w:t xml:space="preserve"> </w:t>
            </w:r>
            <w:r>
              <w:rPr>
                <w:rFonts w:hint="default" w:ascii="Times New Roman" w:hAnsi="Times New Roman" w:eastAsia="宋体" w:cs="Times New Roman"/>
                <w:b/>
                <w:bCs/>
                <w:color w:val="auto"/>
                <w:sz w:val="21"/>
                <w:szCs w:val="21"/>
                <w:highlight w:val="none"/>
                <w:lang w:val="en-US" w:eastAsia="zh-CN"/>
              </w:rPr>
              <w:t xml:space="preserve"> 环评预测特征年昼、夜小时平均车流量  单位：（pcu/h）</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501"/>
              <w:gridCol w:w="1163"/>
              <w:gridCol w:w="1169"/>
              <w:gridCol w:w="1154"/>
              <w:gridCol w:w="1115"/>
              <w:gridCol w:w="1165"/>
              <w:gridCol w:w="1108"/>
            </w:tblGrid>
            <w:tr w14:paraId="4D585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0" w:hRule="atLeast"/>
                <w:jc w:val="center"/>
              </w:trPr>
              <w:tc>
                <w:tcPr>
                  <w:tcW w:w="1500" w:type="dxa"/>
                  <w:vMerge w:val="restart"/>
                  <w:shd w:val="clear" w:color="auto" w:fill="auto"/>
                  <w:tcMar>
                    <w:top w:w="10" w:type="dxa"/>
                    <w:left w:w="10" w:type="dxa"/>
                    <w:bottom w:w="0" w:type="dxa"/>
                    <w:right w:w="10" w:type="dxa"/>
                  </w:tcMar>
                  <w:vAlign w:val="center"/>
                </w:tcPr>
                <w:p w14:paraId="3F05BCCA">
                  <w:pPr>
                    <w:spacing w:line="240" w:lineRule="auto"/>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车型</w:t>
                  </w:r>
                </w:p>
              </w:tc>
              <w:tc>
                <w:tcPr>
                  <w:tcW w:w="2332" w:type="dxa"/>
                  <w:gridSpan w:val="2"/>
                  <w:vAlign w:val="center"/>
                </w:tcPr>
                <w:p w14:paraId="185C9DD3">
                  <w:pPr>
                    <w:spacing w:line="240" w:lineRule="auto"/>
                    <w:jc w:val="center"/>
                    <w:rPr>
                      <w:rFonts w:hint="eastAsia" w:ascii="Times New Roman" w:hAnsi="Times New Roman" w:cs="Times New Roman" w:eastAsiaTheme="minorEastAsia"/>
                      <w:b/>
                      <w:bCs/>
                      <w:color w:val="auto"/>
                      <w:kern w:val="0"/>
                      <w:szCs w:val="21"/>
                      <w:highlight w:val="none"/>
                      <w:lang w:eastAsia="zh-CN"/>
                    </w:rPr>
                  </w:pPr>
                  <w:r>
                    <w:rPr>
                      <w:rFonts w:hint="eastAsia" w:ascii="Times New Roman" w:hAnsi="Times New Roman" w:cs="Times New Roman"/>
                      <w:b/>
                      <w:bCs/>
                      <w:color w:val="auto"/>
                      <w:kern w:val="0"/>
                      <w:szCs w:val="21"/>
                      <w:highlight w:val="none"/>
                      <w:lang w:eastAsia="zh-CN"/>
                    </w:rPr>
                    <w:t>2026年</w:t>
                  </w:r>
                </w:p>
              </w:tc>
              <w:tc>
                <w:tcPr>
                  <w:tcW w:w="2269" w:type="dxa"/>
                  <w:gridSpan w:val="2"/>
                  <w:vAlign w:val="center"/>
                </w:tcPr>
                <w:p w14:paraId="2181EB70">
                  <w:pPr>
                    <w:spacing w:line="240" w:lineRule="auto"/>
                    <w:jc w:val="center"/>
                    <w:rPr>
                      <w:rFonts w:hint="eastAsia" w:ascii="Times New Roman" w:hAnsi="Times New Roman" w:cs="Times New Roman" w:eastAsiaTheme="minorEastAsia"/>
                      <w:b/>
                      <w:bCs/>
                      <w:color w:val="auto"/>
                      <w:kern w:val="0"/>
                      <w:szCs w:val="21"/>
                      <w:highlight w:val="none"/>
                      <w:lang w:eastAsia="zh-CN"/>
                    </w:rPr>
                  </w:pPr>
                  <w:r>
                    <w:rPr>
                      <w:rFonts w:hint="eastAsia" w:ascii="Times New Roman" w:hAnsi="Times New Roman" w:cs="Times New Roman"/>
                      <w:b/>
                      <w:bCs/>
                      <w:color w:val="auto"/>
                      <w:kern w:val="0"/>
                      <w:szCs w:val="21"/>
                      <w:highlight w:val="none"/>
                      <w:lang w:eastAsia="zh-CN"/>
                    </w:rPr>
                    <w:t>2032年</w:t>
                  </w:r>
                </w:p>
              </w:tc>
              <w:tc>
                <w:tcPr>
                  <w:tcW w:w="2271" w:type="dxa"/>
                  <w:gridSpan w:val="2"/>
                  <w:vAlign w:val="center"/>
                </w:tcPr>
                <w:p w14:paraId="5156D4CC">
                  <w:pPr>
                    <w:spacing w:line="240" w:lineRule="auto"/>
                    <w:jc w:val="center"/>
                    <w:rPr>
                      <w:rFonts w:hint="eastAsia" w:ascii="Times New Roman" w:hAnsi="Times New Roman" w:cs="Times New Roman" w:eastAsiaTheme="minorEastAsia"/>
                      <w:b/>
                      <w:bCs/>
                      <w:color w:val="auto"/>
                      <w:kern w:val="0"/>
                      <w:szCs w:val="21"/>
                      <w:highlight w:val="none"/>
                      <w:lang w:eastAsia="zh-CN"/>
                    </w:rPr>
                  </w:pPr>
                  <w:r>
                    <w:rPr>
                      <w:rFonts w:hint="eastAsia" w:ascii="Times New Roman" w:hAnsi="Times New Roman" w:cs="Times New Roman"/>
                      <w:b/>
                      <w:bCs/>
                      <w:color w:val="auto"/>
                      <w:kern w:val="0"/>
                      <w:szCs w:val="21"/>
                      <w:highlight w:val="none"/>
                      <w:lang w:eastAsia="zh-CN"/>
                    </w:rPr>
                    <w:t>2040年</w:t>
                  </w:r>
                </w:p>
              </w:tc>
            </w:tr>
            <w:tr w14:paraId="6C0EE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0" w:hRule="atLeast"/>
                <w:jc w:val="center"/>
              </w:trPr>
              <w:tc>
                <w:tcPr>
                  <w:tcW w:w="1500" w:type="dxa"/>
                  <w:vMerge w:val="continue"/>
                  <w:shd w:val="clear" w:color="auto" w:fill="auto"/>
                  <w:tcMar>
                    <w:top w:w="10" w:type="dxa"/>
                    <w:left w:w="10" w:type="dxa"/>
                    <w:bottom w:w="0" w:type="dxa"/>
                    <w:right w:w="10" w:type="dxa"/>
                  </w:tcMar>
                  <w:vAlign w:val="center"/>
                </w:tcPr>
                <w:p w14:paraId="16BBF4E1">
                  <w:pPr>
                    <w:spacing w:line="240" w:lineRule="auto"/>
                    <w:jc w:val="center"/>
                    <w:rPr>
                      <w:rFonts w:hint="default" w:ascii="Times New Roman" w:hAnsi="Times New Roman" w:cs="Times New Roman"/>
                      <w:b/>
                      <w:bCs/>
                      <w:color w:val="auto"/>
                      <w:szCs w:val="21"/>
                      <w:highlight w:val="none"/>
                    </w:rPr>
                  </w:pPr>
                </w:p>
              </w:tc>
              <w:tc>
                <w:tcPr>
                  <w:tcW w:w="1163" w:type="dxa"/>
                  <w:vAlign w:val="center"/>
                </w:tcPr>
                <w:p w14:paraId="5FC87675">
                  <w:pPr>
                    <w:spacing w:line="240" w:lineRule="auto"/>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昼</w:t>
                  </w:r>
                </w:p>
              </w:tc>
              <w:tc>
                <w:tcPr>
                  <w:tcW w:w="1169" w:type="dxa"/>
                  <w:vAlign w:val="center"/>
                </w:tcPr>
                <w:p w14:paraId="73984FB7">
                  <w:pPr>
                    <w:spacing w:line="240" w:lineRule="auto"/>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夜</w:t>
                  </w:r>
                </w:p>
              </w:tc>
              <w:tc>
                <w:tcPr>
                  <w:tcW w:w="1154" w:type="dxa"/>
                  <w:vAlign w:val="center"/>
                </w:tcPr>
                <w:p w14:paraId="115A69C6">
                  <w:pPr>
                    <w:spacing w:line="240" w:lineRule="auto"/>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昼</w:t>
                  </w:r>
                </w:p>
              </w:tc>
              <w:tc>
                <w:tcPr>
                  <w:tcW w:w="1115" w:type="dxa"/>
                  <w:vAlign w:val="center"/>
                </w:tcPr>
                <w:p w14:paraId="3D7F728B">
                  <w:pPr>
                    <w:spacing w:line="240" w:lineRule="auto"/>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夜</w:t>
                  </w:r>
                </w:p>
              </w:tc>
              <w:tc>
                <w:tcPr>
                  <w:tcW w:w="1164" w:type="dxa"/>
                  <w:vAlign w:val="center"/>
                </w:tcPr>
                <w:p w14:paraId="192F4487">
                  <w:pPr>
                    <w:spacing w:line="240" w:lineRule="auto"/>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昼</w:t>
                  </w:r>
                </w:p>
              </w:tc>
              <w:tc>
                <w:tcPr>
                  <w:tcW w:w="1107" w:type="dxa"/>
                  <w:vAlign w:val="center"/>
                </w:tcPr>
                <w:p w14:paraId="2A105F64">
                  <w:pPr>
                    <w:spacing w:line="240" w:lineRule="auto"/>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夜</w:t>
                  </w:r>
                </w:p>
              </w:tc>
            </w:tr>
            <w:tr w14:paraId="58298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1" w:hRule="atLeast"/>
                <w:jc w:val="center"/>
              </w:trPr>
              <w:tc>
                <w:tcPr>
                  <w:tcW w:w="1500" w:type="dxa"/>
                  <w:shd w:val="clear" w:color="auto" w:fill="auto"/>
                  <w:tcMar>
                    <w:top w:w="10" w:type="dxa"/>
                    <w:left w:w="10" w:type="dxa"/>
                    <w:bottom w:w="0" w:type="dxa"/>
                    <w:right w:w="10" w:type="dxa"/>
                  </w:tcMar>
                  <w:vAlign w:val="center"/>
                </w:tcPr>
                <w:p w14:paraId="14D751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小型车</w:t>
                  </w:r>
                </w:p>
              </w:tc>
              <w:tc>
                <w:tcPr>
                  <w:tcW w:w="1163" w:type="dxa"/>
                  <w:vAlign w:val="center"/>
                </w:tcPr>
                <w:p w14:paraId="70156346">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1169" w:type="dxa"/>
                  <w:vAlign w:val="center"/>
                </w:tcPr>
                <w:p w14:paraId="5E913D22">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154" w:type="dxa"/>
                  <w:vAlign w:val="center"/>
                </w:tcPr>
                <w:p w14:paraId="3EE49AA8">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32</w:t>
                  </w:r>
                </w:p>
              </w:tc>
              <w:tc>
                <w:tcPr>
                  <w:tcW w:w="1115" w:type="dxa"/>
                  <w:vAlign w:val="center"/>
                </w:tcPr>
                <w:p w14:paraId="6FA77156">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164" w:type="dxa"/>
                  <w:vAlign w:val="center"/>
                </w:tcPr>
                <w:p w14:paraId="09E5AAC7">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52</w:t>
                  </w:r>
                </w:p>
              </w:tc>
              <w:tc>
                <w:tcPr>
                  <w:tcW w:w="1107" w:type="dxa"/>
                  <w:vAlign w:val="center"/>
                </w:tcPr>
                <w:p w14:paraId="35486A8D">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6</w:t>
                  </w:r>
                </w:p>
              </w:tc>
            </w:tr>
            <w:tr w14:paraId="5A89F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1" w:hRule="atLeast"/>
                <w:jc w:val="center"/>
              </w:trPr>
              <w:tc>
                <w:tcPr>
                  <w:tcW w:w="1500" w:type="dxa"/>
                  <w:shd w:val="clear" w:color="auto" w:fill="auto"/>
                  <w:tcMar>
                    <w:top w:w="10" w:type="dxa"/>
                    <w:left w:w="10" w:type="dxa"/>
                    <w:bottom w:w="0" w:type="dxa"/>
                    <w:right w:w="10" w:type="dxa"/>
                  </w:tcMar>
                  <w:vAlign w:val="center"/>
                </w:tcPr>
                <w:p w14:paraId="68F306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中型车</w:t>
                  </w:r>
                </w:p>
              </w:tc>
              <w:tc>
                <w:tcPr>
                  <w:tcW w:w="1163" w:type="dxa"/>
                  <w:vAlign w:val="center"/>
                </w:tcPr>
                <w:p w14:paraId="6A2A5DC3">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1169" w:type="dxa"/>
                  <w:vAlign w:val="center"/>
                </w:tcPr>
                <w:p w14:paraId="458F695E">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154" w:type="dxa"/>
                  <w:vAlign w:val="center"/>
                </w:tcPr>
                <w:p w14:paraId="447DC31A">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1115" w:type="dxa"/>
                  <w:vAlign w:val="center"/>
                </w:tcPr>
                <w:p w14:paraId="7BE16AB0">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164" w:type="dxa"/>
                  <w:vAlign w:val="center"/>
                </w:tcPr>
                <w:p w14:paraId="2B245A51">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58</w:t>
                  </w:r>
                </w:p>
              </w:tc>
              <w:tc>
                <w:tcPr>
                  <w:tcW w:w="1107" w:type="dxa"/>
                  <w:vAlign w:val="center"/>
                </w:tcPr>
                <w:p w14:paraId="7F8C7F23">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7</w:t>
                  </w:r>
                </w:p>
              </w:tc>
            </w:tr>
            <w:tr w14:paraId="3BF2B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jc w:val="center"/>
              </w:trPr>
              <w:tc>
                <w:tcPr>
                  <w:tcW w:w="1500" w:type="dxa"/>
                  <w:shd w:val="clear" w:color="auto" w:fill="auto"/>
                  <w:tcMar>
                    <w:top w:w="10" w:type="dxa"/>
                    <w:left w:w="10" w:type="dxa"/>
                    <w:bottom w:w="0" w:type="dxa"/>
                    <w:right w:w="10" w:type="dxa"/>
                  </w:tcMar>
                  <w:vAlign w:val="center"/>
                </w:tcPr>
                <w:p w14:paraId="07CF6A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大型车</w:t>
                  </w:r>
                </w:p>
              </w:tc>
              <w:tc>
                <w:tcPr>
                  <w:tcW w:w="1163" w:type="dxa"/>
                  <w:vAlign w:val="center"/>
                </w:tcPr>
                <w:p w14:paraId="09A22F4B">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169" w:type="dxa"/>
                  <w:vAlign w:val="center"/>
                </w:tcPr>
                <w:p w14:paraId="6D317B43">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154" w:type="dxa"/>
                  <w:vAlign w:val="center"/>
                </w:tcPr>
                <w:p w14:paraId="5FD4DDA3">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1115" w:type="dxa"/>
                  <w:vAlign w:val="center"/>
                </w:tcPr>
                <w:p w14:paraId="69E82ECD">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164" w:type="dxa"/>
                  <w:vAlign w:val="center"/>
                </w:tcPr>
                <w:p w14:paraId="00D4F9D3">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w:t>
                  </w:r>
                </w:p>
              </w:tc>
              <w:tc>
                <w:tcPr>
                  <w:tcW w:w="1107" w:type="dxa"/>
                  <w:vAlign w:val="center"/>
                </w:tcPr>
                <w:p w14:paraId="7CAD0CFA">
                  <w:pPr>
                    <w:keepNext w:val="0"/>
                    <w:keepLines w:val="0"/>
                    <w:widowControl/>
                    <w:suppressLineNumbers w:val="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5</w:t>
                  </w:r>
                </w:p>
              </w:tc>
            </w:tr>
          </w:tbl>
          <w:p w14:paraId="43288DC6">
            <w:pPr>
              <w:pStyle w:val="7"/>
              <w:rPr>
                <w:rFonts w:hint="default" w:ascii="Times New Roman" w:hAnsi="Times New Roman" w:eastAsia="宋体" w:cs="Times New Roman"/>
                <w:color w:val="auto"/>
                <w:sz w:val="24"/>
                <w:lang w:eastAsia="zh-CN"/>
              </w:rPr>
            </w:pPr>
            <w:r>
              <w:rPr>
                <w:rFonts w:hint="default" w:ascii="Times New Roman" w:hAnsi="Times New Roman" w:cs="Times New Roman"/>
                <w:lang w:val="en-US" w:eastAsia="zh-CN"/>
              </w:rPr>
              <w:t>注：其中昼间时间为：早6:00－晚22</w:t>
            </w:r>
            <w:r>
              <w:rPr>
                <w:rFonts w:hint="eastAsia" w:ascii="Times New Roman" w:hAnsi="Times New Roman" w:cs="Times New Roman"/>
                <w:lang w:val="en-US" w:eastAsia="zh-CN"/>
              </w:rPr>
              <w:t>:</w:t>
            </w:r>
            <w:r>
              <w:rPr>
                <w:rFonts w:hint="default" w:ascii="Times New Roman" w:hAnsi="Times New Roman" w:cs="Times New Roman"/>
                <w:lang w:val="en-US" w:eastAsia="zh-CN"/>
              </w:rPr>
              <w:t>00，夜间时间为：晚22:00－次日6:00。</w:t>
            </w:r>
          </w:p>
          <w:p w14:paraId="3D397ED9">
            <w:pPr>
              <w:adjustRightInd w:val="0"/>
              <w:snapToGrid w:val="0"/>
              <w:spacing w:line="360" w:lineRule="auto"/>
              <w:rPr>
                <w:rFonts w:hint="default" w:ascii="Times New Roman" w:hAnsi="Times New Roman" w:cs="Times New Roman"/>
              </w:rPr>
            </w:pPr>
          </w:p>
          <w:p w14:paraId="30FC5F72">
            <w:pPr>
              <w:adjustRightInd w:val="0"/>
              <w:snapToGrid w:val="0"/>
              <w:spacing w:line="360" w:lineRule="auto"/>
              <w:rPr>
                <w:rFonts w:hint="default" w:ascii="Times New Roman" w:hAnsi="Times New Roman" w:cs="Times New Roman"/>
              </w:rPr>
            </w:pPr>
          </w:p>
          <w:p w14:paraId="7327FF72">
            <w:pPr>
              <w:adjustRightInd w:val="0"/>
              <w:snapToGrid w:val="0"/>
              <w:spacing w:line="360" w:lineRule="auto"/>
              <w:rPr>
                <w:rFonts w:hint="default" w:ascii="Times New Roman" w:hAnsi="Times New Roman" w:cs="Times New Roman"/>
              </w:rPr>
            </w:pPr>
          </w:p>
          <w:p w14:paraId="1017053F">
            <w:pPr>
              <w:adjustRightInd w:val="0"/>
              <w:snapToGrid w:val="0"/>
              <w:spacing w:line="360" w:lineRule="auto"/>
              <w:rPr>
                <w:rFonts w:hint="default" w:ascii="Times New Roman" w:hAnsi="Times New Roman" w:cs="Times New Roman"/>
              </w:rPr>
            </w:pPr>
          </w:p>
          <w:p w14:paraId="47E20C0F">
            <w:pPr>
              <w:adjustRightInd w:val="0"/>
              <w:snapToGrid w:val="0"/>
              <w:spacing w:line="360" w:lineRule="auto"/>
              <w:rPr>
                <w:rFonts w:hint="default" w:ascii="Times New Roman" w:hAnsi="Times New Roman" w:cs="Times New Roman"/>
              </w:rPr>
            </w:pPr>
          </w:p>
          <w:p w14:paraId="685F0174">
            <w:pPr>
              <w:adjustRightInd w:val="0"/>
              <w:snapToGrid w:val="0"/>
              <w:spacing w:line="360" w:lineRule="auto"/>
              <w:rPr>
                <w:rFonts w:hint="default" w:ascii="Times New Roman" w:hAnsi="Times New Roman" w:cs="Times New Roman"/>
              </w:rPr>
            </w:pPr>
          </w:p>
          <w:p w14:paraId="69F004E3">
            <w:pPr>
              <w:adjustRightInd w:val="0"/>
              <w:snapToGrid w:val="0"/>
              <w:spacing w:line="360" w:lineRule="auto"/>
              <w:rPr>
                <w:rFonts w:hint="default" w:ascii="Times New Roman" w:hAnsi="Times New Roman" w:cs="Times New Roman"/>
              </w:rPr>
            </w:pPr>
          </w:p>
          <w:p w14:paraId="58577F5F">
            <w:pPr>
              <w:adjustRightInd w:val="0"/>
              <w:snapToGrid w:val="0"/>
              <w:spacing w:line="360" w:lineRule="auto"/>
              <w:rPr>
                <w:rFonts w:hint="default" w:ascii="Times New Roman" w:hAnsi="Times New Roman" w:cs="Times New Roman"/>
              </w:rPr>
            </w:pPr>
          </w:p>
          <w:p w14:paraId="5CAEAAD0">
            <w:pPr>
              <w:adjustRightInd w:val="0"/>
              <w:snapToGrid w:val="0"/>
              <w:spacing w:line="360" w:lineRule="auto"/>
              <w:rPr>
                <w:rFonts w:hint="default" w:ascii="Times New Roman" w:hAnsi="Times New Roman" w:cs="Times New Roman"/>
              </w:rPr>
            </w:pPr>
          </w:p>
          <w:p w14:paraId="27084DCF">
            <w:pPr>
              <w:adjustRightInd w:val="0"/>
              <w:snapToGrid w:val="0"/>
              <w:spacing w:line="360" w:lineRule="auto"/>
              <w:rPr>
                <w:rFonts w:hint="default" w:ascii="Times New Roman" w:hAnsi="Times New Roman" w:cs="Times New Roman"/>
              </w:rPr>
            </w:pPr>
          </w:p>
          <w:p w14:paraId="7A59BD4D">
            <w:pPr>
              <w:adjustRightInd w:val="0"/>
              <w:snapToGrid w:val="0"/>
              <w:spacing w:line="360" w:lineRule="auto"/>
              <w:rPr>
                <w:rFonts w:hint="default" w:ascii="Times New Roman" w:hAnsi="Times New Roman" w:cs="Times New Roman"/>
              </w:rPr>
            </w:pPr>
          </w:p>
          <w:p w14:paraId="6478D002">
            <w:pPr>
              <w:adjustRightInd w:val="0"/>
              <w:snapToGrid w:val="0"/>
              <w:spacing w:line="360" w:lineRule="auto"/>
              <w:rPr>
                <w:rFonts w:hint="default" w:ascii="Times New Roman" w:hAnsi="Times New Roman" w:cs="Times New Roman"/>
              </w:rPr>
            </w:pPr>
          </w:p>
          <w:p w14:paraId="71024996">
            <w:pPr>
              <w:adjustRightInd w:val="0"/>
              <w:snapToGrid w:val="0"/>
              <w:spacing w:line="360" w:lineRule="auto"/>
              <w:rPr>
                <w:rFonts w:hint="default" w:ascii="Times New Roman" w:hAnsi="Times New Roman" w:cs="Times New Roman"/>
              </w:rPr>
            </w:pPr>
          </w:p>
          <w:p w14:paraId="5D894D5A">
            <w:pPr>
              <w:adjustRightInd w:val="0"/>
              <w:snapToGrid w:val="0"/>
              <w:spacing w:line="360" w:lineRule="auto"/>
              <w:rPr>
                <w:rFonts w:hint="default" w:ascii="Times New Roman" w:hAnsi="Times New Roman" w:cs="Times New Roman"/>
              </w:rPr>
            </w:pPr>
          </w:p>
          <w:p w14:paraId="3BC9CA21">
            <w:pPr>
              <w:adjustRightInd w:val="0"/>
              <w:snapToGrid w:val="0"/>
              <w:spacing w:line="360" w:lineRule="auto"/>
              <w:rPr>
                <w:rFonts w:hint="default" w:ascii="Times New Roman" w:hAnsi="Times New Roman" w:cs="Times New Roman"/>
              </w:rPr>
            </w:pPr>
          </w:p>
          <w:p w14:paraId="5C0D2542">
            <w:pPr>
              <w:adjustRightInd w:val="0"/>
              <w:snapToGrid w:val="0"/>
              <w:spacing w:line="360" w:lineRule="auto"/>
              <w:rPr>
                <w:rFonts w:hint="default" w:ascii="Times New Roman" w:hAnsi="Times New Roman" w:cs="Times New Roman"/>
              </w:rPr>
            </w:pPr>
          </w:p>
          <w:p w14:paraId="292B9498">
            <w:pPr>
              <w:adjustRightInd w:val="0"/>
              <w:snapToGrid w:val="0"/>
              <w:spacing w:line="360" w:lineRule="auto"/>
              <w:rPr>
                <w:rFonts w:hint="default" w:ascii="Times New Roman" w:hAnsi="Times New Roman" w:cs="Times New Roman"/>
              </w:rPr>
            </w:pPr>
          </w:p>
          <w:p w14:paraId="55CBFBEC">
            <w:pPr>
              <w:adjustRightInd w:val="0"/>
              <w:snapToGrid w:val="0"/>
              <w:spacing w:line="360" w:lineRule="auto"/>
              <w:rPr>
                <w:rFonts w:hint="default" w:ascii="Times New Roman" w:hAnsi="Times New Roman" w:cs="Times New Roman"/>
              </w:rPr>
            </w:pPr>
          </w:p>
          <w:p w14:paraId="59F0B672">
            <w:pPr>
              <w:adjustRightInd w:val="0"/>
              <w:snapToGrid w:val="0"/>
              <w:spacing w:line="360" w:lineRule="auto"/>
              <w:rPr>
                <w:rFonts w:hint="default" w:ascii="Times New Roman" w:hAnsi="Times New Roman" w:cs="Times New Roman"/>
              </w:rPr>
            </w:pPr>
          </w:p>
          <w:p w14:paraId="5A651A19">
            <w:pPr>
              <w:adjustRightInd w:val="0"/>
              <w:snapToGrid w:val="0"/>
              <w:spacing w:line="360" w:lineRule="auto"/>
              <w:rPr>
                <w:rFonts w:hint="default" w:ascii="Times New Roman" w:hAnsi="Times New Roman" w:cs="Times New Roman"/>
              </w:rPr>
            </w:pPr>
          </w:p>
          <w:p w14:paraId="3F5F5CD3">
            <w:pPr>
              <w:adjustRightInd w:val="0"/>
              <w:snapToGrid w:val="0"/>
              <w:spacing w:line="360" w:lineRule="auto"/>
              <w:rPr>
                <w:rFonts w:hint="default" w:ascii="Times New Roman" w:hAnsi="Times New Roman" w:cs="Times New Roman"/>
              </w:rPr>
            </w:pPr>
          </w:p>
          <w:p w14:paraId="31C949B2">
            <w:pPr>
              <w:adjustRightInd w:val="0"/>
              <w:snapToGrid w:val="0"/>
              <w:spacing w:line="360" w:lineRule="auto"/>
              <w:rPr>
                <w:rFonts w:hint="default" w:ascii="Times New Roman" w:hAnsi="Times New Roman" w:cs="Times New Roman"/>
              </w:rPr>
            </w:pPr>
          </w:p>
          <w:p w14:paraId="21091E29">
            <w:pPr>
              <w:adjustRightInd w:val="0"/>
              <w:snapToGrid w:val="0"/>
              <w:spacing w:line="360" w:lineRule="auto"/>
              <w:rPr>
                <w:rFonts w:hint="default" w:ascii="Times New Roman" w:hAnsi="Times New Roman" w:cs="Times New Roman"/>
              </w:rPr>
            </w:pPr>
          </w:p>
          <w:p w14:paraId="004DB055">
            <w:pPr>
              <w:adjustRightInd w:val="0"/>
              <w:snapToGrid w:val="0"/>
              <w:spacing w:line="360" w:lineRule="auto"/>
              <w:rPr>
                <w:rFonts w:hint="default" w:ascii="Times New Roman" w:hAnsi="Times New Roman" w:cs="Times New Roman"/>
              </w:rPr>
            </w:pPr>
          </w:p>
          <w:p w14:paraId="28932931">
            <w:pPr>
              <w:adjustRightInd w:val="0"/>
              <w:snapToGrid w:val="0"/>
              <w:spacing w:line="360" w:lineRule="auto"/>
              <w:rPr>
                <w:rFonts w:hint="default" w:ascii="Times New Roman" w:hAnsi="Times New Roman" w:cs="Times New Roman"/>
              </w:rPr>
            </w:pPr>
          </w:p>
          <w:p w14:paraId="5F9F432B">
            <w:pPr>
              <w:adjustRightInd w:val="0"/>
              <w:snapToGrid w:val="0"/>
              <w:spacing w:line="360" w:lineRule="auto"/>
              <w:rPr>
                <w:rFonts w:hint="default" w:ascii="Times New Roman" w:hAnsi="Times New Roman" w:cs="Times New Roman"/>
              </w:rPr>
            </w:pPr>
          </w:p>
          <w:p w14:paraId="0A75E947">
            <w:pPr>
              <w:adjustRightInd w:val="0"/>
              <w:snapToGrid w:val="0"/>
              <w:spacing w:line="360" w:lineRule="auto"/>
              <w:rPr>
                <w:rFonts w:hint="default" w:ascii="Times New Roman" w:hAnsi="Times New Roman" w:cs="Times New Roman"/>
              </w:rPr>
            </w:pPr>
          </w:p>
          <w:p w14:paraId="739EC52C">
            <w:pPr>
              <w:adjustRightInd w:val="0"/>
              <w:snapToGrid w:val="0"/>
              <w:spacing w:line="360" w:lineRule="auto"/>
              <w:rPr>
                <w:rFonts w:hint="default" w:ascii="Times New Roman" w:hAnsi="Times New Roman" w:cs="Times New Roman"/>
              </w:rPr>
            </w:pPr>
          </w:p>
          <w:p w14:paraId="5A59D5F1">
            <w:pPr>
              <w:adjustRightInd w:val="0"/>
              <w:snapToGrid w:val="0"/>
              <w:spacing w:line="360" w:lineRule="auto"/>
              <w:rPr>
                <w:rFonts w:hint="default" w:ascii="Times New Roman" w:hAnsi="Times New Roman" w:cs="Times New Roman"/>
              </w:rPr>
            </w:pPr>
          </w:p>
          <w:p w14:paraId="5603632F">
            <w:pPr>
              <w:adjustRightInd w:val="0"/>
              <w:snapToGrid w:val="0"/>
              <w:spacing w:line="360" w:lineRule="auto"/>
              <w:rPr>
                <w:rFonts w:hint="default" w:ascii="Times New Roman" w:hAnsi="Times New Roman" w:cs="Times New Roman"/>
              </w:rPr>
            </w:pPr>
          </w:p>
          <w:p w14:paraId="37398973">
            <w:pPr>
              <w:adjustRightInd w:val="0"/>
              <w:snapToGrid w:val="0"/>
              <w:spacing w:line="360" w:lineRule="auto"/>
              <w:rPr>
                <w:rFonts w:hint="default" w:ascii="Times New Roman" w:hAnsi="Times New Roman" w:cs="Times New Roman"/>
              </w:rPr>
            </w:pPr>
          </w:p>
          <w:p w14:paraId="5DD73AE3">
            <w:pPr>
              <w:adjustRightInd w:val="0"/>
              <w:snapToGrid w:val="0"/>
              <w:spacing w:line="360" w:lineRule="auto"/>
              <w:rPr>
                <w:rFonts w:hint="default" w:ascii="Times New Roman" w:hAnsi="Times New Roman" w:cs="Times New Roman"/>
              </w:rPr>
            </w:pPr>
          </w:p>
        </w:tc>
      </w:tr>
      <w:tr w14:paraId="3D9D09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96" w:hRule="atLeast"/>
          <w:jc w:val="center"/>
        </w:trPr>
        <w:tc>
          <w:tcPr>
            <w:tcW w:w="456" w:type="dxa"/>
            <w:noWrap w:val="0"/>
            <w:vAlign w:val="center"/>
          </w:tcPr>
          <w:p w14:paraId="72E4A0B6">
            <w:pPr>
              <w:adjustRightInd w:val="0"/>
              <w:snapToGrid w:val="0"/>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总平面及现场布置</w:t>
            </w:r>
          </w:p>
        </w:tc>
        <w:tc>
          <w:tcPr>
            <w:tcW w:w="8604" w:type="dxa"/>
            <w:noWrap w:val="0"/>
            <w:vAlign w:val="center"/>
          </w:tcPr>
          <w:p w14:paraId="0D89C05B">
            <w:pPr>
              <w:adjustRightInd w:val="0"/>
              <w:snapToGrid w:val="0"/>
              <w:spacing w:line="360" w:lineRule="auto"/>
              <w:ind w:firstLine="482"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1、工程平面布置</w:t>
            </w:r>
          </w:p>
          <w:p w14:paraId="4CA1F658">
            <w:pPr>
              <w:adjustRightInd w:val="0"/>
              <w:snapToGrid w:val="0"/>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本项目路线总体呈</w:t>
            </w:r>
            <w:r>
              <w:rPr>
                <w:rFonts w:hint="eastAsia" w:ascii="Times New Roman" w:hAnsi="Times New Roman" w:eastAsia="宋体" w:cs="Times New Roman"/>
                <w:color w:val="auto"/>
                <w:sz w:val="24"/>
                <w:lang w:val="en-US" w:eastAsia="zh-CN"/>
              </w:rPr>
              <w:t>西南-东北</w:t>
            </w:r>
            <w:r>
              <w:rPr>
                <w:rFonts w:hint="default" w:ascii="Times New Roman" w:hAnsi="Times New Roman" w:eastAsia="宋体" w:cs="Times New Roman"/>
                <w:color w:val="auto"/>
                <w:sz w:val="24"/>
                <w:lang w:eastAsia="zh-CN"/>
              </w:rPr>
              <w:t>走向，全长</w:t>
            </w:r>
            <w:r>
              <w:rPr>
                <w:rFonts w:hint="eastAsia" w:ascii="Times New Roman" w:hAnsi="Times New Roman" w:eastAsia="宋体" w:cs="Times New Roman"/>
                <w:color w:val="auto"/>
                <w:sz w:val="24"/>
                <w:lang w:val="en-US" w:eastAsia="zh-CN"/>
              </w:rPr>
              <w:t>2.34</w:t>
            </w:r>
            <w:r>
              <w:rPr>
                <w:rFonts w:hint="default" w:ascii="Times New Roman" w:hAnsi="Times New Roman" w:eastAsia="宋体" w:cs="Times New Roman"/>
                <w:color w:val="auto"/>
                <w:sz w:val="24"/>
                <w:lang w:val="en-US" w:eastAsia="zh-CN"/>
              </w:rPr>
              <w:t>k</w:t>
            </w:r>
            <w:r>
              <w:rPr>
                <w:rFonts w:hint="default" w:ascii="Times New Roman" w:hAnsi="Times New Roman" w:eastAsia="宋体" w:cs="Times New Roman"/>
                <w:color w:val="auto"/>
                <w:sz w:val="24"/>
                <w:lang w:eastAsia="zh-CN"/>
              </w:rPr>
              <w:t>m，起点位于</w:t>
            </w:r>
            <w:r>
              <w:rPr>
                <w:rFonts w:hint="default" w:ascii="Times New Roman" w:hAnsi="Times New Roman" w:eastAsia="宋体" w:cs="Times New Roman"/>
                <w:color w:val="auto"/>
                <w:sz w:val="24"/>
                <w:lang w:val="en-US" w:eastAsia="zh-CN"/>
              </w:rPr>
              <w:t>关庙乡银山村银山沟与沙坪沟交接处</w:t>
            </w:r>
            <w:r>
              <w:rPr>
                <w:rFonts w:hint="default" w:ascii="Times New Roman" w:hAnsi="Times New Roman" w:eastAsia="宋体" w:cs="Times New Roman"/>
                <w:color w:val="auto"/>
                <w:sz w:val="24"/>
                <w:lang w:eastAsia="zh-CN"/>
              </w:rPr>
              <w:t>，终点位于</w:t>
            </w:r>
            <w:r>
              <w:rPr>
                <w:rFonts w:hint="default" w:ascii="Times New Roman" w:hAnsi="Times New Roman" w:eastAsia="宋体" w:cs="Times New Roman"/>
                <w:color w:val="auto"/>
                <w:sz w:val="24"/>
                <w:lang w:val="en-US" w:eastAsia="zh-CN"/>
              </w:rPr>
              <w:t>钼矿采选场地</w:t>
            </w:r>
            <w:r>
              <w:rPr>
                <w:rFonts w:hint="default" w:ascii="Times New Roman" w:hAnsi="Times New Roman" w:eastAsia="宋体" w:cs="Times New Roman"/>
                <w:color w:val="auto"/>
                <w:sz w:val="24"/>
                <w:lang w:eastAsia="zh-CN"/>
              </w:rPr>
              <w:t>。</w:t>
            </w:r>
          </w:p>
          <w:p w14:paraId="262E5924">
            <w:pPr>
              <w:adjustRightInd w:val="0"/>
              <w:snapToGrid w:val="0"/>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本次按照</w:t>
            </w:r>
            <w:r>
              <w:rPr>
                <w:rFonts w:hint="default" w:ascii="Times New Roman" w:hAnsi="Times New Roman" w:eastAsia="宋体" w:cs="Times New Roman"/>
                <w:color w:val="auto"/>
                <w:sz w:val="24"/>
                <w:lang w:val="en-US" w:eastAsia="zh-CN"/>
              </w:rPr>
              <w:t>三</w:t>
            </w:r>
            <w:r>
              <w:rPr>
                <w:rFonts w:hint="default" w:ascii="Times New Roman" w:hAnsi="Times New Roman" w:eastAsia="宋体" w:cs="Times New Roman"/>
                <w:color w:val="auto"/>
                <w:sz w:val="24"/>
                <w:lang w:eastAsia="zh-CN"/>
              </w:rPr>
              <w:t>级公路标准布设横断面，</w:t>
            </w:r>
            <w:r>
              <w:rPr>
                <w:rFonts w:hint="default" w:ascii="Times New Roman" w:hAnsi="Times New Roman" w:cs="Times New Roman"/>
                <w:color w:val="auto"/>
                <w:sz w:val="24"/>
                <w:highlight w:val="none"/>
                <w:lang w:val="en-US" w:eastAsia="zh-CN"/>
              </w:rPr>
              <w:t>路基宽8.5m，路面宽7.0m，具体布置为：2×（3.25米行车道+0.25米硬路肩+0.75米土路肩）。</w:t>
            </w:r>
          </w:p>
          <w:p w14:paraId="0A3FF4C9">
            <w:pPr>
              <w:adjustRightInd w:val="0"/>
              <w:snapToGrid w:val="0"/>
              <w:spacing w:line="360" w:lineRule="auto"/>
              <w:ind w:firstLine="482"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2、施工布置情况</w:t>
            </w:r>
          </w:p>
          <w:p w14:paraId="742B0FDB">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（1）施工场地</w:t>
            </w:r>
          </w:p>
          <w:p w14:paraId="2A240FF2">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本项目规模较小，水稳、混凝土均外购，不设置</w:t>
            </w:r>
            <w:r>
              <w:rPr>
                <w:rFonts w:hint="eastAsia" w:ascii="Times New Roman" w:hAnsi="Times New Roman" w:eastAsia="宋体" w:cs="Times New Roman"/>
                <w:color w:val="auto"/>
                <w:sz w:val="24"/>
                <w:lang w:val="en-US" w:eastAsia="zh-CN"/>
              </w:rPr>
              <w:t>拌和</w:t>
            </w:r>
            <w:r>
              <w:rPr>
                <w:rFonts w:hint="default" w:ascii="Times New Roman" w:hAnsi="Times New Roman" w:eastAsia="宋体" w:cs="Times New Roman"/>
                <w:color w:val="auto"/>
                <w:sz w:val="24"/>
                <w:lang w:val="en-US" w:eastAsia="zh-CN"/>
              </w:rPr>
              <w:t>场、场外临时堆土场。</w:t>
            </w:r>
            <w:r>
              <w:rPr>
                <w:rFonts w:hint="eastAsia" w:ascii="Times New Roman" w:hAnsi="Times New Roman" w:eastAsia="宋体" w:cs="Times New Roman"/>
                <w:color w:val="auto"/>
                <w:sz w:val="24"/>
                <w:lang w:val="en-US" w:eastAsia="zh-CN"/>
              </w:rPr>
              <w:t>项目管理人员租用周边民房作为办公场所。</w:t>
            </w:r>
          </w:p>
          <w:p w14:paraId="63E676EF">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（2）取、弃土场</w:t>
            </w:r>
          </w:p>
          <w:p w14:paraId="026A3021">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项目不设取（弃）土场，所需借方全部为其他项目多余土方利用或外购，弃方外运至同期实施项目进行综合利用，不得随意外弃。</w:t>
            </w:r>
          </w:p>
          <w:p w14:paraId="098917A6">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（3）临时堆土场</w:t>
            </w:r>
          </w:p>
          <w:p w14:paraId="7F47BFE5">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施工中挖方尽可能采取即挖即运，多余土方及时转运同期项目综合利用，不能及时转运土方可临时堆放于道路红线范围内，不单独设置临时堆土场。</w:t>
            </w:r>
          </w:p>
          <w:p w14:paraId="507A3BB8">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（4）施工便道</w:t>
            </w:r>
          </w:p>
          <w:p w14:paraId="629C48E1">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利用周边现有道路作为施工道路，不设置临时施工便道。</w:t>
            </w:r>
          </w:p>
          <w:p w14:paraId="27385447">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p>
          <w:p w14:paraId="383C0D03">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p>
          <w:p w14:paraId="21FB4B6B">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p>
          <w:p w14:paraId="6BD3AA61">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p>
          <w:p w14:paraId="019C8805">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p>
          <w:p w14:paraId="55D662D8">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p>
          <w:p w14:paraId="6B4CBD83">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p>
          <w:p w14:paraId="32990ACC">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p>
          <w:p w14:paraId="6749F202">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p>
          <w:p w14:paraId="36E06924">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p>
          <w:p w14:paraId="5D701823">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p>
          <w:p w14:paraId="0BFE205B">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p>
          <w:p w14:paraId="73B163CA">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p>
          <w:p w14:paraId="07675C46">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p>
        </w:tc>
      </w:tr>
      <w:tr w14:paraId="33870B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3" w:hRule="atLeast"/>
          <w:jc w:val="center"/>
        </w:trPr>
        <w:tc>
          <w:tcPr>
            <w:tcW w:w="456" w:type="dxa"/>
            <w:noWrap w:val="0"/>
            <w:vAlign w:val="center"/>
          </w:tcPr>
          <w:p w14:paraId="5F6ADDA5">
            <w:pPr>
              <w:adjustRightInd w:val="0"/>
              <w:snapToGrid w:val="0"/>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施工方案</w:t>
            </w:r>
          </w:p>
        </w:tc>
        <w:tc>
          <w:tcPr>
            <w:tcW w:w="8604" w:type="dxa"/>
            <w:noWrap w:val="0"/>
            <w:vAlign w:val="top"/>
          </w:tcPr>
          <w:p w14:paraId="63D9E4DC">
            <w:pPr>
              <w:pStyle w:val="54"/>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施工工艺</w:t>
            </w:r>
          </w:p>
          <w:p w14:paraId="05DCEC09">
            <w:pPr>
              <w:pStyle w:val="54"/>
              <w:ind w:firstLine="482"/>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1.1、</w:t>
            </w:r>
            <w:r>
              <w:rPr>
                <w:rFonts w:hint="default" w:ascii="Times New Roman" w:hAnsi="Times New Roman" w:eastAsia="宋体" w:cs="Times New Roman"/>
                <w:b/>
                <w:bCs/>
                <w:color w:val="auto"/>
                <w:sz w:val="24"/>
                <w:szCs w:val="24"/>
              </w:rPr>
              <w:t>道路工程</w:t>
            </w:r>
            <w:r>
              <w:rPr>
                <w:rFonts w:hint="default" w:ascii="Times New Roman" w:hAnsi="Times New Roman" w:cs="Times New Roman"/>
                <w:b/>
                <w:bCs/>
                <w:color w:val="auto"/>
                <w:sz w:val="24"/>
                <w:szCs w:val="24"/>
                <w:lang w:val="en-US" w:eastAsia="zh-CN"/>
              </w:rPr>
              <w:t>施工工艺</w:t>
            </w:r>
          </w:p>
          <w:p w14:paraId="28B96ECC">
            <w:pPr>
              <w:pStyle w:val="54"/>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本项目道路工程施工工艺包括</w:t>
            </w:r>
            <w:r>
              <w:rPr>
                <w:rFonts w:hint="default" w:ascii="Times New Roman" w:hAnsi="Times New Roman" w:cs="Times New Roman"/>
                <w:color w:val="auto"/>
                <w:sz w:val="24"/>
                <w:szCs w:val="24"/>
                <w:lang w:val="en-US" w:eastAsia="zh-CN"/>
              </w:rPr>
              <w:t>施工准备、材料准备、</w:t>
            </w:r>
            <w:r>
              <w:rPr>
                <w:rFonts w:hint="eastAsia" w:cs="Times New Roman"/>
                <w:color w:val="auto"/>
                <w:sz w:val="24"/>
                <w:szCs w:val="24"/>
                <w:lang w:val="en-US" w:eastAsia="zh-CN"/>
              </w:rPr>
              <w:t>老路面拆除</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机械作业和材料运输</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管线施工</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路基施工</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路面施工、照明及信号灯安装、绿化</w:t>
            </w:r>
            <w:r>
              <w:rPr>
                <w:rFonts w:hint="default" w:ascii="Times New Roman" w:hAnsi="Times New Roman" w:eastAsia="宋体" w:cs="Times New Roman"/>
                <w:color w:val="auto"/>
                <w:sz w:val="24"/>
                <w:szCs w:val="24"/>
              </w:rPr>
              <w:t>等，工艺流程及产污环节见下图：</w:t>
            </w:r>
          </w:p>
          <w:p w14:paraId="7FD3B48A">
            <w:pPr>
              <w:pStyle w:val="54"/>
              <w:ind w:left="0" w:leftChars="0" w:firstLine="0" w:firstLineChars="0"/>
              <w:jc w:val="center"/>
              <w:rPr>
                <w:rFonts w:hint="default" w:ascii="Times New Roman" w:hAnsi="Times New Roman" w:eastAsia="宋体" w:cs="Times New Roman"/>
                <w:color w:val="auto"/>
                <w:lang w:eastAsia="zh-CN"/>
              </w:rPr>
            </w:pPr>
            <w:r>
              <w:rPr>
                <w:rFonts w:hint="default" w:ascii="Times New Roman" w:hAnsi="Times New Roman" w:eastAsia="宋体" w:cs="Times New Roman"/>
                <w:b/>
                <w:kern w:val="2"/>
                <w:sz w:val="21"/>
                <w:szCs w:val="24"/>
                <w:lang w:val="en-US" w:eastAsia="zh-CN" w:bidi="ar-SA"/>
              </w:rPr>
              <w:drawing>
                <wp:inline distT="0" distB="0" distL="114300" distR="114300">
                  <wp:extent cx="5219700" cy="2596515"/>
                  <wp:effectExtent l="0" t="0" r="0" b="13335"/>
                  <wp:docPr id="129" name="图片 129" descr="F:\03.华悠生态\002.项目文档\002.环境影响评价\005.广德318国道\02.过程文件\插图\路基施工工艺流程.png路基施工工艺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F:\03.华悠生态\002.项目文档\002.环境影响评价\005.广德318国道\02.过程文件\插图\路基施工工艺流程.png路基施工工艺流程"/>
                          <pic:cNvPicPr>
                            <a:picLocks noChangeAspect="1"/>
                          </pic:cNvPicPr>
                        </pic:nvPicPr>
                        <pic:blipFill>
                          <a:blip r:embed="rId25"/>
                          <a:srcRect/>
                          <a:stretch>
                            <a:fillRect/>
                          </a:stretch>
                        </pic:blipFill>
                        <pic:spPr>
                          <a:xfrm>
                            <a:off x="0" y="0"/>
                            <a:ext cx="5219700" cy="2596515"/>
                          </a:xfrm>
                          <a:prstGeom prst="rect">
                            <a:avLst/>
                          </a:prstGeom>
                        </pic:spPr>
                      </pic:pic>
                    </a:graphicData>
                  </a:graphic>
                </wp:inline>
              </w:drawing>
            </w:r>
          </w:p>
          <w:p w14:paraId="12E127B3">
            <w:pPr>
              <w:adjustRightInd w:val="0"/>
              <w:snapToGrid w:val="0"/>
              <w:spacing w:line="360" w:lineRule="auto"/>
              <w:jc w:val="left"/>
              <w:rPr>
                <w:rFonts w:hint="default" w:ascii="Times New Roman" w:hAnsi="Times New Roman" w:eastAsia="宋体" w:cs="Times New Roman"/>
                <w:b/>
                <w:bCs/>
                <w:color w:val="auto"/>
                <w:kern w:val="2"/>
                <w:sz w:val="21"/>
                <w:szCs w:val="20"/>
                <w:lang w:bidi="ar-SA"/>
              </w:rPr>
            </w:pPr>
            <w:r>
              <w:rPr>
                <w:rFonts w:hint="default" w:ascii="Times New Roman" w:hAnsi="Times New Roman" w:eastAsia="宋体" w:cs="Times New Roman"/>
                <w:b w:val="0"/>
                <w:bCs/>
                <w:kern w:val="2"/>
                <w:sz w:val="21"/>
                <w:szCs w:val="24"/>
                <w:lang w:val="en-US" w:eastAsia="zh-CN" w:bidi="ar-SA"/>
              </w:rPr>
              <w:t>注：N-施工机械噪声、S1-拆除弃渣、S2-渣土弃方、G1-施工扬尘</w:t>
            </w:r>
          </w:p>
          <w:p w14:paraId="742AF146">
            <w:pPr>
              <w:adjustRightInd w:val="0"/>
              <w:snapToGrid w:val="0"/>
              <w:spacing w:line="360" w:lineRule="auto"/>
              <w:jc w:val="center"/>
              <w:rPr>
                <w:rFonts w:hint="default" w:ascii="Times New Roman" w:hAnsi="Times New Roman" w:eastAsia="宋体" w:cs="Times New Roman"/>
                <w:b/>
                <w:bCs/>
                <w:color w:val="auto"/>
                <w:kern w:val="2"/>
                <w:sz w:val="21"/>
                <w:szCs w:val="20"/>
                <w:lang w:bidi="ar-SA"/>
              </w:rPr>
            </w:pPr>
            <w:r>
              <w:rPr>
                <w:rFonts w:hint="default" w:ascii="Times New Roman" w:hAnsi="Times New Roman" w:eastAsia="宋体" w:cs="Times New Roman"/>
                <w:b/>
                <w:bCs/>
                <w:color w:val="auto"/>
                <w:kern w:val="2"/>
                <w:sz w:val="21"/>
                <w:szCs w:val="20"/>
                <w:lang w:bidi="ar-SA"/>
              </w:rPr>
              <w:t>图2-</w:t>
            </w:r>
            <w:r>
              <w:rPr>
                <w:rFonts w:hint="eastAsia" w:ascii="Times New Roman" w:hAnsi="Times New Roman" w:eastAsia="宋体" w:cs="Times New Roman"/>
                <w:b/>
                <w:bCs/>
                <w:color w:val="auto"/>
                <w:kern w:val="2"/>
                <w:sz w:val="21"/>
                <w:szCs w:val="20"/>
                <w:lang w:val="en-US" w:eastAsia="zh-CN" w:bidi="ar-SA"/>
              </w:rPr>
              <w:t>2</w:t>
            </w:r>
            <w:r>
              <w:rPr>
                <w:rFonts w:hint="default" w:ascii="Times New Roman" w:hAnsi="Times New Roman" w:eastAsia="宋体" w:cs="Times New Roman"/>
                <w:b/>
                <w:bCs/>
                <w:color w:val="auto"/>
                <w:kern w:val="2"/>
                <w:sz w:val="21"/>
                <w:szCs w:val="20"/>
                <w:lang w:bidi="ar-SA"/>
              </w:rPr>
              <w:t xml:space="preserve"> </w:t>
            </w:r>
            <w:r>
              <w:rPr>
                <w:rFonts w:hint="default" w:ascii="Times New Roman" w:hAnsi="Times New Roman" w:eastAsia="宋体" w:cs="Times New Roman"/>
                <w:b/>
                <w:bCs/>
                <w:color w:val="auto"/>
                <w:kern w:val="2"/>
                <w:sz w:val="21"/>
                <w:szCs w:val="20"/>
                <w:lang w:val="en-US" w:eastAsia="zh-CN" w:bidi="ar-SA"/>
              </w:rPr>
              <w:t xml:space="preserve"> 路基、路面工程（含老路拆除）施工工艺流程及产污节点图</w:t>
            </w:r>
          </w:p>
          <w:p w14:paraId="06140E59">
            <w:pPr>
              <w:pStyle w:val="54"/>
              <w:ind w:firstLine="480"/>
              <w:rPr>
                <w:rStyle w:val="76"/>
                <w:rFonts w:hint="default" w:ascii="Times New Roman" w:hAnsi="Times New Roman" w:eastAsia="宋体" w:cs="Times New Roman"/>
                <w:b/>
                <w:bCs/>
                <w:color w:val="auto"/>
                <w:sz w:val="24"/>
                <w:szCs w:val="24"/>
                <w:lang w:val="en-US" w:eastAsia="zh-CN"/>
              </w:rPr>
            </w:pPr>
            <w:r>
              <w:rPr>
                <w:rFonts w:hint="default" w:ascii="Times New Roman" w:hAnsi="Times New Roman" w:cs="Times New Roman"/>
                <w:b/>
                <w:bCs/>
                <w:color w:val="auto"/>
                <w:sz w:val="24"/>
                <w:szCs w:val="32"/>
                <w:u w:val="none"/>
                <w:lang w:val="en-US" w:eastAsia="zh-CN"/>
              </w:rPr>
              <w:t>工艺流程简述：</w:t>
            </w:r>
          </w:p>
          <w:p w14:paraId="02445C47">
            <w:pPr>
              <w:pStyle w:val="54"/>
              <w:ind w:firstLine="480"/>
              <w:rPr>
                <w:rStyle w:val="76"/>
                <w:rFonts w:hint="default" w:ascii="Times New Roman" w:hAnsi="Times New Roman" w:eastAsia="宋体" w:cs="Times New Roman"/>
                <w:b/>
                <w:bCs/>
                <w:color w:val="auto"/>
                <w:sz w:val="24"/>
                <w:szCs w:val="24"/>
                <w:lang w:val="en-US" w:eastAsia="zh-CN"/>
              </w:rPr>
            </w:pPr>
            <w:r>
              <w:rPr>
                <w:rStyle w:val="76"/>
                <w:rFonts w:hint="default" w:ascii="Times New Roman" w:hAnsi="Times New Roman" w:eastAsia="宋体" w:cs="Times New Roman"/>
                <w:b/>
                <w:bCs/>
                <w:color w:val="auto"/>
                <w:sz w:val="24"/>
                <w:szCs w:val="24"/>
                <w:lang w:val="en-US" w:eastAsia="zh-CN"/>
              </w:rPr>
              <w:t>A.老路拆除施工</w:t>
            </w:r>
          </w:p>
          <w:p w14:paraId="09AE4DE4">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a.施工准备</w:t>
            </w:r>
          </w:p>
          <w:p w14:paraId="7EF91E36">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老路拆除施工开始前对施工现场进行踏勘调查，确认待破除段范围、刨除厚度等参数，完善各专业施工方案和施工组织设计，合理安排施工进度和施工时序，确认道路保通方案。</w:t>
            </w:r>
          </w:p>
          <w:p w14:paraId="4E37D71E">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b.施工放样</w:t>
            </w:r>
          </w:p>
          <w:p w14:paraId="06D477DD">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根据设计图纸，利用激光设备、经纬仪、水准仪和量距尺等测设工具，于现场测设破除路段轴线点、轮廓点，确定施工桩号，施划破除范围线，明确作业范围。</w:t>
            </w:r>
          </w:p>
          <w:p w14:paraId="30705FA3">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c.老路面破除</w:t>
            </w:r>
          </w:p>
          <w:p w14:paraId="38D6EA27">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利用路面破除设备对需破除区段老路面进行破除，可利用路面采取刨除设备对表层刨除后与改扩建道路进行拟合。</w:t>
            </w:r>
          </w:p>
          <w:p w14:paraId="473BFAA9">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d.弃渣清运</w:t>
            </w:r>
          </w:p>
          <w:p w14:paraId="5E0FDAC4">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路面破除产生的废渣应妥善收集、清运，混凝土废渣经处理后可回用于周边低等级村组道路填筑，沥青废渣应单独收集，再生处理后利用于道路填筑。</w:t>
            </w:r>
          </w:p>
          <w:p w14:paraId="00C17A37">
            <w:pPr>
              <w:pStyle w:val="54"/>
              <w:ind w:firstLine="480"/>
              <w:rPr>
                <w:rStyle w:val="76"/>
                <w:rFonts w:hint="default" w:ascii="Times New Roman" w:hAnsi="Times New Roman" w:eastAsia="宋体" w:cs="Times New Roman"/>
                <w:b/>
                <w:bCs/>
                <w:color w:val="auto"/>
                <w:sz w:val="24"/>
                <w:szCs w:val="24"/>
                <w:lang w:val="en-US" w:eastAsia="zh-CN"/>
              </w:rPr>
            </w:pPr>
            <w:r>
              <w:rPr>
                <w:rStyle w:val="76"/>
                <w:rFonts w:hint="default" w:ascii="Times New Roman" w:hAnsi="Times New Roman" w:eastAsia="宋体" w:cs="Times New Roman"/>
                <w:b/>
                <w:bCs/>
                <w:color w:val="auto"/>
                <w:sz w:val="24"/>
                <w:szCs w:val="24"/>
                <w:lang w:val="en-US" w:eastAsia="zh-CN"/>
              </w:rPr>
              <w:t>B.新建段施工</w:t>
            </w:r>
          </w:p>
          <w:p w14:paraId="6FEB884F">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a.施工准备、考察地形及制定方案</w:t>
            </w:r>
          </w:p>
          <w:p w14:paraId="5771A063">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工程施工开始前整理工程建设内容，对施工现场进行踏勘调查，完成各专业施工方案和施工组织设计，合理安排施工进度和施工时序。</w:t>
            </w:r>
          </w:p>
          <w:p w14:paraId="665B0303">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b.清理现场</w:t>
            </w:r>
          </w:p>
          <w:p w14:paraId="588FF55F">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对占地区域内地表现有建筑物、地面硬化、植被等进行拆除、清理。该过程将产生施工噪声、拆除建筑垃圾、施工扬尘等污染物。</w:t>
            </w:r>
          </w:p>
          <w:p w14:paraId="0D1523FD">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c.测量放线</w:t>
            </w:r>
          </w:p>
          <w:p w14:paraId="7C6C93B8">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根据平面控制测量所布置导线点及图纸道路主要控制点设计坐标，进行实地放线工作，确定施工桩号。划定工程实施范围，明确施工边界，避免施工中对场外地表产生扰动破坏。</w:t>
            </w:r>
          </w:p>
          <w:p w14:paraId="12AFFE71">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d.清基清表</w:t>
            </w:r>
          </w:p>
          <w:p w14:paraId="16773FE8">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在路基施工前均对表层杂填土、耕植土等不可作为路基持力层的表层土进行挖除，施工中应对耕地区域具有肥力的表层耕植土单独剥离和保护，该部分表土厚度一般为30cm，耕作表土集中临时存放，表土用于工程后期绿化或复耕。其他清基土方即挖即填，多余部分同步外运，不在现场堆存。</w:t>
            </w:r>
          </w:p>
          <w:p w14:paraId="7F19C087">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e.路基处理、路基填筑和边坡填筑</w:t>
            </w:r>
          </w:p>
          <w:p w14:paraId="30B22BF3">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普通段路基采取表层土挖除、灰土换填的处理方式；采用挖掘机纵向推进的方法，自卸汽车外运，推土机推平，在接近素填土层时应预留30cm，用推土机推平至素填土层，人工整平和修整边坡。路基处理和路基填筑施工中主要产生污染物包括施工机械噪声、施工扬尘、高压旋喷桩泥浆废水、工程弃方等。</w:t>
            </w:r>
          </w:p>
          <w:p w14:paraId="36EA8284">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f.路基碾压</w:t>
            </w:r>
          </w:p>
          <w:p w14:paraId="2E028787">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由压路机本着先轻后重的原则对路基进行碾压，碾压时边压边整，以保证路基均匀一致，重型压路机碾压次数一般为6~8次，达到密实要求，每次碾压应有一定纵向重叠，做到无漏压、无死角。该施工中主要产生污染物有施工机械噪声、施工扬尘等。</w:t>
            </w:r>
          </w:p>
          <w:p w14:paraId="6B6239B8">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g.路面施工</w:t>
            </w:r>
          </w:p>
          <w:p w14:paraId="70C0B5CB">
            <w:pPr>
              <w:pStyle w:val="54"/>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路面面层为沥青混凝土，基层为水泥稳定碎石。施工中底基层、基层采用摊铺机分层摊铺，压路机压实，各面层采用洒布机喷洒透层油，摊铺机配以自卸车连续摊铺沥青混合料，压路机碾压密实成型，项目采用商品沥青混凝土。该施工中主要产生污染物包括施工机械噪声、施工扬尘、沥青烟气等。</w:t>
            </w:r>
          </w:p>
          <w:p w14:paraId="60FE64C0">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1.2、</w:t>
            </w:r>
            <w:r>
              <w:rPr>
                <w:rFonts w:hint="default" w:ascii="Times New Roman" w:hAnsi="Times New Roman" w:cs="Times New Roman"/>
                <w:b/>
                <w:bCs/>
                <w:color w:val="auto"/>
                <w:sz w:val="24"/>
                <w:szCs w:val="24"/>
                <w:lang w:val="en-US" w:eastAsia="zh-CN"/>
              </w:rPr>
              <w:t>涵洞施工工艺</w:t>
            </w:r>
          </w:p>
          <w:p w14:paraId="7A89E150">
            <w:pPr>
              <w:pStyle w:val="54"/>
              <w:ind w:firstLine="482"/>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（1）圆管涵</w:t>
            </w:r>
          </w:p>
          <w:p w14:paraId="52BB35F2">
            <w:pPr>
              <w:pStyle w:val="54"/>
              <w:ind w:firstLine="482"/>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本项目圆管涵施工工艺流程及产污环节见下图：</w:t>
            </w:r>
          </w:p>
          <w:p w14:paraId="18954376">
            <w:pPr>
              <w:pStyle w:val="54"/>
              <w:ind w:left="0" w:leftChars="0" w:firstLine="0" w:firstLineChars="0"/>
              <w:jc w:val="cente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drawing>
                <wp:inline distT="0" distB="0" distL="114300" distR="114300">
                  <wp:extent cx="4069080" cy="2074545"/>
                  <wp:effectExtent l="0" t="0" r="7620" b="1905"/>
                  <wp:docPr id="6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4"/>
                          <pic:cNvPicPr>
                            <a:picLocks noChangeAspect="1"/>
                          </pic:cNvPicPr>
                        </pic:nvPicPr>
                        <pic:blipFill>
                          <a:blip r:embed="rId26"/>
                          <a:srcRect b="6646"/>
                          <a:stretch>
                            <a:fillRect/>
                          </a:stretch>
                        </pic:blipFill>
                        <pic:spPr>
                          <a:xfrm>
                            <a:off x="0" y="0"/>
                            <a:ext cx="4069080" cy="2074545"/>
                          </a:xfrm>
                          <a:prstGeom prst="rect">
                            <a:avLst/>
                          </a:prstGeom>
                          <a:noFill/>
                          <a:ln>
                            <a:noFill/>
                          </a:ln>
                        </pic:spPr>
                      </pic:pic>
                    </a:graphicData>
                  </a:graphic>
                </wp:inline>
              </w:drawing>
            </w:r>
          </w:p>
          <w:p w14:paraId="64D83AEF">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t>注：N——施工机械噪声；G——施工扬尘；S——施工固废。</w:t>
            </w:r>
          </w:p>
          <w:p w14:paraId="230AC31A">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000000" w:themeColor="text1"/>
                <w:kern w:val="2"/>
                <w:sz w:val="21"/>
                <w:szCs w:val="20"/>
                <w:highlight w:val="none"/>
                <w:lang w:bidi="ar-SA"/>
                <w14:textFill>
                  <w14:solidFill>
                    <w14:schemeClr w14:val="tx1"/>
                  </w14:solidFill>
                </w14:textFill>
              </w:rPr>
            </w:pPr>
            <w:r>
              <w:rPr>
                <w:rFonts w:hint="default" w:ascii="Times New Roman" w:hAnsi="Times New Roman" w:eastAsia="宋体" w:cs="Times New Roman"/>
                <w:b/>
                <w:bCs/>
                <w:color w:val="000000" w:themeColor="text1"/>
                <w:kern w:val="2"/>
                <w:sz w:val="21"/>
                <w:szCs w:val="20"/>
                <w:highlight w:val="none"/>
                <w:lang w:bidi="ar-SA"/>
                <w14:textFill>
                  <w14:solidFill>
                    <w14:schemeClr w14:val="tx1"/>
                  </w14:solidFill>
                </w14:textFill>
              </w:rPr>
              <w:t>图2-</w:t>
            </w:r>
            <w:r>
              <w:rPr>
                <w:rFonts w:hint="eastAsia"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t>4</w:t>
            </w:r>
            <w:r>
              <w:rPr>
                <w:rFonts w:hint="default" w:ascii="Times New Roman" w:hAnsi="Times New Roman" w:eastAsia="宋体" w:cs="Times New Roman"/>
                <w:b/>
                <w:bCs/>
                <w:color w:val="000000" w:themeColor="text1"/>
                <w:kern w:val="2"/>
                <w:sz w:val="21"/>
                <w:szCs w:val="20"/>
                <w:highlight w:val="none"/>
                <w:lang w:bidi="ar-SA"/>
                <w14:textFill>
                  <w14:solidFill>
                    <w14:schemeClr w14:val="tx1"/>
                  </w14:solidFill>
                </w14:textFill>
              </w:rPr>
              <w:t xml:space="preserve"> </w:t>
            </w:r>
            <w:r>
              <w:rPr>
                <w:rFonts w:hint="default"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t xml:space="preserve"> 圆管涵</w:t>
            </w:r>
            <w:r>
              <w:rPr>
                <w:rFonts w:hint="default" w:ascii="Times New Roman" w:hAnsi="Times New Roman" w:eastAsia="宋体" w:cs="Times New Roman"/>
                <w:b/>
                <w:bCs/>
                <w:color w:val="000000" w:themeColor="text1"/>
                <w:kern w:val="2"/>
                <w:sz w:val="21"/>
                <w:szCs w:val="20"/>
                <w:highlight w:val="none"/>
                <w:lang w:bidi="ar-SA"/>
                <w14:textFill>
                  <w14:solidFill>
                    <w14:schemeClr w14:val="tx1"/>
                  </w14:solidFill>
                </w14:textFill>
              </w:rPr>
              <w:t>施工工艺流程及产污环节</w:t>
            </w:r>
          </w:p>
          <w:p w14:paraId="5646CE5D">
            <w:pPr>
              <w:widowControl w:val="0"/>
              <w:adjustRightInd w:val="0"/>
              <w:snapToGrid w:val="0"/>
              <w:spacing w:line="360" w:lineRule="auto"/>
              <w:ind w:firstLine="482" w:firstLineChars="200"/>
              <w:jc w:val="both"/>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工艺流程简述：</w:t>
            </w:r>
          </w:p>
          <w:p w14:paraId="45E6F1C6">
            <w:pPr>
              <w:pStyle w:val="54"/>
              <w:ind w:firstLine="482"/>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①测量放样</w:t>
            </w:r>
          </w:p>
          <w:p w14:paraId="66C11BD7">
            <w:pPr>
              <w:pStyle w:val="54"/>
              <w:ind w:firstLine="482"/>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圆管涵在施工之前，首先要按图纸确定开挖位置、范围及高程测量放样，通过测量放样来确定涵洞的平面轴线位置、涵长以及施工宽度。</w:t>
            </w:r>
          </w:p>
          <w:p w14:paraId="33467618">
            <w:pPr>
              <w:pStyle w:val="54"/>
              <w:ind w:firstLine="482"/>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②基槽开挖</w:t>
            </w:r>
          </w:p>
          <w:p w14:paraId="22BCBB5A">
            <w:pPr>
              <w:pStyle w:val="54"/>
              <w:ind w:firstLine="482"/>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人工配合挖掘机挖掘，挖掘至设计标高后，经地基承载力试验合格并经监理验收合格后进入下部工序。</w:t>
            </w:r>
          </w:p>
          <w:p w14:paraId="44675C08">
            <w:pPr>
              <w:pStyle w:val="54"/>
              <w:ind w:firstLine="482"/>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③地基处理</w:t>
            </w:r>
          </w:p>
          <w:p w14:paraId="4CD4C22A">
            <w:pPr>
              <w:pStyle w:val="54"/>
              <w:ind w:firstLine="482"/>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进行基底的清理与整平工作，夯实至符合设计要求，基坑内换填片石掺入适量砂石，使基础不会因持力层内存在较大孔隙而产生沉降，碾压采用压路机振动碾压。</w:t>
            </w:r>
          </w:p>
          <w:p w14:paraId="4D78CB33">
            <w:pPr>
              <w:pStyle w:val="54"/>
              <w:ind w:firstLine="482"/>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④</w:t>
            </w:r>
            <w:r>
              <w:rPr>
                <w:rFonts w:hint="eastAsia" w:cs="Times New Roman"/>
                <w:b/>
                <w:bCs/>
                <w:color w:val="000000" w:themeColor="text1"/>
                <w:sz w:val="24"/>
                <w:szCs w:val="24"/>
                <w:highlight w:val="none"/>
                <w:lang w:val="en-US" w:eastAsia="zh-CN"/>
                <w14:textFill>
                  <w14:solidFill>
                    <w14:schemeClr w14:val="tx1"/>
                  </w14:solidFill>
                </w14:textFill>
              </w:rPr>
              <w:t>管柱基础</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浇筑</w:t>
            </w:r>
          </w:p>
          <w:p w14:paraId="00EC2A7D">
            <w:pPr>
              <w:pStyle w:val="54"/>
              <w:ind w:firstLine="482"/>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管底以上部分的</w:t>
            </w:r>
            <w:r>
              <w:rPr>
                <w:rFonts w:hint="eastAsia" w:cs="Times New Roman"/>
                <w:b w:val="0"/>
                <w:bCs w:val="0"/>
                <w:color w:val="000000" w:themeColor="text1"/>
                <w:sz w:val="24"/>
                <w:szCs w:val="24"/>
                <w:highlight w:val="none"/>
                <w:lang w:val="en-US" w:eastAsia="zh-CN"/>
                <w14:textFill>
                  <w14:solidFill>
                    <w14:schemeClr w14:val="tx1"/>
                  </w14:solidFill>
                </w14:textFill>
              </w:rPr>
              <w:t>管柱基础</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，基础混凝土标号不应小于10号；在</w:t>
            </w:r>
            <w:r>
              <w:rPr>
                <w:rFonts w:hint="eastAsia" w:cs="Times New Roman"/>
                <w:b w:val="0"/>
                <w:bCs w:val="0"/>
                <w:color w:val="000000" w:themeColor="text1"/>
                <w:sz w:val="24"/>
                <w:szCs w:val="24"/>
                <w:highlight w:val="none"/>
                <w:lang w:val="en-US" w:eastAsia="zh-CN"/>
                <w14:textFill>
                  <w14:solidFill>
                    <w14:schemeClr w14:val="tx1"/>
                  </w14:solidFill>
                </w14:textFill>
              </w:rPr>
              <w:t>管柱基础</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浇筑之前，可先填砂石垫层，用以增加基础均匀性</w:t>
            </w:r>
            <w:r>
              <w:rPr>
                <w:rFonts w:hint="eastAsia" w:cs="Times New Roman"/>
                <w:b w:val="0"/>
                <w:bCs w:val="0"/>
                <w:color w:val="000000" w:themeColor="text1"/>
                <w:sz w:val="24"/>
                <w:szCs w:val="24"/>
                <w:highlight w:val="none"/>
                <w:lang w:val="en-US" w:eastAsia="zh-CN"/>
                <w14:textFill>
                  <w14:solidFill>
                    <w14:schemeClr w14:val="tx1"/>
                  </w14:solidFill>
                </w14:textFill>
              </w:rPr>
              <w:t>；管柱基础</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设置沉降缝，按沉降缝分仓浇筑。</w:t>
            </w:r>
          </w:p>
          <w:p w14:paraId="336927E5">
            <w:pPr>
              <w:pStyle w:val="54"/>
              <w:ind w:firstLine="482"/>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⑤</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管节安装</w:t>
            </w:r>
          </w:p>
          <w:p w14:paraId="5F0EDE60">
            <w:pPr>
              <w:pStyle w:val="54"/>
              <w:ind w:firstLine="482"/>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在基础上标示出涵管中心线，并先安装进、出水口处的端部管节以控制涵管全长，然后逐节安装中部管节。</w:t>
            </w:r>
          </w:p>
          <w:p w14:paraId="1319E360">
            <w:pPr>
              <w:pStyle w:val="54"/>
              <w:ind w:firstLine="482"/>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⑥</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接缝处理</w:t>
            </w:r>
          </w:p>
          <w:p w14:paraId="1BED44CE">
            <w:pPr>
              <w:pStyle w:val="54"/>
              <w:ind w:firstLine="482"/>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用麻絮填塞接缝处，进行防水处理。</w:t>
            </w:r>
          </w:p>
          <w:p w14:paraId="447619AE">
            <w:pPr>
              <w:pStyle w:val="54"/>
              <w:ind w:firstLine="482"/>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⑦</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洞口砌筑</w:t>
            </w:r>
          </w:p>
          <w:p w14:paraId="5F73F92D">
            <w:pPr>
              <w:pStyle w:val="54"/>
              <w:ind w:firstLine="482"/>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对进口沟床及出口沟槽进行铺砌加固，铺砌长度一般不小于1米，水流流速较大时可延长铺砌或加深截水墙。</w:t>
            </w:r>
          </w:p>
          <w:p w14:paraId="75266141">
            <w:pPr>
              <w:pStyle w:val="54"/>
              <w:ind w:firstLine="482"/>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⑧</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涵背回填</w:t>
            </w:r>
          </w:p>
          <w:p w14:paraId="21D7473F">
            <w:pPr>
              <w:pStyle w:val="54"/>
              <w:ind w:firstLine="482"/>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涵洞完成后，涵洞处路堤缺口进行回填土。</w:t>
            </w:r>
          </w:p>
          <w:p w14:paraId="4469E39B">
            <w:pPr>
              <w:pStyle w:val="54"/>
              <w:ind w:firstLine="482"/>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（2）盖板涵</w:t>
            </w:r>
          </w:p>
          <w:p w14:paraId="3DD37FA1">
            <w:pPr>
              <w:pStyle w:val="54"/>
              <w:ind w:firstLine="482"/>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本项目盖板涵施工工艺流程及产污环节见下图：</w:t>
            </w:r>
          </w:p>
          <w:p w14:paraId="7C9C8196">
            <w:pPr>
              <w:pStyle w:val="54"/>
              <w:ind w:left="0" w:leftChars="0" w:firstLine="0" w:firstLineChars="0"/>
              <w:jc w:val="cente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drawing>
                <wp:inline distT="0" distB="0" distL="114300" distR="114300">
                  <wp:extent cx="4347210" cy="1427480"/>
                  <wp:effectExtent l="0" t="0" r="15240" b="1270"/>
                  <wp:docPr id="9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5"/>
                          <pic:cNvPicPr>
                            <a:picLocks noChangeAspect="1"/>
                          </pic:cNvPicPr>
                        </pic:nvPicPr>
                        <pic:blipFill>
                          <a:blip r:embed="rId27"/>
                          <a:srcRect l="2431" b="22257"/>
                          <a:stretch>
                            <a:fillRect/>
                          </a:stretch>
                        </pic:blipFill>
                        <pic:spPr>
                          <a:xfrm>
                            <a:off x="0" y="0"/>
                            <a:ext cx="4347210" cy="1427480"/>
                          </a:xfrm>
                          <a:prstGeom prst="rect">
                            <a:avLst/>
                          </a:prstGeom>
                          <a:noFill/>
                          <a:ln>
                            <a:noFill/>
                          </a:ln>
                        </pic:spPr>
                      </pic:pic>
                    </a:graphicData>
                  </a:graphic>
                </wp:inline>
              </w:drawing>
            </w:r>
          </w:p>
          <w:p w14:paraId="4EF14D74">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t>注：N——施工机械噪声；G——施工扬尘；S——施工固废。</w:t>
            </w:r>
          </w:p>
          <w:p w14:paraId="7C1BE8A4">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000000" w:themeColor="text1"/>
                <w:kern w:val="2"/>
                <w:sz w:val="21"/>
                <w:szCs w:val="20"/>
                <w:highlight w:val="none"/>
                <w:lang w:bidi="ar-SA"/>
                <w14:textFill>
                  <w14:solidFill>
                    <w14:schemeClr w14:val="tx1"/>
                  </w14:solidFill>
                </w14:textFill>
              </w:rPr>
            </w:pPr>
            <w:r>
              <w:rPr>
                <w:rFonts w:hint="default" w:ascii="Times New Roman" w:hAnsi="Times New Roman" w:eastAsia="宋体" w:cs="Times New Roman"/>
                <w:b/>
                <w:bCs/>
                <w:color w:val="000000" w:themeColor="text1"/>
                <w:kern w:val="2"/>
                <w:sz w:val="21"/>
                <w:szCs w:val="20"/>
                <w:highlight w:val="none"/>
                <w:lang w:bidi="ar-SA"/>
                <w14:textFill>
                  <w14:solidFill>
                    <w14:schemeClr w14:val="tx1"/>
                  </w14:solidFill>
                </w14:textFill>
              </w:rPr>
              <w:t>图2-</w:t>
            </w:r>
            <w:r>
              <w:rPr>
                <w:rFonts w:hint="eastAsia"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t>5</w:t>
            </w:r>
            <w:r>
              <w:rPr>
                <w:rFonts w:hint="default" w:ascii="Times New Roman" w:hAnsi="Times New Roman" w:eastAsia="宋体" w:cs="Times New Roman"/>
                <w:b/>
                <w:bCs/>
                <w:color w:val="000000" w:themeColor="text1"/>
                <w:kern w:val="2"/>
                <w:sz w:val="21"/>
                <w:szCs w:val="20"/>
                <w:highlight w:val="none"/>
                <w:lang w:bidi="ar-SA"/>
                <w14:textFill>
                  <w14:solidFill>
                    <w14:schemeClr w14:val="tx1"/>
                  </w14:solidFill>
                </w14:textFill>
              </w:rPr>
              <w:t xml:space="preserve"> </w:t>
            </w:r>
            <w:r>
              <w:rPr>
                <w:rFonts w:hint="default"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t xml:space="preserve"> 盖板涵</w:t>
            </w:r>
            <w:r>
              <w:rPr>
                <w:rFonts w:hint="default" w:ascii="Times New Roman" w:hAnsi="Times New Roman" w:eastAsia="宋体" w:cs="Times New Roman"/>
                <w:b/>
                <w:bCs/>
                <w:color w:val="000000" w:themeColor="text1"/>
                <w:kern w:val="2"/>
                <w:sz w:val="21"/>
                <w:szCs w:val="20"/>
                <w:highlight w:val="none"/>
                <w:lang w:bidi="ar-SA"/>
                <w14:textFill>
                  <w14:solidFill>
                    <w14:schemeClr w14:val="tx1"/>
                  </w14:solidFill>
                </w14:textFill>
              </w:rPr>
              <w:t>施工工艺流程及产污环节</w:t>
            </w:r>
          </w:p>
          <w:p w14:paraId="1ACF9F16">
            <w:pPr>
              <w:widowControl w:val="0"/>
              <w:adjustRightInd w:val="0"/>
              <w:snapToGrid w:val="0"/>
              <w:spacing w:line="360" w:lineRule="auto"/>
              <w:ind w:firstLine="482" w:firstLineChars="200"/>
              <w:jc w:val="both"/>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工艺流程简述：</w:t>
            </w:r>
          </w:p>
          <w:p w14:paraId="34653F03">
            <w:pPr>
              <w:pStyle w:val="54"/>
              <w:ind w:firstLine="482"/>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①测量放样</w:t>
            </w:r>
          </w:p>
          <w:p w14:paraId="31D67A4F">
            <w:pPr>
              <w:pStyle w:val="54"/>
              <w:ind w:firstLine="482"/>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按照图纸进行基础定位放线，确定中线、边线及标高。</w:t>
            </w:r>
          </w:p>
          <w:p w14:paraId="71397AC3">
            <w:pPr>
              <w:pStyle w:val="54"/>
              <w:ind w:firstLine="482"/>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②基坑开挖</w:t>
            </w:r>
          </w:p>
          <w:p w14:paraId="68F8FAC6">
            <w:pPr>
              <w:pStyle w:val="54"/>
              <w:ind w:firstLine="482"/>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采用挖掘机进行开挖，边坡用薄膜覆盖进行防护，机械开挖至接近设计坑底标高或边坡边界。</w:t>
            </w:r>
          </w:p>
          <w:p w14:paraId="0EF0CDB5">
            <w:pPr>
              <w:pStyle w:val="54"/>
              <w:ind w:firstLine="482"/>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③基础施工</w:t>
            </w:r>
          </w:p>
          <w:p w14:paraId="367D609B">
            <w:pPr>
              <w:pStyle w:val="54"/>
              <w:ind w:firstLine="482"/>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在基础施工前，要</w:t>
            </w:r>
            <w:r>
              <w:rPr>
                <w:rFonts w:hint="eastAsia" w:cs="Times New Roman"/>
                <w:b w:val="0"/>
                <w:bCs w:val="0"/>
                <w:color w:val="000000" w:themeColor="text1"/>
                <w:sz w:val="24"/>
                <w:szCs w:val="24"/>
                <w:highlight w:val="none"/>
                <w:lang w:val="en-US" w:eastAsia="zh-CN"/>
                <w14:textFill>
                  <w14:solidFill>
                    <w14:schemeClr w14:val="tx1"/>
                  </w14:solidFill>
                </w14:textFill>
              </w:rPr>
              <w:t>先</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在基底用砂浆进行封底找平，再在砂浆底面</w:t>
            </w:r>
            <w:r>
              <w:rPr>
                <w:rFonts w:hint="eastAsia" w:cs="Times New Roman"/>
                <w:b w:val="0"/>
                <w:bCs w:val="0"/>
                <w:color w:val="000000" w:themeColor="text1"/>
                <w:sz w:val="24"/>
                <w:szCs w:val="24"/>
                <w:highlight w:val="none"/>
                <w:lang w:val="en-US" w:eastAsia="zh-CN"/>
                <w14:textFill>
                  <w14:solidFill>
                    <w14:schemeClr w14:val="tx1"/>
                  </w14:solidFill>
                </w14:textFill>
              </w:rPr>
              <w:t>放</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出涵洞轴线，用墨线弹出立模边线和每个沉降缝位置。沉降缝按设计位置设置，填塞符合设计规范要求。混凝土进行分层浇筑，直至混凝土停止下沉，不再冒出气泡，表面呈平坦、泛浆现象为止。</w:t>
            </w:r>
          </w:p>
          <w:p w14:paraId="7E045CEF">
            <w:pPr>
              <w:pStyle w:val="54"/>
              <w:ind w:firstLine="482"/>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④台身施工</w:t>
            </w:r>
          </w:p>
          <w:p w14:paraId="322C77AE">
            <w:pPr>
              <w:pStyle w:val="54"/>
              <w:ind w:firstLine="482"/>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台身施工分为侧墙内支撑及内模施工、立外模、混凝土浇筑三个步骤。侧墙内支撑及内模施工主要采用大平面模板制作，表面要求光洁无错台，模板接缝加贴密封胶条；</w:t>
            </w:r>
            <w:r>
              <w:rPr>
                <w:rFonts w:hint="eastAsia" w:cs="Times New Roman"/>
                <w:b w:val="0"/>
                <w:bCs w:val="0"/>
                <w:color w:val="000000" w:themeColor="text1"/>
                <w:sz w:val="24"/>
                <w:szCs w:val="24"/>
                <w:highlight w:val="none"/>
                <w:lang w:val="en-US" w:eastAsia="zh-CN"/>
                <w14:textFill>
                  <w14:solidFill>
                    <w14:schemeClr w14:val="tx1"/>
                  </w14:solidFill>
                </w14:textFill>
              </w:rPr>
              <w:t>外模</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采用普通钢模板组拼，以钢管辅助支顶，内侧平整光滑；混凝土进行浇筑，直至混凝土停止下沉，不再冒出气泡，表面呈平坦、泛浆现象为止。</w:t>
            </w:r>
          </w:p>
          <w:p w14:paraId="5A59BD4D">
            <w:pPr>
              <w:pStyle w:val="54"/>
              <w:ind w:firstLine="482"/>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⑤盖板施工</w:t>
            </w:r>
          </w:p>
          <w:p w14:paraId="2CE2BBE7">
            <w:pPr>
              <w:pStyle w:val="54"/>
              <w:ind w:firstLine="480"/>
              <w:rPr>
                <w:rFonts w:hint="default" w:ascii="Times New Roman" w:hAnsi="Times New Roman" w:cs="Times New Roman"/>
                <w:b w:val="0"/>
                <w:bCs w:val="0"/>
                <w:color w:val="auto"/>
                <w:sz w:val="24"/>
                <w:szCs w:val="24"/>
                <w:lang w:val="en-US" w:eastAsia="zh-CN"/>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盖板施工为预制安装，将预制的模板进行安装浇筑，浇筑完毕后抹平压光，防止顶面松散，初凝后的砼用土工布覆盖并洒水湿润。</w:t>
            </w:r>
          </w:p>
          <w:p w14:paraId="6B0F1B68">
            <w:pPr>
              <w:pStyle w:val="54"/>
              <w:ind w:firstLine="0" w:firstLineChars="0"/>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lang w:val="en-US" w:eastAsia="zh-CN"/>
              </w:rPr>
              <w:t>2、</w:t>
            </w:r>
            <w:r>
              <w:rPr>
                <w:rFonts w:hint="default" w:ascii="Times New Roman" w:hAnsi="Times New Roman" w:eastAsia="宋体" w:cs="Times New Roman"/>
                <w:b/>
                <w:bCs/>
                <w:color w:val="auto"/>
                <w:sz w:val="24"/>
                <w:szCs w:val="32"/>
                <w:highlight w:val="none"/>
              </w:rPr>
              <w:t>施工周期</w:t>
            </w:r>
          </w:p>
          <w:p w14:paraId="2A444359">
            <w:pPr>
              <w:adjustRightInd w:val="0"/>
              <w:snapToGrid w:val="0"/>
              <w:spacing w:line="360" w:lineRule="auto"/>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highlight w:val="none"/>
              </w:rPr>
              <w:t>本项目总工期为</w:t>
            </w:r>
            <w:r>
              <w:rPr>
                <w:rFonts w:hint="eastAsia" w:ascii="Times New Roman" w:hAnsi="Times New Roman" w:eastAsia="宋体" w:cs="Times New Roman"/>
                <w:color w:val="auto"/>
                <w:sz w:val="24"/>
                <w:szCs w:val="32"/>
                <w:highlight w:val="none"/>
                <w:lang w:val="en-US" w:eastAsia="zh-CN"/>
              </w:rPr>
              <w:t>12</w:t>
            </w:r>
            <w:r>
              <w:rPr>
                <w:rFonts w:hint="default" w:ascii="Times New Roman" w:hAnsi="Times New Roman" w:eastAsia="宋体" w:cs="Times New Roman"/>
                <w:color w:val="auto"/>
                <w:sz w:val="24"/>
                <w:szCs w:val="32"/>
                <w:highlight w:val="none"/>
              </w:rPr>
              <w:t>个月，202</w:t>
            </w:r>
            <w:r>
              <w:rPr>
                <w:rFonts w:hint="eastAsia" w:ascii="Times New Roman" w:hAnsi="Times New Roman" w:eastAsia="宋体" w:cs="Times New Roman"/>
                <w:color w:val="auto"/>
                <w:sz w:val="24"/>
                <w:szCs w:val="32"/>
                <w:highlight w:val="none"/>
                <w:lang w:val="en-US" w:eastAsia="zh-CN"/>
              </w:rPr>
              <w:t>6</w:t>
            </w:r>
            <w:r>
              <w:rPr>
                <w:rFonts w:hint="default" w:ascii="Times New Roman" w:hAnsi="Times New Roman" w:eastAsia="宋体" w:cs="Times New Roman"/>
                <w:color w:val="auto"/>
                <w:sz w:val="24"/>
                <w:szCs w:val="32"/>
                <w:highlight w:val="none"/>
              </w:rPr>
              <w:t>年</w:t>
            </w:r>
            <w:r>
              <w:rPr>
                <w:rFonts w:hint="eastAsia" w:ascii="Times New Roman" w:hAnsi="Times New Roman" w:eastAsia="宋体" w:cs="Times New Roman"/>
                <w:color w:val="auto"/>
                <w:sz w:val="24"/>
                <w:szCs w:val="32"/>
                <w:highlight w:val="none"/>
                <w:lang w:val="en-US" w:eastAsia="zh-CN"/>
              </w:rPr>
              <w:t>9</w:t>
            </w:r>
            <w:r>
              <w:rPr>
                <w:rFonts w:hint="default" w:ascii="Times New Roman" w:hAnsi="Times New Roman" w:eastAsia="宋体" w:cs="Times New Roman"/>
                <w:color w:val="auto"/>
                <w:sz w:val="24"/>
                <w:szCs w:val="32"/>
                <w:highlight w:val="none"/>
              </w:rPr>
              <w:t>月竣工。202</w:t>
            </w:r>
            <w:r>
              <w:rPr>
                <w:rFonts w:hint="eastAsia" w:ascii="Times New Roman" w:hAnsi="Times New Roman" w:eastAsia="宋体" w:cs="Times New Roman"/>
                <w:color w:val="auto"/>
                <w:sz w:val="24"/>
                <w:szCs w:val="32"/>
                <w:highlight w:val="none"/>
                <w:lang w:val="en-US" w:eastAsia="zh-CN"/>
              </w:rPr>
              <w:t>5</w:t>
            </w:r>
            <w:r>
              <w:rPr>
                <w:rFonts w:hint="default" w:ascii="Times New Roman" w:hAnsi="Times New Roman" w:eastAsia="宋体" w:cs="Times New Roman"/>
                <w:color w:val="auto"/>
                <w:sz w:val="24"/>
                <w:szCs w:val="32"/>
                <w:highlight w:val="none"/>
              </w:rPr>
              <w:t>年</w:t>
            </w:r>
            <w:r>
              <w:rPr>
                <w:rFonts w:hint="eastAsia" w:ascii="Times New Roman" w:hAnsi="Times New Roman" w:eastAsia="宋体" w:cs="Times New Roman"/>
                <w:color w:val="auto"/>
                <w:sz w:val="24"/>
                <w:szCs w:val="32"/>
                <w:highlight w:val="none"/>
                <w:lang w:val="en-US" w:eastAsia="zh-CN"/>
              </w:rPr>
              <w:t>6</w:t>
            </w:r>
            <w:r>
              <w:rPr>
                <w:rFonts w:hint="default" w:ascii="Times New Roman" w:hAnsi="Times New Roman" w:eastAsia="宋体" w:cs="Times New Roman"/>
                <w:color w:val="auto"/>
                <w:sz w:val="24"/>
                <w:szCs w:val="32"/>
                <w:highlight w:val="none"/>
              </w:rPr>
              <w:t>月～202</w:t>
            </w:r>
            <w:r>
              <w:rPr>
                <w:rFonts w:hint="eastAsia" w:ascii="Times New Roman" w:hAnsi="Times New Roman" w:eastAsia="宋体" w:cs="Times New Roman"/>
                <w:color w:val="auto"/>
                <w:sz w:val="24"/>
                <w:szCs w:val="32"/>
                <w:highlight w:val="none"/>
                <w:lang w:val="en-US" w:eastAsia="zh-CN"/>
              </w:rPr>
              <w:t>5</w:t>
            </w:r>
            <w:r>
              <w:rPr>
                <w:rFonts w:hint="default" w:ascii="Times New Roman" w:hAnsi="Times New Roman" w:eastAsia="宋体" w:cs="Times New Roman"/>
                <w:color w:val="auto"/>
                <w:sz w:val="24"/>
                <w:szCs w:val="32"/>
                <w:highlight w:val="none"/>
              </w:rPr>
              <w:t>年</w:t>
            </w:r>
            <w:r>
              <w:rPr>
                <w:rFonts w:hint="eastAsia" w:ascii="Times New Roman" w:hAnsi="Times New Roman" w:eastAsia="宋体" w:cs="Times New Roman"/>
                <w:color w:val="auto"/>
                <w:sz w:val="24"/>
                <w:szCs w:val="32"/>
                <w:highlight w:val="none"/>
                <w:lang w:val="en-US" w:eastAsia="zh-CN"/>
              </w:rPr>
              <w:t>8</w:t>
            </w:r>
            <w:r>
              <w:rPr>
                <w:rFonts w:hint="default" w:ascii="Times New Roman" w:hAnsi="Times New Roman" w:eastAsia="宋体" w:cs="Times New Roman"/>
                <w:color w:val="auto"/>
                <w:sz w:val="24"/>
                <w:szCs w:val="32"/>
                <w:highlight w:val="none"/>
              </w:rPr>
              <w:t>月：完成可行性研究报告、初步设计、施工图设计及招标设计。202</w:t>
            </w:r>
            <w:r>
              <w:rPr>
                <w:rFonts w:hint="eastAsia" w:ascii="Times New Roman" w:hAnsi="Times New Roman" w:eastAsia="宋体" w:cs="Times New Roman"/>
                <w:color w:val="auto"/>
                <w:sz w:val="24"/>
                <w:szCs w:val="32"/>
                <w:highlight w:val="none"/>
                <w:lang w:val="en-US" w:eastAsia="zh-CN"/>
              </w:rPr>
              <w:t>5</w:t>
            </w:r>
            <w:r>
              <w:rPr>
                <w:rFonts w:hint="default" w:ascii="Times New Roman" w:hAnsi="Times New Roman" w:eastAsia="宋体" w:cs="Times New Roman"/>
                <w:color w:val="auto"/>
                <w:sz w:val="24"/>
                <w:szCs w:val="32"/>
                <w:highlight w:val="none"/>
              </w:rPr>
              <w:t>年</w:t>
            </w:r>
            <w:r>
              <w:rPr>
                <w:rFonts w:hint="eastAsia" w:ascii="Times New Roman" w:hAnsi="Times New Roman" w:eastAsia="宋体" w:cs="Times New Roman"/>
                <w:color w:val="auto"/>
                <w:sz w:val="24"/>
                <w:szCs w:val="32"/>
                <w:highlight w:val="none"/>
                <w:lang w:val="en-US" w:eastAsia="zh-CN"/>
              </w:rPr>
              <w:t>9</w:t>
            </w:r>
            <w:r>
              <w:rPr>
                <w:rFonts w:hint="default" w:ascii="Times New Roman" w:hAnsi="Times New Roman" w:eastAsia="宋体" w:cs="Times New Roman"/>
                <w:color w:val="auto"/>
                <w:sz w:val="24"/>
                <w:szCs w:val="32"/>
                <w:highlight w:val="none"/>
              </w:rPr>
              <w:t>月～202</w:t>
            </w:r>
            <w:r>
              <w:rPr>
                <w:rFonts w:hint="eastAsia" w:ascii="Times New Roman" w:hAnsi="Times New Roman" w:eastAsia="宋体" w:cs="Times New Roman"/>
                <w:color w:val="auto"/>
                <w:sz w:val="24"/>
                <w:szCs w:val="32"/>
                <w:highlight w:val="none"/>
                <w:lang w:val="en-US" w:eastAsia="zh-CN"/>
              </w:rPr>
              <w:t>5</w:t>
            </w:r>
            <w:r>
              <w:rPr>
                <w:rFonts w:hint="default" w:ascii="Times New Roman" w:hAnsi="Times New Roman" w:eastAsia="宋体" w:cs="Times New Roman"/>
                <w:color w:val="auto"/>
                <w:sz w:val="24"/>
                <w:szCs w:val="32"/>
                <w:highlight w:val="none"/>
              </w:rPr>
              <w:t>年</w:t>
            </w:r>
            <w:r>
              <w:rPr>
                <w:rFonts w:hint="eastAsia" w:ascii="Times New Roman" w:hAnsi="Times New Roman" w:eastAsia="宋体" w:cs="Times New Roman"/>
                <w:color w:val="auto"/>
                <w:sz w:val="24"/>
                <w:szCs w:val="32"/>
                <w:highlight w:val="none"/>
                <w:lang w:val="en-US" w:eastAsia="zh-CN"/>
              </w:rPr>
              <w:t>6</w:t>
            </w:r>
            <w:r>
              <w:rPr>
                <w:rFonts w:hint="default" w:ascii="Times New Roman" w:hAnsi="Times New Roman" w:eastAsia="宋体" w:cs="Times New Roman"/>
                <w:color w:val="auto"/>
                <w:sz w:val="24"/>
                <w:szCs w:val="32"/>
                <w:highlight w:val="none"/>
              </w:rPr>
              <w:t>月：完成土建工程施工</w:t>
            </w:r>
            <w:r>
              <w:rPr>
                <w:rFonts w:hint="default" w:ascii="Times New Roman" w:hAnsi="Times New Roman" w:eastAsia="宋体" w:cs="Times New Roman"/>
                <w:color w:val="auto"/>
                <w:sz w:val="24"/>
                <w:szCs w:val="32"/>
                <w:highlight w:val="none"/>
                <w:lang w:eastAsia="zh-CN"/>
              </w:rPr>
              <w:t>。</w:t>
            </w:r>
          </w:p>
        </w:tc>
      </w:tr>
      <w:tr w14:paraId="3753FF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3" w:hRule="atLeast"/>
          <w:jc w:val="center"/>
        </w:trPr>
        <w:tc>
          <w:tcPr>
            <w:tcW w:w="456" w:type="dxa"/>
            <w:noWrap w:val="0"/>
            <w:vAlign w:val="center"/>
          </w:tcPr>
          <w:p w14:paraId="0276618D">
            <w:pPr>
              <w:adjustRightInd w:val="0"/>
              <w:snapToGrid w:val="0"/>
              <w:jc w:val="center"/>
              <w:rPr>
                <w:rFonts w:hint="eastAsia" w:ascii="Times New Roman" w:hAnsi="Times New Roman" w:eastAsia="宋体" w:cs="Times New Roman"/>
                <w:b/>
                <w:bCs/>
                <w:color w:val="auto"/>
                <w:kern w:val="0"/>
                <w:sz w:val="24"/>
                <w:lang w:val="en-US" w:eastAsia="zh-CN"/>
              </w:rPr>
            </w:pPr>
            <w:r>
              <w:rPr>
                <w:rFonts w:hint="eastAsia" w:ascii="Times New Roman" w:hAnsi="Times New Roman" w:eastAsia="宋体" w:cs="Times New Roman"/>
                <w:b/>
                <w:bCs/>
                <w:color w:val="auto"/>
                <w:kern w:val="0"/>
                <w:sz w:val="24"/>
                <w:lang w:val="en-US" w:eastAsia="zh-CN"/>
              </w:rPr>
              <w:t>其他</w:t>
            </w:r>
          </w:p>
        </w:tc>
        <w:tc>
          <w:tcPr>
            <w:tcW w:w="8604" w:type="dxa"/>
            <w:noWrap w:val="0"/>
            <w:vAlign w:val="top"/>
          </w:tcPr>
          <w:p w14:paraId="6916AFFC">
            <w:pPr>
              <w:adjustRightInd w:val="0"/>
              <w:snapToGrid w:val="0"/>
              <w:spacing w:line="360" w:lineRule="auto"/>
              <w:ind w:firstLine="480" w:firstLineChars="200"/>
              <w:jc w:val="center"/>
              <w:rPr>
                <w:rFonts w:hint="eastAsia" w:ascii="Times New Roman" w:hAnsi="Times New Roman" w:eastAsia="宋体" w:cs="Times New Roman"/>
                <w:color w:val="auto"/>
                <w:sz w:val="24"/>
                <w:szCs w:val="32"/>
                <w:highlight w:val="none"/>
                <w:lang w:val="en-US" w:eastAsia="zh-CN"/>
              </w:rPr>
            </w:pPr>
          </w:p>
          <w:p w14:paraId="33CC6E7D">
            <w:pPr>
              <w:adjustRightInd w:val="0"/>
              <w:snapToGrid w:val="0"/>
              <w:spacing w:line="360" w:lineRule="auto"/>
              <w:ind w:firstLine="480" w:firstLineChars="200"/>
              <w:jc w:val="center"/>
              <w:rPr>
                <w:rFonts w:hint="eastAsia" w:ascii="Times New Roman" w:hAnsi="Times New Roman" w:eastAsia="宋体" w:cs="Times New Roman"/>
                <w:color w:val="auto"/>
                <w:sz w:val="24"/>
                <w:szCs w:val="32"/>
                <w:highlight w:val="none"/>
                <w:lang w:val="en-US" w:eastAsia="zh-CN"/>
              </w:rPr>
            </w:pPr>
          </w:p>
          <w:p w14:paraId="59E53E9D">
            <w:pPr>
              <w:adjustRightInd w:val="0"/>
              <w:snapToGrid w:val="0"/>
              <w:spacing w:line="360" w:lineRule="auto"/>
              <w:ind w:firstLine="480" w:firstLineChars="200"/>
              <w:jc w:val="center"/>
              <w:rPr>
                <w:rFonts w:hint="eastAsia" w:ascii="Times New Roman" w:hAnsi="Times New Roman" w:eastAsia="宋体" w:cs="Times New Roman"/>
                <w:color w:val="auto"/>
                <w:sz w:val="24"/>
                <w:szCs w:val="32"/>
                <w:highlight w:val="none"/>
                <w:lang w:val="en-US" w:eastAsia="zh-CN"/>
              </w:rPr>
            </w:pPr>
          </w:p>
          <w:p w14:paraId="6782FB7D">
            <w:pPr>
              <w:adjustRightInd w:val="0"/>
              <w:snapToGrid w:val="0"/>
              <w:spacing w:line="360" w:lineRule="auto"/>
              <w:ind w:firstLine="480" w:firstLineChars="200"/>
              <w:jc w:val="center"/>
              <w:rPr>
                <w:rFonts w:hint="eastAsia" w:ascii="Times New Roman" w:hAnsi="Times New Roman" w:eastAsia="宋体" w:cs="Times New Roman"/>
                <w:color w:val="auto"/>
                <w:sz w:val="24"/>
                <w:szCs w:val="32"/>
                <w:highlight w:val="none"/>
                <w:lang w:val="en-US" w:eastAsia="zh-CN"/>
              </w:rPr>
            </w:pPr>
          </w:p>
          <w:p w14:paraId="4741A96D">
            <w:pPr>
              <w:adjustRightInd w:val="0"/>
              <w:snapToGrid w:val="0"/>
              <w:spacing w:line="360" w:lineRule="auto"/>
              <w:ind w:firstLine="480" w:firstLineChars="200"/>
              <w:jc w:val="center"/>
              <w:rPr>
                <w:rFonts w:hint="eastAsia" w:ascii="Times New Roman" w:hAnsi="Times New Roman" w:eastAsia="宋体" w:cs="Times New Roman"/>
                <w:color w:val="auto"/>
                <w:sz w:val="24"/>
                <w:szCs w:val="32"/>
                <w:highlight w:val="none"/>
                <w:lang w:val="en-US" w:eastAsia="zh-CN"/>
              </w:rPr>
            </w:pPr>
          </w:p>
          <w:p w14:paraId="1ADAA2E8">
            <w:pPr>
              <w:adjustRightInd w:val="0"/>
              <w:snapToGrid w:val="0"/>
              <w:spacing w:line="360" w:lineRule="auto"/>
              <w:ind w:firstLine="480" w:firstLineChars="200"/>
              <w:jc w:val="center"/>
              <w:rPr>
                <w:rFonts w:hint="eastAsia" w:ascii="Times New Roman" w:hAnsi="Times New Roman" w:eastAsia="宋体" w:cs="Times New Roman"/>
                <w:color w:val="auto"/>
                <w:sz w:val="24"/>
                <w:szCs w:val="32"/>
                <w:highlight w:val="none"/>
                <w:lang w:val="en-US" w:eastAsia="zh-CN"/>
              </w:rPr>
            </w:pPr>
          </w:p>
          <w:p w14:paraId="3550B80B">
            <w:pPr>
              <w:adjustRightInd w:val="0"/>
              <w:snapToGrid w:val="0"/>
              <w:spacing w:line="360" w:lineRule="auto"/>
              <w:ind w:firstLine="480" w:firstLineChars="200"/>
              <w:jc w:val="center"/>
              <w:rPr>
                <w:rFonts w:hint="default"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无</w:t>
            </w:r>
          </w:p>
          <w:p w14:paraId="776E60EB">
            <w:pPr>
              <w:adjustRightInd w:val="0"/>
              <w:snapToGrid w:val="0"/>
              <w:spacing w:line="360" w:lineRule="auto"/>
              <w:ind w:firstLine="480" w:firstLineChars="200"/>
              <w:jc w:val="center"/>
              <w:rPr>
                <w:rFonts w:hint="eastAsia" w:ascii="Times New Roman" w:hAnsi="Times New Roman" w:eastAsia="宋体" w:cs="Times New Roman"/>
                <w:color w:val="auto"/>
                <w:sz w:val="24"/>
                <w:szCs w:val="32"/>
                <w:highlight w:val="none"/>
                <w:lang w:val="en-US" w:eastAsia="zh-CN"/>
              </w:rPr>
            </w:pPr>
          </w:p>
          <w:p w14:paraId="321BC83F">
            <w:pPr>
              <w:adjustRightInd w:val="0"/>
              <w:snapToGrid w:val="0"/>
              <w:spacing w:line="360" w:lineRule="auto"/>
              <w:ind w:firstLine="480" w:firstLineChars="200"/>
              <w:jc w:val="center"/>
              <w:rPr>
                <w:rFonts w:hint="eastAsia" w:ascii="Times New Roman" w:hAnsi="Times New Roman" w:eastAsia="宋体" w:cs="Times New Roman"/>
                <w:color w:val="auto"/>
                <w:sz w:val="24"/>
                <w:szCs w:val="32"/>
                <w:highlight w:val="none"/>
                <w:lang w:val="en-US" w:eastAsia="zh-CN"/>
              </w:rPr>
            </w:pPr>
          </w:p>
          <w:p w14:paraId="701A4BF2">
            <w:pPr>
              <w:adjustRightInd w:val="0"/>
              <w:snapToGrid w:val="0"/>
              <w:spacing w:line="360" w:lineRule="auto"/>
              <w:ind w:firstLine="480" w:firstLineChars="200"/>
              <w:jc w:val="center"/>
              <w:rPr>
                <w:rFonts w:hint="eastAsia" w:ascii="Times New Roman" w:hAnsi="Times New Roman" w:eastAsia="宋体" w:cs="Times New Roman"/>
                <w:color w:val="auto"/>
                <w:sz w:val="24"/>
                <w:szCs w:val="32"/>
                <w:highlight w:val="none"/>
                <w:lang w:val="en-US" w:eastAsia="zh-CN"/>
              </w:rPr>
            </w:pPr>
          </w:p>
          <w:p w14:paraId="69B24E2C">
            <w:pPr>
              <w:adjustRightInd w:val="0"/>
              <w:snapToGrid w:val="0"/>
              <w:spacing w:line="360" w:lineRule="auto"/>
              <w:ind w:firstLine="480" w:firstLineChars="200"/>
              <w:jc w:val="center"/>
              <w:rPr>
                <w:rFonts w:hint="eastAsia" w:ascii="Times New Roman" w:hAnsi="Times New Roman" w:eastAsia="宋体" w:cs="Times New Roman"/>
                <w:color w:val="auto"/>
                <w:sz w:val="24"/>
                <w:szCs w:val="32"/>
                <w:highlight w:val="none"/>
                <w:lang w:val="en-US" w:eastAsia="zh-CN"/>
              </w:rPr>
            </w:pPr>
          </w:p>
          <w:p w14:paraId="665DA067">
            <w:pPr>
              <w:adjustRightInd w:val="0"/>
              <w:snapToGrid w:val="0"/>
              <w:spacing w:line="360" w:lineRule="auto"/>
              <w:ind w:firstLine="480" w:firstLineChars="200"/>
              <w:jc w:val="center"/>
              <w:rPr>
                <w:rFonts w:hint="eastAsia" w:ascii="Times New Roman" w:hAnsi="Times New Roman" w:eastAsia="宋体" w:cs="Times New Roman"/>
                <w:color w:val="auto"/>
                <w:sz w:val="24"/>
                <w:szCs w:val="32"/>
                <w:highlight w:val="none"/>
                <w:lang w:val="en-US" w:eastAsia="zh-CN"/>
              </w:rPr>
            </w:pPr>
          </w:p>
          <w:p w14:paraId="764E78A2">
            <w:pPr>
              <w:adjustRightInd w:val="0"/>
              <w:snapToGrid w:val="0"/>
              <w:spacing w:line="360" w:lineRule="auto"/>
              <w:ind w:firstLine="480" w:firstLineChars="200"/>
              <w:jc w:val="center"/>
              <w:rPr>
                <w:rFonts w:hint="eastAsia" w:ascii="Times New Roman" w:hAnsi="Times New Roman" w:eastAsia="宋体" w:cs="Times New Roman"/>
                <w:color w:val="auto"/>
                <w:sz w:val="24"/>
                <w:szCs w:val="32"/>
                <w:highlight w:val="none"/>
                <w:lang w:val="en-US" w:eastAsia="zh-CN"/>
              </w:rPr>
            </w:pPr>
          </w:p>
          <w:p w14:paraId="74854F06">
            <w:pPr>
              <w:adjustRightInd w:val="0"/>
              <w:snapToGrid w:val="0"/>
              <w:spacing w:line="360" w:lineRule="auto"/>
              <w:ind w:firstLine="480" w:firstLineChars="200"/>
              <w:jc w:val="center"/>
              <w:rPr>
                <w:rFonts w:hint="eastAsia" w:ascii="Times New Roman" w:hAnsi="Times New Roman" w:eastAsia="宋体" w:cs="Times New Roman"/>
                <w:color w:val="auto"/>
                <w:sz w:val="24"/>
                <w:szCs w:val="32"/>
                <w:highlight w:val="none"/>
                <w:lang w:val="en-US" w:eastAsia="zh-CN"/>
              </w:rPr>
            </w:pPr>
          </w:p>
          <w:p w14:paraId="246BBF05">
            <w:pPr>
              <w:adjustRightInd w:val="0"/>
              <w:snapToGrid w:val="0"/>
              <w:spacing w:line="360" w:lineRule="auto"/>
              <w:ind w:firstLine="480" w:firstLineChars="200"/>
              <w:jc w:val="center"/>
              <w:rPr>
                <w:rFonts w:hint="eastAsia" w:ascii="Times New Roman" w:hAnsi="Times New Roman" w:eastAsia="宋体" w:cs="Times New Roman"/>
                <w:color w:val="auto"/>
                <w:sz w:val="24"/>
                <w:szCs w:val="32"/>
                <w:highlight w:val="none"/>
                <w:lang w:val="en-US" w:eastAsia="zh-CN"/>
              </w:rPr>
            </w:pPr>
          </w:p>
          <w:p w14:paraId="1B2602B1">
            <w:pPr>
              <w:adjustRightInd w:val="0"/>
              <w:snapToGrid w:val="0"/>
              <w:spacing w:line="360" w:lineRule="auto"/>
              <w:ind w:firstLine="480" w:firstLineChars="200"/>
              <w:jc w:val="center"/>
              <w:rPr>
                <w:rFonts w:hint="eastAsia" w:ascii="Times New Roman" w:hAnsi="Times New Roman" w:eastAsia="宋体" w:cs="Times New Roman"/>
                <w:color w:val="auto"/>
                <w:sz w:val="24"/>
                <w:szCs w:val="32"/>
                <w:highlight w:val="none"/>
                <w:lang w:val="en-US" w:eastAsia="zh-CN"/>
              </w:rPr>
            </w:pPr>
          </w:p>
          <w:p w14:paraId="2F098138">
            <w:pPr>
              <w:adjustRightInd w:val="0"/>
              <w:snapToGrid w:val="0"/>
              <w:spacing w:line="360" w:lineRule="auto"/>
              <w:ind w:firstLine="480" w:firstLineChars="200"/>
              <w:jc w:val="center"/>
              <w:rPr>
                <w:rFonts w:hint="eastAsia" w:ascii="Times New Roman" w:hAnsi="Times New Roman" w:eastAsia="宋体" w:cs="Times New Roman"/>
                <w:color w:val="auto"/>
                <w:sz w:val="24"/>
                <w:szCs w:val="32"/>
                <w:highlight w:val="none"/>
                <w:lang w:val="en-US" w:eastAsia="zh-CN"/>
              </w:rPr>
            </w:pPr>
          </w:p>
        </w:tc>
      </w:tr>
    </w:tbl>
    <w:p w14:paraId="67F87DAA">
      <w:pPr>
        <w:pStyle w:val="27"/>
        <w:spacing w:before="0" w:beforeAutospacing="0" w:after="0" w:afterAutospacing="0" w:line="360" w:lineRule="auto"/>
        <w:jc w:val="center"/>
        <w:outlineLvl w:val="0"/>
        <w:rPr>
          <w:rFonts w:hint="default" w:ascii="Times New Roman" w:hAnsi="Times New Roman" w:eastAsia="宋体" w:cs="Times New Roman"/>
          <w:b/>
          <w:bCs/>
          <w:snapToGrid w:val="0"/>
          <w:color w:val="auto"/>
          <w:sz w:val="30"/>
          <w:szCs w:val="30"/>
        </w:rPr>
      </w:pPr>
      <w:r>
        <w:rPr>
          <w:rFonts w:hint="default" w:ascii="Times New Roman" w:hAnsi="Times New Roman" w:eastAsia="仿宋_GB2312" w:cs="Times New Roman"/>
          <w:b/>
          <w:bCs/>
          <w:color w:val="auto"/>
          <w:sz w:val="22"/>
          <w:szCs w:val="22"/>
        </w:rPr>
        <w:br w:type="page"/>
      </w:r>
      <w:bookmarkStart w:id="18" w:name="_Toc15819"/>
      <w:bookmarkStart w:id="19" w:name="_Toc17966"/>
      <w:bookmarkStart w:id="20" w:name="_Toc14990"/>
      <w:bookmarkStart w:id="21" w:name="_Toc30328"/>
      <w:bookmarkStart w:id="22" w:name="_Toc19275"/>
      <w:r>
        <w:rPr>
          <w:rFonts w:hint="default" w:ascii="Times New Roman" w:hAnsi="Times New Roman" w:eastAsia="宋体" w:cs="Times New Roman"/>
          <w:b/>
          <w:bCs/>
          <w:snapToGrid w:val="0"/>
          <w:color w:val="auto"/>
          <w:sz w:val="30"/>
          <w:szCs w:val="30"/>
        </w:rPr>
        <w:t>三、生态环境现状、保护目标及评价标准</w:t>
      </w:r>
      <w:bookmarkEnd w:id="18"/>
      <w:bookmarkEnd w:id="19"/>
      <w:bookmarkEnd w:id="20"/>
      <w:bookmarkEnd w:id="21"/>
      <w:bookmarkEnd w:id="22"/>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15"/>
        <w:gridCol w:w="8245"/>
      </w:tblGrid>
      <w:tr w14:paraId="39D680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 w:hRule="atLeast"/>
          <w:jc w:val="center"/>
        </w:trPr>
        <w:tc>
          <w:tcPr>
            <w:tcW w:w="815" w:type="dxa"/>
            <w:noWrap w:val="0"/>
            <w:vAlign w:val="center"/>
          </w:tcPr>
          <w:p w14:paraId="14E7F7D7">
            <w:pPr>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b/>
                <w:bCs/>
                <w:color w:val="auto"/>
                <w:kern w:val="0"/>
                <w:sz w:val="24"/>
              </w:rPr>
              <w:t>生态环境现状</w:t>
            </w:r>
          </w:p>
        </w:tc>
        <w:tc>
          <w:tcPr>
            <w:tcW w:w="8245" w:type="dxa"/>
            <w:noWrap w:val="0"/>
            <w:vAlign w:val="center"/>
          </w:tcPr>
          <w:p w14:paraId="462FD06E">
            <w:pPr>
              <w:pStyle w:val="5"/>
              <w:tabs>
                <w:tab w:val="left" w:pos="851"/>
              </w:tabs>
              <w:snapToGrid w:val="0"/>
              <w:spacing w:before="120" w:after="120" w:line="360" w:lineRule="auto"/>
              <w:ind w:firstLine="482" w:firstLineChars="200"/>
              <w:jc w:val="both"/>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生态环境现状调查与评价</w:t>
            </w:r>
          </w:p>
          <w:p w14:paraId="7646B1CA">
            <w:pPr>
              <w:pStyle w:val="5"/>
              <w:tabs>
                <w:tab w:val="left" w:pos="851"/>
              </w:tabs>
              <w:snapToGrid w:val="0"/>
              <w:spacing w:before="120" w:after="120" w:line="360" w:lineRule="auto"/>
              <w:ind w:firstLine="482" w:firstLineChars="200"/>
              <w:jc w:val="both"/>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（1）主体功能区划</w:t>
            </w:r>
          </w:p>
          <w:p w14:paraId="28929453">
            <w:pPr>
              <w:widowControl w:val="0"/>
              <w:spacing w:line="360" w:lineRule="auto"/>
              <w:ind w:firstLine="480" w:firstLineChars="200"/>
              <w:jc w:val="both"/>
              <w:rPr>
                <w:rFonts w:hint="default" w:ascii="Times New Roman" w:hAnsi="Times New Roman" w:cs="Times New Roman"/>
                <w:b w:val="0"/>
                <w:bCs/>
                <w:color w:val="auto"/>
                <w:sz w:val="24"/>
              </w:rPr>
            </w:pPr>
            <w:r>
              <w:rPr>
                <w:rFonts w:hint="default" w:ascii="Times New Roman" w:hAnsi="Times New Roman" w:eastAsia="宋体" w:cs="Times New Roman"/>
                <w:b w:val="0"/>
                <w:bCs w:val="0"/>
                <w:color w:val="auto"/>
                <w:sz w:val="24"/>
                <w:szCs w:val="24"/>
                <w:highlight w:val="none"/>
              </w:rPr>
              <w:t>根</w:t>
            </w:r>
            <w:r>
              <w:rPr>
                <w:rFonts w:hint="default" w:ascii="Times New Roman" w:hAnsi="Times New Roman" w:cs="Times New Roman"/>
                <w:b w:val="0"/>
                <w:bCs/>
                <w:color w:val="auto"/>
                <w:sz w:val="24"/>
              </w:rPr>
              <w:t>据《安徽省主体功能区规划》（皖政</w:t>
            </w:r>
            <w:r>
              <w:rPr>
                <w:rFonts w:hint="eastAsia" w:ascii="Times New Roman" w:hAnsi="Times New Roman" w:cs="Times New Roman"/>
                <w:b w:val="0"/>
                <w:bCs/>
                <w:color w:val="auto"/>
                <w:sz w:val="24"/>
                <w:lang w:eastAsia="zh-CN"/>
              </w:rPr>
              <w:t>〔2013〕82号</w:t>
            </w:r>
            <w:r>
              <w:rPr>
                <w:rFonts w:hint="default" w:ascii="Times New Roman" w:hAnsi="Times New Roman" w:cs="Times New Roman"/>
                <w:b w:val="0"/>
                <w:bCs/>
                <w:color w:val="auto"/>
                <w:sz w:val="24"/>
              </w:rPr>
              <w:t>），项目所处区域整体属于</w:t>
            </w:r>
            <w:r>
              <w:rPr>
                <w:rFonts w:hint="eastAsia" w:ascii="Times New Roman" w:hAnsi="Times New Roman" w:cs="Times New Roman"/>
                <w:b w:val="0"/>
                <w:bCs/>
                <w:color w:val="auto"/>
                <w:sz w:val="24"/>
                <w:lang w:eastAsia="zh-CN"/>
              </w:rPr>
              <w:t>“</w:t>
            </w:r>
            <w:r>
              <w:rPr>
                <w:rFonts w:hint="default" w:ascii="Times New Roman" w:hAnsi="Times New Roman" w:cs="Times New Roman"/>
                <w:b w:val="0"/>
                <w:bCs/>
                <w:color w:val="auto"/>
                <w:sz w:val="24"/>
                <w:lang w:val="en-US" w:eastAsia="zh-CN"/>
              </w:rPr>
              <w:t>限制</w:t>
            </w:r>
            <w:r>
              <w:rPr>
                <w:rFonts w:hint="default" w:ascii="Times New Roman" w:hAnsi="Times New Roman" w:cs="Times New Roman"/>
                <w:b w:val="0"/>
                <w:bCs/>
                <w:color w:val="auto"/>
                <w:sz w:val="24"/>
              </w:rPr>
              <w:t>开发区域</w:t>
            </w:r>
            <w:r>
              <w:rPr>
                <w:rFonts w:hint="eastAsia" w:ascii="Times New Roman" w:hAnsi="Times New Roman" w:cs="Times New Roman"/>
                <w:b w:val="0"/>
                <w:bCs/>
                <w:color w:val="auto"/>
                <w:sz w:val="24"/>
                <w:lang w:eastAsia="zh-CN"/>
              </w:rPr>
              <w:t>”</w:t>
            </w:r>
            <w:r>
              <w:rPr>
                <w:rFonts w:hint="default" w:ascii="Times New Roman" w:hAnsi="Times New Roman" w:cs="Times New Roman"/>
                <w:b w:val="0"/>
                <w:bCs/>
                <w:color w:val="auto"/>
                <w:sz w:val="24"/>
                <w:lang w:val="en-US" w:eastAsia="zh-CN"/>
              </w:rPr>
              <w:t>中</w:t>
            </w:r>
            <w:r>
              <w:rPr>
                <w:rFonts w:hint="eastAsia" w:ascii="Times New Roman" w:hAnsi="Times New Roman" w:cs="Times New Roman"/>
                <w:b w:val="0"/>
                <w:bCs/>
                <w:color w:val="auto"/>
                <w:sz w:val="24"/>
                <w:lang w:val="en-US" w:eastAsia="zh-CN"/>
              </w:rPr>
              <w:t>“</w:t>
            </w:r>
            <w:r>
              <w:rPr>
                <w:rFonts w:hint="default" w:ascii="Times New Roman" w:hAnsi="Times New Roman" w:cs="Times New Roman"/>
                <w:b w:val="0"/>
                <w:bCs/>
                <w:color w:val="auto"/>
                <w:sz w:val="24"/>
                <w:lang w:val="en-US" w:eastAsia="zh-CN"/>
              </w:rPr>
              <w:t>国家重点生态功能区</w:t>
            </w:r>
            <w:r>
              <w:rPr>
                <w:rFonts w:hint="eastAsia" w:ascii="Times New Roman" w:hAnsi="Times New Roman" w:cs="Times New Roman"/>
                <w:b w:val="0"/>
                <w:bCs/>
                <w:color w:val="auto"/>
                <w:sz w:val="24"/>
                <w:lang w:val="en-US" w:eastAsia="zh-CN"/>
              </w:rPr>
              <w:t>”</w:t>
            </w:r>
            <w:r>
              <w:rPr>
                <w:rFonts w:hint="default" w:ascii="Times New Roman" w:hAnsi="Times New Roman" w:cs="Times New Roman"/>
                <w:b w:val="0"/>
                <w:bCs/>
                <w:color w:val="auto"/>
                <w:sz w:val="24"/>
              </w:rPr>
              <w:t>。</w:t>
            </w:r>
          </w:p>
          <w:p w14:paraId="0A15098A">
            <w:pPr>
              <w:widowControl w:val="0"/>
              <w:spacing w:line="360" w:lineRule="auto"/>
              <w:ind w:firstLine="480" w:firstLineChars="200"/>
              <w:jc w:val="both"/>
              <w:rPr>
                <w:rFonts w:hint="default" w:ascii="Times New Roman" w:hAnsi="Times New Roman" w:cs="Times New Roman"/>
                <w:b w:val="0"/>
                <w:bCs/>
                <w:color w:val="auto"/>
                <w:sz w:val="24"/>
              </w:rPr>
            </w:pPr>
            <w:r>
              <w:rPr>
                <w:rFonts w:hint="default" w:ascii="Times New Roman" w:hAnsi="Times New Roman" w:cs="Times New Roman"/>
                <w:b w:val="0"/>
                <w:bCs/>
                <w:color w:val="auto"/>
                <w:sz w:val="24"/>
              </w:rPr>
              <w:t>该区域主要分布于皖西大别山区</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包括金寨、霍山、岳西、太湖、潜山、石台县</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属国家大别山水土保持生态功能区</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国土面积1.34万平方公里，占全省国土面积9.60%。</w:t>
            </w:r>
          </w:p>
          <w:p w14:paraId="6EE47D7F">
            <w:pPr>
              <w:widowControl w:val="0"/>
              <w:spacing w:line="360" w:lineRule="auto"/>
              <w:ind w:firstLine="480" w:firstLineChars="200"/>
              <w:jc w:val="both"/>
              <w:rPr>
                <w:rFonts w:hint="default" w:ascii="Times New Roman" w:hAnsi="Times New Roman" w:cs="Times New Roman"/>
                <w:b w:val="0"/>
                <w:bCs/>
                <w:color w:val="auto"/>
                <w:sz w:val="24"/>
              </w:rPr>
            </w:pPr>
            <w:r>
              <w:rPr>
                <w:rFonts w:hint="default" w:ascii="Times New Roman" w:hAnsi="Times New Roman" w:cs="Times New Roman"/>
                <w:b w:val="0"/>
                <w:bCs/>
                <w:color w:val="auto"/>
                <w:sz w:val="24"/>
              </w:rPr>
              <w:t>该区域是淮河中游和长江下游的重要水源补给区</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土壤侵蚀敏感性程度高</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山地生态系统功能退化</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水土流失严重</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是全国重要的水土保持型和水源涵养型生态功能区</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是全省乃至长三角地区的重要生态屏障。</w:t>
            </w:r>
          </w:p>
          <w:p w14:paraId="778354EC">
            <w:pPr>
              <w:widowControl w:val="0"/>
              <w:spacing w:line="360" w:lineRule="auto"/>
              <w:ind w:firstLine="480" w:firstLineChars="200"/>
              <w:jc w:val="both"/>
              <w:rPr>
                <w:rFonts w:hint="default" w:ascii="Times New Roman" w:hAnsi="Times New Roman" w:cs="Times New Roman"/>
                <w:b w:val="0"/>
                <w:bCs/>
                <w:color w:val="auto"/>
                <w:sz w:val="24"/>
              </w:rPr>
            </w:pP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遏制区域水土流失。禁止毁林开荒，逐步恢复和扩大森林植被，增强水土保持能力</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确保水库、湖泊安全。</w:t>
            </w:r>
          </w:p>
          <w:p w14:paraId="79AE85A9">
            <w:pPr>
              <w:widowControl w:val="0"/>
              <w:spacing w:line="360" w:lineRule="auto"/>
              <w:ind w:firstLine="480" w:firstLineChars="200"/>
              <w:jc w:val="both"/>
              <w:rPr>
                <w:rFonts w:hint="default" w:ascii="Times New Roman" w:hAnsi="Times New Roman" w:cs="Times New Roman"/>
                <w:b w:val="0"/>
                <w:bCs/>
                <w:color w:val="auto"/>
                <w:sz w:val="24"/>
              </w:rPr>
            </w:pP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加强流域综合治理。开展封山育林，河、湖、库上游要大力营造水源涵养林和水土保持林</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加快区域生态防护林体系建设</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提高</w:t>
            </w:r>
            <w:r>
              <w:rPr>
                <w:rFonts w:hint="eastAsia" w:ascii="Times New Roman" w:hAnsi="Times New Roman" w:cs="Times New Roman"/>
                <w:b w:val="0"/>
                <w:bCs/>
                <w:color w:val="auto"/>
                <w:sz w:val="24"/>
                <w:lang w:eastAsia="zh-CN"/>
              </w:rPr>
              <w:t>防灾减灾能力</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减轻对长江、淮河的洪水压力。</w:t>
            </w:r>
          </w:p>
          <w:p w14:paraId="5CD12D6A">
            <w:pPr>
              <w:widowControl w:val="0"/>
              <w:spacing w:line="360" w:lineRule="auto"/>
              <w:ind w:firstLine="480" w:firstLineChars="200"/>
              <w:jc w:val="both"/>
              <w:rPr>
                <w:rFonts w:hint="default" w:ascii="Times New Roman" w:hAnsi="Times New Roman" w:cs="Times New Roman"/>
                <w:b w:val="0"/>
                <w:bCs/>
                <w:color w:val="auto"/>
                <w:sz w:val="24"/>
              </w:rPr>
            </w:pP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严格监管资源开发。禁止发展与生态保护相矛盾的产业和项目</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加大矿山环境整治和生态修复力度</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控制人为因素对土壤的侵蚀。适度合理开发旅游资源和农产品资源。</w:t>
            </w:r>
          </w:p>
          <w:p w14:paraId="54E973F4">
            <w:pPr>
              <w:widowControl w:val="0"/>
              <w:spacing w:line="360" w:lineRule="auto"/>
              <w:ind w:firstLine="480" w:firstLineChars="200"/>
              <w:jc w:val="both"/>
              <w:rPr>
                <w:rFonts w:hint="default" w:ascii="Times New Roman" w:hAnsi="Times New Roman" w:cs="Times New Roman"/>
                <w:b w:val="0"/>
                <w:bCs/>
                <w:color w:val="auto"/>
                <w:sz w:val="24"/>
              </w:rPr>
            </w:pPr>
          </w:p>
          <w:p w14:paraId="2D48E3C5">
            <w:pPr>
              <w:widowControl w:val="0"/>
              <w:spacing w:line="360" w:lineRule="auto"/>
              <w:ind w:firstLine="480" w:firstLineChars="200"/>
              <w:jc w:val="both"/>
              <w:rPr>
                <w:rFonts w:hint="default" w:ascii="Times New Roman" w:hAnsi="Times New Roman" w:cs="Times New Roman"/>
                <w:b w:val="0"/>
                <w:bCs/>
                <w:color w:val="auto"/>
                <w:sz w:val="24"/>
              </w:rPr>
            </w:pPr>
          </w:p>
          <w:p w14:paraId="0DEEF5E6">
            <w:pPr>
              <w:widowControl w:val="0"/>
              <w:spacing w:line="360" w:lineRule="auto"/>
              <w:ind w:firstLine="480" w:firstLineChars="200"/>
              <w:jc w:val="both"/>
              <w:rPr>
                <w:rFonts w:hint="default" w:ascii="Times New Roman" w:hAnsi="Times New Roman" w:cs="Times New Roman"/>
                <w:b w:val="0"/>
                <w:bCs/>
                <w:color w:val="auto"/>
                <w:sz w:val="24"/>
              </w:rPr>
            </w:pPr>
          </w:p>
          <w:p w14:paraId="7C34E0FD">
            <w:pPr>
              <w:widowControl w:val="0"/>
              <w:spacing w:line="360" w:lineRule="auto"/>
              <w:ind w:firstLine="480" w:firstLineChars="200"/>
              <w:jc w:val="both"/>
              <w:rPr>
                <w:rFonts w:hint="default" w:ascii="Times New Roman" w:hAnsi="Times New Roman" w:cs="Times New Roman"/>
                <w:b w:val="0"/>
                <w:bCs/>
                <w:color w:val="auto"/>
                <w:sz w:val="24"/>
              </w:rPr>
            </w:pPr>
          </w:p>
          <w:p w14:paraId="2A2868D0">
            <w:pPr>
              <w:widowControl w:val="0"/>
              <w:spacing w:line="360" w:lineRule="auto"/>
              <w:ind w:firstLine="480" w:firstLineChars="200"/>
              <w:jc w:val="both"/>
              <w:rPr>
                <w:rFonts w:hint="default" w:ascii="Times New Roman" w:hAnsi="Times New Roman" w:cs="Times New Roman"/>
                <w:b w:val="0"/>
                <w:bCs/>
                <w:color w:val="auto"/>
                <w:sz w:val="24"/>
              </w:rPr>
            </w:pPr>
          </w:p>
          <w:p w14:paraId="7E7B9FDB">
            <w:pPr>
              <w:widowControl w:val="0"/>
              <w:spacing w:line="360" w:lineRule="auto"/>
              <w:ind w:firstLine="480" w:firstLineChars="200"/>
              <w:jc w:val="both"/>
              <w:rPr>
                <w:rFonts w:hint="default" w:ascii="Times New Roman" w:hAnsi="Times New Roman" w:cs="Times New Roman"/>
                <w:b w:val="0"/>
                <w:bCs/>
                <w:color w:val="auto"/>
                <w:sz w:val="24"/>
              </w:rPr>
            </w:pPr>
          </w:p>
          <w:p w14:paraId="2EB3541A">
            <w:pPr>
              <w:widowControl w:val="0"/>
              <w:spacing w:line="360" w:lineRule="auto"/>
              <w:ind w:firstLine="480" w:firstLineChars="200"/>
              <w:jc w:val="both"/>
              <w:rPr>
                <w:rFonts w:hint="default" w:ascii="Times New Roman" w:hAnsi="Times New Roman" w:cs="Times New Roman"/>
                <w:b w:val="0"/>
                <w:bCs/>
                <w:color w:val="auto"/>
                <w:sz w:val="24"/>
              </w:rPr>
            </w:pPr>
          </w:p>
          <w:p w14:paraId="2E40EF3A">
            <w:pPr>
              <w:widowControl w:val="0"/>
              <w:spacing w:line="360" w:lineRule="auto"/>
              <w:ind w:firstLine="480" w:firstLineChars="200"/>
              <w:jc w:val="both"/>
              <w:rPr>
                <w:rFonts w:hint="default" w:ascii="Times New Roman" w:hAnsi="Times New Roman" w:cs="Times New Roman"/>
                <w:b w:val="0"/>
                <w:bCs/>
                <w:color w:val="auto"/>
                <w:sz w:val="24"/>
              </w:rPr>
            </w:pPr>
          </w:p>
          <w:p w14:paraId="40A2ECAB">
            <w:pPr>
              <w:widowControl w:val="0"/>
              <w:spacing w:line="360" w:lineRule="auto"/>
              <w:ind w:firstLine="480" w:firstLineChars="200"/>
              <w:jc w:val="both"/>
              <w:rPr>
                <w:rFonts w:hint="default" w:ascii="Times New Roman" w:hAnsi="Times New Roman" w:cs="Times New Roman"/>
                <w:b w:val="0"/>
                <w:bCs/>
                <w:color w:val="auto"/>
                <w:sz w:val="24"/>
              </w:rPr>
            </w:pPr>
          </w:p>
          <w:p w14:paraId="563F2E16">
            <w:pPr>
              <w:widowControl w:val="0"/>
              <w:spacing w:line="360" w:lineRule="auto"/>
              <w:ind w:firstLine="480" w:firstLineChars="200"/>
              <w:jc w:val="both"/>
              <w:rPr>
                <w:rFonts w:hint="default" w:ascii="Times New Roman" w:hAnsi="Times New Roman" w:cs="Times New Roman"/>
                <w:b w:val="0"/>
                <w:bCs/>
                <w:color w:val="auto"/>
                <w:sz w:val="24"/>
              </w:rPr>
            </w:pPr>
          </w:p>
          <w:p w14:paraId="4000E4B3">
            <w:pPr>
              <w:pStyle w:val="67"/>
              <w:spacing w:line="360" w:lineRule="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230505</wp:posOffset>
                      </wp:positionH>
                      <wp:positionV relativeFrom="paragraph">
                        <wp:posOffset>3143250</wp:posOffset>
                      </wp:positionV>
                      <wp:extent cx="1109980" cy="300990"/>
                      <wp:effectExtent l="5080" t="4445" r="8890" b="494665"/>
                      <wp:wrapNone/>
                      <wp:docPr id="220" name="矩形标注 220"/>
                      <wp:cNvGraphicFramePr/>
                      <a:graphic xmlns:a="http://schemas.openxmlformats.org/drawingml/2006/main">
                        <a:graphicData uri="http://schemas.microsoft.com/office/word/2010/wordprocessingShape">
                          <wps:wsp>
                            <wps:cNvSpPr/>
                            <wps:spPr>
                              <a:xfrm>
                                <a:off x="0" y="0"/>
                                <a:ext cx="1109980" cy="300990"/>
                              </a:xfrm>
                              <a:prstGeom prst="wedgeRectCallout">
                                <a:avLst>
                                  <a:gd name="adj1" fmla="val 19622"/>
                                  <a:gd name="adj2" fmla="val 205696"/>
                                </a:avLst>
                              </a:prstGeom>
                              <a:solidFill>
                                <a:srgbClr val="FFFFFF"/>
                              </a:solidFill>
                              <a:ln w="9525" cap="flat" cmpd="sng">
                                <a:solidFill>
                                  <a:srgbClr val="000000"/>
                                </a:solidFill>
                                <a:prstDash val="solid"/>
                                <a:miter/>
                                <a:headEnd type="none" w="med" len="med"/>
                                <a:tailEnd type="none" w="med" len="med"/>
                              </a:ln>
                              <a:effectLst/>
                            </wps:spPr>
                            <wps:txbx>
                              <w:txbxContent>
                                <w:p w14:paraId="48B43444">
                                  <w:pPr>
                                    <w:rPr>
                                      <w:rFonts w:eastAsia="Calibri"/>
                                    </w:rPr>
                                  </w:pPr>
                                  <w:r>
                                    <w:rPr>
                                      <w:rFonts w:hint="eastAsia"/>
                                    </w:rPr>
                                    <w:t>本项目所在地</w:t>
                                  </w:r>
                                </w:p>
                              </w:txbxContent>
                            </wps:txbx>
                            <wps:bodyPr upright="1"/>
                          </wps:wsp>
                        </a:graphicData>
                      </a:graphic>
                    </wp:anchor>
                  </w:drawing>
                </mc:Choice>
                <mc:Fallback>
                  <w:pict>
                    <v:shape id="_x0000_s1026" o:spid="_x0000_s1026" o:spt="61" type="#_x0000_t61" style="position:absolute;left:0pt;margin-left:18.15pt;margin-top:247.5pt;height:23.7pt;width:87.4pt;z-index:251660288;mso-width-relative:page;mso-height-relative:page;" fillcolor="#FFFFFF" filled="t" stroked="t" coordsize="21600,21600" o:gfxdata="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IYUrOrVAAAACgEAAA8AAAAAAAAAAQAgAAAAIgAAAGRycy9k&#10;b3ducmV2LnhtbFBLAQIUABQAAAAIAIdO4kBO+KIkPgIAAJ8EAAAOAAAAAAAAAAEAIAAAACQBAABk&#10;cnMvZTJvRG9jLnhtbFBLBQYAAAAABgAGAFkBAADUBQAAAAA=&#10;" adj="15038,55230">
                      <v:fill on="t" focussize="0,0"/>
                      <v:stroke color="#000000" joinstyle="miter"/>
                      <v:imagedata o:title=""/>
                      <o:lock v:ext="edit" aspectratio="f"/>
                      <v:textbox>
                        <w:txbxContent>
                          <w:p w14:paraId="48B43444">
                            <w:pPr>
                              <w:rPr>
                                <w:rFonts w:eastAsia="Calibri"/>
                              </w:rPr>
                            </w:pPr>
                            <w:r>
                              <w:rPr>
                                <w:rFonts w:hint="eastAsia"/>
                              </w:rPr>
                              <w:t>本项目所在地</w:t>
                            </w:r>
                          </w:p>
                        </w:txbxContent>
                      </v:textbox>
                    </v:shape>
                  </w:pict>
                </mc:Fallback>
              </mc:AlternateContent>
            </w:r>
            <w:r>
              <w:rPr>
                <w:rFonts w:hint="default" w:ascii="Times New Roman" w:hAnsi="Times New Roman" w:cs="Times New Roman"/>
                <w:color w:val="auto"/>
                <w:sz w:val="28"/>
                <w:highlight w:val="none"/>
              </w:rPr>
              <mc:AlternateContent>
                <mc:Choice Requires="wps">
                  <w:drawing>
                    <wp:anchor distT="0" distB="0" distL="114300" distR="114300" simplePos="0" relativeHeight="251659264" behindDoc="0" locked="0" layoutInCell="1" allowOverlap="1">
                      <wp:simplePos x="0" y="0"/>
                      <wp:positionH relativeFrom="column">
                        <wp:posOffset>949960</wp:posOffset>
                      </wp:positionH>
                      <wp:positionV relativeFrom="paragraph">
                        <wp:posOffset>3913505</wp:posOffset>
                      </wp:positionV>
                      <wp:extent cx="112395" cy="99060"/>
                      <wp:effectExtent l="15875" t="14605" r="24130" b="19685"/>
                      <wp:wrapNone/>
                      <wp:docPr id="221" name="五角星 221"/>
                      <wp:cNvGraphicFramePr/>
                      <a:graphic xmlns:a="http://schemas.openxmlformats.org/drawingml/2006/main">
                        <a:graphicData uri="http://schemas.microsoft.com/office/word/2010/wordprocessingShape">
                          <wps:wsp>
                            <wps:cNvSpPr/>
                            <wps:spPr>
                              <a:xfrm>
                                <a:off x="0" y="0"/>
                                <a:ext cx="112395" cy="99060"/>
                              </a:xfrm>
                              <a:prstGeom prst="star5">
                                <a:avLst/>
                              </a:prstGeom>
                              <a:solidFill>
                                <a:srgbClr val="FFFF00"/>
                              </a:solidFill>
                              <a:ln w="9525" cap="flat" cmpd="sng">
                                <a:solidFill>
                                  <a:srgbClr val="FFFF00"/>
                                </a:solidFill>
                                <a:prstDash val="solid"/>
                                <a:miter/>
                                <a:headEnd type="none" w="med" len="med"/>
                                <a:tailEnd type="none" w="med" len="med"/>
                              </a:ln>
                              <a:effectLst/>
                            </wps:spPr>
                            <wps:txbx>
                              <w:txbxContent>
                                <w:p w14:paraId="7DA1E89E">
                                  <w:pPr>
                                    <w:jc w:val="center"/>
                                  </w:pPr>
                                </w:p>
                              </w:txbxContent>
                            </wps:txbx>
                            <wps:bodyPr upright="1"/>
                          </wps:wsp>
                        </a:graphicData>
                      </a:graphic>
                    </wp:anchor>
                  </w:drawing>
                </mc:Choice>
                <mc:Fallback>
                  <w:pict>
                    <v:shape id="_x0000_s1026" o:spid="_x0000_s1026" style="position:absolute;left:0pt;margin-left:74.8pt;margin-top:308.15pt;height:7.8pt;width:8.85pt;z-index:251659264;mso-width-relative:page;mso-height-relative:page;" fillcolor="#FFFF00" filled="t" stroked="t" coordsize="112395,99060" o:gfxdata="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jFy6M2QAAAAsBAAAPAAAAAAAAAAEAIAAAACIA&#10;AABkcnMvZG93bnJldi54bWxQSwECFAAUAAAACACHTuJA1sSYnQgCAAA9BAAADgAAAAAAAAABACAA&#10;AAAoAQAAZHJzL2Uyb0RvYy54bWxQSwUGAAAAAAYABgBZAQAAogUAAAAA&#10;" path="m0,37837l42931,37837,56197,0,69463,37837,112394,37837,77662,61222,90929,99059,56197,75674,21465,99059,34732,61222xe">
                      <v:path textboxrect="0,0,112395,99060" o:connectlocs="56197,0;0,37837;21465,99059;90929,99059;112394,37837" o:connectangles="247,164,82,82,0"/>
                      <v:fill on="t" focussize="0,0"/>
                      <v:stroke color="#FFFF00" joinstyle="miter"/>
                      <v:imagedata o:title=""/>
                      <o:lock v:ext="edit" aspectratio="f"/>
                      <v:textbox>
                        <w:txbxContent>
                          <w:p w14:paraId="7DA1E89E">
                            <w:pPr>
                              <w:jc w:val="center"/>
                            </w:pPr>
                          </w:p>
                        </w:txbxContent>
                      </v:textbox>
                    </v:shape>
                  </w:pict>
                </mc:Fallback>
              </mc:AlternateContent>
            </w:r>
            <w:r>
              <w:rPr>
                <w:rFonts w:hint="default" w:ascii="Times New Roman" w:hAnsi="Times New Roman" w:eastAsia="宋体" w:cs="Times New Roman"/>
                <w:color w:val="auto"/>
                <w:sz w:val="24"/>
                <w:szCs w:val="24"/>
                <w:lang w:val="en-US" w:eastAsia="zh-CN"/>
              </w:rPr>
              <w:drawing>
                <wp:inline distT="0" distB="0" distL="114300" distR="114300">
                  <wp:extent cx="5116195" cy="7078980"/>
                  <wp:effectExtent l="0" t="0" r="8255" b="7620"/>
                  <wp:docPr id="89" name="图片 58" descr="说明: 图6安徽省主体功能区区划图2012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8" descr="说明: 图6安徽省主体功能区区划图20121116"/>
                          <pic:cNvPicPr>
                            <a:picLocks noChangeAspect="1"/>
                          </pic:cNvPicPr>
                        </pic:nvPicPr>
                        <pic:blipFill>
                          <a:blip r:embed="rId28"/>
                          <a:stretch>
                            <a:fillRect/>
                          </a:stretch>
                        </pic:blipFill>
                        <pic:spPr>
                          <a:xfrm>
                            <a:off x="0" y="0"/>
                            <a:ext cx="5116195" cy="7078980"/>
                          </a:xfrm>
                          <a:prstGeom prst="rect">
                            <a:avLst/>
                          </a:prstGeom>
                          <a:noFill/>
                          <a:ln>
                            <a:noFill/>
                          </a:ln>
                        </pic:spPr>
                      </pic:pic>
                    </a:graphicData>
                  </a:graphic>
                </wp:inline>
              </w:drawing>
            </w:r>
          </w:p>
          <w:p w14:paraId="152D1A50">
            <w:pPr>
              <w:pStyle w:val="67"/>
              <w:spacing w:line="36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图</w:t>
            </w:r>
            <w:r>
              <w:rPr>
                <w:rFonts w:hint="default" w:ascii="Times New Roman" w:hAnsi="Times New Roman" w:cs="Times New Roman"/>
                <w:color w:val="auto"/>
                <w:sz w:val="21"/>
                <w:szCs w:val="21"/>
                <w:highlight w:val="none"/>
                <w:lang w:val="en-US" w:eastAsia="zh-CN"/>
              </w:rPr>
              <w:t>3-1</w:t>
            </w:r>
            <w:r>
              <w:rPr>
                <w:rFonts w:hint="default" w:ascii="Times New Roman" w:hAnsi="Times New Roman" w:cs="Times New Roman"/>
                <w:color w:val="auto"/>
                <w:sz w:val="21"/>
                <w:szCs w:val="21"/>
                <w:highlight w:val="none"/>
              </w:rPr>
              <w:t xml:space="preserve">  安徽省主体功能区划图</w:t>
            </w:r>
          </w:p>
          <w:p w14:paraId="36353CD7">
            <w:pPr>
              <w:pStyle w:val="3"/>
              <w:keepNext/>
              <w:keepLines/>
              <w:pageBreakBefore w:val="0"/>
              <w:widowControl w:val="0"/>
              <w:kinsoku/>
              <w:wordWrap/>
              <w:overflowPunct/>
              <w:topLinePunct w:val="0"/>
              <w:autoSpaceDE/>
              <w:autoSpaceDN/>
              <w:bidi w:val="0"/>
              <w:adjustRightInd/>
              <w:snapToGrid/>
              <w:spacing w:before="0" w:after="0" w:line="360" w:lineRule="auto"/>
              <w:ind w:firstLine="482" w:firstLineChars="200"/>
              <w:textAlignment w:val="auto"/>
              <w:rPr>
                <w:rFonts w:hint="default" w:ascii="Times New Roman" w:hAnsi="Times New Roman" w:eastAsia="宋体" w:cs="Times New Roman"/>
                <w:color w:val="auto"/>
                <w:sz w:val="24"/>
                <w:szCs w:val="24"/>
                <w:lang w:val="en-US" w:eastAsia="zh-CN"/>
              </w:rPr>
            </w:pPr>
            <w:bookmarkStart w:id="23" w:name="_Toc7896"/>
            <w:bookmarkStart w:id="24" w:name="_Toc31347"/>
            <w:bookmarkStart w:id="25" w:name="_Toc4860"/>
            <w:bookmarkStart w:id="26" w:name="_Toc21575"/>
            <w:bookmarkStart w:id="27" w:name="_Toc30929"/>
            <w:r>
              <w:rPr>
                <w:rFonts w:hint="default" w:ascii="Times New Roman" w:hAnsi="Times New Roman" w:eastAsia="宋体" w:cs="Times New Roman"/>
                <w:color w:val="auto"/>
                <w:sz w:val="24"/>
                <w:szCs w:val="24"/>
                <w:lang w:val="en-US" w:eastAsia="zh-CN"/>
              </w:rPr>
              <w:t>（2）生态功能区划</w:t>
            </w:r>
            <w:bookmarkEnd w:id="23"/>
            <w:bookmarkEnd w:id="24"/>
            <w:bookmarkEnd w:id="25"/>
            <w:bookmarkEnd w:id="26"/>
            <w:bookmarkEnd w:id="27"/>
          </w:p>
          <w:p w14:paraId="647CE728">
            <w:pPr>
              <w:autoSpaceDE w:val="0"/>
              <w:autoSpaceDN w:val="0"/>
              <w:adjustRightInd w:val="0"/>
              <w:spacing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本项目位于</w:t>
            </w:r>
            <w:r>
              <w:rPr>
                <w:rFonts w:hint="default" w:ascii="Times New Roman" w:hAnsi="Times New Roman" w:eastAsia="宋体" w:cs="Times New Roman"/>
                <w:kern w:val="0"/>
                <w:sz w:val="24"/>
                <w:lang w:eastAsia="zh-CN"/>
              </w:rPr>
              <w:t>安徽省六安市金寨县关庙乡</w:t>
            </w:r>
            <w:r>
              <w:rPr>
                <w:rFonts w:hint="default" w:ascii="Times New Roman" w:hAnsi="Times New Roman" w:eastAsia="宋体" w:cs="Times New Roman"/>
                <w:kern w:val="0"/>
                <w:sz w:val="24"/>
              </w:rPr>
              <w:t>，根据《安徽省生态功能区划》，本项目区位于</w:t>
            </w:r>
            <w:r>
              <w:rPr>
                <w:rFonts w:hint="default" w:ascii="Times New Roman" w:hAnsi="Times New Roman" w:eastAsia="宋体" w:cs="Times New Roman"/>
                <w:kern w:val="0"/>
                <w:sz w:val="24"/>
                <w:lang w:val="en-US" w:eastAsia="zh-CN"/>
              </w:rPr>
              <w:t>Ⅲ皖西大别山</w:t>
            </w:r>
            <w:r>
              <w:rPr>
                <w:rFonts w:hint="default" w:ascii="Times New Roman" w:hAnsi="Times New Roman" w:eastAsia="宋体" w:cs="Times New Roman"/>
                <w:kern w:val="0"/>
                <w:sz w:val="24"/>
              </w:rPr>
              <w:t>生态区，</w:t>
            </w:r>
            <w:r>
              <w:rPr>
                <w:rFonts w:hint="default" w:ascii="Times New Roman" w:hAnsi="Times New Roman" w:eastAsia="宋体" w:cs="Times New Roman"/>
                <w:kern w:val="0"/>
                <w:sz w:val="24"/>
                <w:lang w:val="en-US" w:eastAsia="zh-CN"/>
              </w:rPr>
              <w:t>Ⅲ</w:t>
            </w:r>
            <w:r>
              <w:rPr>
                <w:rFonts w:hint="default" w:ascii="Times New Roman" w:hAnsi="Times New Roman" w:eastAsia="宋体" w:cs="Times New Roman"/>
                <w:kern w:val="0"/>
                <w:sz w:val="24"/>
                <w:vertAlign w:val="subscript"/>
                <w:lang w:val="en-US" w:eastAsia="zh-CN"/>
              </w:rPr>
              <w:t>1</w:t>
            </w:r>
            <w:r>
              <w:rPr>
                <w:rFonts w:hint="default" w:ascii="Times New Roman" w:hAnsi="Times New Roman" w:eastAsia="宋体" w:cs="Times New Roman"/>
                <w:kern w:val="0"/>
                <w:sz w:val="24"/>
                <w:vertAlign w:val="baseline"/>
                <w:lang w:val="en-US" w:eastAsia="zh-CN"/>
              </w:rPr>
              <w:t xml:space="preserve"> 大别山北麓中低山森林生态亚区</w:t>
            </w:r>
            <w:r>
              <w:rPr>
                <w:rFonts w:hint="default" w:ascii="Times New Roman" w:hAnsi="Times New Roman" w:eastAsia="宋体" w:cs="Times New Roman"/>
                <w:kern w:val="0"/>
                <w:sz w:val="24"/>
              </w:rPr>
              <w:t>，</w:t>
            </w:r>
            <w:r>
              <w:rPr>
                <w:rFonts w:hint="default" w:ascii="Times New Roman" w:hAnsi="Times New Roman" w:eastAsia="宋体" w:cs="Times New Roman"/>
                <w:kern w:val="0"/>
                <w:sz w:val="24"/>
                <w:lang w:val="en-US" w:eastAsia="zh-CN"/>
              </w:rPr>
              <w:t>Ⅲ</w:t>
            </w:r>
            <w:r>
              <w:rPr>
                <w:rFonts w:hint="default" w:ascii="Times New Roman" w:hAnsi="Times New Roman" w:eastAsia="宋体" w:cs="Times New Roman"/>
                <w:kern w:val="0"/>
                <w:sz w:val="24"/>
                <w:vertAlign w:val="subscript"/>
                <w:lang w:val="en-US" w:eastAsia="zh-CN"/>
              </w:rPr>
              <w:t>1</w:t>
            </w:r>
            <w:r>
              <w:rPr>
                <w:rFonts w:hint="default" w:ascii="Times New Roman" w:hAnsi="Times New Roman" w:eastAsia="宋体" w:cs="Times New Roman"/>
                <w:kern w:val="0"/>
                <w:sz w:val="24"/>
                <w:vertAlign w:val="subscript"/>
              </w:rPr>
              <w:t>-</w:t>
            </w:r>
            <w:r>
              <w:rPr>
                <w:rFonts w:hint="default" w:ascii="Times New Roman" w:hAnsi="Times New Roman" w:eastAsia="宋体" w:cs="Times New Roman"/>
                <w:kern w:val="0"/>
                <w:sz w:val="24"/>
                <w:vertAlign w:val="subscript"/>
                <w:lang w:val="en-US" w:eastAsia="zh-CN"/>
              </w:rPr>
              <w:t>1</w:t>
            </w:r>
            <w:r>
              <w:rPr>
                <w:rFonts w:hint="default" w:ascii="Times New Roman" w:hAnsi="Times New Roman" w:eastAsia="宋体" w:cs="Times New Roman"/>
                <w:kern w:val="0"/>
                <w:sz w:val="24"/>
                <w:lang w:val="en-US" w:eastAsia="zh-CN"/>
              </w:rPr>
              <w:t xml:space="preserve"> </w:t>
            </w:r>
            <w:r>
              <w:rPr>
                <w:rFonts w:hint="eastAsia" w:ascii="Times New Roman" w:hAnsi="Times New Roman" w:eastAsia="宋体" w:cs="Times New Roman"/>
                <w:kern w:val="0"/>
                <w:sz w:val="24"/>
                <w:lang w:val="en-US" w:eastAsia="zh-CN"/>
              </w:rPr>
              <w:t>桐柏山-大别山国家级水土流失重点预防区</w:t>
            </w:r>
            <w:r>
              <w:rPr>
                <w:rFonts w:hint="default" w:ascii="Times New Roman" w:hAnsi="Times New Roman" w:eastAsia="宋体" w:cs="Times New Roman"/>
                <w:kern w:val="0"/>
                <w:sz w:val="24"/>
              </w:rPr>
              <w:t>。</w:t>
            </w:r>
          </w:p>
          <w:p w14:paraId="4EE7D02C">
            <w:pPr>
              <w:autoSpaceDE w:val="0"/>
              <w:autoSpaceDN w:val="0"/>
              <w:adjustRightInd w:val="0"/>
              <w:spacing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该生态功能区位于本亚区西部，行政区划包括金寨县全部、</w:t>
            </w:r>
            <w:r>
              <w:rPr>
                <w:rFonts w:hint="default" w:ascii="Times New Roman" w:hAnsi="Times New Roman" w:eastAsia="宋体" w:cs="Times New Roman"/>
                <w:kern w:val="0"/>
                <w:sz w:val="24"/>
                <w:lang w:eastAsia="zh-CN"/>
              </w:rPr>
              <w:t>金寨县</w:t>
            </w:r>
            <w:r>
              <w:rPr>
                <w:rFonts w:hint="default" w:ascii="Times New Roman" w:hAnsi="Times New Roman" w:eastAsia="宋体" w:cs="Times New Roman"/>
                <w:kern w:val="0"/>
                <w:sz w:val="24"/>
              </w:rPr>
              <w:t>大部、六安市辖区西南部地区，面积6746.4km</w:t>
            </w:r>
            <w:r>
              <w:rPr>
                <w:rFonts w:hint="default" w:ascii="Times New Roman" w:hAnsi="Times New Roman" w:eastAsia="宋体" w:cs="Times New Roman"/>
                <w:kern w:val="0"/>
                <w:sz w:val="24"/>
                <w:vertAlign w:val="superscript"/>
              </w:rPr>
              <w:t>2</w:t>
            </w:r>
            <w:r>
              <w:rPr>
                <w:rFonts w:hint="default" w:ascii="Times New Roman" w:hAnsi="Times New Roman" w:eastAsia="宋体" w:cs="Times New Roman"/>
                <w:kern w:val="0"/>
                <w:sz w:val="24"/>
              </w:rPr>
              <w:t>。</w:t>
            </w:r>
          </w:p>
          <w:p w14:paraId="6CAA741F">
            <w:pPr>
              <w:autoSpaceDE w:val="0"/>
              <w:autoSpaceDN w:val="0"/>
              <w:adjustRightInd w:val="0"/>
              <w:spacing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该区地貌类型以中低山为主，在山间盆地或谷地中有零星畈区分布，大别山最高峰白马尖分布于本区内。本区属北亚热带湿润性季风气候区，气候温凉，雨水充沛。年平均日照时数为1900~2000小时，年平均气温14.5~15.0C，中山处年平均气温10~12C，最热月</w:t>
            </w:r>
            <w:r>
              <w:rPr>
                <w:rFonts w:hint="default" w:ascii="Times New Roman" w:hAnsi="Times New Roman" w:eastAsia="宋体" w:cs="Times New Roman"/>
                <w:kern w:val="0"/>
                <w:sz w:val="24"/>
                <w:lang w:eastAsia="zh-CN"/>
              </w:rPr>
              <w:t>（</w:t>
            </w:r>
            <w:r>
              <w:rPr>
                <w:rFonts w:hint="default" w:ascii="Times New Roman" w:hAnsi="Times New Roman" w:eastAsia="宋体" w:cs="Times New Roman"/>
                <w:kern w:val="0"/>
                <w:sz w:val="24"/>
              </w:rPr>
              <w:t>7、8月</w:t>
            </w:r>
            <w:r>
              <w:rPr>
                <w:rFonts w:hint="default" w:ascii="Times New Roman" w:hAnsi="Times New Roman" w:eastAsia="宋体" w:cs="Times New Roman"/>
                <w:kern w:val="0"/>
                <w:sz w:val="24"/>
                <w:lang w:eastAsia="zh-CN"/>
              </w:rPr>
              <w:t>）</w:t>
            </w:r>
            <w:r>
              <w:rPr>
                <w:rFonts w:hint="default" w:ascii="Times New Roman" w:hAnsi="Times New Roman" w:eastAsia="宋体" w:cs="Times New Roman"/>
                <w:kern w:val="0"/>
                <w:sz w:val="24"/>
              </w:rPr>
              <w:t>气温仅21~23C，年均相对湿度在80%以上，年均降水1400mm左右，是安徽省的降水次中心，年蒸发量1400mm以下，无霜期为220天。</w:t>
            </w:r>
          </w:p>
          <w:p w14:paraId="77AB989C">
            <w:pPr>
              <w:autoSpaceDE w:val="0"/>
              <w:autoSpaceDN w:val="0"/>
              <w:adjustRightInd w:val="0"/>
              <w:spacing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本生态功能区以森林生态系统为主，植被类型属暖温带落叶阔叶林向亚热带常绿阔叶林过渡型，植被垂直分布带谱明显，野生动植物资源丰富，区系</w:t>
            </w:r>
            <w:r>
              <w:rPr>
                <w:rFonts w:hint="default" w:ascii="Times New Roman" w:hAnsi="Times New Roman" w:eastAsia="宋体" w:cs="Times New Roman"/>
                <w:kern w:val="0"/>
                <w:sz w:val="24"/>
                <w:lang w:eastAsia="zh-CN"/>
              </w:rPr>
              <w:t>成分复杂</w:t>
            </w:r>
            <w:r>
              <w:rPr>
                <w:rFonts w:hint="default" w:ascii="Times New Roman" w:hAnsi="Times New Roman" w:eastAsia="宋体" w:cs="Times New Roman"/>
                <w:kern w:val="0"/>
                <w:sz w:val="24"/>
              </w:rPr>
              <w:t>，特有种多。天马和鹞落坪两处国家级自然保护区内保存了大批珍稀、古老孑遗物种和典型、多样的生物群落，目前已查明维管束植物有2000多种，陆栖脊椎动物200多</w:t>
            </w:r>
            <w:r>
              <w:rPr>
                <w:rFonts w:hint="default" w:ascii="Times New Roman" w:hAnsi="Times New Roman" w:eastAsia="宋体" w:cs="Times New Roman"/>
                <w:kern w:val="0"/>
                <w:sz w:val="24"/>
                <w:lang w:eastAsia="zh-CN"/>
              </w:rPr>
              <w:t>种</w:t>
            </w:r>
            <w:r>
              <w:rPr>
                <w:rFonts w:hint="default" w:ascii="Times New Roman" w:hAnsi="Times New Roman" w:eastAsia="宋体" w:cs="Times New Roman"/>
                <w:kern w:val="0"/>
                <w:sz w:val="24"/>
              </w:rPr>
              <w:t>，其中国家重点保护的野生植物有大别山五针松、香果树、杜仲等25种，而且本区还是香果树、领春木、大别山五针松、连香树、</w:t>
            </w:r>
            <w:r>
              <w:rPr>
                <w:rFonts w:hint="default" w:ascii="Times New Roman" w:hAnsi="Times New Roman" w:eastAsia="宋体" w:cs="Times New Roman"/>
                <w:kern w:val="0"/>
                <w:sz w:val="24"/>
                <w:lang w:eastAsia="zh-CN"/>
              </w:rPr>
              <w:t>鹅掌楸</w:t>
            </w:r>
            <w:r>
              <w:rPr>
                <w:rFonts w:hint="default" w:ascii="Times New Roman" w:hAnsi="Times New Roman" w:eastAsia="宋体" w:cs="Times New Roman"/>
                <w:kern w:val="0"/>
                <w:sz w:val="24"/>
              </w:rPr>
              <w:t>、金钱松、天女花、厚朴、大鲵、原麝、勺鸡等保护物种的集中分布区，其中中国特有植物13属及地方特有动植物十余种，</w:t>
            </w:r>
            <w:r>
              <w:rPr>
                <w:rFonts w:hint="default" w:ascii="Times New Roman" w:hAnsi="Times New Roman" w:eastAsia="宋体" w:cs="Times New Roman"/>
                <w:kern w:val="0"/>
                <w:sz w:val="24"/>
                <w:lang w:eastAsia="zh-CN"/>
              </w:rPr>
              <w:t>被誉为</w:t>
            </w:r>
            <w:r>
              <w:rPr>
                <w:rFonts w:hint="eastAsia" w:ascii="Times New Roman" w:hAnsi="Times New Roman" w:eastAsia="宋体" w:cs="Times New Roman"/>
                <w:kern w:val="0"/>
                <w:sz w:val="24"/>
                <w:lang w:eastAsia="zh-CN"/>
              </w:rPr>
              <w:t>“</w:t>
            </w:r>
            <w:r>
              <w:rPr>
                <w:rFonts w:hint="default" w:ascii="Times New Roman" w:hAnsi="Times New Roman" w:eastAsia="宋体" w:cs="Times New Roman"/>
                <w:kern w:val="0"/>
                <w:sz w:val="24"/>
              </w:rPr>
              <w:t>大别山区的天然物种基因库</w:t>
            </w:r>
            <w:r>
              <w:rPr>
                <w:rFonts w:hint="eastAsia" w:ascii="Times New Roman" w:hAnsi="Times New Roman" w:eastAsia="宋体" w:cs="Times New Roman"/>
                <w:kern w:val="0"/>
                <w:sz w:val="24"/>
                <w:lang w:eastAsia="zh-CN"/>
              </w:rPr>
              <w:t>”</w:t>
            </w:r>
            <w:r>
              <w:rPr>
                <w:rFonts w:hint="default" w:ascii="Times New Roman" w:hAnsi="Times New Roman" w:eastAsia="宋体" w:cs="Times New Roman"/>
                <w:kern w:val="0"/>
                <w:sz w:val="24"/>
              </w:rPr>
              <w:t>。本区还是淮河重要支流史河、淠河的发源地和下游梅山、响洪甸、磨子潭和佛子岭四大水库的水源涵养区。</w:t>
            </w:r>
          </w:p>
          <w:p w14:paraId="3FCC9F1D">
            <w:pPr>
              <w:autoSpaceDE w:val="0"/>
              <w:autoSpaceDN w:val="0"/>
              <w:adjustRightInd w:val="0"/>
              <w:spacing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本区总体上植被覆盖率高，生态环境条件优越，生态系统保存完好，是北亚热带天然的生物多样性保存库。在良好的生态环境条件下，本区盛产茶叶、板栗、桑蚕、中草药、食用菌、山野菜以及松、竹、杉</w:t>
            </w:r>
            <w:r>
              <w:rPr>
                <w:rFonts w:hint="default" w:ascii="Times New Roman" w:hAnsi="Times New Roman" w:eastAsia="宋体" w:cs="Times New Roman"/>
                <w:kern w:val="0"/>
                <w:sz w:val="24"/>
                <w:lang w:eastAsia="zh-CN"/>
              </w:rPr>
              <w:t>等</w:t>
            </w:r>
            <w:r>
              <w:rPr>
                <w:rFonts w:hint="default" w:ascii="Times New Roman" w:hAnsi="Times New Roman" w:eastAsia="宋体" w:cs="Times New Roman"/>
                <w:kern w:val="0"/>
                <w:sz w:val="24"/>
              </w:rPr>
              <w:t>优质农林产品。</w:t>
            </w:r>
          </w:p>
          <w:p w14:paraId="0CB3734E">
            <w:pPr>
              <w:autoSpaceDE w:val="0"/>
              <w:autoSpaceDN w:val="0"/>
              <w:adjustRightInd w:val="0"/>
              <w:spacing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但本区也存在着以下生态环境问题</w:t>
            </w:r>
            <w:r>
              <w:rPr>
                <w:rFonts w:hint="default" w:ascii="Times New Roman" w:hAnsi="Times New Roman" w:eastAsia="宋体" w:cs="Times New Roman"/>
                <w:kern w:val="0"/>
                <w:sz w:val="24"/>
                <w:lang w:eastAsia="zh-CN"/>
              </w:rPr>
              <w:t>：（</w:t>
            </w:r>
            <w:r>
              <w:rPr>
                <w:rFonts w:hint="default" w:ascii="Times New Roman" w:hAnsi="Times New Roman" w:eastAsia="宋体" w:cs="Times New Roman"/>
                <w:kern w:val="0"/>
                <w:sz w:val="24"/>
                <w:lang w:val="en-US" w:eastAsia="zh-CN"/>
              </w:rPr>
              <w:t>1</w:t>
            </w:r>
            <w:r>
              <w:rPr>
                <w:rFonts w:hint="default" w:ascii="Times New Roman" w:hAnsi="Times New Roman" w:eastAsia="宋体" w:cs="Times New Roman"/>
                <w:kern w:val="0"/>
                <w:sz w:val="24"/>
                <w:lang w:eastAsia="zh-CN"/>
              </w:rPr>
              <w:t>）</w:t>
            </w:r>
            <w:r>
              <w:rPr>
                <w:rFonts w:hint="default" w:ascii="Times New Roman" w:hAnsi="Times New Roman" w:eastAsia="宋体" w:cs="Times New Roman"/>
                <w:kern w:val="0"/>
                <w:sz w:val="24"/>
              </w:rPr>
              <w:t>由于人为活动频繁，区内水土流失问题较为突出，直接影响到水库的使用寿命和下游的生态安全</w:t>
            </w:r>
            <w:r>
              <w:rPr>
                <w:rFonts w:hint="default" w:ascii="Times New Roman" w:hAnsi="Times New Roman" w:eastAsia="宋体" w:cs="Times New Roman"/>
                <w:kern w:val="0"/>
                <w:sz w:val="24"/>
                <w:lang w:eastAsia="zh-CN"/>
              </w:rPr>
              <w:t>；（</w:t>
            </w:r>
            <w:r>
              <w:rPr>
                <w:rFonts w:hint="default" w:ascii="Times New Roman" w:hAnsi="Times New Roman" w:eastAsia="宋体" w:cs="Times New Roman"/>
                <w:kern w:val="0"/>
                <w:sz w:val="24"/>
                <w:lang w:val="en-US" w:eastAsia="zh-CN"/>
              </w:rPr>
              <w:t>2</w:t>
            </w:r>
            <w:r>
              <w:rPr>
                <w:rFonts w:hint="default" w:ascii="Times New Roman" w:hAnsi="Times New Roman" w:eastAsia="宋体" w:cs="Times New Roman"/>
                <w:kern w:val="0"/>
                <w:sz w:val="24"/>
                <w:lang w:eastAsia="zh-CN"/>
              </w:rPr>
              <w:t>）</w:t>
            </w:r>
            <w:r>
              <w:rPr>
                <w:rFonts w:hint="default" w:ascii="Times New Roman" w:hAnsi="Times New Roman" w:eastAsia="宋体" w:cs="Times New Roman"/>
                <w:kern w:val="0"/>
                <w:sz w:val="24"/>
              </w:rPr>
              <w:t>区内人多地少，交通不便，出于生态保护的需要，为下游作出了较大的经济上的牺牲，目前仍然是贫困地区，人民生活水平不高，区域经济状况整体不发达</w:t>
            </w:r>
            <w:r>
              <w:rPr>
                <w:rFonts w:hint="default" w:ascii="Times New Roman" w:hAnsi="Times New Roman" w:eastAsia="宋体" w:cs="Times New Roman"/>
                <w:kern w:val="0"/>
                <w:sz w:val="24"/>
                <w:lang w:eastAsia="zh-CN"/>
              </w:rPr>
              <w:t>；（</w:t>
            </w:r>
            <w:r>
              <w:rPr>
                <w:rFonts w:hint="default" w:ascii="Times New Roman" w:hAnsi="Times New Roman" w:eastAsia="宋体" w:cs="Times New Roman"/>
                <w:kern w:val="0"/>
                <w:sz w:val="24"/>
                <w:lang w:val="en-US" w:eastAsia="zh-CN"/>
              </w:rPr>
              <w:t>3</w:t>
            </w:r>
            <w:r>
              <w:rPr>
                <w:rFonts w:hint="default" w:ascii="Times New Roman" w:hAnsi="Times New Roman" w:eastAsia="宋体" w:cs="Times New Roman"/>
                <w:kern w:val="0"/>
                <w:sz w:val="24"/>
                <w:lang w:eastAsia="zh-CN"/>
              </w:rPr>
              <w:t>）</w:t>
            </w:r>
            <w:r>
              <w:rPr>
                <w:rFonts w:hint="default" w:ascii="Times New Roman" w:hAnsi="Times New Roman" w:eastAsia="宋体" w:cs="Times New Roman"/>
                <w:kern w:val="0"/>
                <w:sz w:val="24"/>
              </w:rPr>
              <w:t>水能资源丰富，开发不够</w:t>
            </w:r>
            <w:r>
              <w:rPr>
                <w:rFonts w:hint="default" w:ascii="Times New Roman" w:hAnsi="Times New Roman" w:eastAsia="宋体" w:cs="Times New Roman"/>
                <w:kern w:val="0"/>
                <w:sz w:val="24"/>
                <w:lang w:eastAsia="zh-CN"/>
              </w:rPr>
              <w:t>；（</w:t>
            </w:r>
            <w:r>
              <w:rPr>
                <w:rFonts w:hint="default" w:ascii="Times New Roman" w:hAnsi="Times New Roman" w:eastAsia="宋体" w:cs="Times New Roman"/>
                <w:kern w:val="0"/>
                <w:sz w:val="24"/>
                <w:lang w:val="en-US" w:eastAsia="zh-CN"/>
              </w:rPr>
              <w:t>4</w:t>
            </w:r>
            <w:r>
              <w:rPr>
                <w:rFonts w:hint="default" w:ascii="Times New Roman" w:hAnsi="Times New Roman" w:eastAsia="宋体" w:cs="Times New Roman"/>
                <w:kern w:val="0"/>
                <w:sz w:val="24"/>
                <w:lang w:eastAsia="zh-CN"/>
              </w:rPr>
              <w:t>）</w:t>
            </w:r>
            <w:r>
              <w:rPr>
                <w:rFonts w:hint="default" w:ascii="Times New Roman" w:hAnsi="Times New Roman" w:eastAsia="宋体" w:cs="Times New Roman"/>
                <w:kern w:val="0"/>
                <w:sz w:val="24"/>
              </w:rPr>
              <w:t>部分地区基础设施建设时的保护</w:t>
            </w:r>
            <w:r>
              <w:rPr>
                <w:rFonts w:hint="default" w:ascii="Times New Roman" w:hAnsi="Times New Roman" w:eastAsia="宋体" w:cs="Times New Roman"/>
                <w:kern w:val="0"/>
                <w:sz w:val="24"/>
                <w:lang w:eastAsia="zh-CN"/>
              </w:rPr>
              <w:t>措施不力</w:t>
            </w:r>
            <w:r>
              <w:rPr>
                <w:rFonts w:hint="default" w:ascii="Times New Roman" w:hAnsi="Times New Roman" w:eastAsia="宋体" w:cs="Times New Roman"/>
                <w:kern w:val="0"/>
                <w:sz w:val="24"/>
              </w:rPr>
              <w:t>，造成了崩塌、滑坡等地质灾害频发。</w:t>
            </w:r>
          </w:p>
          <w:p w14:paraId="01736F33">
            <w:pPr>
              <w:autoSpaceDE w:val="0"/>
              <w:autoSpaceDN w:val="0"/>
              <w:adjustRightInd w:val="0"/>
              <w:spacing w:line="360" w:lineRule="auto"/>
              <w:ind w:firstLine="480" w:firstLineChars="200"/>
              <w:rPr>
                <w:rFonts w:hint="default" w:ascii="Times New Roman" w:hAnsi="Times New Roman" w:cs="Times New Roman"/>
              </w:rPr>
            </w:pPr>
            <w:r>
              <w:rPr>
                <w:rFonts w:hint="default" w:ascii="Times New Roman" w:hAnsi="Times New Roman" w:eastAsia="宋体" w:cs="Times New Roman"/>
                <w:kern w:val="0"/>
                <w:sz w:val="24"/>
              </w:rPr>
              <w:t>本生态功能区在生物多样性保护、水源涵养、水土流失控制生态系统服务功能方面具有非常重要的地位，是安徽省生态系统保护的热点地区之一。因此，本功能区的发展应以保护区域生态系统服务功能为中心，利用当地丰富的自然资源，结合区内的生态示范区建设，发展生态型经济，茶叶、板栗、食用菌、毛竹、中药材、桑蚕以及</w:t>
            </w:r>
            <w:r>
              <w:rPr>
                <w:rFonts w:hint="default" w:ascii="Times New Roman" w:hAnsi="Times New Roman" w:eastAsia="宋体" w:cs="Times New Roman"/>
                <w:kern w:val="0"/>
                <w:sz w:val="24"/>
                <w:lang w:eastAsia="zh-CN"/>
              </w:rPr>
              <w:t>水源</w:t>
            </w:r>
            <w:r>
              <w:rPr>
                <w:rFonts w:hint="default" w:ascii="Times New Roman" w:hAnsi="Times New Roman" w:eastAsia="宋体" w:cs="Times New Roman"/>
                <w:kern w:val="0"/>
                <w:sz w:val="24"/>
              </w:rPr>
              <w:t>和生态旅游等经济活动均需要严格按照生态示范区规划的要求去发展。</w:t>
            </w:r>
          </w:p>
          <w:p w14:paraId="35534FA6">
            <w:pPr>
              <w:pStyle w:val="3"/>
              <w:spacing w:before="0" w:after="0" w:line="360" w:lineRule="auto"/>
              <w:jc w:val="center"/>
              <w:rPr>
                <w:rFonts w:hint="default" w:ascii="Times New Roman" w:hAnsi="Times New Roman" w:eastAsia="宋体" w:cs="Times New Roman"/>
                <w:color w:val="auto"/>
                <w:sz w:val="24"/>
                <w:szCs w:val="24"/>
                <w:lang w:val="en-US" w:eastAsia="zh-CN"/>
              </w:rPr>
            </w:pPr>
            <w:bookmarkStart w:id="28" w:name="_Toc31534"/>
            <w:bookmarkStart w:id="29" w:name="_Toc15756"/>
            <w:bookmarkStart w:id="30" w:name="_Toc1537"/>
            <w:bookmarkStart w:id="31" w:name="_Toc27371"/>
            <w:bookmarkStart w:id="32" w:name="_Toc3298"/>
            <w:r>
              <w:rPr>
                <w:rFonts w:hint="default" w:ascii="Times New Roman" w:hAnsi="Times New Roman" w:cs="Times New Roman"/>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1217295</wp:posOffset>
                      </wp:positionH>
                      <wp:positionV relativeFrom="paragraph">
                        <wp:posOffset>3383915</wp:posOffset>
                      </wp:positionV>
                      <wp:extent cx="1014095" cy="300990"/>
                      <wp:effectExtent l="99695" t="5080" r="10160" b="208280"/>
                      <wp:wrapNone/>
                      <wp:docPr id="224" name="矩形标注 224"/>
                      <wp:cNvGraphicFramePr/>
                      <a:graphic xmlns:a="http://schemas.openxmlformats.org/drawingml/2006/main">
                        <a:graphicData uri="http://schemas.microsoft.com/office/word/2010/wordprocessingShape">
                          <wps:wsp>
                            <wps:cNvSpPr/>
                            <wps:spPr>
                              <a:xfrm>
                                <a:off x="0" y="0"/>
                                <a:ext cx="1014095" cy="300990"/>
                              </a:xfrm>
                              <a:prstGeom prst="wedgeRectCallout">
                                <a:avLst>
                                  <a:gd name="adj1" fmla="val -56958"/>
                                  <a:gd name="adj2" fmla="val 108375"/>
                                </a:avLst>
                              </a:prstGeom>
                              <a:solidFill>
                                <a:srgbClr val="FFFFFF"/>
                              </a:solidFill>
                              <a:ln w="9525" cap="flat" cmpd="sng">
                                <a:solidFill>
                                  <a:srgbClr val="000000"/>
                                </a:solidFill>
                                <a:prstDash val="solid"/>
                                <a:miter/>
                                <a:headEnd type="none" w="med" len="med"/>
                                <a:tailEnd type="none" w="med" len="med"/>
                              </a:ln>
                              <a:effectLst/>
                            </wps:spPr>
                            <wps:txbx>
                              <w:txbxContent>
                                <w:p w14:paraId="2C6B9F35">
                                  <w:pPr>
                                    <w:rPr>
                                      <w:rFonts w:eastAsia="Calibri"/>
                                      <w:b/>
                                      <w:bCs/>
                                    </w:rPr>
                                  </w:pPr>
                                  <w:r>
                                    <w:rPr>
                                      <w:rFonts w:hint="eastAsia"/>
                                      <w:b/>
                                      <w:bCs/>
                                    </w:rPr>
                                    <w:t>本项目所在地</w:t>
                                  </w:r>
                                </w:p>
                              </w:txbxContent>
                            </wps:txbx>
                            <wps:bodyPr upright="1"/>
                          </wps:wsp>
                        </a:graphicData>
                      </a:graphic>
                    </wp:anchor>
                  </w:drawing>
                </mc:Choice>
                <mc:Fallback>
                  <w:pict>
                    <v:shape id="_x0000_s1026" o:spid="_x0000_s1026" o:spt="61" type="#_x0000_t61" style="position:absolute;left:0pt;margin-left:95.85pt;margin-top:266.45pt;height:23.7pt;width:79.85pt;z-index:251662336;mso-width-relative:page;mso-height-relative:page;" fillcolor="#FFFFFF" filled="t" stroked="t" coordsize="21600,21600" o:gfxdata="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6jpLHWAAAACwEAAA8AAAAAAAAAAQAgAAAAIgAA&#10;AGRycy9kb3ducmV2LnhtbFBLAQIUABQAAAAIAIdO4kA7S/8QQwIAAKAEAAAOAAAAAAAAAAEAIAAA&#10;ACUBAABkcnMvZTJvRG9jLnhtbFBLBQYAAAAABgAGAFkBAADaBQAAAAA=&#10;" adj="-1503,34209">
                      <v:fill on="t" focussize="0,0"/>
                      <v:stroke color="#000000" joinstyle="miter"/>
                      <v:imagedata o:title=""/>
                      <o:lock v:ext="edit" aspectratio="f"/>
                      <v:textbox>
                        <w:txbxContent>
                          <w:p w14:paraId="2C6B9F35">
                            <w:pPr>
                              <w:rPr>
                                <w:rFonts w:eastAsia="Calibri"/>
                                <w:b/>
                                <w:bCs/>
                              </w:rPr>
                            </w:pPr>
                            <w:r>
                              <w:rPr>
                                <w:rFonts w:hint="eastAsia"/>
                                <w:b/>
                                <w:bCs/>
                              </w:rPr>
                              <w:t>本项目所在地</w:t>
                            </w:r>
                          </w:p>
                        </w:txbxContent>
                      </v:textbox>
                    </v:shape>
                  </w:pict>
                </mc:Fallback>
              </mc:AlternateContent>
            </w:r>
            <w:r>
              <w:rPr>
                <w:rFonts w:hint="default" w:ascii="Times New Roman" w:hAnsi="Times New Roman" w:cs="Times New Roman"/>
                <w:color w:val="auto"/>
                <w:sz w:val="28"/>
                <w:highlight w:val="none"/>
              </w:rPr>
              <mc:AlternateContent>
                <mc:Choice Requires="wps">
                  <w:drawing>
                    <wp:anchor distT="0" distB="0" distL="114300" distR="114300" simplePos="0" relativeHeight="251661312" behindDoc="0" locked="0" layoutInCell="1" allowOverlap="1">
                      <wp:simplePos x="0" y="0"/>
                      <wp:positionH relativeFrom="column">
                        <wp:posOffset>1062355</wp:posOffset>
                      </wp:positionH>
                      <wp:positionV relativeFrom="paragraph">
                        <wp:posOffset>3844925</wp:posOffset>
                      </wp:positionV>
                      <wp:extent cx="112395" cy="99060"/>
                      <wp:effectExtent l="15875" t="14605" r="24130" b="19685"/>
                      <wp:wrapNone/>
                      <wp:docPr id="223" name="五角星 223"/>
                      <wp:cNvGraphicFramePr/>
                      <a:graphic xmlns:a="http://schemas.openxmlformats.org/drawingml/2006/main">
                        <a:graphicData uri="http://schemas.microsoft.com/office/word/2010/wordprocessingShape">
                          <wps:wsp>
                            <wps:cNvSpPr/>
                            <wps:spPr>
                              <a:xfrm>
                                <a:off x="0" y="0"/>
                                <a:ext cx="112395" cy="99060"/>
                              </a:xfrm>
                              <a:prstGeom prst="star5">
                                <a:avLst/>
                              </a:prstGeom>
                              <a:solidFill>
                                <a:srgbClr val="FF0000"/>
                              </a:solidFill>
                              <a:ln w="9525" cap="flat" cmpd="sng">
                                <a:solidFill>
                                  <a:srgbClr val="FF0000"/>
                                </a:solidFill>
                                <a:prstDash val="solid"/>
                                <a:miter/>
                                <a:headEnd type="none" w="med" len="med"/>
                                <a:tailEnd type="none" w="med" len="med"/>
                              </a:ln>
                              <a:effectLst/>
                            </wps:spPr>
                            <wps:txbx>
                              <w:txbxContent>
                                <w:p w14:paraId="1F0202E9">
                                  <w:pPr>
                                    <w:jc w:val="center"/>
                                  </w:pPr>
                                </w:p>
                              </w:txbxContent>
                            </wps:txbx>
                            <wps:bodyPr upright="1"/>
                          </wps:wsp>
                        </a:graphicData>
                      </a:graphic>
                    </wp:anchor>
                  </w:drawing>
                </mc:Choice>
                <mc:Fallback>
                  <w:pict>
                    <v:shape id="_x0000_s1026" o:spid="_x0000_s1026" style="position:absolute;left:0pt;margin-left:83.65pt;margin-top:302.75pt;height:7.8pt;width:8.85pt;z-index:251661312;mso-width-relative:page;mso-height-relative:page;" fillcolor="#FF0000" filled="t" stroked="t" coordsize="112395,99060" o:gfxdata="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sMQI9oAAAALAQAADwAAAAAAAAABACAA&#10;AAAiAAAAZHJzL2Rvd25yZXYueG1sUEsBAhQAFAAAAAgAh07iQApZ9oMLAgAAPQQAAA4AAAAAAAAA&#10;AQAgAAAAKQEAAGRycy9lMm9Eb2MueG1sUEsFBgAAAAAGAAYAWQEAAKYFAAAAAA==&#10;" path="m0,37837l42931,37837,56197,0,69463,37837,112394,37837,77662,61222,90929,99059,56197,75674,21465,99059,34732,61222xe">
                      <v:path textboxrect="0,0,112395,99060" o:connectlocs="56197,0;0,37837;21465,99059;90929,99059;112394,37837" o:connectangles="247,164,82,82,0"/>
                      <v:fill on="t" focussize="0,0"/>
                      <v:stroke color="#FF0000" joinstyle="miter"/>
                      <v:imagedata o:title=""/>
                      <o:lock v:ext="edit" aspectratio="f"/>
                      <v:textbox>
                        <w:txbxContent>
                          <w:p w14:paraId="1F0202E9">
                            <w:pPr>
                              <w:jc w:val="center"/>
                            </w:pPr>
                          </w:p>
                        </w:txbxContent>
                      </v:textbox>
                    </v:shape>
                  </w:pict>
                </mc:Fallback>
              </mc:AlternateContent>
            </w:r>
            <w:r>
              <w:rPr>
                <w:rFonts w:hint="default" w:ascii="Times New Roman" w:hAnsi="Times New Roman" w:eastAsia="宋体" w:cs="Times New Roman"/>
                <w:color w:val="auto"/>
                <w:sz w:val="24"/>
                <w:szCs w:val="24"/>
                <w:lang w:val="en-US" w:eastAsia="zh-CN"/>
              </w:rPr>
              <w:drawing>
                <wp:inline distT="0" distB="0" distL="114300" distR="114300">
                  <wp:extent cx="5150485" cy="7280275"/>
                  <wp:effectExtent l="0" t="0" r="12065" b="15875"/>
                  <wp:docPr id="83" name="图片 59" descr="`Z__{S9501PF(ZNA85K~A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9" descr="`Z__{S9501PF(ZNA85K~AAU"/>
                          <pic:cNvPicPr>
                            <a:picLocks noChangeAspect="1"/>
                          </pic:cNvPicPr>
                        </pic:nvPicPr>
                        <pic:blipFill>
                          <a:blip r:embed="rId29"/>
                          <a:stretch>
                            <a:fillRect/>
                          </a:stretch>
                        </pic:blipFill>
                        <pic:spPr>
                          <a:xfrm>
                            <a:off x="0" y="0"/>
                            <a:ext cx="5150485" cy="7280275"/>
                          </a:xfrm>
                          <a:prstGeom prst="rect">
                            <a:avLst/>
                          </a:prstGeom>
                          <a:noFill/>
                          <a:ln>
                            <a:noFill/>
                          </a:ln>
                        </pic:spPr>
                      </pic:pic>
                    </a:graphicData>
                  </a:graphic>
                </wp:inline>
              </w:drawing>
            </w:r>
            <w:bookmarkEnd w:id="28"/>
            <w:bookmarkEnd w:id="29"/>
            <w:bookmarkEnd w:id="30"/>
            <w:bookmarkEnd w:id="31"/>
            <w:bookmarkEnd w:id="32"/>
          </w:p>
          <w:p w14:paraId="21CCAFA1">
            <w:pPr>
              <w:pStyle w:val="67"/>
              <w:spacing w:line="36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图3</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 xml:space="preserve">  安徽省生态功能区划图</w:t>
            </w:r>
          </w:p>
          <w:p w14:paraId="36ABC053">
            <w:pPr>
              <w:pStyle w:val="70"/>
              <w:numPr>
                <w:ilvl w:val="0"/>
                <w:numId w:val="0"/>
              </w:numPr>
              <w:ind w:left="630" w:leftChars="0"/>
              <w:rPr>
                <w:rFonts w:hint="default" w:ascii="Times New Roman" w:hAnsi="Times New Roman" w:cs="Times New Roman"/>
                <w:b/>
                <w:bCs/>
                <w:color w:val="auto"/>
                <w:sz w:val="24"/>
                <w:szCs w:val="24"/>
                <w:highlight w:val="none"/>
                <w:lang w:eastAsia="zh-CN"/>
              </w:rPr>
            </w:pPr>
          </w:p>
          <w:p w14:paraId="6CF729AB">
            <w:pPr>
              <w:pStyle w:val="70"/>
              <w:numPr>
                <w:ilvl w:val="0"/>
                <w:numId w:val="0"/>
              </w:numPr>
              <w:ind w:left="630" w:leftChars="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rPr>
              <w:t>现状土地利用类型</w:t>
            </w:r>
          </w:p>
          <w:p w14:paraId="44FBB8E4">
            <w:pPr>
              <w:pStyle w:val="25"/>
              <w:adjustRightInd w:val="0"/>
              <w:snapToGrid w:val="0"/>
              <w:spacing w:after="0" w:line="360" w:lineRule="auto"/>
              <w:ind w:left="0" w:leftChars="0" w:firstLine="480" w:firstLineChars="200"/>
              <w:rPr>
                <w:rFonts w:hint="default" w:ascii="Times New Roman" w:hAnsi="Times New Roman" w:eastAsia="宋体" w:cs="Times New Roman"/>
                <w:sz w:val="24"/>
                <w:szCs w:val="21"/>
                <w:highlight w:val="none"/>
                <w:lang w:val="en-US" w:eastAsia="zh-CN"/>
              </w:rPr>
            </w:pPr>
            <w:r>
              <w:rPr>
                <w:rFonts w:hint="default" w:ascii="Times New Roman" w:hAnsi="Times New Roman" w:eastAsia="宋体" w:cs="Times New Roman"/>
                <w:sz w:val="24"/>
                <w:szCs w:val="21"/>
                <w:highlight w:val="none"/>
                <w:lang w:eastAsia="zh-CN"/>
              </w:rPr>
              <w:t>本工程</w:t>
            </w:r>
            <w:r>
              <w:rPr>
                <w:rFonts w:hint="default" w:ascii="Times New Roman" w:hAnsi="Times New Roman" w:eastAsia="宋体" w:cs="Times New Roman"/>
                <w:sz w:val="24"/>
                <w:szCs w:val="21"/>
                <w:highlight w:val="none"/>
                <w:lang w:val="en-US" w:eastAsia="zh-CN"/>
              </w:rPr>
              <w:t>占地面积为</w:t>
            </w:r>
            <w:r>
              <w:rPr>
                <w:rFonts w:hint="eastAsia" w:cs="Times New Roman"/>
                <w:sz w:val="24"/>
                <w:szCs w:val="21"/>
                <w:highlight w:val="none"/>
                <w:lang w:val="en-US" w:eastAsia="zh-CN"/>
              </w:rPr>
              <w:t>5.2909</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default" w:ascii="Times New Roman" w:hAnsi="Times New Roman" w:eastAsia="宋体" w:cs="Times New Roman"/>
                <w:sz w:val="24"/>
                <w:szCs w:val="21"/>
                <w:highlight w:val="none"/>
                <w:lang w:val="en-US" w:eastAsia="zh-CN"/>
              </w:rPr>
              <w:t>，</w:t>
            </w:r>
            <w:r>
              <w:rPr>
                <w:rFonts w:hint="eastAsia" w:cs="Times New Roman"/>
                <w:sz w:val="24"/>
                <w:szCs w:val="21"/>
                <w:highlight w:val="none"/>
                <w:lang w:val="en-US" w:eastAsia="zh-CN"/>
              </w:rPr>
              <w:t>均为</w:t>
            </w:r>
            <w:r>
              <w:rPr>
                <w:rFonts w:hint="default" w:ascii="Times New Roman" w:hAnsi="Times New Roman" w:eastAsia="宋体" w:cs="Times New Roman"/>
                <w:sz w:val="24"/>
                <w:szCs w:val="21"/>
                <w:highlight w:val="none"/>
                <w:lang w:val="en-US" w:eastAsia="zh-CN"/>
              </w:rPr>
              <w:t>永久占地</w:t>
            </w:r>
            <w:r>
              <w:rPr>
                <w:rFonts w:hint="default" w:ascii="Times New Roman" w:hAnsi="Times New Roman" w:eastAsia="宋体" w:cs="Times New Roman"/>
                <w:sz w:val="24"/>
                <w:szCs w:val="21"/>
                <w:highlight w:val="none"/>
                <w:lang w:eastAsia="zh-CN"/>
              </w:rPr>
              <w:t>。</w:t>
            </w:r>
            <w:r>
              <w:rPr>
                <w:rFonts w:hint="default" w:ascii="Times New Roman" w:hAnsi="Times New Roman" w:eastAsia="宋体" w:cs="Times New Roman"/>
                <w:sz w:val="24"/>
                <w:szCs w:val="21"/>
                <w:highlight w:val="none"/>
                <w:lang w:val="en-US" w:eastAsia="zh-CN"/>
              </w:rPr>
              <w:t>其中</w:t>
            </w:r>
            <w:r>
              <w:rPr>
                <w:rFonts w:hint="eastAsia" w:eastAsia="宋体" w:cs="Times New Roman"/>
                <w:sz w:val="24"/>
                <w:szCs w:val="21"/>
                <w:highlight w:val="none"/>
                <w:lang w:val="en-US" w:eastAsia="zh-CN"/>
              </w:rPr>
              <w:t>农用地</w:t>
            </w:r>
            <w:r>
              <w:rPr>
                <w:rFonts w:hint="eastAsia" w:cs="Times New Roman"/>
                <w:sz w:val="24"/>
                <w:szCs w:val="21"/>
                <w:highlight w:val="none"/>
                <w:lang w:val="en-US" w:eastAsia="zh-CN"/>
              </w:rPr>
              <w:t>4.7699</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eastAsia" w:eastAsia="宋体" w:cs="Times New Roman"/>
                <w:sz w:val="24"/>
                <w:szCs w:val="21"/>
                <w:highlight w:val="none"/>
                <w:vertAlign w:val="baseline"/>
                <w:lang w:val="en-US" w:eastAsia="zh-CN"/>
              </w:rPr>
              <w:t>（其中：</w:t>
            </w:r>
            <w:r>
              <w:rPr>
                <w:rFonts w:hint="default" w:ascii="Times New Roman" w:hAnsi="Times New Roman" w:eastAsia="宋体" w:cs="Times New Roman"/>
                <w:sz w:val="24"/>
                <w:szCs w:val="21"/>
                <w:highlight w:val="none"/>
                <w:lang w:val="en-US" w:eastAsia="zh-CN"/>
              </w:rPr>
              <w:t>耕地</w:t>
            </w:r>
            <w:r>
              <w:rPr>
                <w:rFonts w:hint="eastAsia" w:cs="Times New Roman"/>
                <w:sz w:val="24"/>
                <w:szCs w:val="21"/>
                <w:highlight w:val="none"/>
                <w:lang w:val="en-US" w:eastAsia="zh-CN"/>
              </w:rPr>
              <w:t>0.5238</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default" w:ascii="Times New Roman" w:hAnsi="Times New Roman" w:eastAsia="宋体" w:cs="Times New Roman"/>
                <w:sz w:val="24"/>
                <w:szCs w:val="21"/>
                <w:highlight w:val="none"/>
                <w:lang w:val="en-US" w:eastAsia="zh-CN"/>
              </w:rPr>
              <w:t>，</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其他农用地</w:t>
            </w:r>
            <w:r>
              <w:rPr>
                <w:rFonts w:hint="eastAsia" w:cs="Times New Roman"/>
                <w:color w:val="000000" w:themeColor="text1"/>
                <w:sz w:val="24"/>
                <w:szCs w:val="21"/>
                <w:highlight w:val="none"/>
                <w:lang w:val="en-US" w:eastAsia="zh-CN"/>
                <w14:textFill>
                  <w14:solidFill>
                    <w14:schemeClr w14:val="tx1"/>
                  </w14:solidFill>
                </w14:textFill>
              </w:rPr>
              <w:t>4.246</w:t>
            </w:r>
            <w:r>
              <w:rPr>
                <w:rFonts w:hint="eastAsia" w:eastAsia="宋体" w:cs="Times New Roman"/>
                <w:color w:val="000000" w:themeColor="text1"/>
                <w:sz w:val="24"/>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hm</w:t>
            </w:r>
            <w:r>
              <w:rPr>
                <w:rFonts w:hint="default" w:ascii="Times New Roman" w:hAnsi="Times New Roman" w:eastAsia="宋体" w:cs="Times New Roman"/>
                <w:color w:val="000000" w:themeColor="text1"/>
                <w:sz w:val="24"/>
                <w:szCs w:val="21"/>
                <w:highlight w:val="none"/>
                <w:vertAlign w:val="superscript"/>
                <w:lang w:val="en-US" w:eastAsia="zh-CN"/>
                <w14:textFill>
                  <w14:solidFill>
                    <w14:schemeClr w14:val="tx1"/>
                  </w14:solidFill>
                </w14:textFill>
              </w:rPr>
              <w:t>2</w:t>
            </w:r>
            <w:r>
              <w:rPr>
                <w:rFonts w:hint="eastAsia" w:eastAsia="宋体" w:cs="Times New Roman"/>
                <w:sz w:val="24"/>
                <w:szCs w:val="21"/>
                <w:highlight w:val="none"/>
                <w:vertAlign w:val="baseline"/>
                <w:lang w:val="en-US" w:eastAsia="zh-CN"/>
              </w:rPr>
              <w:t>）</w:t>
            </w:r>
            <w:r>
              <w:rPr>
                <w:rFonts w:hint="default" w:ascii="Times New Roman" w:hAnsi="Times New Roman" w:eastAsia="宋体" w:cs="Times New Roman"/>
                <w:sz w:val="24"/>
                <w:szCs w:val="21"/>
                <w:highlight w:val="none"/>
                <w:lang w:val="en-US" w:eastAsia="zh-CN"/>
              </w:rPr>
              <w:t>，建设用地</w:t>
            </w:r>
            <w:r>
              <w:rPr>
                <w:rFonts w:hint="eastAsia" w:cs="Times New Roman"/>
                <w:sz w:val="24"/>
                <w:szCs w:val="21"/>
                <w:highlight w:val="none"/>
                <w:lang w:val="en-US" w:eastAsia="zh-CN"/>
              </w:rPr>
              <w:t>0.4273</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default" w:ascii="Times New Roman" w:hAnsi="Times New Roman" w:eastAsia="宋体" w:cs="Times New Roman"/>
                <w:sz w:val="24"/>
                <w:szCs w:val="21"/>
                <w:highlight w:val="none"/>
                <w:lang w:val="en-US" w:eastAsia="zh-CN"/>
              </w:rPr>
              <w:t>，未利用土地</w:t>
            </w:r>
            <w:r>
              <w:rPr>
                <w:rFonts w:hint="eastAsia" w:cs="Times New Roman"/>
                <w:sz w:val="24"/>
                <w:szCs w:val="21"/>
                <w:highlight w:val="none"/>
                <w:lang w:val="en-US" w:eastAsia="zh-CN"/>
              </w:rPr>
              <w:t>0.0937</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default" w:ascii="Times New Roman" w:hAnsi="Times New Roman" w:cs="Times New Roman"/>
                <w:color w:val="auto"/>
                <w:kern w:val="2"/>
                <w:sz w:val="24"/>
                <w:szCs w:val="21"/>
                <w:highlight w:val="none"/>
                <w:vertAlign w:val="baseline"/>
                <w:lang w:val="en-US" w:eastAsia="zh-CN" w:bidi="ar-SA"/>
              </w:rPr>
              <w:t>。</w:t>
            </w:r>
            <w:r>
              <w:rPr>
                <w:rFonts w:hint="default" w:ascii="Times New Roman" w:hAnsi="Times New Roman" w:eastAsia="宋体" w:cs="Times New Roman"/>
                <w:sz w:val="24"/>
                <w:szCs w:val="21"/>
                <w:highlight w:val="none"/>
                <w:lang w:val="en-US" w:eastAsia="zh-CN"/>
              </w:rPr>
              <w:t>详见下表：</w:t>
            </w:r>
          </w:p>
          <w:p w14:paraId="48E0D7B7">
            <w:pPr>
              <w:pStyle w:val="25"/>
              <w:adjustRightInd w:val="0"/>
              <w:snapToGrid w:val="0"/>
              <w:spacing w:after="0" w:line="240" w:lineRule="auto"/>
              <w:ind w:left="0" w:leftChars="0" w:firstLine="422" w:firstLineChars="200"/>
              <w:jc w:val="center"/>
              <w:rPr>
                <w:rFonts w:hint="default" w:ascii="Times New Roman" w:hAnsi="Times New Roman" w:eastAsia="宋体" w:cs="Times New Roman"/>
                <w:b/>
                <w:bCs/>
                <w:sz w:val="21"/>
                <w:szCs w:val="18"/>
                <w:highlight w:val="none"/>
                <w:lang w:val="en-US" w:eastAsia="zh-CN"/>
              </w:rPr>
            </w:pPr>
            <w:r>
              <w:rPr>
                <w:rFonts w:hint="default" w:ascii="Times New Roman" w:hAnsi="Times New Roman" w:eastAsia="宋体" w:cs="Times New Roman"/>
                <w:b/>
                <w:bCs/>
                <w:sz w:val="21"/>
                <w:szCs w:val="18"/>
                <w:highlight w:val="none"/>
              </w:rPr>
              <w:t>表</w:t>
            </w:r>
            <w:r>
              <w:rPr>
                <w:rFonts w:hint="default" w:ascii="Times New Roman" w:hAnsi="Times New Roman" w:eastAsia="宋体" w:cs="Times New Roman"/>
                <w:b/>
                <w:bCs/>
                <w:sz w:val="21"/>
                <w:szCs w:val="18"/>
                <w:highlight w:val="none"/>
                <w:lang w:val="en-US" w:eastAsia="zh-CN"/>
              </w:rPr>
              <w:t>3-</w:t>
            </w:r>
            <w:r>
              <w:rPr>
                <w:rFonts w:hint="eastAsia" w:eastAsia="宋体" w:cs="Times New Roman"/>
                <w:b/>
                <w:bCs/>
                <w:sz w:val="21"/>
                <w:szCs w:val="18"/>
                <w:highlight w:val="none"/>
                <w:lang w:val="en-US" w:eastAsia="zh-CN"/>
              </w:rPr>
              <w:t>1</w:t>
            </w:r>
            <w:r>
              <w:rPr>
                <w:rFonts w:hint="default" w:ascii="Times New Roman" w:hAnsi="Times New Roman" w:eastAsia="宋体" w:cs="Times New Roman"/>
                <w:b/>
                <w:bCs/>
                <w:sz w:val="21"/>
                <w:szCs w:val="18"/>
                <w:highlight w:val="none"/>
                <w:lang w:val="en-US" w:eastAsia="zh-CN"/>
              </w:rPr>
              <w:t xml:space="preserve"> </w:t>
            </w:r>
            <w:r>
              <w:rPr>
                <w:rFonts w:hint="default" w:ascii="Times New Roman" w:hAnsi="Times New Roman" w:eastAsia="宋体" w:cs="Times New Roman"/>
                <w:b/>
                <w:bCs/>
                <w:sz w:val="21"/>
                <w:szCs w:val="18"/>
                <w:highlight w:val="none"/>
              </w:rPr>
              <w:t xml:space="preserve"> 土地利用现状统计表</w:t>
            </w:r>
            <w:r>
              <w:rPr>
                <w:rFonts w:hint="default" w:ascii="Times New Roman" w:hAnsi="Times New Roman" w:eastAsia="宋体" w:cs="Times New Roman"/>
                <w:b/>
                <w:bCs/>
                <w:sz w:val="21"/>
                <w:szCs w:val="18"/>
                <w:highlight w:val="none"/>
                <w:lang w:val="en-US" w:eastAsia="zh-CN"/>
              </w:rPr>
              <w:t xml:space="preserve">  单位：hm</w:t>
            </w:r>
            <w:r>
              <w:rPr>
                <w:rFonts w:hint="default" w:ascii="Times New Roman" w:hAnsi="Times New Roman" w:eastAsia="宋体" w:cs="Times New Roman"/>
                <w:b/>
                <w:bCs/>
                <w:sz w:val="21"/>
                <w:szCs w:val="18"/>
                <w:highlight w:val="none"/>
                <w:vertAlign w:val="superscript"/>
                <w:lang w:val="en-US" w:eastAsia="zh-CN"/>
              </w:rPr>
              <w:t>2</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8"/>
              <w:gridCol w:w="1115"/>
              <w:gridCol w:w="1386"/>
              <w:gridCol w:w="1124"/>
              <w:gridCol w:w="1611"/>
              <w:gridCol w:w="1222"/>
            </w:tblGrid>
            <w:tr w14:paraId="0C4EA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1" w:type="pct"/>
                  <w:vMerge w:val="restart"/>
                  <w:vAlign w:val="center"/>
                </w:tcPr>
                <w:p w14:paraId="72F90290">
                  <w:pPr>
                    <w:pStyle w:val="25"/>
                    <w:adjustRightInd w:val="0"/>
                    <w:snapToGrid w:val="0"/>
                    <w:spacing w:after="0" w:line="240" w:lineRule="auto"/>
                    <w:ind w:left="0" w:leftChars="0" w:firstLine="0" w:firstLineChars="0"/>
                    <w:jc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sz w:val="21"/>
                      <w:szCs w:val="21"/>
                      <w:highlight w:val="none"/>
                      <w:vertAlign w:val="baseline"/>
                      <w:lang w:val="en-US" w:eastAsia="zh-CN"/>
                    </w:rPr>
                    <w:t>占地类型</w:t>
                  </w:r>
                </w:p>
              </w:tc>
              <w:tc>
                <w:tcPr>
                  <w:tcW w:w="1560" w:type="pct"/>
                  <w:gridSpan w:val="2"/>
                  <w:vAlign w:val="center"/>
                </w:tcPr>
                <w:p w14:paraId="55E09144">
                  <w:pPr>
                    <w:pStyle w:val="25"/>
                    <w:adjustRightInd w:val="0"/>
                    <w:snapToGrid w:val="0"/>
                    <w:spacing w:after="0" w:line="240" w:lineRule="auto"/>
                    <w:ind w:left="0" w:leftChars="0" w:firstLine="0" w:firstLineChars="0"/>
                    <w:jc w:val="center"/>
                    <w:rPr>
                      <w:rFonts w:hint="default" w:ascii="Times New Roman" w:hAnsi="Times New Roman" w:eastAsia="宋体" w:cs="Times New Roman"/>
                      <w:b/>
                      <w:bCs/>
                      <w:i w:val="0"/>
                      <w:iCs w:val="0"/>
                      <w:color w:val="000000"/>
                      <w:kern w:val="0"/>
                      <w:sz w:val="21"/>
                      <w:szCs w:val="21"/>
                      <w:highlight w:val="none"/>
                      <w:u w:val="none"/>
                      <w:lang w:val="en-US" w:eastAsia="zh-CN" w:bidi="ar"/>
                    </w:rPr>
                  </w:pPr>
                  <w:r>
                    <w:rPr>
                      <w:rFonts w:hint="default" w:ascii="Times New Roman" w:hAnsi="Times New Roman" w:eastAsia="宋体" w:cs="Times New Roman"/>
                      <w:b/>
                      <w:bCs/>
                      <w:sz w:val="21"/>
                      <w:szCs w:val="21"/>
                      <w:highlight w:val="none"/>
                      <w:vertAlign w:val="baseline"/>
                      <w:lang w:val="en-US" w:eastAsia="zh-CN"/>
                    </w:rPr>
                    <w:t>农用地</w:t>
                  </w:r>
                </w:p>
              </w:tc>
              <w:tc>
                <w:tcPr>
                  <w:tcW w:w="701" w:type="pct"/>
                  <w:vMerge w:val="restart"/>
                  <w:vAlign w:val="center"/>
                </w:tcPr>
                <w:p w14:paraId="498294E7">
                  <w:pPr>
                    <w:pStyle w:val="25"/>
                    <w:adjustRightInd w:val="0"/>
                    <w:snapToGrid w:val="0"/>
                    <w:spacing w:after="0" w:line="240" w:lineRule="auto"/>
                    <w:ind w:left="0" w:leftChars="0" w:firstLine="0" w:firstLineChars="0"/>
                    <w:jc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建</w:t>
                  </w:r>
                  <w:r>
                    <w:rPr>
                      <w:rStyle w:val="92"/>
                      <w:rFonts w:hint="default" w:ascii="Times New Roman" w:hAnsi="Times New Roman" w:eastAsia="宋体" w:cs="Times New Roman"/>
                      <w:b/>
                      <w:bCs/>
                      <w:sz w:val="21"/>
                      <w:szCs w:val="21"/>
                      <w:highlight w:val="none"/>
                      <w:lang w:val="en-US" w:eastAsia="zh-CN" w:bidi="ar"/>
                    </w:rPr>
                    <w:t>设用地</w:t>
                  </w:r>
                </w:p>
              </w:tc>
              <w:tc>
                <w:tcPr>
                  <w:tcW w:w="1004" w:type="pct"/>
                  <w:vMerge w:val="restart"/>
                  <w:vAlign w:val="center"/>
                </w:tcPr>
                <w:p w14:paraId="2D0586AB">
                  <w:pPr>
                    <w:keepNext w:val="0"/>
                    <w:keepLines w:val="0"/>
                    <w:widowControl/>
                    <w:suppressLineNumbers w:val="0"/>
                    <w:spacing w:line="240" w:lineRule="auto"/>
                    <w:jc w:val="center"/>
                    <w:textAlignment w:val="bottom"/>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未利用土</w:t>
                  </w:r>
                  <w:r>
                    <w:rPr>
                      <w:rStyle w:val="92"/>
                      <w:rFonts w:hint="default" w:ascii="Times New Roman" w:hAnsi="Times New Roman" w:eastAsia="宋体" w:cs="Times New Roman"/>
                      <w:b/>
                      <w:bCs/>
                      <w:sz w:val="21"/>
                      <w:szCs w:val="21"/>
                      <w:highlight w:val="none"/>
                      <w:lang w:val="en-US" w:eastAsia="zh-CN" w:bidi="ar"/>
                    </w:rPr>
                    <w:t>地</w:t>
                  </w:r>
                </w:p>
              </w:tc>
              <w:tc>
                <w:tcPr>
                  <w:tcW w:w="762" w:type="pct"/>
                  <w:vMerge w:val="restart"/>
                  <w:vAlign w:val="center"/>
                </w:tcPr>
                <w:p w14:paraId="698CB345">
                  <w:pPr>
                    <w:pStyle w:val="25"/>
                    <w:adjustRightInd w:val="0"/>
                    <w:snapToGrid w:val="0"/>
                    <w:spacing w:after="0" w:line="240" w:lineRule="auto"/>
                    <w:ind w:left="0" w:leftChars="0" w:firstLine="0" w:firstLineChars="0"/>
                    <w:jc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sz w:val="21"/>
                      <w:szCs w:val="21"/>
                      <w:highlight w:val="none"/>
                      <w:vertAlign w:val="baseline"/>
                      <w:lang w:val="en-US" w:eastAsia="zh-CN"/>
                    </w:rPr>
                    <w:t>合计</w:t>
                  </w:r>
                </w:p>
              </w:tc>
            </w:tr>
            <w:tr w14:paraId="3151D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1" w:type="pct"/>
                  <w:vMerge w:val="continue"/>
                  <w:vAlign w:val="center"/>
                </w:tcPr>
                <w:p w14:paraId="1B2A7DCF">
                  <w:pPr>
                    <w:keepNext w:val="0"/>
                    <w:keepLines w:val="0"/>
                    <w:widowControl/>
                    <w:suppressLineNumbers w:val="0"/>
                    <w:spacing w:line="240" w:lineRule="auto"/>
                    <w:jc w:val="center"/>
                    <w:textAlignment w:val="center"/>
                    <w:rPr>
                      <w:rFonts w:hint="default" w:ascii="Times New Roman" w:hAnsi="Times New Roman" w:eastAsia="宋体" w:cs="Times New Roman"/>
                      <w:b/>
                      <w:bCs/>
                      <w:sz w:val="21"/>
                      <w:szCs w:val="21"/>
                      <w:highlight w:val="none"/>
                      <w:vertAlign w:val="baseline"/>
                      <w:lang w:val="en-US" w:eastAsia="zh-CN"/>
                    </w:rPr>
                  </w:pPr>
                </w:p>
              </w:tc>
              <w:tc>
                <w:tcPr>
                  <w:tcW w:w="695" w:type="pct"/>
                  <w:vAlign w:val="center"/>
                </w:tcPr>
                <w:p w14:paraId="35A6A10B">
                  <w:pPr>
                    <w:keepNext w:val="0"/>
                    <w:keepLines w:val="0"/>
                    <w:widowControl/>
                    <w:suppressLineNumbers w:val="0"/>
                    <w:spacing w:line="240" w:lineRule="auto"/>
                    <w:jc w:val="center"/>
                    <w:textAlignment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sz w:val="21"/>
                      <w:szCs w:val="21"/>
                      <w:highlight w:val="none"/>
                      <w:vertAlign w:val="baseline"/>
                      <w:lang w:val="en-US" w:eastAsia="zh-CN"/>
                    </w:rPr>
                    <w:t>耕地</w:t>
                  </w:r>
                </w:p>
              </w:tc>
              <w:tc>
                <w:tcPr>
                  <w:tcW w:w="864" w:type="pct"/>
                  <w:vAlign w:val="center"/>
                </w:tcPr>
                <w:p w14:paraId="140D999C">
                  <w:pPr>
                    <w:keepNext w:val="0"/>
                    <w:keepLines w:val="0"/>
                    <w:widowControl/>
                    <w:suppressLineNumbers w:val="0"/>
                    <w:spacing w:line="240" w:lineRule="auto"/>
                    <w:jc w:val="center"/>
                    <w:textAlignment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其他农用地</w:t>
                  </w:r>
                </w:p>
              </w:tc>
              <w:tc>
                <w:tcPr>
                  <w:tcW w:w="701" w:type="pct"/>
                  <w:vMerge w:val="continue"/>
                  <w:vAlign w:val="center"/>
                </w:tcPr>
                <w:p w14:paraId="1923DFF2">
                  <w:pPr>
                    <w:keepNext w:val="0"/>
                    <w:keepLines w:val="0"/>
                    <w:widowControl/>
                    <w:suppressLineNumbers w:val="0"/>
                    <w:spacing w:line="240" w:lineRule="auto"/>
                    <w:jc w:val="center"/>
                    <w:textAlignment w:val="top"/>
                    <w:rPr>
                      <w:rFonts w:hint="default" w:ascii="Times New Roman" w:hAnsi="Times New Roman" w:eastAsia="宋体" w:cs="Times New Roman"/>
                      <w:b/>
                      <w:bCs/>
                      <w:sz w:val="21"/>
                      <w:szCs w:val="21"/>
                      <w:highlight w:val="none"/>
                      <w:vertAlign w:val="baseline"/>
                      <w:lang w:val="en-US" w:eastAsia="zh-CN"/>
                    </w:rPr>
                  </w:pPr>
                </w:p>
              </w:tc>
              <w:tc>
                <w:tcPr>
                  <w:tcW w:w="1004" w:type="pct"/>
                  <w:vMerge w:val="continue"/>
                  <w:vAlign w:val="center"/>
                </w:tcPr>
                <w:p w14:paraId="2474A5CC">
                  <w:pPr>
                    <w:pStyle w:val="25"/>
                    <w:adjustRightInd w:val="0"/>
                    <w:snapToGrid w:val="0"/>
                    <w:spacing w:after="0" w:line="240" w:lineRule="auto"/>
                    <w:ind w:left="0" w:leftChars="0" w:firstLine="0" w:firstLineChars="0"/>
                    <w:jc w:val="center"/>
                    <w:rPr>
                      <w:rFonts w:hint="default" w:ascii="Times New Roman" w:hAnsi="Times New Roman" w:eastAsia="宋体" w:cs="Times New Roman"/>
                      <w:b w:val="0"/>
                      <w:bCs w:val="0"/>
                      <w:sz w:val="21"/>
                      <w:szCs w:val="21"/>
                      <w:highlight w:val="none"/>
                      <w:vertAlign w:val="baseline"/>
                      <w:lang w:val="en-US" w:eastAsia="zh-CN"/>
                    </w:rPr>
                  </w:pPr>
                </w:p>
              </w:tc>
              <w:tc>
                <w:tcPr>
                  <w:tcW w:w="762" w:type="pct"/>
                  <w:vMerge w:val="continue"/>
                  <w:vAlign w:val="center"/>
                </w:tcPr>
                <w:p w14:paraId="21A1EE26">
                  <w:pPr>
                    <w:pStyle w:val="25"/>
                    <w:adjustRightInd w:val="0"/>
                    <w:snapToGrid w:val="0"/>
                    <w:spacing w:after="0" w:line="240" w:lineRule="auto"/>
                    <w:ind w:left="0" w:leftChars="0" w:firstLine="0" w:firstLineChars="0"/>
                    <w:jc w:val="center"/>
                    <w:rPr>
                      <w:rFonts w:hint="default" w:ascii="Times New Roman" w:hAnsi="Times New Roman" w:eastAsia="宋体" w:cs="Times New Roman"/>
                      <w:b w:val="0"/>
                      <w:bCs w:val="0"/>
                      <w:sz w:val="21"/>
                      <w:szCs w:val="21"/>
                      <w:highlight w:val="none"/>
                      <w:vertAlign w:val="baseline"/>
                      <w:lang w:val="en-US" w:eastAsia="zh-CN"/>
                    </w:rPr>
                  </w:pPr>
                </w:p>
              </w:tc>
            </w:tr>
            <w:tr w14:paraId="4141E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971" w:type="pct"/>
                  <w:vAlign w:val="center"/>
                </w:tcPr>
                <w:p w14:paraId="79A67181">
                  <w:pPr>
                    <w:keepNext w:val="0"/>
                    <w:keepLines w:val="0"/>
                    <w:widowControl/>
                    <w:suppressLineNumbers w:val="0"/>
                    <w:spacing w:line="240" w:lineRule="auto"/>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永久占地</w:t>
                  </w:r>
                </w:p>
              </w:tc>
              <w:tc>
                <w:tcPr>
                  <w:tcW w:w="695" w:type="pct"/>
                  <w:vAlign w:val="center"/>
                </w:tcPr>
                <w:p w14:paraId="25B6086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0.5238</w:t>
                  </w:r>
                </w:p>
              </w:tc>
              <w:tc>
                <w:tcPr>
                  <w:tcW w:w="864" w:type="pct"/>
                  <w:vAlign w:val="center"/>
                </w:tcPr>
                <w:p w14:paraId="38A961D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4.2461</w:t>
                  </w:r>
                </w:p>
              </w:tc>
              <w:tc>
                <w:tcPr>
                  <w:tcW w:w="701" w:type="pct"/>
                  <w:vAlign w:val="center"/>
                </w:tcPr>
                <w:p w14:paraId="1F19CF1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0.4273</w:t>
                  </w:r>
                </w:p>
              </w:tc>
              <w:tc>
                <w:tcPr>
                  <w:tcW w:w="1004" w:type="pct"/>
                  <w:vAlign w:val="center"/>
                </w:tcPr>
                <w:p w14:paraId="759D765E">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0.0937</w:t>
                  </w:r>
                </w:p>
              </w:tc>
              <w:tc>
                <w:tcPr>
                  <w:tcW w:w="762" w:type="pct"/>
                  <w:vAlign w:val="center"/>
                </w:tcPr>
                <w:p w14:paraId="5716781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5.2909</w:t>
                  </w:r>
                </w:p>
              </w:tc>
            </w:tr>
          </w:tbl>
          <w:p w14:paraId="7496C839">
            <w:pPr>
              <w:keepNext w:val="0"/>
              <w:keepLines w:val="0"/>
              <w:pageBreakBefore w:val="0"/>
              <w:widowControl w:val="0"/>
              <w:kinsoku/>
              <w:wordWrap/>
              <w:overflowPunct/>
              <w:topLinePunct w:val="0"/>
              <w:autoSpaceDE/>
              <w:autoSpaceDN/>
              <w:bidi w:val="0"/>
              <w:adjustRightInd/>
              <w:snapToGrid/>
              <w:spacing w:before="157" w:beforeLines="50" w:after="0" w:line="360" w:lineRule="auto"/>
              <w:ind w:left="0" w:leftChars="0" w:firstLine="482" w:firstLineChars="200"/>
              <w:jc w:val="both"/>
              <w:textAlignment w:val="auto"/>
              <w:rPr>
                <w:rFonts w:hint="default" w:ascii="Times New Roman" w:hAnsi="Times New Roman" w:eastAsia="宋体" w:cs="Times New Roman"/>
                <w:b/>
                <w:bCs/>
                <w:kern w:val="0"/>
                <w:sz w:val="24"/>
                <w:szCs w:val="20"/>
                <w:highlight w:val="none"/>
                <w:lang w:val="en-US" w:eastAsia="zh-CN" w:bidi="ar-SA"/>
              </w:rPr>
            </w:pPr>
            <w:r>
              <w:rPr>
                <w:rFonts w:hint="default" w:ascii="Times New Roman" w:hAnsi="Times New Roman" w:eastAsia="宋体" w:cs="Times New Roman"/>
                <w:b/>
                <w:bCs/>
                <w:kern w:val="0"/>
                <w:sz w:val="24"/>
                <w:szCs w:val="20"/>
                <w:highlight w:val="none"/>
                <w:lang w:val="en-US" w:eastAsia="zh-CN" w:bidi="ar-SA"/>
              </w:rPr>
              <w:t>（4）生态环境现状调查</w:t>
            </w:r>
          </w:p>
          <w:p w14:paraId="27BE9B48">
            <w:pPr>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kern w:val="0"/>
                <w:sz w:val="24"/>
                <w:szCs w:val="20"/>
                <w:highlight w:val="none"/>
                <w:lang w:val="en-US" w:eastAsia="zh-CN" w:bidi="ar-SA"/>
              </w:rPr>
            </w:pPr>
            <w:r>
              <w:rPr>
                <w:rFonts w:hint="default" w:ascii="Times New Roman" w:hAnsi="Times New Roman" w:eastAsia="宋体" w:cs="Times New Roman"/>
                <w:kern w:val="0"/>
                <w:sz w:val="24"/>
                <w:szCs w:val="20"/>
                <w:highlight w:val="none"/>
                <w:lang w:val="en-US" w:eastAsia="zh-CN" w:bidi="ar-SA"/>
              </w:rPr>
              <w:t>评价区最主要的生态系统类型为</w:t>
            </w:r>
            <w:r>
              <w:rPr>
                <w:rFonts w:hint="eastAsia" w:ascii="Times New Roman" w:hAnsi="Times New Roman" w:eastAsia="宋体" w:cs="Times New Roman"/>
                <w:kern w:val="0"/>
                <w:sz w:val="24"/>
                <w:szCs w:val="20"/>
                <w:highlight w:val="none"/>
                <w:lang w:val="en-US" w:eastAsia="zh-CN" w:bidi="ar-SA"/>
              </w:rPr>
              <w:t>森林生态系统</w:t>
            </w:r>
            <w:r>
              <w:rPr>
                <w:rFonts w:hint="default" w:ascii="Times New Roman" w:hAnsi="Times New Roman" w:eastAsia="宋体" w:cs="Times New Roman"/>
                <w:kern w:val="0"/>
                <w:sz w:val="24"/>
                <w:szCs w:val="20"/>
                <w:highlight w:val="none"/>
                <w:lang w:val="en-US" w:eastAsia="zh-CN" w:bidi="ar-SA"/>
              </w:rPr>
              <w:t>，占评价区面积的比例为</w:t>
            </w:r>
            <w:r>
              <w:rPr>
                <w:rFonts w:hint="eastAsia" w:ascii="Times New Roman" w:hAnsi="Times New Roman" w:eastAsia="宋体" w:cs="Times New Roman"/>
                <w:kern w:val="0"/>
                <w:sz w:val="24"/>
                <w:szCs w:val="20"/>
                <w:highlight w:val="none"/>
                <w:lang w:val="en-US" w:eastAsia="zh-CN" w:bidi="ar-SA"/>
              </w:rPr>
              <w:t>83.46</w:t>
            </w:r>
            <w:r>
              <w:rPr>
                <w:rFonts w:hint="default" w:ascii="Times New Roman" w:hAnsi="Times New Roman" w:eastAsia="宋体" w:cs="Times New Roman"/>
                <w:kern w:val="0"/>
                <w:sz w:val="24"/>
                <w:szCs w:val="20"/>
                <w:highlight w:val="none"/>
                <w:lang w:val="en-US" w:eastAsia="zh-CN" w:bidi="ar-SA"/>
              </w:rPr>
              <w:t>%，其次为农田生态系统</w:t>
            </w:r>
            <w:r>
              <w:rPr>
                <w:rFonts w:hint="eastAsia" w:ascii="Times New Roman" w:hAnsi="Times New Roman" w:eastAsia="宋体" w:cs="Times New Roman"/>
                <w:kern w:val="0"/>
                <w:sz w:val="24"/>
                <w:szCs w:val="20"/>
                <w:highlight w:val="none"/>
                <w:lang w:val="en-US" w:eastAsia="zh-CN" w:bidi="ar-SA"/>
              </w:rPr>
              <w:t>，</w:t>
            </w:r>
            <w:r>
              <w:rPr>
                <w:rFonts w:hint="default" w:ascii="Times New Roman" w:hAnsi="Times New Roman" w:eastAsia="宋体" w:cs="Times New Roman"/>
                <w:kern w:val="0"/>
                <w:sz w:val="24"/>
                <w:szCs w:val="20"/>
                <w:highlight w:val="none"/>
                <w:lang w:val="en-US" w:eastAsia="zh-CN" w:bidi="ar-SA"/>
              </w:rPr>
              <w:t>占比</w:t>
            </w:r>
            <w:r>
              <w:rPr>
                <w:rFonts w:hint="eastAsia" w:ascii="Times New Roman" w:hAnsi="Times New Roman" w:eastAsia="宋体" w:cs="Times New Roman"/>
                <w:kern w:val="0"/>
                <w:sz w:val="24"/>
                <w:szCs w:val="20"/>
                <w:highlight w:val="none"/>
                <w:lang w:val="en-US" w:eastAsia="zh-CN" w:bidi="ar-SA"/>
              </w:rPr>
              <w:t>10.86</w:t>
            </w:r>
            <w:r>
              <w:rPr>
                <w:rFonts w:hint="default" w:ascii="Times New Roman" w:hAnsi="Times New Roman" w:eastAsia="宋体" w:cs="Times New Roman"/>
                <w:kern w:val="0"/>
                <w:sz w:val="24"/>
                <w:szCs w:val="20"/>
                <w:highlight w:val="none"/>
                <w:lang w:val="en-US" w:eastAsia="zh-CN" w:bidi="ar-SA"/>
              </w:rPr>
              <w:t>%，其余生态系统类型</w:t>
            </w:r>
            <w:r>
              <w:rPr>
                <w:rFonts w:hint="eastAsia" w:ascii="Times New Roman" w:hAnsi="Times New Roman" w:eastAsia="宋体" w:cs="Times New Roman"/>
                <w:kern w:val="0"/>
                <w:sz w:val="24"/>
                <w:szCs w:val="20"/>
                <w:highlight w:val="none"/>
                <w:lang w:val="en-US" w:eastAsia="zh-CN" w:bidi="ar-SA"/>
              </w:rPr>
              <w:t>为湿地</w:t>
            </w:r>
            <w:r>
              <w:rPr>
                <w:rFonts w:hint="default" w:ascii="Times New Roman" w:hAnsi="Times New Roman" w:eastAsia="宋体" w:cs="Times New Roman"/>
                <w:kern w:val="0"/>
                <w:sz w:val="24"/>
                <w:szCs w:val="20"/>
                <w:highlight w:val="none"/>
                <w:lang w:val="en-US" w:eastAsia="zh-CN" w:bidi="ar-SA"/>
              </w:rPr>
              <w:t>生态系统</w:t>
            </w:r>
            <w:r>
              <w:rPr>
                <w:rFonts w:hint="eastAsia" w:ascii="Times New Roman" w:hAnsi="Times New Roman" w:eastAsia="宋体" w:cs="Times New Roman"/>
                <w:kern w:val="0"/>
                <w:sz w:val="24"/>
                <w:szCs w:val="20"/>
                <w:highlight w:val="none"/>
                <w:lang w:val="en-US" w:eastAsia="zh-CN" w:bidi="ar-SA"/>
              </w:rPr>
              <w:t>、聚落生态系统及灌丛生态系统</w:t>
            </w:r>
            <w:r>
              <w:rPr>
                <w:rFonts w:hint="default" w:ascii="Times New Roman" w:hAnsi="Times New Roman" w:eastAsia="宋体" w:cs="Times New Roman"/>
                <w:kern w:val="0"/>
                <w:sz w:val="24"/>
                <w:szCs w:val="20"/>
                <w:highlight w:val="none"/>
                <w:lang w:val="en-US" w:eastAsia="zh-CN" w:bidi="ar-SA"/>
              </w:rPr>
              <w:t>，</w:t>
            </w:r>
            <w:r>
              <w:rPr>
                <w:rFonts w:hint="eastAsia" w:ascii="Times New Roman" w:hAnsi="Times New Roman" w:eastAsia="宋体" w:cs="Times New Roman"/>
                <w:kern w:val="0"/>
                <w:sz w:val="24"/>
                <w:szCs w:val="20"/>
                <w:highlight w:val="none"/>
                <w:lang w:val="en-US" w:eastAsia="zh-CN" w:bidi="ar-SA"/>
              </w:rPr>
              <w:t>分别占比为3.10%、2.37%及0.21</w:t>
            </w:r>
            <w:r>
              <w:rPr>
                <w:rFonts w:hint="default" w:ascii="Times New Roman" w:hAnsi="Times New Roman" w:eastAsia="宋体" w:cs="Times New Roman"/>
                <w:kern w:val="0"/>
                <w:sz w:val="24"/>
                <w:szCs w:val="20"/>
                <w:highlight w:val="none"/>
                <w:lang w:val="en-US" w:eastAsia="zh-CN" w:bidi="ar-SA"/>
              </w:rPr>
              <w:t>%。</w:t>
            </w:r>
          </w:p>
          <w:p w14:paraId="4E7FCB12">
            <w:pPr>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jc w:val="both"/>
              <w:textAlignment w:val="auto"/>
              <w:rPr>
                <w:rFonts w:hint="default" w:ascii="Times New Roman" w:hAnsi="Times New Roman" w:eastAsia="宋体" w:cs="Times New Roman"/>
                <w:b/>
                <w:bCs/>
                <w:kern w:val="0"/>
                <w:sz w:val="24"/>
                <w:szCs w:val="20"/>
                <w:highlight w:val="none"/>
                <w:lang w:val="en-US" w:eastAsia="zh-CN" w:bidi="ar-SA"/>
              </w:rPr>
            </w:pPr>
            <w:r>
              <w:rPr>
                <w:rFonts w:hint="default" w:ascii="Times New Roman" w:hAnsi="Times New Roman" w:eastAsia="宋体" w:cs="Times New Roman"/>
                <w:b/>
                <w:bCs/>
                <w:kern w:val="0"/>
                <w:sz w:val="24"/>
                <w:szCs w:val="20"/>
                <w:highlight w:val="none"/>
                <w:lang w:val="en-US" w:eastAsia="zh-CN" w:bidi="ar-SA"/>
              </w:rPr>
              <w:t>①植物</w:t>
            </w:r>
          </w:p>
          <w:p w14:paraId="7D34F066">
            <w:pPr>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kern w:val="0"/>
                <w:sz w:val="24"/>
                <w:szCs w:val="20"/>
                <w:highlight w:val="none"/>
                <w:lang w:val="en-US" w:eastAsia="zh-CN" w:bidi="ar-SA"/>
              </w:rPr>
            </w:pPr>
            <w:r>
              <w:rPr>
                <w:rFonts w:hint="default" w:ascii="Times New Roman" w:hAnsi="Times New Roman" w:eastAsia="宋体" w:cs="Times New Roman"/>
                <w:snapToGrid/>
                <w:color w:val="auto"/>
                <w:sz w:val="24"/>
                <w:szCs w:val="24"/>
                <w:highlight w:val="none"/>
                <w:lang w:val="en-US" w:eastAsia="zh-CN"/>
              </w:rPr>
              <w:t>根据</w:t>
            </w:r>
            <w:r>
              <w:rPr>
                <w:rFonts w:hint="default" w:ascii="Times New Roman" w:hAnsi="Times New Roman" w:eastAsia="宋体" w:cs="Times New Roman"/>
                <w:color w:val="auto"/>
                <w:sz w:val="24"/>
                <w:szCs w:val="24"/>
                <w:highlight w:val="none"/>
              </w:rPr>
              <w:t>样</w:t>
            </w:r>
            <w:r>
              <w:rPr>
                <w:rFonts w:hint="default" w:ascii="Times New Roman" w:hAnsi="Times New Roman" w:eastAsia="宋体" w:cs="Times New Roman"/>
                <w:snapToGrid w:val="0"/>
                <w:kern w:val="0"/>
                <w:sz w:val="24"/>
                <w:szCs w:val="22"/>
                <w:highlight w:val="none"/>
                <w:lang w:val="en-US" w:eastAsia="zh-CN" w:bidi="ar-SA"/>
              </w:rPr>
              <w:t>方调查结果，调查样方涉及31科53属96种，其中种子植物29科50属93种，蕨类植物2科3属3种，种子植物占绝对优势。其中红线范围涉及13科14属17种，红线范围外评价范围内涉及44科79属98种，不涉及国家重点保护野生植物。可见评价范围内植物种类较丰富。</w:t>
            </w:r>
          </w:p>
          <w:p w14:paraId="172B4C39">
            <w:pPr>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jc w:val="both"/>
              <w:textAlignment w:val="auto"/>
              <w:rPr>
                <w:rFonts w:hint="default" w:ascii="Times New Roman" w:hAnsi="Times New Roman" w:eastAsia="宋体" w:cs="Times New Roman"/>
                <w:b/>
                <w:bCs/>
                <w:kern w:val="0"/>
                <w:sz w:val="24"/>
                <w:szCs w:val="20"/>
                <w:highlight w:val="none"/>
                <w:lang w:val="en-US" w:eastAsia="zh-CN" w:bidi="ar-SA"/>
              </w:rPr>
            </w:pPr>
            <w:r>
              <w:rPr>
                <w:rFonts w:hint="default" w:ascii="Times New Roman" w:hAnsi="Times New Roman" w:eastAsia="宋体" w:cs="Times New Roman"/>
                <w:b/>
                <w:bCs/>
                <w:kern w:val="0"/>
                <w:sz w:val="24"/>
                <w:szCs w:val="20"/>
                <w:highlight w:val="none"/>
                <w:lang w:val="en-US" w:eastAsia="zh-CN" w:bidi="ar-SA"/>
              </w:rPr>
              <w:t>②动物</w:t>
            </w:r>
          </w:p>
          <w:p w14:paraId="010AAA4C">
            <w:pPr>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kern w:val="0"/>
                <w:sz w:val="24"/>
                <w:szCs w:val="20"/>
                <w:highlight w:val="none"/>
                <w:lang w:val="en-US" w:eastAsia="zh-CN" w:bidi="ar-SA"/>
              </w:rPr>
            </w:pPr>
            <w:r>
              <w:rPr>
                <w:rFonts w:hint="default" w:ascii="Times New Roman" w:hAnsi="Times New Roman" w:eastAsia="宋体" w:cs="Times New Roman"/>
                <w:kern w:val="0"/>
                <w:sz w:val="24"/>
                <w:szCs w:val="20"/>
                <w:highlight w:val="none"/>
                <w:lang w:val="en-US" w:eastAsia="zh-CN" w:bidi="ar-SA"/>
              </w:rPr>
              <w:t>评价区域内长期受人为活动干扰，导致分布的动物较少，评价区域内鸟类</w:t>
            </w:r>
            <w:r>
              <w:rPr>
                <w:rFonts w:hint="eastAsia" w:ascii="Times New Roman" w:hAnsi="Times New Roman" w:eastAsia="宋体" w:cs="Times New Roman"/>
                <w:kern w:val="0"/>
                <w:sz w:val="24"/>
                <w:szCs w:val="20"/>
                <w:highlight w:val="none"/>
                <w:lang w:val="en-US" w:eastAsia="zh-CN" w:bidi="ar-SA"/>
              </w:rPr>
              <w:t>121</w:t>
            </w:r>
            <w:r>
              <w:rPr>
                <w:rFonts w:hint="default" w:ascii="Times New Roman" w:hAnsi="Times New Roman" w:eastAsia="宋体" w:cs="Times New Roman"/>
                <w:kern w:val="0"/>
                <w:sz w:val="24"/>
                <w:szCs w:val="20"/>
                <w:highlight w:val="none"/>
                <w:lang w:val="en-US" w:eastAsia="zh-CN" w:bidi="ar-SA"/>
              </w:rPr>
              <w:t>种，隶属于</w:t>
            </w:r>
            <w:r>
              <w:rPr>
                <w:rFonts w:hint="eastAsia" w:ascii="Times New Roman" w:hAnsi="Times New Roman" w:eastAsia="宋体" w:cs="Times New Roman"/>
                <w:kern w:val="0"/>
                <w:sz w:val="24"/>
                <w:szCs w:val="20"/>
                <w:highlight w:val="none"/>
                <w:lang w:val="en-US" w:eastAsia="zh-CN" w:bidi="ar-SA"/>
              </w:rPr>
              <w:t>15</w:t>
            </w:r>
            <w:r>
              <w:rPr>
                <w:rFonts w:hint="default" w:ascii="Times New Roman" w:hAnsi="Times New Roman" w:eastAsia="宋体" w:cs="Times New Roman"/>
                <w:kern w:val="0"/>
                <w:sz w:val="24"/>
                <w:szCs w:val="20"/>
                <w:highlight w:val="none"/>
                <w:lang w:val="en-US" w:eastAsia="zh-CN" w:bidi="ar-SA"/>
              </w:rPr>
              <w:t>目</w:t>
            </w:r>
            <w:r>
              <w:rPr>
                <w:rFonts w:hint="eastAsia" w:ascii="Times New Roman" w:hAnsi="Times New Roman" w:eastAsia="宋体" w:cs="Times New Roman"/>
                <w:kern w:val="0"/>
                <w:sz w:val="24"/>
                <w:szCs w:val="20"/>
                <w:highlight w:val="none"/>
                <w:lang w:val="en-US" w:eastAsia="zh-CN" w:bidi="ar-SA"/>
              </w:rPr>
              <w:t>41</w:t>
            </w:r>
            <w:r>
              <w:rPr>
                <w:rFonts w:hint="default" w:ascii="Times New Roman" w:hAnsi="Times New Roman" w:eastAsia="宋体" w:cs="Times New Roman"/>
                <w:kern w:val="0"/>
                <w:sz w:val="24"/>
                <w:szCs w:val="20"/>
                <w:highlight w:val="none"/>
                <w:lang w:val="en-US" w:eastAsia="zh-CN" w:bidi="ar-SA"/>
              </w:rPr>
              <w:t>科；评价区分布有爬行动物12种，隶属于4目5科；两栖动物</w:t>
            </w:r>
            <w:r>
              <w:rPr>
                <w:rFonts w:hint="eastAsia" w:ascii="Times New Roman" w:hAnsi="Times New Roman" w:eastAsia="宋体" w:cs="Times New Roman"/>
                <w:kern w:val="0"/>
                <w:sz w:val="24"/>
                <w:szCs w:val="20"/>
                <w:highlight w:val="none"/>
                <w:lang w:val="en-US" w:eastAsia="zh-CN" w:bidi="ar-SA"/>
              </w:rPr>
              <w:t>15</w:t>
            </w:r>
            <w:r>
              <w:rPr>
                <w:rFonts w:hint="default" w:ascii="Times New Roman" w:hAnsi="Times New Roman" w:eastAsia="宋体" w:cs="Times New Roman"/>
                <w:kern w:val="0"/>
                <w:sz w:val="24"/>
                <w:szCs w:val="20"/>
                <w:highlight w:val="none"/>
                <w:lang w:val="en-US" w:eastAsia="zh-CN" w:bidi="ar-SA"/>
              </w:rPr>
              <w:t>种，分隶</w:t>
            </w:r>
            <w:r>
              <w:rPr>
                <w:rFonts w:hint="eastAsia" w:ascii="Times New Roman" w:hAnsi="Times New Roman" w:eastAsia="宋体" w:cs="Times New Roman"/>
                <w:kern w:val="0"/>
                <w:sz w:val="24"/>
                <w:szCs w:val="20"/>
                <w:highlight w:val="none"/>
                <w:lang w:val="en-US" w:eastAsia="zh-CN" w:bidi="ar-SA"/>
              </w:rPr>
              <w:t>2</w:t>
            </w:r>
            <w:r>
              <w:rPr>
                <w:rFonts w:hint="default" w:ascii="Times New Roman" w:hAnsi="Times New Roman" w:eastAsia="宋体" w:cs="Times New Roman"/>
                <w:kern w:val="0"/>
                <w:sz w:val="24"/>
                <w:szCs w:val="20"/>
                <w:highlight w:val="none"/>
                <w:lang w:val="en-US" w:eastAsia="zh-CN" w:bidi="ar-SA"/>
              </w:rPr>
              <w:t>目</w:t>
            </w:r>
            <w:r>
              <w:rPr>
                <w:rFonts w:hint="eastAsia" w:ascii="Times New Roman" w:hAnsi="Times New Roman" w:eastAsia="宋体" w:cs="Times New Roman"/>
                <w:kern w:val="0"/>
                <w:sz w:val="24"/>
                <w:szCs w:val="20"/>
                <w:highlight w:val="none"/>
                <w:lang w:val="en-US" w:eastAsia="zh-CN" w:bidi="ar-SA"/>
              </w:rPr>
              <w:t>5</w:t>
            </w:r>
            <w:r>
              <w:rPr>
                <w:rFonts w:hint="default" w:ascii="Times New Roman" w:hAnsi="Times New Roman" w:eastAsia="宋体" w:cs="Times New Roman"/>
                <w:kern w:val="0"/>
                <w:sz w:val="24"/>
                <w:szCs w:val="20"/>
                <w:highlight w:val="none"/>
                <w:lang w:val="en-US" w:eastAsia="zh-CN" w:bidi="ar-SA"/>
              </w:rPr>
              <w:t>科；</w:t>
            </w:r>
            <w:r>
              <w:rPr>
                <w:rFonts w:hint="eastAsia" w:ascii="Times New Roman" w:hAnsi="Times New Roman" w:eastAsia="宋体" w:cs="Times New Roman"/>
                <w:kern w:val="0"/>
                <w:sz w:val="24"/>
                <w:szCs w:val="20"/>
                <w:highlight w:val="none"/>
                <w:lang w:val="en-US" w:eastAsia="zh-CN" w:bidi="ar-SA"/>
              </w:rPr>
              <w:t>爬行</w:t>
            </w:r>
            <w:r>
              <w:rPr>
                <w:rFonts w:hint="default" w:ascii="Times New Roman" w:hAnsi="Times New Roman" w:eastAsia="宋体" w:cs="Times New Roman"/>
                <w:kern w:val="0"/>
                <w:sz w:val="24"/>
                <w:szCs w:val="20"/>
                <w:highlight w:val="none"/>
                <w:lang w:val="en-US" w:eastAsia="zh-CN" w:bidi="ar-SA"/>
              </w:rPr>
              <w:t>类共分布有</w:t>
            </w:r>
            <w:r>
              <w:rPr>
                <w:rFonts w:hint="eastAsia" w:ascii="Times New Roman" w:hAnsi="Times New Roman" w:eastAsia="宋体" w:cs="Times New Roman"/>
                <w:kern w:val="0"/>
                <w:sz w:val="24"/>
                <w:szCs w:val="20"/>
                <w:highlight w:val="none"/>
                <w:lang w:val="en-US" w:eastAsia="zh-CN" w:bidi="ar-SA"/>
              </w:rPr>
              <w:t>1</w:t>
            </w:r>
            <w:r>
              <w:rPr>
                <w:rFonts w:hint="default" w:ascii="Times New Roman" w:hAnsi="Times New Roman" w:eastAsia="宋体" w:cs="Times New Roman"/>
                <w:kern w:val="0"/>
                <w:sz w:val="24"/>
                <w:szCs w:val="20"/>
                <w:highlight w:val="none"/>
                <w:lang w:val="en-US" w:eastAsia="zh-CN" w:bidi="ar-SA"/>
              </w:rPr>
              <w:t>目</w:t>
            </w:r>
            <w:r>
              <w:rPr>
                <w:rFonts w:hint="eastAsia" w:ascii="Times New Roman" w:hAnsi="Times New Roman" w:eastAsia="宋体" w:cs="Times New Roman"/>
                <w:kern w:val="0"/>
                <w:sz w:val="24"/>
                <w:szCs w:val="20"/>
                <w:highlight w:val="none"/>
                <w:lang w:val="en-US" w:eastAsia="zh-CN" w:bidi="ar-SA"/>
              </w:rPr>
              <w:t>6</w:t>
            </w:r>
            <w:r>
              <w:rPr>
                <w:rFonts w:hint="default" w:ascii="Times New Roman" w:hAnsi="Times New Roman" w:eastAsia="宋体" w:cs="Times New Roman"/>
                <w:kern w:val="0"/>
                <w:sz w:val="24"/>
                <w:szCs w:val="20"/>
                <w:highlight w:val="none"/>
                <w:lang w:val="en-US" w:eastAsia="zh-CN" w:bidi="ar-SA"/>
              </w:rPr>
              <w:t>科</w:t>
            </w:r>
            <w:r>
              <w:rPr>
                <w:rFonts w:hint="eastAsia" w:ascii="Times New Roman" w:hAnsi="Times New Roman" w:eastAsia="宋体" w:cs="Times New Roman"/>
                <w:kern w:val="0"/>
                <w:sz w:val="24"/>
                <w:szCs w:val="20"/>
                <w:highlight w:val="none"/>
                <w:lang w:val="en-US" w:eastAsia="zh-CN" w:bidi="ar-SA"/>
              </w:rPr>
              <w:t>12</w:t>
            </w:r>
            <w:r>
              <w:rPr>
                <w:rFonts w:hint="default" w:ascii="Times New Roman" w:hAnsi="Times New Roman" w:eastAsia="宋体" w:cs="Times New Roman"/>
                <w:kern w:val="0"/>
                <w:sz w:val="24"/>
                <w:szCs w:val="20"/>
                <w:highlight w:val="none"/>
                <w:lang w:val="en-US" w:eastAsia="zh-CN" w:bidi="ar-SA"/>
              </w:rPr>
              <w:t>种</w:t>
            </w:r>
            <w:r>
              <w:rPr>
                <w:rFonts w:hint="eastAsia" w:ascii="Times New Roman" w:hAnsi="Times New Roman" w:eastAsia="宋体" w:cs="Times New Roman"/>
                <w:kern w:val="0"/>
                <w:sz w:val="24"/>
                <w:szCs w:val="20"/>
                <w:highlight w:val="none"/>
                <w:lang w:val="en-US" w:eastAsia="zh-CN" w:bidi="ar-SA"/>
              </w:rPr>
              <w:t>；哺乳类共分布有</w:t>
            </w:r>
            <w:r>
              <w:rPr>
                <w:rFonts w:hint="default" w:ascii="Times New Roman" w:hAnsi="Times New Roman" w:eastAsia="宋体" w:cs="Times New Roman"/>
                <w:snapToGrid w:val="0"/>
                <w:kern w:val="0"/>
                <w:sz w:val="24"/>
                <w:szCs w:val="22"/>
                <w:lang w:val="en-US" w:eastAsia="zh-CN" w:bidi="ar-SA"/>
              </w:rPr>
              <w:t>5目10科22种</w:t>
            </w:r>
            <w:r>
              <w:rPr>
                <w:rFonts w:hint="eastAsia" w:ascii="Times New Roman" w:hAnsi="Times New Roman" w:eastAsia="宋体" w:cs="Times New Roman"/>
                <w:snapToGrid w:val="0"/>
                <w:kern w:val="0"/>
                <w:sz w:val="24"/>
                <w:szCs w:val="22"/>
                <w:lang w:val="en-US" w:eastAsia="zh-CN" w:bidi="ar-SA"/>
              </w:rPr>
              <w:t>；鱼类共分布</w:t>
            </w:r>
            <w:r>
              <w:rPr>
                <w:rFonts w:hint="default" w:ascii="Times New Roman" w:hAnsi="Times New Roman" w:eastAsia="宋体" w:cs="Times New Roman"/>
                <w:snapToGrid w:val="0"/>
                <w:kern w:val="0"/>
                <w:sz w:val="24"/>
                <w:szCs w:val="22"/>
                <w:lang w:val="en-US" w:eastAsia="zh-CN" w:bidi="ar-SA"/>
              </w:rPr>
              <w:t>5目13科54种</w:t>
            </w:r>
            <w:r>
              <w:rPr>
                <w:rFonts w:hint="default" w:ascii="Times New Roman" w:hAnsi="Times New Roman" w:eastAsia="宋体" w:cs="Times New Roman"/>
                <w:kern w:val="0"/>
                <w:sz w:val="24"/>
                <w:szCs w:val="20"/>
                <w:highlight w:val="none"/>
                <w:lang w:val="en-US" w:eastAsia="zh-CN" w:bidi="ar-SA"/>
              </w:rPr>
              <w:t>，种类组成上总体较为贫瘠。均为本区域的常见种类，调查期间评价范围内未发现国家重点保护动物，也未发现重点保护动物的栖息地。</w:t>
            </w:r>
          </w:p>
          <w:p w14:paraId="5157B859">
            <w:pPr>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bookmarkStart w:id="33" w:name="_Toc8589"/>
            <w:bookmarkStart w:id="34" w:name="_Toc26856"/>
            <w:r>
              <w:rPr>
                <w:rFonts w:hint="default" w:ascii="Times New Roman" w:hAnsi="Times New Roman" w:eastAsia="宋体" w:cs="Times New Roman"/>
                <w:b/>
                <w:bCs/>
                <w:color w:val="auto"/>
                <w:sz w:val="24"/>
                <w:szCs w:val="24"/>
                <w:highlight w:val="none"/>
                <w:lang w:val="en-US" w:eastAsia="zh-CN"/>
              </w:rPr>
              <w:t>详见生态环境影响专项评价。</w:t>
            </w:r>
          </w:p>
          <w:p w14:paraId="390292AD">
            <w:pPr>
              <w:pStyle w:val="3"/>
              <w:spacing w:before="0" w:after="0" w:line="360" w:lineRule="auto"/>
              <w:rPr>
                <w:rFonts w:hint="default" w:ascii="Times New Roman" w:hAnsi="Times New Roman" w:eastAsia="宋体" w:cs="Times New Roman"/>
                <w:color w:val="auto"/>
                <w:sz w:val="24"/>
                <w:szCs w:val="24"/>
                <w:highlight w:val="none"/>
              </w:rPr>
            </w:pPr>
            <w:bookmarkStart w:id="35" w:name="_Toc16013"/>
            <w:bookmarkStart w:id="36" w:name="_Toc5344"/>
            <w:bookmarkStart w:id="37" w:name="_Toc25071"/>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环境质量现状调查与评价</w:t>
            </w:r>
            <w:bookmarkEnd w:id="33"/>
            <w:bookmarkEnd w:id="34"/>
            <w:bookmarkEnd w:id="35"/>
            <w:bookmarkEnd w:id="36"/>
            <w:bookmarkEnd w:id="37"/>
          </w:p>
          <w:p w14:paraId="3473934B">
            <w:pPr>
              <w:widowControl/>
              <w:spacing w:line="360" w:lineRule="auto"/>
              <w:ind w:firstLine="482"/>
              <w:rPr>
                <w:rFonts w:hint="default" w:ascii="Times New Roman" w:hAnsi="Times New Roman" w:cs="Times New Roman"/>
                <w:b/>
                <w:bCs/>
                <w:color w:val="auto"/>
                <w:sz w:val="24"/>
              </w:rPr>
            </w:pPr>
            <w:r>
              <w:rPr>
                <w:rFonts w:hint="default" w:ascii="Times New Roman" w:hAnsi="Times New Roman" w:cs="Times New Roman"/>
                <w:b/>
                <w:bCs/>
                <w:color w:val="auto"/>
                <w:sz w:val="24"/>
                <w:lang w:eastAsia="zh-CN"/>
              </w:rPr>
              <w:t>（</w:t>
            </w:r>
            <w:r>
              <w:rPr>
                <w:rFonts w:hint="default" w:ascii="Times New Roman" w:hAnsi="Times New Roman" w:cs="Times New Roman"/>
                <w:b/>
                <w:bCs/>
                <w:color w:val="auto"/>
                <w:sz w:val="24"/>
                <w:lang w:val="en-US" w:eastAsia="zh-CN"/>
              </w:rPr>
              <w:t>1</w:t>
            </w:r>
            <w:r>
              <w:rPr>
                <w:rFonts w:hint="default" w:ascii="Times New Roman" w:hAnsi="Times New Roman" w:cs="Times New Roman"/>
                <w:b/>
                <w:bCs/>
                <w:color w:val="auto"/>
                <w:sz w:val="24"/>
                <w:lang w:eastAsia="zh-CN"/>
              </w:rPr>
              <w:t>）</w:t>
            </w:r>
            <w:r>
              <w:rPr>
                <w:rFonts w:hint="default" w:ascii="Times New Roman" w:hAnsi="Times New Roman" w:cs="Times New Roman"/>
                <w:b/>
                <w:bCs/>
                <w:color w:val="auto"/>
                <w:sz w:val="24"/>
              </w:rPr>
              <w:t>环境空气质量现状评价</w:t>
            </w:r>
          </w:p>
          <w:p w14:paraId="3A0D8299">
            <w:pPr>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kern w:val="0"/>
                <w:sz w:val="24"/>
                <w:szCs w:val="20"/>
                <w:highlight w:val="none"/>
                <w:lang w:val="en-US" w:eastAsia="zh-CN" w:bidi="ar-SA"/>
              </w:rPr>
            </w:pPr>
            <w:r>
              <w:rPr>
                <w:rFonts w:hint="default" w:ascii="Times New Roman" w:hAnsi="Times New Roman" w:eastAsia="宋体" w:cs="Times New Roman"/>
                <w:kern w:val="0"/>
                <w:sz w:val="24"/>
                <w:szCs w:val="20"/>
                <w:highlight w:val="none"/>
                <w:lang w:val="en-US" w:eastAsia="zh-CN" w:bidi="ar-SA"/>
              </w:rPr>
              <w:t>根据《环境影响评价技术导则大气环境》（HJ2.2-2018），项目所在区域达标情况判定优先采用国家或地方生态环境主管部门公开发布的环境质量公告或环境质量报告中的数据或结论。</w:t>
            </w:r>
          </w:p>
          <w:p w14:paraId="45E8CDEE">
            <w:pPr>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kern w:val="0"/>
                <w:sz w:val="24"/>
                <w:szCs w:val="20"/>
                <w:highlight w:val="none"/>
                <w:lang w:val="en-US" w:eastAsia="zh-CN" w:bidi="ar-SA"/>
              </w:rPr>
            </w:pPr>
            <w:r>
              <w:rPr>
                <w:rFonts w:hint="default" w:ascii="Times New Roman" w:hAnsi="Times New Roman" w:eastAsia="宋体" w:cs="Times New Roman"/>
                <w:kern w:val="0"/>
                <w:sz w:val="24"/>
                <w:szCs w:val="20"/>
                <w:highlight w:val="none"/>
                <w:lang w:val="en-US" w:eastAsia="zh-CN" w:bidi="ar-SA"/>
              </w:rPr>
              <w:t>根据HJ2.2-2018中</w:t>
            </w:r>
            <w:r>
              <w:rPr>
                <w:rFonts w:hint="eastAsia" w:ascii="Times New Roman" w:hAnsi="Times New Roman" w:eastAsia="宋体" w:cs="Times New Roman"/>
                <w:kern w:val="0"/>
                <w:sz w:val="24"/>
                <w:szCs w:val="20"/>
                <w:highlight w:val="none"/>
                <w:lang w:val="en-US" w:eastAsia="zh-CN" w:bidi="ar-SA"/>
              </w:rPr>
              <w:t>“</w:t>
            </w:r>
            <w:r>
              <w:rPr>
                <w:rFonts w:hint="default" w:ascii="Times New Roman" w:hAnsi="Times New Roman" w:eastAsia="宋体" w:cs="Times New Roman"/>
                <w:kern w:val="0"/>
                <w:sz w:val="24"/>
                <w:szCs w:val="20"/>
                <w:highlight w:val="none"/>
                <w:lang w:val="en-US" w:eastAsia="zh-CN" w:bidi="ar-SA"/>
              </w:rPr>
              <w:t>6.2.1.3评价范围内没有环境空气质量监测网数据或公开发布的环境空气质量现状数据的，可选择符合HJ664规定，并且与评价范围地理位置邻近，地形、气候条件相近的环境空气质量城市点或区域点监测数据</w:t>
            </w:r>
            <w:r>
              <w:rPr>
                <w:rFonts w:hint="eastAsia" w:ascii="Times New Roman" w:hAnsi="Times New Roman" w:eastAsia="宋体" w:cs="Times New Roman"/>
                <w:kern w:val="0"/>
                <w:sz w:val="24"/>
                <w:szCs w:val="20"/>
                <w:highlight w:val="none"/>
                <w:lang w:val="en-US" w:eastAsia="zh-CN" w:bidi="ar-SA"/>
              </w:rPr>
              <w:t>”</w:t>
            </w:r>
            <w:r>
              <w:rPr>
                <w:rFonts w:hint="default" w:ascii="Times New Roman" w:hAnsi="Times New Roman" w:eastAsia="宋体" w:cs="Times New Roman"/>
                <w:kern w:val="0"/>
                <w:sz w:val="24"/>
                <w:szCs w:val="20"/>
                <w:highlight w:val="none"/>
                <w:lang w:val="en-US" w:eastAsia="zh-CN" w:bidi="ar-SA"/>
              </w:rPr>
              <w:t>，因此本次环评选用《202</w:t>
            </w:r>
            <w:r>
              <w:rPr>
                <w:rFonts w:hint="eastAsia" w:ascii="Times New Roman" w:hAnsi="Times New Roman" w:eastAsia="宋体" w:cs="Times New Roman"/>
                <w:kern w:val="0"/>
                <w:sz w:val="24"/>
                <w:szCs w:val="20"/>
                <w:highlight w:val="none"/>
                <w:lang w:val="en-US" w:eastAsia="zh-CN" w:bidi="ar-SA"/>
              </w:rPr>
              <w:t>4</w:t>
            </w:r>
            <w:r>
              <w:rPr>
                <w:rFonts w:hint="default" w:ascii="Times New Roman" w:hAnsi="Times New Roman" w:eastAsia="宋体" w:cs="Times New Roman"/>
                <w:kern w:val="0"/>
                <w:sz w:val="24"/>
                <w:szCs w:val="20"/>
                <w:highlight w:val="none"/>
                <w:lang w:val="en-US" w:eastAsia="zh-CN" w:bidi="ar-SA"/>
              </w:rPr>
              <w:t>年金寨县环境质量公报》，区域环境空气质量现状评价见下表。</w:t>
            </w:r>
          </w:p>
          <w:p w14:paraId="32D6460C">
            <w:pPr>
              <w:widowControl/>
              <w:bidi w:val="0"/>
              <w:spacing w:line="240" w:lineRule="auto"/>
              <w:jc w:val="center"/>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eastAsia="宋体" w:cs="Times New Roman"/>
                <w:b/>
                <w:bCs/>
                <w:kern w:val="2"/>
                <w:sz w:val="21"/>
                <w:szCs w:val="21"/>
                <w:highlight w:val="none"/>
                <w:lang w:val="en-US" w:eastAsia="zh-CN" w:bidi="ar-SA"/>
              </w:rPr>
              <w:t>表3-</w:t>
            </w:r>
            <w:r>
              <w:rPr>
                <w:rFonts w:hint="eastAsia" w:ascii="Times New Roman" w:hAnsi="Times New Roman" w:eastAsia="宋体" w:cs="Times New Roman"/>
                <w:b/>
                <w:bCs/>
                <w:kern w:val="2"/>
                <w:sz w:val="21"/>
                <w:szCs w:val="21"/>
                <w:highlight w:val="none"/>
                <w:lang w:val="en-US" w:eastAsia="zh-CN" w:bidi="ar-SA"/>
              </w:rPr>
              <w:t>2</w:t>
            </w:r>
            <w:r>
              <w:rPr>
                <w:rFonts w:hint="default" w:ascii="Times New Roman" w:hAnsi="Times New Roman" w:eastAsia="宋体" w:cs="Times New Roman"/>
                <w:b/>
                <w:bCs/>
                <w:kern w:val="2"/>
                <w:sz w:val="21"/>
                <w:szCs w:val="21"/>
                <w:highlight w:val="none"/>
                <w:lang w:val="en-US" w:eastAsia="zh-CN" w:bidi="ar-SA"/>
              </w:rPr>
              <w:t xml:space="preserve">  202</w:t>
            </w:r>
            <w:r>
              <w:rPr>
                <w:rFonts w:hint="eastAsia" w:ascii="Times New Roman" w:hAnsi="Times New Roman" w:eastAsia="宋体" w:cs="Times New Roman"/>
                <w:b/>
                <w:bCs/>
                <w:kern w:val="2"/>
                <w:sz w:val="21"/>
                <w:szCs w:val="21"/>
                <w:highlight w:val="none"/>
                <w:lang w:val="en-US" w:eastAsia="zh-CN" w:bidi="ar-SA"/>
              </w:rPr>
              <w:t>4</w:t>
            </w:r>
            <w:r>
              <w:rPr>
                <w:rFonts w:hint="default" w:ascii="Times New Roman" w:hAnsi="Times New Roman" w:eastAsia="宋体" w:cs="Times New Roman"/>
                <w:b/>
                <w:bCs/>
                <w:kern w:val="2"/>
                <w:sz w:val="21"/>
                <w:szCs w:val="21"/>
                <w:highlight w:val="none"/>
                <w:lang w:val="en-US" w:eastAsia="zh-CN" w:bidi="ar-SA"/>
              </w:rPr>
              <w:t>年</w:t>
            </w:r>
            <w:r>
              <w:rPr>
                <w:rFonts w:hint="eastAsia" w:ascii="Times New Roman" w:hAnsi="Times New Roman" w:eastAsia="宋体" w:cs="Times New Roman"/>
                <w:b/>
                <w:bCs/>
                <w:kern w:val="2"/>
                <w:sz w:val="21"/>
                <w:szCs w:val="21"/>
                <w:highlight w:val="none"/>
                <w:lang w:val="en-US" w:eastAsia="zh-CN" w:bidi="ar-SA"/>
              </w:rPr>
              <w:t>金寨县</w:t>
            </w:r>
            <w:r>
              <w:rPr>
                <w:rFonts w:hint="default" w:ascii="Times New Roman" w:hAnsi="Times New Roman" w:eastAsia="宋体" w:cs="Times New Roman"/>
                <w:b/>
                <w:bCs/>
                <w:kern w:val="2"/>
                <w:sz w:val="21"/>
                <w:szCs w:val="21"/>
                <w:highlight w:val="none"/>
                <w:lang w:val="en-US" w:eastAsia="zh-CN" w:bidi="ar-SA"/>
              </w:rPr>
              <w:t>环境空气监测结果</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3"/>
              <w:gridCol w:w="3202"/>
              <w:gridCol w:w="1000"/>
              <w:gridCol w:w="1180"/>
              <w:gridCol w:w="950"/>
              <w:gridCol w:w="714"/>
            </w:tblGrid>
            <w:tr w14:paraId="02C2C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607" w:type="pct"/>
                  <w:noWrap w:val="0"/>
                  <w:vAlign w:val="center"/>
                </w:tcPr>
                <w:p w14:paraId="51B10522">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污染物</w:t>
                  </w:r>
                </w:p>
              </w:tc>
              <w:tc>
                <w:tcPr>
                  <w:tcW w:w="1995" w:type="pct"/>
                  <w:noWrap w:val="0"/>
                  <w:vAlign w:val="center"/>
                </w:tcPr>
                <w:p w14:paraId="2742B01B">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平均时间</w:t>
                  </w:r>
                </w:p>
              </w:tc>
              <w:tc>
                <w:tcPr>
                  <w:tcW w:w="623" w:type="pct"/>
                  <w:noWrap w:val="0"/>
                  <w:vAlign w:val="center"/>
                </w:tcPr>
                <w:p w14:paraId="7A95E9D4">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浓度</w:t>
                  </w:r>
                </w:p>
                <w:p w14:paraId="1B9AEAF5">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μg/m</w:t>
                  </w:r>
                  <w:r>
                    <w:rPr>
                      <w:rFonts w:hint="default" w:ascii="Times New Roman" w:hAnsi="Times New Roman" w:eastAsia="宋体" w:cs="Times New Roman"/>
                      <w:b/>
                      <w:bCs/>
                      <w:kern w:val="0"/>
                      <w:sz w:val="21"/>
                      <w:szCs w:val="21"/>
                      <w:vertAlign w:val="superscript"/>
                      <w:lang w:val="en-US" w:eastAsia="zh-CN" w:bidi="ar-SA"/>
                    </w:rPr>
                    <w:t>3</w:t>
                  </w:r>
                </w:p>
              </w:tc>
              <w:tc>
                <w:tcPr>
                  <w:tcW w:w="735" w:type="pct"/>
                  <w:noWrap w:val="0"/>
                  <w:vAlign w:val="center"/>
                </w:tcPr>
                <w:p w14:paraId="20389900">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浓度限值</w:t>
                  </w:r>
                </w:p>
                <w:p w14:paraId="65FE437C">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μg/m</w:t>
                  </w:r>
                  <w:r>
                    <w:rPr>
                      <w:rFonts w:hint="default" w:ascii="Times New Roman" w:hAnsi="Times New Roman" w:eastAsia="宋体" w:cs="Times New Roman"/>
                      <w:b/>
                      <w:bCs/>
                      <w:kern w:val="0"/>
                      <w:sz w:val="21"/>
                      <w:szCs w:val="21"/>
                      <w:vertAlign w:val="superscript"/>
                      <w:lang w:val="en-US" w:eastAsia="zh-CN" w:bidi="ar-SA"/>
                    </w:rPr>
                    <w:t>3</w:t>
                  </w:r>
                </w:p>
              </w:tc>
              <w:tc>
                <w:tcPr>
                  <w:tcW w:w="592" w:type="pct"/>
                  <w:noWrap w:val="0"/>
                  <w:vAlign w:val="center"/>
                </w:tcPr>
                <w:p w14:paraId="7092E832">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占标率</w:t>
                  </w:r>
                </w:p>
                <w:p w14:paraId="36A1FB5F">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w:t>
                  </w:r>
                </w:p>
              </w:tc>
              <w:tc>
                <w:tcPr>
                  <w:tcW w:w="445" w:type="pct"/>
                  <w:noWrap w:val="0"/>
                  <w:vAlign w:val="center"/>
                </w:tcPr>
                <w:p w14:paraId="686F5AD7">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达标</w:t>
                  </w:r>
                </w:p>
                <w:p w14:paraId="465F11D1">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情况</w:t>
                  </w:r>
                </w:p>
              </w:tc>
            </w:tr>
            <w:tr w14:paraId="5FE7C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7" w:type="pct"/>
                  <w:noWrap w:val="0"/>
                  <w:vAlign w:val="center"/>
                </w:tcPr>
                <w:p w14:paraId="0B850ED7">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SO</w:t>
                  </w:r>
                  <w:r>
                    <w:rPr>
                      <w:rFonts w:hint="default" w:ascii="Times New Roman" w:hAnsi="Times New Roman" w:eastAsia="宋体" w:cs="Times New Roman"/>
                      <w:kern w:val="0"/>
                      <w:sz w:val="21"/>
                      <w:szCs w:val="21"/>
                      <w:vertAlign w:val="subscript"/>
                      <w:lang w:val="en-US" w:eastAsia="zh-CN" w:bidi="ar-SA"/>
                    </w:rPr>
                    <w:t>2</w:t>
                  </w:r>
                </w:p>
              </w:tc>
              <w:tc>
                <w:tcPr>
                  <w:tcW w:w="1995" w:type="pct"/>
                  <w:noWrap w:val="0"/>
                  <w:vAlign w:val="center"/>
                </w:tcPr>
                <w:p w14:paraId="47368859">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年平均</w:t>
                  </w:r>
                </w:p>
              </w:tc>
              <w:tc>
                <w:tcPr>
                  <w:tcW w:w="623" w:type="pct"/>
                  <w:noWrap w:val="0"/>
                  <w:vAlign w:val="center"/>
                </w:tcPr>
                <w:p w14:paraId="2562B998">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5</w:t>
                  </w:r>
                </w:p>
              </w:tc>
              <w:tc>
                <w:tcPr>
                  <w:tcW w:w="735" w:type="pct"/>
                  <w:noWrap w:val="0"/>
                  <w:vAlign w:val="center"/>
                </w:tcPr>
                <w:p w14:paraId="7262AE9E">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60</w:t>
                  </w:r>
                </w:p>
              </w:tc>
              <w:tc>
                <w:tcPr>
                  <w:tcW w:w="943" w:type="dxa"/>
                  <w:noWrap w:val="0"/>
                  <w:vAlign w:val="center"/>
                </w:tcPr>
                <w:p w14:paraId="27DCAD34">
                  <w:pPr>
                    <w:keepNext w:val="0"/>
                    <w:keepLines w:val="0"/>
                    <w:widowControl/>
                    <w:suppressLineNumbers w:val="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8.33 </w:t>
                  </w:r>
                </w:p>
              </w:tc>
              <w:tc>
                <w:tcPr>
                  <w:tcW w:w="445" w:type="pct"/>
                  <w:vMerge w:val="restart"/>
                  <w:noWrap w:val="0"/>
                  <w:vAlign w:val="center"/>
                </w:tcPr>
                <w:p w14:paraId="298C48FF">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达标</w:t>
                  </w:r>
                </w:p>
              </w:tc>
            </w:tr>
            <w:tr w14:paraId="6E3F2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7" w:type="pct"/>
                  <w:noWrap w:val="0"/>
                  <w:vAlign w:val="center"/>
                </w:tcPr>
                <w:p w14:paraId="45DE037E">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NO</w:t>
                  </w:r>
                  <w:r>
                    <w:rPr>
                      <w:rFonts w:hint="default" w:ascii="Times New Roman" w:hAnsi="Times New Roman" w:eastAsia="宋体" w:cs="Times New Roman"/>
                      <w:kern w:val="0"/>
                      <w:sz w:val="21"/>
                      <w:szCs w:val="21"/>
                      <w:vertAlign w:val="subscript"/>
                      <w:lang w:val="en-US" w:eastAsia="zh-CN" w:bidi="ar-SA"/>
                    </w:rPr>
                    <w:t>2</w:t>
                  </w:r>
                </w:p>
              </w:tc>
              <w:tc>
                <w:tcPr>
                  <w:tcW w:w="1995" w:type="pct"/>
                  <w:noWrap w:val="0"/>
                  <w:vAlign w:val="center"/>
                </w:tcPr>
                <w:p w14:paraId="1A0F6CBB">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年平均</w:t>
                  </w:r>
                </w:p>
              </w:tc>
              <w:tc>
                <w:tcPr>
                  <w:tcW w:w="623" w:type="pct"/>
                  <w:noWrap w:val="0"/>
                  <w:vAlign w:val="center"/>
                </w:tcPr>
                <w:p w14:paraId="4C75A855">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15</w:t>
                  </w:r>
                </w:p>
              </w:tc>
              <w:tc>
                <w:tcPr>
                  <w:tcW w:w="735" w:type="pct"/>
                  <w:noWrap w:val="0"/>
                  <w:vAlign w:val="center"/>
                </w:tcPr>
                <w:p w14:paraId="11EE243F">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40</w:t>
                  </w:r>
                </w:p>
              </w:tc>
              <w:tc>
                <w:tcPr>
                  <w:tcW w:w="943" w:type="dxa"/>
                  <w:noWrap w:val="0"/>
                  <w:vAlign w:val="center"/>
                </w:tcPr>
                <w:p w14:paraId="050FE514">
                  <w:pPr>
                    <w:keepNext w:val="0"/>
                    <w:keepLines w:val="0"/>
                    <w:widowControl/>
                    <w:suppressLineNumbers w:val="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37.50 </w:t>
                  </w:r>
                </w:p>
              </w:tc>
              <w:tc>
                <w:tcPr>
                  <w:tcW w:w="445" w:type="pct"/>
                  <w:vMerge w:val="continue"/>
                  <w:noWrap w:val="0"/>
                  <w:vAlign w:val="top"/>
                </w:tcPr>
                <w:p w14:paraId="082F3A86">
                  <w:pPr>
                    <w:keepNext w:val="0"/>
                    <w:keepLines w:val="0"/>
                    <w:pageBreakBefore w:val="0"/>
                    <w:widowControl w:val="0"/>
                    <w:suppressLineNumbers w:val="0"/>
                    <w:kinsoku/>
                    <w:wordWrap/>
                    <w:overflowPunct/>
                    <w:topLinePunct w:val="0"/>
                    <w:bidi w:val="0"/>
                    <w:spacing w:before="0" w:beforeAutospacing="0" w:after="0" w:afterLines="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p>
              </w:tc>
            </w:tr>
            <w:tr w14:paraId="64134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7" w:type="pct"/>
                  <w:noWrap w:val="0"/>
                  <w:vAlign w:val="center"/>
                </w:tcPr>
                <w:p w14:paraId="2D307E58">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O</w:t>
                  </w:r>
                  <w:r>
                    <w:rPr>
                      <w:rFonts w:hint="default" w:ascii="Times New Roman" w:hAnsi="Times New Roman" w:eastAsia="宋体" w:cs="Times New Roman"/>
                      <w:kern w:val="0"/>
                      <w:sz w:val="21"/>
                      <w:szCs w:val="21"/>
                      <w:vertAlign w:val="subscript"/>
                      <w:lang w:val="en-US" w:eastAsia="zh-CN" w:bidi="ar-SA"/>
                    </w:rPr>
                    <w:t>3</w:t>
                  </w:r>
                </w:p>
              </w:tc>
              <w:tc>
                <w:tcPr>
                  <w:tcW w:w="1995" w:type="pct"/>
                  <w:noWrap w:val="0"/>
                  <w:vAlign w:val="center"/>
                </w:tcPr>
                <w:p w14:paraId="71EEAE1E">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8h平均浓度第90百分位浓度</w:t>
                  </w:r>
                </w:p>
              </w:tc>
              <w:tc>
                <w:tcPr>
                  <w:tcW w:w="623" w:type="pct"/>
                  <w:noWrap w:val="0"/>
                  <w:vAlign w:val="center"/>
                </w:tcPr>
                <w:p w14:paraId="19A412BD">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138</w:t>
                  </w:r>
                </w:p>
              </w:tc>
              <w:tc>
                <w:tcPr>
                  <w:tcW w:w="735" w:type="pct"/>
                  <w:noWrap w:val="0"/>
                  <w:vAlign w:val="center"/>
                </w:tcPr>
                <w:p w14:paraId="1F7B3529">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160</w:t>
                  </w:r>
                </w:p>
              </w:tc>
              <w:tc>
                <w:tcPr>
                  <w:tcW w:w="943" w:type="dxa"/>
                  <w:noWrap w:val="0"/>
                  <w:vAlign w:val="center"/>
                </w:tcPr>
                <w:p w14:paraId="74FC2C47">
                  <w:pPr>
                    <w:keepNext w:val="0"/>
                    <w:keepLines w:val="0"/>
                    <w:widowControl/>
                    <w:suppressLineNumbers w:val="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86.25 </w:t>
                  </w:r>
                </w:p>
              </w:tc>
              <w:tc>
                <w:tcPr>
                  <w:tcW w:w="445" w:type="pct"/>
                  <w:vMerge w:val="continue"/>
                  <w:noWrap w:val="0"/>
                  <w:vAlign w:val="top"/>
                </w:tcPr>
                <w:p w14:paraId="52440CEA">
                  <w:pPr>
                    <w:keepNext w:val="0"/>
                    <w:keepLines w:val="0"/>
                    <w:pageBreakBefore w:val="0"/>
                    <w:widowControl w:val="0"/>
                    <w:suppressLineNumbers w:val="0"/>
                    <w:kinsoku/>
                    <w:wordWrap/>
                    <w:overflowPunct/>
                    <w:topLinePunct w:val="0"/>
                    <w:bidi w:val="0"/>
                    <w:spacing w:before="0" w:beforeAutospacing="0" w:after="0" w:afterLines="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p>
              </w:tc>
            </w:tr>
            <w:tr w14:paraId="1D7F3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7" w:type="pct"/>
                  <w:noWrap w:val="0"/>
                  <w:vAlign w:val="center"/>
                </w:tcPr>
                <w:p w14:paraId="785164AB">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PM</w:t>
                  </w:r>
                  <w:r>
                    <w:rPr>
                      <w:rFonts w:hint="default" w:ascii="Times New Roman" w:hAnsi="Times New Roman" w:eastAsia="宋体" w:cs="Times New Roman"/>
                      <w:kern w:val="0"/>
                      <w:sz w:val="21"/>
                      <w:szCs w:val="21"/>
                      <w:vertAlign w:val="subscript"/>
                      <w:lang w:val="en-US" w:eastAsia="zh-CN" w:bidi="ar-SA"/>
                    </w:rPr>
                    <w:t>10</w:t>
                  </w:r>
                </w:p>
              </w:tc>
              <w:tc>
                <w:tcPr>
                  <w:tcW w:w="1995" w:type="pct"/>
                  <w:noWrap w:val="0"/>
                  <w:vAlign w:val="center"/>
                </w:tcPr>
                <w:p w14:paraId="0E218362">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年平均</w:t>
                  </w:r>
                </w:p>
              </w:tc>
              <w:tc>
                <w:tcPr>
                  <w:tcW w:w="623" w:type="pct"/>
                  <w:noWrap w:val="0"/>
                  <w:vAlign w:val="center"/>
                </w:tcPr>
                <w:p w14:paraId="2BA841BF">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49</w:t>
                  </w:r>
                </w:p>
              </w:tc>
              <w:tc>
                <w:tcPr>
                  <w:tcW w:w="735" w:type="pct"/>
                  <w:noWrap w:val="0"/>
                  <w:vAlign w:val="center"/>
                </w:tcPr>
                <w:p w14:paraId="6F5129DB">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70</w:t>
                  </w:r>
                </w:p>
              </w:tc>
              <w:tc>
                <w:tcPr>
                  <w:tcW w:w="943" w:type="dxa"/>
                  <w:noWrap w:val="0"/>
                  <w:vAlign w:val="center"/>
                </w:tcPr>
                <w:p w14:paraId="43A890A0">
                  <w:pPr>
                    <w:keepNext w:val="0"/>
                    <w:keepLines w:val="0"/>
                    <w:widowControl/>
                    <w:suppressLineNumbers w:val="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70.00 </w:t>
                  </w:r>
                </w:p>
              </w:tc>
              <w:tc>
                <w:tcPr>
                  <w:tcW w:w="445" w:type="pct"/>
                  <w:vMerge w:val="continue"/>
                  <w:noWrap w:val="0"/>
                  <w:vAlign w:val="top"/>
                </w:tcPr>
                <w:p w14:paraId="73A1973C">
                  <w:pPr>
                    <w:keepNext w:val="0"/>
                    <w:keepLines w:val="0"/>
                    <w:pageBreakBefore w:val="0"/>
                    <w:widowControl w:val="0"/>
                    <w:suppressLineNumbers w:val="0"/>
                    <w:kinsoku/>
                    <w:wordWrap/>
                    <w:overflowPunct/>
                    <w:topLinePunct w:val="0"/>
                    <w:bidi w:val="0"/>
                    <w:spacing w:before="0" w:beforeAutospacing="0" w:after="0" w:afterLines="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p>
              </w:tc>
            </w:tr>
            <w:tr w14:paraId="18B8E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7" w:type="pct"/>
                  <w:noWrap w:val="0"/>
                  <w:vAlign w:val="center"/>
                </w:tcPr>
                <w:p w14:paraId="0A14491D">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PM</w:t>
                  </w:r>
                  <w:r>
                    <w:rPr>
                      <w:rFonts w:hint="default" w:ascii="Times New Roman" w:hAnsi="Times New Roman" w:eastAsia="宋体" w:cs="Times New Roman"/>
                      <w:kern w:val="0"/>
                      <w:sz w:val="21"/>
                      <w:szCs w:val="21"/>
                      <w:vertAlign w:val="subscript"/>
                      <w:lang w:val="en-US" w:eastAsia="zh-CN" w:bidi="ar-SA"/>
                    </w:rPr>
                    <w:t>2.5</w:t>
                  </w:r>
                </w:p>
              </w:tc>
              <w:tc>
                <w:tcPr>
                  <w:tcW w:w="1995" w:type="pct"/>
                  <w:noWrap w:val="0"/>
                  <w:vAlign w:val="center"/>
                </w:tcPr>
                <w:p w14:paraId="643CFD0F">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年平均</w:t>
                  </w:r>
                </w:p>
              </w:tc>
              <w:tc>
                <w:tcPr>
                  <w:tcW w:w="623" w:type="pct"/>
                  <w:noWrap w:val="0"/>
                  <w:vAlign w:val="center"/>
                </w:tcPr>
                <w:p w14:paraId="599CD7DC">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31</w:t>
                  </w:r>
                </w:p>
              </w:tc>
              <w:tc>
                <w:tcPr>
                  <w:tcW w:w="735" w:type="pct"/>
                  <w:noWrap w:val="0"/>
                  <w:vAlign w:val="center"/>
                </w:tcPr>
                <w:p w14:paraId="417BA237">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35</w:t>
                  </w:r>
                </w:p>
              </w:tc>
              <w:tc>
                <w:tcPr>
                  <w:tcW w:w="943" w:type="dxa"/>
                  <w:noWrap w:val="0"/>
                  <w:vAlign w:val="center"/>
                </w:tcPr>
                <w:p w14:paraId="6BC3C6B0">
                  <w:pPr>
                    <w:keepNext w:val="0"/>
                    <w:keepLines w:val="0"/>
                    <w:widowControl/>
                    <w:suppressLineNumbers w:val="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88.57 </w:t>
                  </w:r>
                </w:p>
              </w:tc>
              <w:tc>
                <w:tcPr>
                  <w:tcW w:w="445" w:type="pct"/>
                  <w:vMerge w:val="continue"/>
                  <w:noWrap w:val="0"/>
                  <w:vAlign w:val="top"/>
                </w:tcPr>
                <w:p w14:paraId="7E704596">
                  <w:pPr>
                    <w:keepNext w:val="0"/>
                    <w:keepLines w:val="0"/>
                    <w:pageBreakBefore w:val="0"/>
                    <w:widowControl w:val="0"/>
                    <w:suppressLineNumbers w:val="0"/>
                    <w:kinsoku/>
                    <w:wordWrap/>
                    <w:overflowPunct/>
                    <w:topLinePunct w:val="0"/>
                    <w:bidi w:val="0"/>
                    <w:spacing w:before="0" w:beforeAutospacing="0" w:after="0" w:afterLines="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p>
              </w:tc>
            </w:tr>
            <w:tr w14:paraId="3E7E1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7" w:type="pct"/>
                  <w:noWrap w:val="0"/>
                  <w:vAlign w:val="center"/>
                </w:tcPr>
                <w:p w14:paraId="7560280F">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CO</w:t>
                  </w:r>
                </w:p>
              </w:tc>
              <w:tc>
                <w:tcPr>
                  <w:tcW w:w="1995" w:type="pct"/>
                  <w:noWrap w:val="0"/>
                  <w:vAlign w:val="center"/>
                </w:tcPr>
                <w:p w14:paraId="26A84725">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日均值第95百分位浓度</w:t>
                  </w:r>
                </w:p>
              </w:tc>
              <w:tc>
                <w:tcPr>
                  <w:tcW w:w="623" w:type="pct"/>
                  <w:noWrap w:val="0"/>
                  <w:vAlign w:val="center"/>
                </w:tcPr>
                <w:p w14:paraId="7DBF026B">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8</w:t>
                  </w:r>
                  <w:r>
                    <w:rPr>
                      <w:rFonts w:hint="default" w:ascii="Times New Roman" w:hAnsi="Times New Roman" w:eastAsia="宋体" w:cs="Times New Roman"/>
                      <w:kern w:val="0"/>
                      <w:sz w:val="21"/>
                      <w:szCs w:val="21"/>
                      <w:lang w:val="en-US" w:eastAsia="zh-CN" w:bidi="ar-SA"/>
                    </w:rPr>
                    <w:t>00</w:t>
                  </w:r>
                </w:p>
              </w:tc>
              <w:tc>
                <w:tcPr>
                  <w:tcW w:w="735" w:type="pct"/>
                  <w:noWrap w:val="0"/>
                  <w:vAlign w:val="center"/>
                </w:tcPr>
                <w:p w14:paraId="20B0FF23">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4000</w:t>
                  </w:r>
                </w:p>
              </w:tc>
              <w:tc>
                <w:tcPr>
                  <w:tcW w:w="943" w:type="dxa"/>
                  <w:noWrap w:val="0"/>
                  <w:vAlign w:val="center"/>
                </w:tcPr>
                <w:p w14:paraId="1C8C39E4">
                  <w:pPr>
                    <w:keepNext w:val="0"/>
                    <w:keepLines w:val="0"/>
                    <w:widowControl/>
                    <w:suppressLineNumbers w:val="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20.00 </w:t>
                  </w:r>
                </w:p>
              </w:tc>
              <w:tc>
                <w:tcPr>
                  <w:tcW w:w="445" w:type="pct"/>
                  <w:vMerge w:val="continue"/>
                  <w:noWrap w:val="0"/>
                  <w:vAlign w:val="top"/>
                </w:tcPr>
                <w:p w14:paraId="640EE1EF">
                  <w:pPr>
                    <w:keepNext w:val="0"/>
                    <w:keepLines w:val="0"/>
                    <w:pageBreakBefore w:val="0"/>
                    <w:widowControl w:val="0"/>
                    <w:suppressLineNumbers w:val="0"/>
                    <w:kinsoku/>
                    <w:wordWrap/>
                    <w:overflowPunct/>
                    <w:topLinePunct w:val="0"/>
                    <w:bidi w:val="0"/>
                    <w:spacing w:before="0" w:beforeAutospacing="0" w:after="0" w:afterLines="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p>
              </w:tc>
            </w:tr>
          </w:tbl>
          <w:p w14:paraId="327E1455">
            <w:pPr>
              <w:keepNext w:val="0"/>
              <w:keepLines w:val="0"/>
              <w:widowControl/>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cs="Times New Roman"/>
                <w:color w:val="auto"/>
                <w:sz w:val="24"/>
                <w:szCs w:val="24"/>
              </w:rPr>
              <w:t>根据上表：项目所在区域2023年SO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、NO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、可吸入颗粒物（PM</w:t>
            </w:r>
            <w:r>
              <w:rPr>
                <w:rFonts w:hint="default" w:ascii="Times New Roman" w:hAnsi="Times New Roman" w:cs="Times New Roman"/>
                <w:color w:val="auto"/>
                <w:sz w:val="24"/>
                <w:szCs w:val="24"/>
                <w:vertAlign w:val="subscript"/>
              </w:rPr>
              <w:t>10</w:t>
            </w:r>
            <w:r>
              <w:rPr>
                <w:rFonts w:hint="default" w:ascii="Times New Roman" w:hAnsi="Times New Roman" w:cs="Times New Roman"/>
                <w:color w:val="auto"/>
                <w:sz w:val="24"/>
                <w:szCs w:val="24"/>
              </w:rPr>
              <w:t>）、细颗粒物（PM</w:t>
            </w:r>
            <w:r>
              <w:rPr>
                <w:rFonts w:hint="default" w:ascii="Times New Roman" w:hAnsi="Times New Roman" w:cs="Times New Roman"/>
                <w:color w:val="auto"/>
                <w:sz w:val="24"/>
                <w:szCs w:val="24"/>
                <w:vertAlign w:val="subscript"/>
              </w:rPr>
              <w:t>2.5</w:t>
            </w:r>
            <w:r>
              <w:rPr>
                <w:rFonts w:hint="default" w:ascii="Times New Roman" w:hAnsi="Times New Roman" w:cs="Times New Roman"/>
                <w:color w:val="auto"/>
                <w:sz w:val="24"/>
                <w:szCs w:val="24"/>
              </w:rPr>
              <w:t>）年平均浓度、O</w:t>
            </w:r>
            <w:r>
              <w:rPr>
                <w:rFonts w:hint="default" w:ascii="Times New Roman" w:hAnsi="Times New Roman" w:cs="Times New Roman"/>
                <w:color w:val="auto"/>
                <w:sz w:val="24"/>
                <w:szCs w:val="24"/>
                <w:vertAlign w:val="subscript"/>
              </w:rPr>
              <w:t>3</w:t>
            </w:r>
            <w:r>
              <w:rPr>
                <w:rFonts w:hint="default" w:ascii="Times New Roman" w:hAnsi="Times New Roman" w:cs="Times New Roman"/>
                <w:color w:val="auto"/>
                <w:sz w:val="24"/>
                <w:szCs w:val="24"/>
              </w:rPr>
              <w:t>八小时平均浓度第90百分位浓度、O</w:t>
            </w:r>
            <w:r>
              <w:rPr>
                <w:rFonts w:hint="default" w:ascii="Times New Roman" w:hAnsi="Times New Roman" w:cs="Times New Roman"/>
                <w:color w:val="auto"/>
                <w:sz w:val="24"/>
                <w:szCs w:val="24"/>
                <w:vertAlign w:val="subscript"/>
              </w:rPr>
              <w:t>3</w:t>
            </w:r>
            <w:r>
              <w:rPr>
                <w:rFonts w:hint="default" w:ascii="Times New Roman" w:hAnsi="Times New Roman" w:cs="Times New Roman"/>
                <w:color w:val="auto"/>
                <w:sz w:val="24"/>
                <w:szCs w:val="24"/>
              </w:rPr>
              <w:t>八小时平均浓度第90百分位浓度均满足《环境空气质量标准》（GB3095-2012）中二级标准。根据《环境影响评价技术导则大气环境》（HJ2.2-2018），项目所在区域判定为达标区。</w:t>
            </w:r>
          </w:p>
          <w:p w14:paraId="177214E4">
            <w:pPr>
              <w:pStyle w:val="9"/>
              <w:spacing w:before="0" w:after="0" w:line="360" w:lineRule="auto"/>
              <w:ind w:firstLine="482" w:firstLineChars="200"/>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lang w:val="en-US" w:eastAsia="zh-CN"/>
              </w:rPr>
              <w:t>（2）地表水</w:t>
            </w:r>
            <w:r>
              <w:rPr>
                <w:rFonts w:hint="default" w:ascii="Times New Roman" w:hAnsi="Times New Roman" w:eastAsia="宋体" w:cs="Times New Roman"/>
                <w:b/>
                <w:bCs/>
                <w:color w:val="auto"/>
                <w:kern w:val="2"/>
                <w:sz w:val="24"/>
                <w:szCs w:val="24"/>
              </w:rPr>
              <w:t>环境质量现状评价</w:t>
            </w:r>
          </w:p>
          <w:p w14:paraId="754FE0CD">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kern w:val="0"/>
                <w:sz w:val="24"/>
                <w:szCs w:val="24"/>
                <w:highlight w:val="none"/>
                <w:lang w:val="en-US" w:eastAsia="zh-CN"/>
              </w:rPr>
            </w:pPr>
            <w:r>
              <w:rPr>
                <w:rFonts w:hint="default" w:ascii="Times New Roman" w:hAnsi="Times New Roman" w:eastAsia="宋体" w:cs="Times New Roman"/>
                <w:color w:val="000000"/>
                <w:kern w:val="0"/>
                <w:sz w:val="24"/>
                <w:szCs w:val="24"/>
                <w:highlight w:val="none"/>
                <w:lang w:val="en-US" w:eastAsia="zh-CN"/>
              </w:rPr>
              <w:t>根据六安市金寨县生态环境分局2025年4月28日发布的《2024年金寨县环境质量年报》：2024年金寨县国控监测断面共5个，总体水质状况良好，水质年均达到Ⅱ类，均达到考核目标要求。2024年金寨县省控监测断面共1个，总体水质状况良好，水质年均达到Ⅱ类，达到考核目标要求。</w:t>
            </w:r>
          </w:p>
          <w:p w14:paraId="168B5BA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kern w:val="0"/>
                <w:sz w:val="24"/>
                <w:szCs w:val="24"/>
                <w:highlight w:val="none"/>
                <w:lang w:val="en-US" w:eastAsia="zh-CN"/>
              </w:rPr>
            </w:pPr>
            <w:r>
              <w:rPr>
                <w:rFonts w:hint="default" w:ascii="Times New Roman" w:hAnsi="Times New Roman" w:eastAsia="宋体" w:cs="Times New Roman"/>
                <w:color w:val="auto"/>
                <w:kern w:val="2"/>
                <w:sz w:val="24"/>
                <w:szCs w:val="22"/>
                <w:lang w:val="en-US" w:eastAsia="zh-CN" w:bidi="ar"/>
              </w:rPr>
              <w:t>项目区域</w:t>
            </w:r>
            <w:r>
              <w:rPr>
                <w:rFonts w:hint="default" w:ascii="Times New Roman" w:hAnsi="Times New Roman" w:eastAsia="宋体" w:cs="Times New Roman"/>
                <w:color w:val="000000"/>
                <w:kern w:val="0"/>
                <w:sz w:val="24"/>
                <w:szCs w:val="24"/>
                <w:highlight w:val="none"/>
                <w:lang w:val="en-US" w:eastAsia="zh-CN"/>
              </w:rPr>
              <w:t>地表水</w:t>
            </w:r>
            <w:r>
              <w:rPr>
                <w:rFonts w:hint="default" w:ascii="Times New Roman" w:hAnsi="Times New Roman" w:eastAsia="宋体" w:cs="Times New Roman"/>
                <w:color w:val="auto"/>
                <w:kern w:val="2"/>
                <w:sz w:val="24"/>
                <w:szCs w:val="22"/>
                <w:lang w:val="en-US" w:eastAsia="zh-CN" w:bidi="ar"/>
              </w:rPr>
              <w:t>环境质量现状引用《安徽金沙钼业有限公司金寨县沙坪沟钼矿采选项目环境影响报告书》中的监测数据</w:t>
            </w:r>
            <w:r>
              <w:rPr>
                <w:rFonts w:hint="default" w:ascii="Times New Roman" w:hAnsi="Times New Roman" w:eastAsia="宋体" w:cs="Times New Roman"/>
                <w:kern w:val="2"/>
                <w:sz w:val="24"/>
                <w:szCs w:val="24"/>
                <w:lang w:val="en-US" w:eastAsia="zh-CN" w:bidi="ar-SA"/>
              </w:rPr>
              <w:t>，</w:t>
            </w:r>
            <w:r>
              <w:rPr>
                <w:rFonts w:hint="default" w:ascii="Times New Roman" w:hAnsi="Times New Roman" w:eastAsia="宋体" w:cs="Times New Roman"/>
                <w:color w:val="000000"/>
                <w:kern w:val="0"/>
                <w:sz w:val="24"/>
                <w:szCs w:val="24"/>
                <w:highlight w:val="none"/>
                <w:lang w:val="en-US" w:eastAsia="zh-CN"/>
              </w:rPr>
              <w:t>监测时间为2024年7月31日~2024年8月3日。</w:t>
            </w:r>
          </w:p>
          <w:p w14:paraId="5DDD37E2">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spacing w:val="-2"/>
                <w:kern w:val="2"/>
                <w:sz w:val="32"/>
                <w:szCs w:val="32"/>
                <w:lang w:val="en-US" w:eastAsia="zh-CN" w:bidi="ar-SA"/>
              </w:rPr>
            </w:pPr>
            <w:r>
              <w:rPr>
                <w:rFonts w:hint="default" w:ascii="Times New Roman" w:hAnsi="Times New Roman" w:eastAsia="宋体" w:cs="Times New Roman"/>
                <w:b/>
                <w:color w:val="000000"/>
                <w:kern w:val="2"/>
                <w:sz w:val="24"/>
                <w:szCs w:val="28"/>
                <w:lang w:val="en-US" w:eastAsia="zh-CN" w:bidi="ar-SA"/>
              </w:rPr>
              <w:t>表</w:t>
            </w:r>
            <w:r>
              <w:rPr>
                <w:rFonts w:hint="eastAsia" w:ascii="Times New Roman" w:hAnsi="Times New Roman" w:eastAsia="宋体" w:cs="Times New Roman"/>
                <w:b/>
                <w:color w:val="000000"/>
                <w:kern w:val="2"/>
                <w:sz w:val="24"/>
                <w:szCs w:val="28"/>
                <w:lang w:val="en-US" w:eastAsia="zh-CN" w:bidi="ar-SA"/>
              </w:rPr>
              <w:t>3-3</w:t>
            </w:r>
            <w:r>
              <w:rPr>
                <w:rFonts w:hint="default" w:ascii="Times New Roman" w:hAnsi="Times New Roman" w:eastAsia="宋体" w:cs="Times New Roman"/>
                <w:b/>
                <w:color w:val="000000"/>
                <w:kern w:val="2"/>
                <w:sz w:val="24"/>
                <w:szCs w:val="28"/>
                <w:lang w:val="en-US" w:eastAsia="zh-CN" w:bidi="ar-SA"/>
              </w:rPr>
              <w:t xml:space="preserve">  地表水监测断面设置</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6"/>
              <w:gridCol w:w="2293"/>
              <w:gridCol w:w="4150"/>
            </w:tblGrid>
            <w:tr w14:paraId="19E63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3" w:type="dxa"/>
                  <w:noWrap w:val="0"/>
                  <w:vAlign w:val="center"/>
                </w:tcPr>
                <w:p w14:paraId="77573A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kern w:val="2"/>
                      <w:sz w:val="21"/>
                      <w:szCs w:val="21"/>
                      <w:lang w:val="en-US" w:eastAsia="zh-CN" w:bidi="ar-SA"/>
                    </w:rPr>
                  </w:pPr>
                  <w:r>
                    <w:rPr>
                      <w:rFonts w:hint="default" w:ascii="Times New Roman" w:hAnsi="Times New Roman" w:eastAsia="宋体" w:cs="Times New Roman"/>
                      <w:b/>
                      <w:bCs w:val="0"/>
                      <w:kern w:val="2"/>
                      <w:sz w:val="21"/>
                      <w:szCs w:val="21"/>
                      <w:lang w:val="en-US" w:eastAsia="zh-CN" w:bidi="ar-SA"/>
                    </w:rPr>
                    <w:t>断面号</w:t>
                  </w:r>
                </w:p>
              </w:tc>
              <w:tc>
                <w:tcPr>
                  <w:tcW w:w="2434" w:type="dxa"/>
                  <w:noWrap w:val="0"/>
                  <w:vAlign w:val="center"/>
                </w:tcPr>
                <w:p w14:paraId="51B83E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kern w:val="2"/>
                      <w:sz w:val="21"/>
                      <w:szCs w:val="21"/>
                      <w:lang w:val="en-US" w:eastAsia="zh-CN" w:bidi="ar-SA"/>
                    </w:rPr>
                  </w:pPr>
                  <w:r>
                    <w:rPr>
                      <w:rFonts w:hint="default" w:ascii="Times New Roman" w:hAnsi="Times New Roman" w:eastAsia="宋体" w:cs="Times New Roman"/>
                      <w:b/>
                      <w:bCs w:val="0"/>
                      <w:kern w:val="2"/>
                      <w:sz w:val="21"/>
                      <w:szCs w:val="21"/>
                      <w:lang w:val="en-US" w:eastAsia="zh-CN" w:bidi="ar-SA"/>
                    </w:rPr>
                    <w:t>地表水体</w:t>
                  </w:r>
                </w:p>
              </w:tc>
              <w:tc>
                <w:tcPr>
                  <w:tcW w:w="4408" w:type="dxa"/>
                  <w:noWrap w:val="0"/>
                  <w:vAlign w:val="center"/>
                </w:tcPr>
                <w:p w14:paraId="11F129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kern w:val="2"/>
                      <w:sz w:val="21"/>
                      <w:szCs w:val="21"/>
                      <w:lang w:val="en-US" w:eastAsia="zh-CN" w:bidi="ar-SA"/>
                    </w:rPr>
                  </w:pPr>
                  <w:r>
                    <w:rPr>
                      <w:rFonts w:hint="default" w:ascii="Times New Roman" w:hAnsi="Times New Roman" w:eastAsia="宋体" w:cs="Times New Roman"/>
                      <w:b/>
                      <w:bCs w:val="0"/>
                      <w:kern w:val="2"/>
                      <w:sz w:val="21"/>
                      <w:szCs w:val="21"/>
                      <w:lang w:val="en-US" w:eastAsia="zh-CN" w:bidi="ar-SA"/>
                    </w:rPr>
                    <w:t>断面位置</w:t>
                  </w:r>
                </w:p>
              </w:tc>
            </w:tr>
            <w:tr w14:paraId="37F5D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3" w:type="dxa"/>
                  <w:noWrap w:val="0"/>
                  <w:vAlign w:val="center"/>
                </w:tcPr>
                <w:p w14:paraId="346499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kern w:val="2"/>
                      <w:sz w:val="21"/>
                      <w:szCs w:val="21"/>
                      <w:lang w:val="en-US" w:eastAsia="zh-CN" w:bidi="ar-SA"/>
                    </w:rPr>
                    <w:t>W1</w:t>
                  </w:r>
                </w:p>
              </w:tc>
              <w:tc>
                <w:tcPr>
                  <w:tcW w:w="2434" w:type="dxa"/>
                  <w:shd w:val="clear" w:color="auto" w:fill="auto"/>
                  <w:noWrap w:val="0"/>
                  <w:vAlign w:val="center"/>
                </w:tcPr>
                <w:p w14:paraId="4D4F79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
                    </w:rPr>
                  </w:pPr>
                  <w:r>
                    <w:rPr>
                      <w:rFonts w:hint="default" w:ascii="Times New Roman" w:hAnsi="Times New Roman" w:eastAsia="宋体" w:cs="Times New Roman"/>
                      <w:bCs/>
                      <w:kern w:val="2"/>
                      <w:sz w:val="21"/>
                      <w:szCs w:val="21"/>
                      <w:lang w:val="en-US" w:eastAsia="zh-CN" w:bidi="ar"/>
                    </w:rPr>
                    <w:t>银山沟</w:t>
                  </w:r>
                </w:p>
              </w:tc>
              <w:tc>
                <w:tcPr>
                  <w:tcW w:w="4408" w:type="dxa"/>
                  <w:shd w:val="clear" w:color="auto" w:fill="auto"/>
                  <w:noWrap w:val="0"/>
                  <w:vAlign w:val="center"/>
                </w:tcPr>
                <w:p w14:paraId="3FDCA9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
                    </w:rPr>
                  </w:pPr>
                  <w:r>
                    <w:rPr>
                      <w:rFonts w:hint="default" w:ascii="Times New Roman" w:hAnsi="Times New Roman" w:eastAsia="宋体" w:cs="Times New Roman"/>
                      <w:bCs/>
                      <w:kern w:val="2"/>
                      <w:sz w:val="21"/>
                      <w:szCs w:val="21"/>
                      <w:lang w:val="en-US" w:eastAsia="zh-CN" w:bidi="ar"/>
                    </w:rPr>
                    <w:t>沙坪沟与银山沟汇入口下游500m</w:t>
                  </w:r>
                </w:p>
              </w:tc>
            </w:tr>
            <w:tr w14:paraId="085A5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3" w:type="dxa"/>
                  <w:noWrap w:val="0"/>
                  <w:vAlign w:val="center"/>
                </w:tcPr>
                <w:p w14:paraId="0A0A8D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kern w:val="2"/>
                      <w:sz w:val="21"/>
                      <w:szCs w:val="21"/>
                      <w:lang w:val="en-US" w:eastAsia="zh-CN" w:bidi="ar"/>
                    </w:rPr>
                  </w:pPr>
                  <w:r>
                    <w:rPr>
                      <w:rFonts w:hint="default" w:ascii="Times New Roman" w:hAnsi="Times New Roman" w:eastAsia="宋体" w:cs="Times New Roman"/>
                      <w:bCs/>
                      <w:kern w:val="2"/>
                      <w:sz w:val="21"/>
                      <w:szCs w:val="21"/>
                      <w:lang w:val="en-US" w:eastAsia="zh-CN" w:bidi="ar-SA"/>
                    </w:rPr>
                    <w:t>W2</w:t>
                  </w:r>
                </w:p>
              </w:tc>
              <w:tc>
                <w:tcPr>
                  <w:tcW w:w="2434" w:type="dxa"/>
                  <w:shd w:val="clear" w:color="auto" w:fill="auto"/>
                  <w:noWrap w:val="0"/>
                  <w:vAlign w:val="center"/>
                </w:tcPr>
                <w:p w14:paraId="685D55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
                    </w:rPr>
                  </w:pPr>
                  <w:r>
                    <w:rPr>
                      <w:rFonts w:hint="default" w:ascii="Times New Roman" w:hAnsi="Times New Roman" w:eastAsia="宋体" w:cs="Times New Roman"/>
                      <w:bCs/>
                      <w:kern w:val="2"/>
                      <w:sz w:val="21"/>
                      <w:szCs w:val="21"/>
                      <w:lang w:val="en-US" w:eastAsia="zh-CN" w:bidi="ar"/>
                    </w:rPr>
                    <w:t>牛山河</w:t>
                  </w:r>
                </w:p>
              </w:tc>
              <w:tc>
                <w:tcPr>
                  <w:tcW w:w="4408" w:type="dxa"/>
                  <w:shd w:val="clear" w:color="auto" w:fill="auto"/>
                  <w:noWrap w:val="0"/>
                  <w:vAlign w:val="center"/>
                </w:tcPr>
                <w:p w14:paraId="3C1DD1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
                    </w:rPr>
                  </w:pPr>
                  <w:r>
                    <w:rPr>
                      <w:rFonts w:hint="default" w:ascii="Times New Roman" w:hAnsi="Times New Roman" w:eastAsia="宋体" w:cs="Times New Roman"/>
                      <w:bCs/>
                      <w:kern w:val="2"/>
                      <w:sz w:val="21"/>
                      <w:szCs w:val="21"/>
                      <w:lang w:val="en-US" w:eastAsia="zh-CN" w:bidi="ar"/>
                    </w:rPr>
                    <w:t>八道河与牛山河汇入口下游500m</w:t>
                  </w:r>
                </w:p>
              </w:tc>
            </w:tr>
          </w:tbl>
          <w:p w14:paraId="668F7DF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1"/>
              <w:rPr>
                <w:rFonts w:hint="default" w:ascii="Times New Roman" w:hAnsi="Times New Roman" w:eastAsia="宋体" w:cs="Times New Roman"/>
                <w:b/>
                <w:bCs/>
                <w:color w:val="auto"/>
                <w:sz w:val="24"/>
                <w:szCs w:val="24"/>
                <w:lang w:val="en-US" w:eastAsia="zh-CN"/>
              </w:rPr>
            </w:pPr>
            <w:bookmarkStart w:id="38" w:name="_Toc26758"/>
            <w:bookmarkStart w:id="39" w:name="_Toc13192"/>
            <w:bookmarkStart w:id="40" w:name="_Toc30111"/>
            <w:bookmarkStart w:id="41" w:name="_Toc20615"/>
            <w:bookmarkStart w:id="42" w:name="_Toc20012"/>
            <w:r>
              <w:rPr>
                <w:rFonts w:hint="default" w:ascii="Times New Roman" w:hAnsi="Times New Roman" w:eastAsia="宋体" w:cs="Times New Roman"/>
                <w:b/>
                <w:bCs/>
                <w:color w:val="auto"/>
                <w:kern w:val="2"/>
                <w:sz w:val="24"/>
                <w:szCs w:val="24"/>
                <w:lang w:val="en-US" w:eastAsia="zh-CN"/>
              </w:rPr>
              <w:t>（3）</w:t>
            </w:r>
            <w:r>
              <w:rPr>
                <w:rFonts w:hint="default" w:ascii="Times New Roman" w:hAnsi="Times New Roman" w:eastAsia="宋体" w:cs="Times New Roman"/>
                <w:b/>
                <w:bCs/>
                <w:color w:val="auto"/>
                <w:sz w:val="24"/>
                <w:szCs w:val="24"/>
                <w:lang w:val="en-US" w:eastAsia="zh-CN"/>
              </w:rPr>
              <w:t>声环境质量现状</w:t>
            </w:r>
            <w:bookmarkEnd w:id="38"/>
            <w:bookmarkEnd w:id="39"/>
            <w:bookmarkEnd w:id="40"/>
            <w:bookmarkEnd w:id="41"/>
            <w:bookmarkEnd w:id="42"/>
          </w:p>
          <w:p w14:paraId="0526D492">
            <w:pPr>
              <w:pStyle w:val="79"/>
              <w:rPr>
                <w:rFonts w:hint="default" w:ascii="Times New Roman" w:hAnsi="Times New Roman" w:cs="Times New Roman"/>
                <w:color w:val="auto"/>
                <w:kern w:val="2"/>
                <w:sz w:val="24"/>
                <w:szCs w:val="24"/>
              </w:rPr>
            </w:pPr>
            <w:r>
              <w:rPr>
                <w:rFonts w:hint="eastAsia" w:ascii="Times New Roman" w:hAnsi="Times New Roman" w:eastAsia="宋体" w:cs="Times New Roman"/>
                <w:color w:val="auto"/>
                <w:kern w:val="2"/>
                <w:sz w:val="24"/>
                <w:szCs w:val="24"/>
                <w:lang w:val="en-US" w:eastAsia="zh-CN" w:bidi="ar-SA"/>
              </w:rPr>
              <w:t>根据现场调查，项目周边200m范围内居民点均已拆迁，</w:t>
            </w:r>
            <w:r>
              <w:rPr>
                <w:rFonts w:hint="default" w:ascii="Times New Roman" w:hAnsi="Times New Roman" w:eastAsia="宋体" w:cs="Times New Roman"/>
                <w:b w:val="0"/>
                <w:bCs w:val="0"/>
                <w:color w:val="auto"/>
                <w:kern w:val="0"/>
                <w:sz w:val="24"/>
                <w:szCs w:val="24"/>
                <w:highlight w:val="none"/>
                <w:lang w:val="en-US" w:eastAsia="zh-CN"/>
              </w:rPr>
              <w:t>无声环境保护目标，因此不进行声环境质量现状监测。</w:t>
            </w:r>
          </w:p>
        </w:tc>
      </w:tr>
      <w:tr w14:paraId="00F8B0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58" w:hRule="atLeast"/>
          <w:jc w:val="center"/>
        </w:trPr>
        <w:tc>
          <w:tcPr>
            <w:tcW w:w="815" w:type="dxa"/>
            <w:noWrap w:val="0"/>
            <w:vAlign w:val="center"/>
          </w:tcPr>
          <w:p w14:paraId="09E9B266">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b/>
                <w:bCs w:val="0"/>
                <w:color w:val="auto"/>
                <w:sz w:val="24"/>
                <w:highlight w:val="none"/>
              </w:rPr>
              <w:t>与项目有关的原有环境污染和生态问题</w:t>
            </w:r>
          </w:p>
        </w:tc>
        <w:tc>
          <w:tcPr>
            <w:tcW w:w="8245" w:type="dxa"/>
            <w:noWrap w:val="0"/>
            <w:vAlign w:val="center"/>
          </w:tcPr>
          <w:p w14:paraId="1804B3F0">
            <w:pPr>
              <w:pStyle w:val="54"/>
              <w:ind w:firstLine="480"/>
              <w:rPr>
                <w:rFonts w:hint="default" w:ascii="Times New Roman" w:hAnsi="Times New Roman" w:cs="Times New Roman"/>
                <w:b w:val="0"/>
                <w:bCs w:val="0"/>
                <w:color w:val="auto"/>
                <w:kern w:val="0"/>
                <w:sz w:val="24"/>
                <w:lang w:val="en-US" w:eastAsia="zh-CN"/>
              </w:rPr>
            </w:pPr>
            <w:r>
              <w:rPr>
                <w:rFonts w:hint="default" w:ascii="Times New Roman" w:hAnsi="Times New Roman" w:cs="Times New Roman"/>
                <w:b w:val="0"/>
                <w:bCs w:val="0"/>
                <w:color w:val="auto"/>
                <w:kern w:val="0"/>
                <w:sz w:val="24"/>
                <w:lang w:val="en-US" w:eastAsia="zh-CN"/>
              </w:rPr>
              <w:t>根据现场调查，本项目主要存在以下问题：</w:t>
            </w:r>
          </w:p>
          <w:p w14:paraId="28232144">
            <w:pPr>
              <w:pStyle w:val="54"/>
              <w:ind w:firstLine="480"/>
              <w:rPr>
                <w:rFonts w:hint="default" w:ascii="Times New Roman" w:hAnsi="Times New Roman" w:cs="Times New Roman"/>
                <w:b/>
                <w:bCs/>
                <w:color w:val="auto"/>
                <w:kern w:val="0"/>
                <w:sz w:val="24"/>
                <w:lang w:val="en-US" w:eastAsia="zh-CN"/>
              </w:rPr>
            </w:pPr>
            <w:r>
              <w:rPr>
                <w:rFonts w:hint="default" w:ascii="Times New Roman" w:hAnsi="Times New Roman" w:cs="Times New Roman"/>
                <w:b/>
                <w:bCs/>
                <w:color w:val="auto"/>
                <w:kern w:val="0"/>
                <w:sz w:val="24"/>
                <w:lang w:val="en-US" w:eastAsia="zh-CN"/>
              </w:rPr>
              <w:t>（1）生态环境</w:t>
            </w:r>
          </w:p>
          <w:p w14:paraId="7831A5BC">
            <w:pPr>
              <w:pStyle w:val="54"/>
              <w:ind w:firstLine="480"/>
              <w:rPr>
                <w:rFonts w:hint="default" w:ascii="Times New Roman" w:hAnsi="Times New Roman" w:cs="Times New Roman"/>
                <w:b w:val="0"/>
                <w:bCs w:val="0"/>
                <w:color w:val="auto"/>
                <w:kern w:val="0"/>
                <w:sz w:val="24"/>
                <w:lang w:val="en-US" w:eastAsia="zh-CN"/>
              </w:rPr>
            </w:pPr>
            <w:r>
              <w:rPr>
                <w:rFonts w:hint="default" w:ascii="Times New Roman" w:hAnsi="Times New Roman" w:cs="Times New Roman"/>
                <w:b w:val="0"/>
                <w:bCs w:val="0"/>
                <w:color w:val="auto"/>
                <w:kern w:val="0"/>
                <w:sz w:val="24"/>
                <w:lang w:val="en-US" w:eastAsia="zh-CN"/>
              </w:rPr>
              <w:t>项目位于安徽省六安市金寨县关庙乡银山村，</w:t>
            </w:r>
            <w:r>
              <w:rPr>
                <w:rFonts w:hint="default" w:ascii="Times New Roman" w:hAnsi="Times New Roman" w:eastAsia="宋体" w:cs="Times New Roman"/>
                <w:color w:val="auto"/>
                <w:sz w:val="24"/>
              </w:rPr>
              <w:t>本项目起点位于</w:t>
            </w:r>
            <w:r>
              <w:rPr>
                <w:rFonts w:hint="default" w:ascii="Times New Roman" w:hAnsi="Times New Roman" w:eastAsia="宋体" w:cs="Times New Roman"/>
                <w:color w:val="auto"/>
                <w:sz w:val="24"/>
                <w:lang w:val="en-US" w:eastAsia="zh-CN"/>
              </w:rPr>
              <w:t>银山沟与沙坪沟交接处，与S517相交，跨越银山沟后基本沿沙坪沟老路线</w:t>
            </w:r>
            <w:r>
              <w:rPr>
                <w:rFonts w:hint="default" w:ascii="Times New Roman" w:hAnsi="Times New Roman" w:cs="Times New Roman"/>
                <w:color w:val="auto"/>
                <w:sz w:val="24"/>
                <w:lang w:val="en-US" w:eastAsia="zh-CN"/>
              </w:rPr>
              <w:t>。</w:t>
            </w:r>
            <w:r>
              <w:rPr>
                <w:rFonts w:hint="default" w:ascii="Times New Roman" w:hAnsi="Times New Roman" w:cs="Times New Roman"/>
                <w:b w:val="0"/>
                <w:bCs w:val="0"/>
                <w:color w:val="auto"/>
                <w:kern w:val="0"/>
                <w:sz w:val="24"/>
                <w:lang w:val="en-US" w:eastAsia="zh-CN"/>
              </w:rPr>
              <w:t>现状公路沿线的生态系统类型为城镇生态系统、森林生态系统、</w:t>
            </w:r>
            <w:r>
              <w:rPr>
                <w:rFonts w:hint="eastAsia" w:cs="Times New Roman"/>
                <w:b w:val="0"/>
                <w:bCs w:val="0"/>
                <w:color w:val="auto"/>
                <w:kern w:val="0"/>
                <w:sz w:val="24"/>
                <w:lang w:val="en-US" w:eastAsia="zh-CN"/>
              </w:rPr>
              <w:t>湿地生态系统</w:t>
            </w:r>
            <w:r>
              <w:rPr>
                <w:rFonts w:hint="default" w:ascii="Times New Roman" w:hAnsi="Times New Roman" w:cs="Times New Roman"/>
                <w:b w:val="0"/>
                <w:bCs w:val="0"/>
                <w:color w:val="auto"/>
                <w:kern w:val="0"/>
                <w:sz w:val="24"/>
                <w:lang w:val="en-US" w:eastAsia="zh-CN"/>
              </w:rPr>
              <w:t>，现状道路对生态系统的干扰较小，不存在突出</w:t>
            </w:r>
            <w:r>
              <w:rPr>
                <w:rFonts w:hint="eastAsia" w:cs="Times New Roman"/>
                <w:b w:val="0"/>
                <w:bCs w:val="0"/>
                <w:color w:val="auto"/>
                <w:kern w:val="0"/>
                <w:sz w:val="24"/>
                <w:lang w:val="en-US" w:eastAsia="zh-CN"/>
              </w:rPr>
              <w:t>的</w:t>
            </w:r>
            <w:r>
              <w:rPr>
                <w:rFonts w:hint="default" w:ascii="Times New Roman" w:hAnsi="Times New Roman" w:cs="Times New Roman"/>
                <w:b w:val="0"/>
                <w:bCs w:val="0"/>
                <w:color w:val="auto"/>
                <w:kern w:val="0"/>
                <w:sz w:val="24"/>
                <w:lang w:val="en-US" w:eastAsia="zh-CN"/>
              </w:rPr>
              <w:t>项目生态环境问题。</w:t>
            </w:r>
          </w:p>
          <w:p w14:paraId="30E84B35">
            <w:pPr>
              <w:pStyle w:val="54"/>
              <w:ind w:firstLine="480"/>
              <w:rPr>
                <w:rFonts w:hint="default" w:ascii="Times New Roman" w:hAnsi="Times New Roman" w:cs="Times New Roman"/>
                <w:b/>
                <w:bCs/>
                <w:color w:val="auto"/>
                <w:kern w:val="0"/>
                <w:sz w:val="24"/>
                <w:lang w:val="en-US" w:eastAsia="zh-CN"/>
              </w:rPr>
            </w:pPr>
            <w:r>
              <w:rPr>
                <w:rFonts w:hint="default" w:ascii="Times New Roman" w:hAnsi="Times New Roman" w:cs="Times New Roman"/>
                <w:b/>
                <w:bCs/>
                <w:color w:val="auto"/>
                <w:kern w:val="0"/>
                <w:sz w:val="24"/>
                <w:lang w:val="en-US" w:eastAsia="zh-CN"/>
              </w:rPr>
              <w:t>（2）环境空气</w:t>
            </w:r>
          </w:p>
          <w:p w14:paraId="446442EE">
            <w:pPr>
              <w:pStyle w:val="54"/>
              <w:ind w:firstLine="480"/>
              <w:rPr>
                <w:rFonts w:hint="default" w:ascii="Times New Roman" w:hAnsi="Times New Roman" w:cs="Times New Roman"/>
                <w:b w:val="0"/>
                <w:bCs w:val="0"/>
                <w:color w:val="auto"/>
                <w:kern w:val="0"/>
                <w:sz w:val="24"/>
                <w:lang w:val="en-US" w:eastAsia="zh-CN"/>
              </w:rPr>
            </w:pPr>
            <w:r>
              <w:rPr>
                <w:rFonts w:hint="default" w:ascii="Times New Roman" w:hAnsi="Times New Roman" w:cs="Times New Roman"/>
                <w:b w:val="0"/>
                <w:bCs w:val="0"/>
                <w:color w:val="auto"/>
                <w:kern w:val="0"/>
                <w:sz w:val="24"/>
                <w:lang w:val="en-US" w:eastAsia="zh-CN"/>
              </w:rPr>
              <w:t>工程现有公路沿线大气环境受到现有交通汽车尾气的影响，但影响环境污染较小。根据</w:t>
            </w:r>
            <w:r>
              <w:rPr>
                <w:rFonts w:hint="eastAsia" w:cs="Times New Roman"/>
                <w:b w:val="0"/>
                <w:bCs w:val="0"/>
                <w:color w:val="auto"/>
                <w:kern w:val="0"/>
                <w:sz w:val="24"/>
                <w:lang w:val="en-US" w:eastAsia="zh-CN"/>
              </w:rPr>
              <w:t>金寨县人民政府</w:t>
            </w:r>
            <w:r>
              <w:rPr>
                <w:rFonts w:hint="default" w:ascii="Times New Roman" w:hAnsi="Times New Roman" w:cs="Times New Roman"/>
                <w:b w:val="0"/>
                <w:bCs w:val="0"/>
                <w:color w:val="auto"/>
                <w:kern w:val="0"/>
                <w:sz w:val="24"/>
                <w:lang w:val="en-US" w:eastAsia="zh-CN"/>
              </w:rPr>
              <w:t>发布的《202</w:t>
            </w:r>
            <w:r>
              <w:rPr>
                <w:rFonts w:hint="eastAsia" w:cs="Times New Roman"/>
                <w:b w:val="0"/>
                <w:bCs w:val="0"/>
                <w:color w:val="auto"/>
                <w:kern w:val="0"/>
                <w:sz w:val="24"/>
                <w:lang w:val="en-US" w:eastAsia="zh-CN"/>
              </w:rPr>
              <w:t>4</w:t>
            </w:r>
            <w:r>
              <w:rPr>
                <w:rFonts w:hint="default" w:ascii="Times New Roman" w:hAnsi="Times New Roman" w:cs="Times New Roman"/>
                <w:b w:val="0"/>
                <w:bCs w:val="0"/>
                <w:color w:val="auto"/>
                <w:kern w:val="0"/>
                <w:sz w:val="24"/>
                <w:lang w:val="en-US" w:eastAsia="zh-CN"/>
              </w:rPr>
              <w:t>年</w:t>
            </w:r>
            <w:r>
              <w:rPr>
                <w:rFonts w:hint="eastAsia" w:cs="Times New Roman"/>
                <w:b w:val="0"/>
                <w:bCs w:val="0"/>
                <w:color w:val="auto"/>
                <w:kern w:val="0"/>
                <w:sz w:val="24"/>
                <w:lang w:val="en-US" w:eastAsia="zh-CN"/>
              </w:rPr>
              <w:t>金寨县</w:t>
            </w:r>
            <w:r>
              <w:rPr>
                <w:rFonts w:hint="default" w:ascii="Times New Roman" w:hAnsi="Times New Roman" w:cs="Times New Roman"/>
                <w:b w:val="0"/>
                <w:bCs w:val="0"/>
                <w:color w:val="auto"/>
                <w:kern w:val="0"/>
                <w:sz w:val="24"/>
                <w:lang w:val="en-US" w:eastAsia="zh-CN"/>
              </w:rPr>
              <w:t>环境质量公报》，项目所在区域为达标区。</w:t>
            </w:r>
          </w:p>
          <w:p w14:paraId="68DB55CC">
            <w:pPr>
              <w:pStyle w:val="54"/>
              <w:ind w:firstLine="480"/>
              <w:rPr>
                <w:rFonts w:hint="default" w:ascii="Times New Roman" w:hAnsi="Times New Roman" w:cs="Times New Roman"/>
                <w:b/>
                <w:bCs/>
                <w:color w:val="auto"/>
                <w:kern w:val="0"/>
                <w:sz w:val="24"/>
                <w:lang w:val="en-US" w:eastAsia="zh-CN"/>
              </w:rPr>
            </w:pPr>
            <w:r>
              <w:rPr>
                <w:rFonts w:hint="default" w:ascii="Times New Roman" w:hAnsi="Times New Roman" w:cs="Times New Roman"/>
                <w:b/>
                <w:bCs/>
                <w:color w:val="auto"/>
                <w:kern w:val="0"/>
                <w:sz w:val="24"/>
                <w:lang w:val="en-US" w:eastAsia="zh-CN"/>
              </w:rPr>
              <w:t>（3）地表水环境</w:t>
            </w:r>
          </w:p>
          <w:p w14:paraId="52E22A5F">
            <w:pPr>
              <w:pStyle w:val="54"/>
              <w:ind w:firstLine="480"/>
              <w:rPr>
                <w:rFonts w:hint="default" w:ascii="Times New Roman" w:hAnsi="Times New Roman" w:cs="Times New Roman"/>
                <w:b w:val="0"/>
                <w:bCs w:val="0"/>
                <w:color w:val="auto"/>
                <w:kern w:val="0"/>
                <w:sz w:val="24"/>
                <w:lang w:val="en-US" w:eastAsia="zh-CN"/>
              </w:rPr>
            </w:pPr>
            <w:r>
              <w:rPr>
                <w:rFonts w:hint="default" w:ascii="Times New Roman" w:hAnsi="Times New Roman" w:cs="Times New Roman"/>
                <w:b w:val="0"/>
                <w:bCs w:val="0"/>
                <w:color w:val="auto"/>
                <w:kern w:val="0"/>
                <w:sz w:val="24"/>
                <w:lang w:val="en-US" w:eastAsia="zh-CN"/>
              </w:rPr>
              <w:t>项目沿线雨水通过路面散排，未建设排水沟，项目建成后将在公路两侧建设排水沟，能够更好</w:t>
            </w:r>
            <w:r>
              <w:rPr>
                <w:rFonts w:hint="eastAsia" w:cs="Times New Roman"/>
                <w:b w:val="0"/>
                <w:bCs w:val="0"/>
                <w:color w:val="auto"/>
                <w:kern w:val="0"/>
                <w:sz w:val="24"/>
                <w:lang w:val="en-US" w:eastAsia="zh-CN"/>
              </w:rPr>
              <w:t>地</w:t>
            </w:r>
            <w:r>
              <w:rPr>
                <w:rFonts w:hint="default" w:ascii="Times New Roman" w:hAnsi="Times New Roman" w:cs="Times New Roman"/>
                <w:b w:val="0"/>
                <w:bCs w:val="0"/>
                <w:color w:val="auto"/>
                <w:kern w:val="0"/>
                <w:sz w:val="24"/>
                <w:lang w:val="en-US" w:eastAsia="zh-CN"/>
              </w:rPr>
              <w:t>收集雨水，对沿线水环境有一定减缓影响。</w:t>
            </w:r>
          </w:p>
          <w:p w14:paraId="6FE7E885">
            <w:pPr>
              <w:pStyle w:val="54"/>
              <w:ind w:firstLine="480"/>
              <w:rPr>
                <w:rFonts w:hint="default" w:ascii="Times New Roman" w:hAnsi="Times New Roman" w:cs="Times New Roman"/>
                <w:b/>
                <w:bCs/>
                <w:color w:val="auto"/>
                <w:kern w:val="0"/>
                <w:sz w:val="24"/>
                <w:lang w:val="en-US" w:eastAsia="zh-CN"/>
              </w:rPr>
            </w:pPr>
            <w:r>
              <w:rPr>
                <w:rFonts w:hint="default" w:ascii="Times New Roman" w:hAnsi="Times New Roman" w:cs="Times New Roman"/>
                <w:b/>
                <w:bCs/>
                <w:color w:val="auto"/>
                <w:kern w:val="0"/>
                <w:sz w:val="24"/>
                <w:lang w:val="en-US" w:eastAsia="zh-CN"/>
              </w:rPr>
              <w:t>（4）声环境</w:t>
            </w:r>
          </w:p>
          <w:p w14:paraId="0E8ED1D9">
            <w:pPr>
              <w:pStyle w:val="54"/>
              <w:ind w:firstLine="480"/>
              <w:rPr>
                <w:rFonts w:hint="default" w:ascii="Times New Roman" w:hAnsi="Times New Roman" w:cs="Times New Roman"/>
                <w:b w:val="0"/>
                <w:bCs w:val="0"/>
                <w:color w:val="auto"/>
                <w:kern w:val="0"/>
                <w:sz w:val="24"/>
                <w:lang w:val="en-US" w:eastAsia="zh-CN"/>
              </w:rPr>
            </w:pPr>
            <w:r>
              <w:rPr>
                <w:rFonts w:hint="eastAsia" w:ascii="Times New Roman" w:hAnsi="Times New Roman" w:eastAsia="宋体" w:cs="Times New Roman"/>
                <w:color w:val="auto"/>
                <w:kern w:val="2"/>
                <w:sz w:val="24"/>
                <w:szCs w:val="24"/>
                <w:lang w:val="en-US" w:eastAsia="zh-CN" w:bidi="ar-SA"/>
              </w:rPr>
              <w:t>项目周边200m范围内居民点均已拆迁，</w:t>
            </w:r>
            <w:r>
              <w:rPr>
                <w:rFonts w:hint="default" w:ascii="Times New Roman" w:hAnsi="Times New Roman" w:eastAsia="宋体" w:cs="Times New Roman"/>
                <w:b w:val="0"/>
                <w:bCs w:val="0"/>
                <w:color w:val="auto"/>
                <w:kern w:val="0"/>
                <w:sz w:val="24"/>
                <w:szCs w:val="24"/>
                <w:highlight w:val="none"/>
                <w:lang w:val="en-US" w:eastAsia="zh-CN"/>
              </w:rPr>
              <w:t>无声环境保护目标</w:t>
            </w:r>
            <w:r>
              <w:rPr>
                <w:rFonts w:hint="eastAsia" w:eastAsia="宋体" w:cs="Times New Roman"/>
                <w:b w:val="0"/>
                <w:bCs w:val="0"/>
                <w:color w:val="auto"/>
                <w:kern w:val="0"/>
                <w:sz w:val="24"/>
                <w:szCs w:val="24"/>
                <w:highlight w:val="none"/>
                <w:lang w:val="en-US" w:eastAsia="zh-CN"/>
              </w:rPr>
              <w:t>，与周边环境较为相容</w:t>
            </w:r>
            <w:r>
              <w:rPr>
                <w:rFonts w:hint="default" w:ascii="Times New Roman" w:hAnsi="Times New Roman" w:cs="Times New Roman"/>
                <w:b w:val="0"/>
                <w:bCs w:val="0"/>
                <w:color w:val="auto"/>
                <w:kern w:val="0"/>
                <w:sz w:val="24"/>
                <w:lang w:val="en-US" w:eastAsia="zh-CN"/>
              </w:rPr>
              <w:t>。</w:t>
            </w:r>
          </w:p>
          <w:p w14:paraId="58A68383">
            <w:pPr>
              <w:pStyle w:val="54"/>
              <w:ind w:firstLine="480"/>
              <w:rPr>
                <w:rFonts w:hint="default" w:ascii="Times New Roman" w:hAnsi="Times New Roman" w:eastAsia="宋体" w:cs="Times New Roman"/>
                <w:b/>
                <w:bCs/>
                <w:color w:val="auto"/>
                <w:kern w:val="0"/>
                <w:sz w:val="24"/>
                <w:lang w:val="en-US" w:eastAsia="zh-CN"/>
              </w:rPr>
            </w:pPr>
            <w:r>
              <w:rPr>
                <w:rFonts w:hint="eastAsia" w:ascii="Times New Roman" w:hAnsi="Times New Roman" w:eastAsia="宋体" w:cs="Times New Roman"/>
                <w:b/>
                <w:bCs/>
                <w:color w:val="auto"/>
                <w:kern w:val="0"/>
                <w:sz w:val="24"/>
                <w:lang w:val="en-US" w:eastAsia="zh-CN"/>
              </w:rPr>
              <w:t>（5）其他</w:t>
            </w:r>
          </w:p>
          <w:p w14:paraId="1D9CCD31">
            <w:pPr>
              <w:pStyle w:val="54"/>
              <w:ind w:firstLine="480"/>
              <w:rPr>
                <w:rFonts w:hint="default" w:ascii="Times New Roman" w:hAnsi="Times New Roman" w:cs="Times New Roman"/>
                <w:b w:val="0"/>
                <w:bCs w:val="0"/>
                <w:color w:val="auto"/>
                <w:kern w:val="0"/>
                <w:sz w:val="24"/>
                <w:lang w:val="en-US" w:eastAsia="zh-CN"/>
              </w:rPr>
            </w:pPr>
            <w:r>
              <w:rPr>
                <w:rFonts w:hint="default" w:ascii="Times New Roman" w:hAnsi="Times New Roman" w:eastAsia="宋体" w:cs="Times New Roman"/>
                <w:color w:val="auto"/>
                <w:kern w:val="2"/>
                <w:sz w:val="24"/>
                <w:szCs w:val="24"/>
                <w:lang w:val="en-US" w:eastAsia="zh-CN" w:bidi="ar-SA"/>
              </w:rPr>
              <w:t>现有道路环评手续因建设年代久远，未能找到相关环评手续。</w:t>
            </w:r>
          </w:p>
        </w:tc>
      </w:tr>
      <w:tr w14:paraId="0CE37C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50" w:hRule="atLeast"/>
          <w:jc w:val="center"/>
        </w:trPr>
        <w:tc>
          <w:tcPr>
            <w:tcW w:w="815" w:type="dxa"/>
            <w:noWrap w:val="0"/>
            <w:vAlign w:val="center"/>
          </w:tcPr>
          <w:p w14:paraId="75FF7103">
            <w:pPr>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b/>
                <w:bCs/>
                <w:color w:val="auto"/>
                <w:kern w:val="0"/>
                <w:sz w:val="24"/>
              </w:rPr>
              <w:t>生态环境保护目标</w:t>
            </w:r>
          </w:p>
        </w:tc>
        <w:tc>
          <w:tcPr>
            <w:tcW w:w="8245" w:type="dxa"/>
            <w:noWrap w:val="0"/>
            <w:vAlign w:val="center"/>
          </w:tcPr>
          <w:p w14:paraId="6E01EFC8">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lang w:val="en-US" w:eastAsia="zh-CN"/>
              </w:rPr>
              <w:t>1、生态</w:t>
            </w:r>
            <w:r>
              <w:rPr>
                <w:rFonts w:hint="default" w:ascii="Times New Roman" w:hAnsi="Times New Roman" w:eastAsia="宋体" w:cs="Times New Roman"/>
                <w:b/>
                <w:bCs/>
                <w:color w:val="auto"/>
                <w:kern w:val="0"/>
                <w:sz w:val="24"/>
              </w:rPr>
              <w:t>环境保护目标</w:t>
            </w:r>
          </w:p>
          <w:p w14:paraId="47CC4A38">
            <w:pPr>
              <w:pStyle w:val="54"/>
              <w:ind w:firstLine="480"/>
              <w:rPr>
                <w:rFonts w:hint="eastAsia" w:cs="Times New Roman"/>
                <w:b w:val="0"/>
                <w:bCs w:val="0"/>
                <w:kern w:val="0"/>
                <w:sz w:val="24"/>
                <w:szCs w:val="28"/>
                <w:highlight w:val="none"/>
                <w:lang w:val="en-US" w:eastAsia="zh-CN" w:bidi="ar-SA"/>
              </w:rPr>
            </w:pPr>
            <w:r>
              <w:rPr>
                <w:rFonts w:hint="default" w:ascii="Times New Roman" w:hAnsi="Times New Roman" w:cs="Times New Roman"/>
                <w:b w:val="0"/>
                <w:bCs w:val="0"/>
                <w:color w:val="auto"/>
                <w:sz w:val="24"/>
                <w:szCs w:val="24"/>
                <w:lang w:val="en-US" w:eastAsia="zh-CN"/>
              </w:rPr>
              <w:t>根据“</w:t>
            </w:r>
            <w:r>
              <w:rPr>
                <w:rFonts w:hint="eastAsia" w:cs="Times New Roman"/>
                <w:b w:val="0"/>
                <w:bCs w:val="0"/>
                <w:color w:val="auto"/>
                <w:sz w:val="24"/>
                <w:szCs w:val="24"/>
                <w:lang w:val="en-US" w:eastAsia="zh-CN"/>
              </w:rPr>
              <w:t>本</w:t>
            </w:r>
            <w:r>
              <w:rPr>
                <w:rFonts w:hint="default" w:ascii="Times New Roman" w:hAnsi="Times New Roman" w:cs="Times New Roman"/>
                <w:b w:val="0"/>
                <w:bCs w:val="0"/>
                <w:color w:val="auto"/>
                <w:sz w:val="24"/>
                <w:szCs w:val="24"/>
                <w:lang w:val="en-US" w:eastAsia="zh-CN"/>
              </w:rPr>
              <w:t>工程与自然保护地位置关系图”</w:t>
            </w:r>
            <w:r>
              <w:rPr>
                <w:rFonts w:hint="eastAsia" w:cs="Times New Roman"/>
                <w:b w:val="0"/>
                <w:bCs w:val="0"/>
                <w:color w:val="auto"/>
                <w:sz w:val="24"/>
                <w:szCs w:val="24"/>
                <w:lang w:val="en-US" w:eastAsia="zh-CN"/>
              </w:rPr>
              <w:t>（附图6）</w:t>
            </w:r>
            <w:r>
              <w:rPr>
                <w:rFonts w:hint="default" w:ascii="Times New Roman" w:hAnsi="Times New Roman" w:cs="Times New Roman"/>
                <w:b w:val="0"/>
                <w:bCs w:val="0"/>
                <w:color w:val="auto"/>
                <w:sz w:val="24"/>
                <w:szCs w:val="24"/>
                <w:lang w:val="en-US" w:eastAsia="zh-CN"/>
              </w:rPr>
              <w:t>，本项目距离最近自然保护地为安徽金寨西河大鲵省级自然保护区，直线距离约为</w:t>
            </w:r>
            <w:r>
              <w:rPr>
                <w:rFonts w:hint="eastAsia" w:cs="Times New Roman"/>
                <w:b w:val="0"/>
                <w:bCs w:val="0"/>
                <w:color w:val="auto"/>
                <w:sz w:val="24"/>
                <w:szCs w:val="24"/>
                <w:lang w:val="en-US" w:eastAsia="zh-CN"/>
              </w:rPr>
              <w:t>2.77</w:t>
            </w:r>
            <w:r>
              <w:rPr>
                <w:rFonts w:hint="default" w:ascii="Times New Roman" w:hAnsi="Times New Roman" w:cs="Times New Roman"/>
                <w:b w:val="0"/>
                <w:bCs w:val="0"/>
                <w:color w:val="auto"/>
                <w:sz w:val="24"/>
                <w:szCs w:val="24"/>
                <w:lang w:val="en-US" w:eastAsia="zh-CN"/>
              </w:rPr>
              <w:t>km</w:t>
            </w:r>
            <w:r>
              <w:rPr>
                <w:rFonts w:hint="eastAsia" w:cs="Times New Roman"/>
                <w:b w:val="0"/>
                <w:bCs w:val="0"/>
                <w:color w:val="auto"/>
                <w:sz w:val="24"/>
                <w:szCs w:val="24"/>
                <w:lang w:val="en-US" w:eastAsia="zh-CN"/>
              </w:rPr>
              <w:t>，</w:t>
            </w:r>
            <w:r>
              <w:rPr>
                <w:rFonts w:hint="default" w:ascii="Times New Roman" w:hAnsi="Times New Roman" w:cs="Times New Roman"/>
                <w:b w:val="0"/>
                <w:bCs w:val="0"/>
                <w:color w:val="auto"/>
                <w:sz w:val="24"/>
                <w:szCs w:val="24"/>
                <w:lang w:val="en-US" w:eastAsia="zh-CN"/>
              </w:rPr>
              <w:t>故本项目占地范围及评价范围均不涉及自然保护地</w:t>
            </w:r>
            <w:r>
              <w:rPr>
                <w:rFonts w:hint="eastAsia" w:cs="Times New Roman"/>
                <w:b w:val="0"/>
                <w:bCs w:val="0"/>
                <w:color w:val="auto"/>
                <w:sz w:val="24"/>
                <w:szCs w:val="24"/>
                <w:lang w:val="en-US" w:eastAsia="zh-CN"/>
              </w:rPr>
              <w:t>；对照国家公益林和省级公益林分布情况（附图7），本项目不涉及公益林；</w:t>
            </w:r>
            <w:r>
              <w:rPr>
                <w:rFonts w:hint="default" w:ascii="Times New Roman" w:hAnsi="Times New Roman" w:eastAsia="宋体" w:cs="Times New Roman"/>
                <w:b w:val="0"/>
                <w:bCs w:val="0"/>
                <w:kern w:val="0"/>
                <w:sz w:val="24"/>
                <w:szCs w:val="28"/>
                <w:highlight w:val="none"/>
                <w:lang w:val="en-US" w:eastAsia="zh-CN" w:bidi="ar-SA"/>
              </w:rPr>
              <w:t>对照生态</w:t>
            </w:r>
            <w:r>
              <w:rPr>
                <w:rFonts w:hint="eastAsia" w:cs="Times New Roman"/>
                <w:b w:val="0"/>
                <w:bCs w:val="0"/>
                <w:kern w:val="0"/>
                <w:sz w:val="24"/>
                <w:szCs w:val="28"/>
                <w:highlight w:val="none"/>
                <w:lang w:val="en-US" w:eastAsia="zh-CN" w:bidi="ar-SA"/>
              </w:rPr>
              <w:t>红线</w:t>
            </w:r>
            <w:r>
              <w:rPr>
                <w:rFonts w:hint="default" w:ascii="Times New Roman" w:hAnsi="Times New Roman" w:eastAsia="宋体" w:cs="Times New Roman"/>
                <w:b w:val="0"/>
                <w:bCs w:val="0"/>
                <w:kern w:val="0"/>
                <w:sz w:val="24"/>
                <w:szCs w:val="28"/>
                <w:highlight w:val="none"/>
                <w:lang w:val="en-US" w:eastAsia="zh-CN" w:bidi="ar-SA"/>
              </w:rPr>
              <w:t>分布情况</w:t>
            </w:r>
            <w:r>
              <w:rPr>
                <w:rFonts w:hint="eastAsia" w:cs="Times New Roman"/>
                <w:b w:val="0"/>
                <w:bCs w:val="0"/>
                <w:kern w:val="0"/>
                <w:sz w:val="24"/>
                <w:szCs w:val="28"/>
                <w:highlight w:val="none"/>
                <w:lang w:val="en-US" w:eastAsia="zh-CN" w:bidi="ar-SA"/>
              </w:rPr>
              <w:t>（附图8），</w:t>
            </w:r>
            <w:r>
              <w:rPr>
                <w:rFonts w:hint="default" w:ascii="Times New Roman" w:hAnsi="Times New Roman" w:eastAsia="宋体" w:cs="Times New Roman"/>
                <w:b w:val="0"/>
                <w:bCs w:val="0"/>
                <w:kern w:val="0"/>
                <w:sz w:val="24"/>
                <w:szCs w:val="28"/>
                <w:highlight w:val="none"/>
                <w:lang w:val="en-US" w:eastAsia="zh-CN" w:bidi="ar-SA"/>
              </w:rPr>
              <w:t>本项目占地范围</w:t>
            </w:r>
            <w:r>
              <w:rPr>
                <w:rFonts w:hint="eastAsia" w:cs="Times New Roman"/>
                <w:b w:val="0"/>
                <w:bCs w:val="0"/>
                <w:kern w:val="0"/>
                <w:sz w:val="24"/>
                <w:szCs w:val="28"/>
                <w:highlight w:val="none"/>
                <w:lang w:val="en-US" w:eastAsia="zh-CN" w:bidi="ar-SA"/>
              </w:rPr>
              <w:t>及评价范围</w:t>
            </w:r>
            <w:r>
              <w:rPr>
                <w:rFonts w:hint="default" w:ascii="Times New Roman" w:hAnsi="Times New Roman" w:eastAsia="宋体" w:cs="Times New Roman"/>
                <w:b w:val="0"/>
                <w:bCs w:val="0"/>
                <w:kern w:val="0"/>
                <w:sz w:val="24"/>
                <w:szCs w:val="28"/>
                <w:highlight w:val="none"/>
                <w:lang w:val="en-US" w:eastAsia="zh-CN" w:bidi="ar-SA"/>
              </w:rPr>
              <w:t>内</w:t>
            </w:r>
            <w:r>
              <w:rPr>
                <w:rFonts w:hint="eastAsia" w:cs="Times New Roman"/>
                <w:b w:val="0"/>
                <w:bCs w:val="0"/>
                <w:kern w:val="0"/>
                <w:sz w:val="24"/>
                <w:szCs w:val="28"/>
                <w:highlight w:val="none"/>
                <w:lang w:val="en-US" w:eastAsia="zh-CN" w:bidi="ar-SA"/>
              </w:rPr>
              <w:t>均</w:t>
            </w:r>
            <w:r>
              <w:rPr>
                <w:rFonts w:hint="default" w:ascii="Times New Roman" w:hAnsi="Times New Roman" w:eastAsia="宋体" w:cs="Times New Roman"/>
                <w:b w:val="0"/>
                <w:bCs w:val="0"/>
                <w:kern w:val="0"/>
                <w:sz w:val="24"/>
                <w:szCs w:val="28"/>
                <w:highlight w:val="none"/>
                <w:lang w:val="en-US" w:eastAsia="zh-CN" w:bidi="ar-SA"/>
              </w:rPr>
              <w:t>不涉及生态保护红线</w:t>
            </w:r>
            <w:r>
              <w:rPr>
                <w:rFonts w:hint="eastAsia" w:cs="Times New Roman"/>
                <w:b w:val="0"/>
                <w:bCs w:val="0"/>
                <w:kern w:val="0"/>
                <w:sz w:val="24"/>
                <w:szCs w:val="28"/>
                <w:highlight w:val="none"/>
                <w:lang w:val="en-US" w:eastAsia="zh-CN" w:bidi="ar-SA"/>
              </w:rPr>
              <w:t>。</w:t>
            </w:r>
          </w:p>
          <w:p w14:paraId="2D788444">
            <w:pPr>
              <w:pStyle w:val="54"/>
              <w:ind w:firstLine="480"/>
              <w:rPr>
                <w:rFonts w:hint="default" w:ascii="Times New Roman" w:hAnsi="Times New Roman" w:eastAsia="宋体" w:cs="Times New Roman"/>
                <w:b/>
                <w:bCs/>
                <w:kern w:val="2"/>
                <w:sz w:val="21"/>
                <w:szCs w:val="21"/>
                <w:highlight w:val="none"/>
                <w:lang w:val="en-US" w:eastAsia="zh-CN" w:bidi="ar-SA"/>
              </w:rPr>
            </w:pPr>
            <w:r>
              <w:rPr>
                <w:rFonts w:hint="eastAsia" w:cs="Times New Roman"/>
                <w:b w:val="0"/>
                <w:bCs w:val="0"/>
                <w:kern w:val="0"/>
                <w:sz w:val="24"/>
                <w:szCs w:val="28"/>
                <w:highlight w:val="none"/>
                <w:lang w:val="en-US" w:eastAsia="zh-CN" w:bidi="ar-SA"/>
              </w:rPr>
              <w:t>综上，</w:t>
            </w:r>
            <w:r>
              <w:rPr>
                <w:rFonts w:hint="default" w:ascii="Times New Roman" w:hAnsi="Times New Roman" w:cs="Times New Roman"/>
                <w:b w:val="0"/>
                <w:bCs w:val="0"/>
                <w:color w:val="auto"/>
                <w:sz w:val="24"/>
                <w:szCs w:val="24"/>
                <w:lang w:val="en-US" w:eastAsia="zh-CN"/>
              </w:rPr>
              <w:t>本项目评价范围内不涉及自然保护区、风景名胜区等环境敏感区，生态环境保护目标为道路中心线两侧300范围内的动物、植物以及水土保持设施等。</w:t>
            </w:r>
          </w:p>
          <w:p w14:paraId="2B9D39B9">
            <w:pPr>
              <w:widowControl/>
              <w:bidi w:val="0"/>
              <w:spacing w:line="240" w:lineRule="auto"/>
              <w:jc w:val="center"/>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eastAsia="宋体" w:cs="Times New Roman"/>
                <w:b/>
                <w:bCs/>
                <w:kern w:val="2"/>
                <w:sz w:val="21"/>
                <w:szCs w:val="21"/>
                <w:highlight w:val="none"/>
                <w:lang w:val="en-US" w:eastAsia="zh-CN" w:bidi="ar-SA"/>
              </w:rPr>
              <w:t>表3-</w:t>
            </w:r>
            <w:r>
              <w:rPr>
                <w:rFonts w:hint="eastAsia" w:ascii="Times New Roman" w:hAnsi="Times New Roman" w:eastAsia="宋体" w:cs="Times New Roman"/>
                <w:b/>
                <w:bCs/>
                <w:kern w:val="2"/>
                <w:sz w:val="21"/>
                <w:szCs w:val="21"/>
                <w:highlight w:val="none"/>
                <w:lang w:val="en-US" w:eastAsia="zh-CN" w:bidi="ar-SA"/>
              </w:rPr>
              <w:t>4</w:t>
            </w:r>
            <w:r>
              <w:rPr>
                <w:rFonts w:hint="default" w:ascii="Times New Roman" w:hAnsi="Times New Roman" w:eastAsia="宋体" w:cs="Times New Roman"/>
                <w:b/>
                <w:bCs/>
                <w:kern w:val="2"/>
                <w:sz w:val="21"/>
                <w:szCs w:val="21"/>
                <w:highlight w:val="none"/>
                <w:lang w:val="en-US" w:eastAsia="zh-CN" w:bidi="ar-SA"/>
              </w:rPr>
              <w:t xml:space="preserve">  生态环境主要保护目标</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4"/>
              <w:gridCol w:w="2990"/>
              <w:gridCol w:w="859"/>
              <w:gridCol w:w="887"/>
              <w:gridCol w:w="1339"/>
            </w:tblGrid>
            <w:tr w14:paraId="06445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12" w:type="pct"/>
                  <w:noWrap w:val="0"/>
                  <w:vAlign w:val="center"/>
                </w:tcPr>
                <w:p w14:paraId="3E9647B6">
                  <w:pPr>
                    <w:jc w:val="center"/>
                    <w:rPr>
                      <w:rFonts w:hint="default" w:ascii="Times New Roman" w:hAnsi="Times New Roman" w:eastAsia="宋体" w:cs="Times New Roman"/>
                      <w:b/>
                      <w:bCs/>
                      <w:kern w:val="2"/>
                      <w:sz w:val="21"/>
                      <w:szCs w:val="22"/>
                      <w:highlight w:val="none"/>
                      <w:lang w:val="en-US" w:eastAsia="zh-CN" w:bidi="ar-SA"/>
                    </w:rPr>
                  </w:pPr>
                  <w:r>
                    <w:rPr>
                      <w:rFonts w:hint="default" w:ascii="Times New Roman" w:hAnsi="Times New Roman" w:eastAsia="宋体" w:cs="Times New Roman"/>
                      <w:b/>
                      <w:bCs/>
                      <w:kern w:val="2"/>
                      <w:sz w:val="21"/>
                      <w:szCs w:val="22"/>
                      <w:highlight w:val="none"/>
                      <w:lang w:val="en-US" w:eastAsia="zh-CN" w:bidi="ar-SA"/>
                    </w:rPr>
                    <w:t>保护对象</w:t>
                  </w:r>
                </w:p>
              </w:tc>
              <w:tc>
                <w:tcPr>
                  <w:tcW w:w="1864" w:type="pct"/>
                  <w:noWrap w:val="0"/>
                  <w:vAlign w:val="center"/>
                </w:tcPr>
                <w:p w14:paraId="3BF18C44">
                  <w:pPr>
                    <w:jc w:val="center"/>
                    <w:rPr>
                      <w:rFonts w:hint="default" w:ascii="Times New Roman" w:hAnsi="Times New Roman" w:eastAsia="宋体" w:cs="Times New Roman"/>
                      <w:b/>
                      <w:bCs/>
                      <w:kern w:val="2"/>
                      <w:sz w:val="21"/>
                      <w:szCs w:val="22"/>
                      <w:highlight w:val="none"/>
                      <w:lang w:val="en-US" w:eastAsia="zh-CN" w:bidi="ar-SA"/>
                    </w:rPr>
                  </w:pPr>
                  <w:r>
                    <w:rPr>
                      <w:rFonts w:hint="default" w:ascii="Times New Roman" w:hAnsi="Times New Roman" w:eastAsia="宋体" w:cs="Times New Roman"/>
                      <w:b/>
                      <w:bCs/>
                      <w:kern w:val="2"/>
                      <w:sz w:val="21"/>
                      <w:szCs w:val="22"/>
                      <w:highlight w:val="none"/>
                      <w:lang w:val="en-US" w:eastAsia="zh-CN" w:bidi="ar-SA"/>
                    </w:rPr>
                    <w:t>保护内容</w:t>
                  </w:r>
                </w:p>
              </w:tc>
              <w:tc>
                <w:tcPr>
                  <w:tcW w:w="535" w:type="pct"/>
                  <w:noWrap w:val="0"/>
                  <w:vAlign w:val="center"/>
                </w:tcPr>
                <w:p w14:paraId="105D5F95">
                  <w:pPr>
                    <w:jc w:val="center"/>
                    <w:rPr>
                      <w:rFonts w:hint="default" w:ascii="Times New Roman" w:hAnsi="Times New Roman" w:eastAsia="宋体" w:cs="Times New Roman"/>
                      <w:b/>
                      <w:bCs/>
                      <w:kern w:val="2"/>
                      <w:sz w:val="21"/>
                      <w:szCs w:val="22"/>
                      <w:highlight w:val="none"/>
                      <w:lang w:val="en-US" w:eastAsia="zh-CN" w:bidi="ar-SA"/>
                    </w:rPr>
                  </w:pPr>
                  <w:r>
                    <w:rPr>
                      <w:rFonts w:hint="default" w:ascii="Times New Roman" w:hAnsi="Times New Roman" w:eastAsia="宋体" w:cs="Times New Roman"/>
                      <w:b/>
                      <w:bCs/>
                      <w:kern w:val="2"/>
                      <w:sz w:val="21"/>
                      <w:szCs w:val="22"/>
                      <w:highlight w:val="none"/>
                      <w:lang w:val="en-US" w:eastAsia="zh-CN" w:bidi="ar-SA"/>
                    </w:rPr>
                    <w:t>环境功能</w:t>
                  </w:r>
                </w:p>
              </w:tc>
              <w:tc>
                <w:tcPr>
                  <w:tcW w:w="553" w:type="pct"/>
                  <w:noWrap w:val="0"/>
                  <w:vAlign w:val="center"/>
                </w:tcPr>
                <w:p w14:paraId="06F953A4">
                  <w:pPr>
                    <w:jc w:val="center"/>
                    <w:rPr>
                      <w:rFonts w:hint="default" w:ascii="Times New Roman" w:hAnsi="Times New Roman" w:eastAsia="宋体" w:cs="Times New Roman"/>
                      <w:b/>
                      <w:bCs/>
                      <w:kern w:val="2"/>
                      <w:sz w:val="21"/>
                      <w:szCs w:val="22"/>
                      <w:highlight w:val="none"/>
                      <w:lang w:val="en-US" w:eastAsia="zh-CN" w:bidi="ar-SA"/>
                    </w:rPr>
                  </w:pPr>
                  <w:r>
                    <w:rPr>
                      <w:rFonts w:hint="default" w:ascii="Times New Roman" w:hAnsi="Times New Roman" w:eastAsia="宋体" w:cs="Times New Roman"/>
                      <w:b/>
                      <w:bCs/>
                      <w:kern w:val="2"/>
                      <w:sz w:val="21"/>
                      <w:szCs w:val="22"/>
                      <w:highlight w:val="none"/>
                      <w:lang w:val="en-US" w:eastAsia="zh-CN" w:bidi="ar-SA"/>
                    </w:rPr>
                    <w:t>方位</w:t>
                  </w:r>
                </w:p>
              </w:tc>
              <w:tc>
                <w:tcPr>
                  <w:tcW w:w="834" w:type="pct"/>
                  <w:noWrap w:val="0"/>
                  <w:vAlign w:val="center"/>
                </w:tcPr>
                <w:p w14:paraId="25E4B584">
                  <w:pPr>
                    <w:jc w:val="center"/>
                    <w:rPr>
                      <w:rFonts w:hint="default" w:ascii="Times New Roman" w:hAnsi="Times New Roman" w:eastAsia="宋体" w:cs="Times New Roman"/>
                      <w:b/>
                      <w:bCs/>
                      <w:kern w:val="2"/>
                      <w:sz w:val="21"/>
                      <w:szCs w:val="22"/>
                      <w:highlight w:val="none"/>
                      <w:lang w:val="en-US" w:eastAsia="zh-CN" w:bidi="ar-SA"/>
                    </w:rPr>
                  </w:pPr>
                  <w:r>
                    <w:rPr>
                      <w:rFonts w:hint="default" w:ascii="Times New Roman" w:hAnsi="Times New Roman" w:eastAsia="宋体" w:cs="Times New Roman"/>
                      <w:b/>
                      <w:bCs/>
                      <w:kern w:val="2"/>
                      <w:sz w:val="21"/>
                      <w:szCs w:val="22"/>
                      <w:highlight w:val="none"/>
                      <w:lang w:val="en-US" w:eastAsia="zh-CN" w:bidi="ar-SA"/>
                    </w:rPr>
                    <w:t>相对场界最近距离/m</w:t>
                  </w:r>
                </w:p>
              </w:tc>
            </w:tr>
            <w:tr w14:paraId="39E98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12" w:type="pct"/>
                  <w:noWrap w:val="0"/>
                  <w:vAlign w:val="center"/>
                </w:tcPr>
                <w:p w14:paraId="6128C8F7">
                  <w:pPr>
                    <w:jc w:val="center"/>
                    <w:rPr>
                      <w:rFonts w:hint="default" w:ascii="Times New Roman" w:hAnsi="Times New Roman" w:eastAsia="宋体" w:cs="Times New Roman"/>
                      <w:b w:val="0"/>
                      <w:bCs w:val="0"/>
                      <w:kern w:val="2"/>
                      <w:sz w:val="21"/>
                      <w:szCs w:val="22"/>
                      <w:highlight w:val="none"/>
                      <w:lang w:val="en-US" w:eastAsia="zh-CN" w:bidi="ar-SA"/>
                    </w:rPr>
                  </w:pPr>
                  <w:r>
                    <w:rPr>
                      <w:rFonts w:hint="eastAsia" w:ascii="Times New Roman" w:hAnsi="Times New Roman" w:eastAsia="宋体" w:cs="Times New Roman"/>
                      <w:b w:val="0"/>
                      <w:bCs w:val="0"/>
                      <w:kern w:val="2"/>
                      <w:sz w:val="21"/>
                      <w:szCs w:val="22"/>
                      <w:highlight w:val="none"/>
                      <w:lang w:val="en-US" w:eastAsia="zh-CN" w:bidi="ar-SA"/>
                    </w:rPr>
                    <w:t>桐柏山-大别山国家级水土流失重点预防区</w:t>
                  </w:r>
                </w:p>
              </w:tc>
              <w:tc>
                <w:tcPr>
                  <w:tcW w:w="1864" w:type="pct"/>
                  <w:noWrap w:val="0"/>
                  <w:vAlign w:val="center"/>
                </w:tcPr>
                <w:p w14:paraId="4C5D1915">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植被覆盖率、水土保持</w:t>
                  </w:r>
                </w:p>
              </w:tc>
              <w:tc>
                <w:tcPr>
                  <w:tcW w:w="535" w:type="pct"/>
                  <w:noWrap w:val="0"/>
                  <w:vAlign w:val="center"/>
                </w:tcPr>
                <w:p w14:paraId="14536A42">
                  <w:pPr>
                    <w:jc w:val="center"/>
                    <w:rPr>
                      <w:rFonts w:hint="default" w:ascii="Times New Roman" w:hAnsi="Times New Roman" w:eastAsia="宋体" w:cs="Times New Roman"/>
                      <w:b w:val="0"/>
                      <w:bCs w:val="0"/>
                      <w:kern w:val="2"/>
                      <w:sz w:val="21"/>
                      <w:szCs w:val="22"/>
                      <w:highlight w:val="none"/>
                      <w:lang w:val="en-US" w:eastAsia="zh-CN" w:bidi="ar-SA"/>
                    </w:rPr>
                  </w:pPr>
                  <w:r>
                    <w:rPr>
                      <w:rFonts w:hint="eastAsia" w:ascii="Times New Roman" w:hAnsi="Times New Roman" w:eastAsia="宋体" w:cs="Times New Roman"/>
                      <w:b w:val="0"/>
                      <w:bCs w:val="0"/>
                      <w:kern w:val="2"/>
                      <w:sz w:val="21"/>
                      <w:szCs w:val="22"/>
                      <w:highlight w:val="none"/>
                      <w:lang w:val="en-US" w:eastAsia="zh-CN" w:bidi="ar-SA"/>
                    </w:rPr>
                    <w:t>水土流失重点预防区</w:t>
                  </w:r>
                </w:p>
              </w:tc>
              <w:tc>
                <w:tcPr>
                  <w:tcW w:w="553" w:type="pct"/>
                  <w:vMerge w:val="restart"/>
                  <w:noWrap w:val="0"/>
                  <w:vAlign w:val="center"/>
                </w:tcPr>
                <w:p w14:paraId="1E1DDB33">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项目区域范围</w:t>
                  </w:r>
                </w:p>
              </w:tc>
              <w:tc>
                <w:tcPr>
                  <w:tcW w:w="834" w:type="pct"/>
                  <w:noWrap w:val="0"/>
                  <w:vAlign w:val="center"/>
                </w:tcPr>
                <w:p w14:paraId="6525082A">
                  <w:pPr>
                    <w:jc w:val="center"/>
                    <w:rPr>
                      <w:rFonts w:hint="default" w:ascii="Times New Roman" w:hAnsi="Times New Roman" w:eastAsia="宋体" w:cs="Times New Roman"/>
                      <w:b w:val="0"/>
                      <w:bCs w:val="0"/>
                      <w:kern w:val="2"/>
                      <w:sz w:val="21"/>
                      <w:szCs w:val="22"/>
                      <w:highlight w:val="none"/>
                      <w:lang w:val="en-US" w:eastAsia="zh-CN" w:bidi="ar-SA"/>
                    </w:rPr>
                  </w:pPr>
                  <w:r>
                    <w:rPr>
                      <w:rFonts w:hint="eastAsia" w:ascii="Times New Roman" w:hAnsi="Times New Roman" w:eastAsia="宋体" w:cs="Times New Roman"/>
                      <w:b w:val="0"/>
                      <w:bCs w:val="0"/>
                      <w:kern w:val="2"/>
                      <w:sz w:val="21"/>
                      <w:szCs w:val="22"/>
                      <w:highlight w:val="none"/>
                      <w:lang w:val="en-US" w:eastAsia="zh-CN" w:bidi="ar-SA"/>
                    </w:rPr>
                    <w:t>/</w:t>
                  </w:r>
                </w:p>
              </w:tc>
            </w:tr>
            <w:tr w14:paraId="2A9AD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12" w:type="pct"/>
                  <w:noWrap w:val="0"/>
                  <w:vAlign w:val="center"/>
                </w:tcPr>
                <w:p w14:paraId="1A96E34C">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沿线植被</w:t>
                  </w:r>
                </w:p>
              </w:tc>
              <w:tc>
                <w:tcPr>
                  <w:tcW w:w="1864" w:type="pct"/>
                  <w:noWrap w:val="0"/>
                  <w:vAlign w:val="center"/>
                </w:tcPr>
                <w:p w14:paraId="64F65EA0">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植物物种多样性、植被覆盖率</w:t>
                  </w:r>
                </w:p>
              </w:tc>
              <w:tc>
                <w:tcPr>
                  <w:tcW w:w="535" w:type="pct"/>
                  <w:vMerge w:val="restart"/>
                  <w:noWrap w:val="0"/>
                  <w:vAlign w:val="center"/>
                </w:tcPr>
                <w:p w14:paraId="35319587">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一般区域</w:t>
                  </w:r>
                </w:p>
              </w:tc>
              <w:tc>
                <w:tcPr>
                  <w:tcW w:w="553" w:type="pct"/>
                  <w:vMerge w:val="continue"/>
                  <w:noWrap w:val="0"/>
                  <w:vAlign w:val="center"/>
                </w:tcPr>
                <w:p w14:paraId="79C29520">
                  <w:pPr>
                    <w:jc w:val="center"/>
                    <w:rPr>
                      <w:rFonts w:hint="default" w:ascii="Times New Roman" w:hAnsi="Times New Roman" w:eastAsia="宋体" w:cs="Times New Roman"/>
                      <w:b w:val="0"/>
                      <w:bCs w:val="0"/>
                      <w:kern w:val="2"/>
                      <w:sz w:val="21"/>
                      <w:szCs w:val="22"/>
                      <w:highlight w:val="none"/>
                      <w:lang w:val="en-US" w:eastAsia="zh-CN" w:bidi="ar-SA"/>
                    </w:rPr>
                  </w:pPr>
                </w:p>
              </w:tc>
              <w:tc>
                <w:tcPr>
                  <w:tcW w:w="834" w:type="pct"/>
                  <w:noWrap w:val="0"/>
                  <w:vAlign w:val="center"/>
                </w:tcPr>
                <w:p w14:paraId="16A52A71">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w:t>
                  </w:r>
                </w:p>
              </w:tc>
            </w:tr>
            <w:tr w14:paraId="49BED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12" w:type="pct"/>
                  <w:noWrap w:val="0"/>
                  <w:vAlign w:val="center"/>
                </w:tcPr>
                <w:p w14:paraId="23E121B0">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动植物</w:t>
                  </w:r>
                </w:p>
              </w:tc>
              <w:tc>
                <w:tcPr>
                  <w:tcW w:w="1864" w:type="pct"/>
                  <w:noWrap w:val="0"/>
                  <w:vAlign w:val="center"/>
                </w:tcPr>
                <w:p w14:paraId="2DD17899">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动植物种多样性</w:t>
                  </w:r>
                </w:p>
              </w:tc>
              <w:tc>
                <w:tcPr>
                  <w:tcW w:w="535" w:type="pct"/>
                  <w:vMerge w:val="continue"/>
                  <w:noWrap w:val="0"/>
                  <w:vAlign w:val="center"/>
                </w:tcPr>
                <w:p w14:paraId="1F3D5BCB">
                  <w:pPr>
                    <w:jc w:val="center"/>
                    <w:rPr>
                      <w:rFonts w:hint="default" w:ascii="Times New Roman" w:hAnsi="Times New Roman" w:eastAsia="宋体" w:cs="Times New Roman"/>
                      <w:b w:val="0"/>
                      <w:bCs w:val="0"/>
                      <w:kern w:val="2"/>
                      <w:sz w:val="21"/>
                      <w:szCs w:val="22"/>
                      <w:highlight w:val="none"/>
                      <w:lang w:val="en-US" w:eastAsia="zh-CN" w:bidi="ar-SA"/>
                    </w:rPr>
                  </w:pPr>
                </w:p>
              </w:tc>
              <w:tc>
                <w:tcPr>
                  <w:tcW w:w="553" w:type="pct"/>
                  <w:vMerge w:val="continue"/>
                  <w:noWrap w:val="0"/>
                  <w:vAlign w:val="center"/>
                </w:tcPr>
                <w:p w14:paraId="77D5412B">
                  <w:pPr>
                    <w:jc w:val="center"/>
                    <w:rPr>
                      <w:rFonts w:hint="default" w:ascii="Times New Roman" w:hAnsi="Times New Roman" w:eastAsia="宋体" w:cs="Times New Roman"/>
                      <w:b w:val="0"/>
                      <w:bCs w:val="0"/>
                      <w:kern w:val="2"/>
                      <w:sz w:val="21"/>
                      <w:szCs w:val="22"/>
                      <w:highlight w:val="none"/>
                      <w:lang w:val="en-US" w:eastAsia="zh-CN" w:bidi="ar-SA"/>
                    </w:rPr>
                  </w:pPr>
                </w:p>
              </w:tc>
              <w:tc>
                <w:tcPr>
                  <w:tcW w:w="834" w:type="pct"/>
                  <w:noWrap w:val="0"/>
                  <w:vAlign w:val="center"/>
                </w:tcPr>
                <w:p w14:paraId="2BEFCDC4">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w:t>
                  </w:r>
                </w:p>
              </w:tc>
            </w:tr>
            <w:tr w14:paraId="6FAEF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12" w:type="pct"/>
                  <w:noWrap w:val="0"/>
                  <w:vAlign w:val="center"/>
                </w:tcPr>
                <w:p w14:paraId="33677C6A">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水生生物</w:t>
                  </w:r>
                </w:p>
              </w:tc>
              <w:tc>
                <w:tcPr>
                  <w:tcW w:w="1864" w:type="pct"/>
                  <w:noWrap w:val="0"/>
                  <w:vAlign w:val="center"/>
                </w:tcPr>
                <w:p w14:paraId="4F869C76">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水生生物物种多样性</w:t>
                  </w:r>
                </w:p>
              </w:tc>
              <w:tc>
                <w:tcPr>
                  <w:tcW w:w="535" w:type="pct"/>
                  <w:vMerge w:val="continue"/>
                  <w:noWrap w:val="0"/>
                  <w:vAlign w:val="center"/>
                </w:tcPr>
                <w:p w14:paraId="13084B90">
                  <w:pPr>
                    <w:jc w:val="center"/>
                    <w:rPr>
                      <w:rFonts w:hint="default" w:ascii="Times New Roman" w:hAnsi="Times New Roman" w:eastAsia="宋体" w:cs="Times New Roman"/>
                      <w:b w:val="0"/>
                      <w:bCs w:val="0"/>
                      <w:kern w:val="2"/>
                      <w:sz w:val="21"/>
                      <w:szCs w:val="22"/>
                      <w:highlight w:val="none"/>
                      <w:lang w:val="en-US" w:eastAsia="zh-CN" w:bidi="ar-SA"/>
                    </w:rPr>
                  </w:pPr>
                </w:p>
              </w:tc>
              <w:tc>
                <w:tcPr>
                  <w:tcW w:w="553" w:type="pct"/>
                  <w:vMerge w:val="continue"/>
                  <w:noWrap w:val="0"/>
                  <w:vAlign w:val="center"/>
                </w:tcPr>
                <w:p w14:paraId="2EDC7BEF">
                  <w:pPr>
                    <w:jc w:val="center"/>
                    <w:rPr>
                      <w:rFonts w:hint="default" w:ascii="Times New Roman" w:hAnsi="Times New Roman" w:eastAsia="宋体" w:cs="Times New Roman"/>
                      <w:b w:val="0"/>
                      <w:bCs w:val="0"/>
                      <w:kern w:val="2"/>
                      <w:sz w:val="21"/>
                      <w:szCs w:val="22"/>
                      <w:highlight w:val="none"/>
                      <w:lang w:val="en-US" w:eastAsia="zh-CN" w:bidi="ar-SA"/>
                    </w:rPr>
                  </w:pPr>
                </w:p>
              </w:tc>
              <w:tc>
                <w:tcPr>
                  <w:tcW w:w="834" w:type="pct"/>
                  <w:noWrap w:val="0"/>
                  <w:vAlign w:val="center"/>
                </w:tcPr>
                <w:p w14:paraId="7A875609">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w:t>
                  </w:r>
                </w:p>
              </w:tc>
            </w:tr>
          </w:tbl>
          <w:p w14:paraId="3A4EE486">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lang w:val="en-US" w:eastAsia="zh-CN"/>
              </w:rPr>
              <w:t>2、水</w:t>
            </w:r>
            <w:r>
              <w:rPr>
                <w:rFonts w:hint="default" w:ascii="Times New Roman" w:hAnsi="Times New Roman" w:eastAsia="宋体" w:cs="Times New Roman"/>
                <w:b/>
                <w:bCs/>
                <w:color w:val="auto"/>
                <w:kern w:val="0"/>
                <w:sz w:val="24"/>
              </w:rPr>
              <w:t>环境保护目标</w:t>
            </w:r>
          </w:p>
          <w:p w14:paraId="4073C49A">
            <w:pPr>
              <w:pStyle w:val="54"/>
              <w:ind w:firstLine="480"/>
              <w:rPr>
                <w:rFonts w:hint="default" w:ascii="Times New Roman" w:hAnsi="Times New Roman" w:cs="Times New Roman"/>
                <w:b w:val="0"/>
                <w:bCs w:val="0"/>
                <w:color w:val="auto"/>
                <w:sz w:val="24"/>
                <w:szCs w:val="24"/>
                <w:lang w:val="en-US" w:eastAsia="zh-CN"/>
              </w:rPr>
            </w:pPr>
            <w:r>
              <w:rPr>
                <w:rFonts w:hint="default" w:ascii="Times New Roman" w:hAnsi="Times New Roman" w:cs="Times New Roman"/>
                <w:b w:val="0"/>
                <w:bCs w:val="0"/>
                <w:color w:val="auto"/>
                <w:sz w:val="24"/>
                <w:szCs w:val="24"/>
                <w:lang w:val="en-US" w:eastAsia="zh-CN"/>
              </w:rPr>
              <w:t>项目涉及河流的具体情况见下表：</w:t>
            </w:r>
          </w:p>
          <w:p w14:paraId="5854C0F4">
            <w:pPr>
              <w:widowControl/>
              <w:bidi w:val="0"/>
              <w:spacing w:line="240" w:lineRule="auto"/>
              <w:jc w:val="center"/>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eastAsia="宋体" w:cs="Times New Roman"/>
                <w:b/>
                <w:bCs/>
                <w:kern w:val="2"/>
                <w:sz w:val="21"/>
                <w:szCs w:val="21"/>
                <w:highlight w:val="none"/>
                <w:lang w:val="en-US" w:eastAsia="zh-CN" w:bidi="ar-SA"/>
              </w:rPr>
              <w:t>表3-</w:t>
            </w:r>
            <w:r>
              <w:rPr>
                <w:rFonts w:hint="eastAsia" w:ascii="Times New Roman" w:hAnsi="Times New Roman" w:eastAsia="宋体" w:cs="Times New Roman"/>
                <w:b/>
                <w:bCs/>
                <w:kern w:val="2"/>
                <w:sz w:val="21"/>
                <w:szCs w:val="21"/>
                <w:highlight w:val="none"/>
                <w:lang w:val="en-US" w:eastAsia="zh-CN" w:bidi="ar-SA"/>
              </w:rPr>
              <w:t>5</w:t>
            </w:r>
            <w:r>
              <w:rPr>
                <w:rFonts w:hint="default" w:ascii="Times New Roman" w:hAnsi="Times New Roman" w:eastAsia="宋体" w:cs="Times New Roman"/>
                <w:b/>
                <w:bCs/>
                <w:kern w:val="2"/>
                <w:sz w:val="21"/>
                <w:szCs w:val="21"/>
                <w:highlight w:val="none"/>
                <w:lang w:val="en-US" w:eastAsia="zh-CN" w:bidi="ar-SA"/>
              </w:rPr>
              <w:t xml:space="preserve">  水环境主要保护目标</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5"/>
              <w:gridCol w:w="1061"/>
              <w:gridCol w:w="761"/>
              <w:gridCol w:w="975"/>
              <w:gridCol w:w="1350"/>
              <w:gridCol w:w="2687"/>
            </w:tblGrid>
            <w:tr w14:paraId="2144E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738" w:type="pct"/>
                  <w:noWrap w:val="0"/>
                  <w:vAlign w:val="center"/>
                </w:tcPr>
                <w:p w14:paraId="4ECCFD1E">
                  <w:pPr>
                    <w:jc w:val="center"/>
                    <w:rPr>
                      <w:rFonts w:hint="default" w:ascii="Times New Roman" w:hAnsi="Times New Roman" w:eastAsia="宋体" w:cs="Times New Roman"/>
                      <w:b/>
                      <w:bCs/>
                      <w:kern w:val="2"/>
                      <w:sz w:val="21"/>
                      <w:szCs w:val="22"/>
                      <w:highlight w:val="none"/>
                      <w:lang w:val="en-US" w:eastAsia="zh-CN" w:bidi="ar-SA"/>
                    </w:rPr>
                  </w:pPr>
                  <w:r>
                    <w:rPr>
                      <w:rFonts w:hint="default" w:ascii="Times New Roman" w:hAnsi="Times New Roman" w:eastAsia="宋体" w:cs="Times New Roman"/>
                      <w:b/>
                      <w:bCs/>
                      <w:kern w:val="2"/>
                      <w:sz w:val="21"/>
                      <w:szCs w:val="22"/>
                      <w:highlight w:val="none"/>
                      <w:lang w:val="en-US" w:eastAsia="zh-CN" w:bidi="ar-SA"/>
                    </w:rPr>
                    <w:t>环境要素</w:t>
                  </w:r>
                </w:p>
              </w:tc>
              <w:tc>
                <w:tcPr>
                  <w:tcW w:w="661" w:type="pct"/>
                  <w:noWrap w:val="0"/>
                  <w:vAlign w:val="center"/>
                </w:tcPr>
                <w:p w14:paraId="59D99F9D">
                  <w:pPr>
                    <w:jc w:val="center"/>
                    <w:rPr>
                      <w:rFonts w:hint="default" w:ascii="Times New Roman" w:hAnsi="Times New Roman" w:eastAsia="宋体" w:cs="Times New Roman"/>
                      <w:b/>
                      <w:bCs/>
                      <w:kern w:val="2"/>
                      <w:sz w:val="21"/>
                      <w:szCs w:val="22"/>
                      <w:highlight w:val="none"/>
                      <w:lang w:val="en-US" w:eastAsia="zh-CN" w:bidi="ar-SA"/>
                    </w:rPr>
                  </w:pPr>
                  <w:r>
                    <w:rPr>
                      <w:rFonts w:hint="default" w:ascii="Times New Roman" w:hAnsi="Times New Roman" w:eastAsia="宋体" w:cs="Times New Roman"/>
                      <w:b/>
                      <w:bCs/>
                      <w:kern w:val="2"/>
                      <w:sz w:val="21"/>
                      <w:szCs w:val="22"/>
                      <w:highlight w:val="none"/>
                      <w:lang w:val="en-US" w:eastAsia="zh-CN" w:bidi="ar-SA"/>
                    </w:rPr>
                    <w:t>保护对象</w:t>
                  </w:r>
                </w:p>
              </w:tc>
              <w:tc>
                <w:tcPr>
                  <w:tcW w:w="474" w:type="pct"/>
                  <w:noWrap w:val="0"/>
                  <w:vAlign w:val="center"/>
                </w:tcPr>
                <w:p w14:paraId="35790F78">
                  <w:pPr>
                    <w:jc w:val="center"/>
                    <w:rPr>
                      <w:rFonts w:hint="default" w:ascii="Times New Roman" w:hAnsi="Times New Roman" w:eastAsia="宋体" w:cs="Times New Roman"/>
                      <w:b/>
                      <w:bCs/>
                      <w:kern w:val="2"/>
                      <w:sz w:val="21"/>
                      <w:szCs w:val="22"/>
                      <w:highlight w:val="none"/>
                      <w:lang w:val="en-US" w:eastAsia="zh-CN" w:bidi="ar-SA"/>
                    </w:rPr>
                  </w:pPr>
                  <w:r>
                    <w:rPr>
                      <w:rFonts w:hint="default" w:ascii="Times New Roman" w:hAnsi="Times New Roman" w:eastAsia="宋体" w:cs="Times New Roman"/>
                      <w:b/>
                      <w:bCs/>
                      <w:kern w:val="2"/>
                      <w:sz w:val="21"/>
                      <w:szCs w:val="22"/>
                      <w:highlight w:val="none"/>
                      <w:lang w:val="en-US" w:eastAsia="zh-CN" w:bidi="ar-SA"/>
                    </w:rPr>
                    <w:t>方位</w:t>
                  </w:r>
                </w:p>
              </w:tc>
              <w:tc>
                <w:tcPr>
                  <w:tcW w:w="607" w:type="pct"/>
                  <w:noWrap w:val="0"/>
                  <w:vAlign w:val="center"/>
                </w:tcPr>
                <w:p w14:paraId="1134EEAC">
                  <w:pPr>
                    <w:jc w:val="center"/>
                    <w:rPr>
                      <w:rFonts w:hint="default" w:ascii="Times New Roman" w:hAnsi="Times New Roman" w:eastAsia="宋体" w:cs="Times New Roman"/>
                      <w:b/>
                      <w:bCs/>
                      <w:kern w:val="2"/>
                      <w:sz w:val="21"/>
                      <w:szCs w:val="22"/>
                      <w:highlight w:val="none"/>
                      <w:lang w:val="en-US" w:eastAsia="zh-CN" w:bidi="ar-SA"/>
                    </w:rPr>
                  </w:pPr>
                  <w:r>
                    <w:rPr>
                      <w:rFonts w:hint="default" w:ascii="Times New Roman" w:hAnsi="Times New Roman" w:eastAsia="宋体" w:cs="Times New Roman"/>
                      <w:b/>
                      <w:bCs/>
                      <w:kern w:val="2"/>
                      <w:sz w:val="21"/>
                      <w:szCs w:val="22"/>
                      <w:highlight w:val="none"/>
                      <w:lang w:val="en-US" w:eastAsia="zh-CN" w:bidi="ar-SA"/>
                    </w:rPr>
                    <w:t>规模</w:t>
                  </w:r>
                </w:p>
              </w:tc>
              <w:tc>
                <w:tcPr>
                  <w:tcW w:w="841" w:type="pct"/>
                  <w:noWrap w:val="0"/>
                  <w:vAlign w:val="center"/>
                </w:tcPr>
                <w:p w14:paraId="1723DF98">
                  <w:pPr>
                    <w:jc w:val="center"/>
                    <w:rPr>
                      <w:rFonts w:hint="default" w:ascii="Times New Roman" w:hAnsi="Times New Roman" w:eastAsia="宋体" w:cs="Times New Roman"/>
                      <w:b/>
                      <w:bCs/>
                      <w:kern w:val="2"/>
                      <w:sz w:val="21"/>
                      <w:szCs w:val="22"/>
                      <w:highlight w:val="none"/>
                      <w:lang w:val="en-US" w:eastAsia="zh-CN" w:bidi="ar-SA"/>
                    </w:rPr>
                  </w:pPr>
                  <w:r>
                    <w:rPr>
                      <w:rFonts w:hint="default" w:ascii="Times New Roman" w:hAnsi="Times New Roman" w:eastAsia="宋体" w:cs="Times New Roman"/>
                      <w:b/>
                      <w:bCs/>
                      <w:kern w:val="2"/>
                      <w:sz w:val="21"/>
                      <w:szCs w:val="22"/>
                      <w:highlight w:val="none"/>
                      <w:lang w:val="en-US" w:eastAsia="zh-CN" w:bidi="ar-SA"/>
                    </w:rPr>
                    <w:t>距项目最近距离</w:t>
                  </w:r>
                </w:p>
              </w:tc>
              <w:tc>
                <w:tcPr>
                  <w:tcW w:w="1675" w:type="pct"/>
                  <w:noWrap w:val="0"/>
                  <w:vAlign w:val="center"/>
                </w:tcPr>
                <w:p w14:paraId="31730BD4">
                  <w:pPr>
                    <w:jc w:val="center"/>
                    <w:rPr>
                      <w:rFonts w:hint="default" w:ascii="Times New Roman" w:hAnsi="Times New Roman" w:eastAsia="宋体" w:cs="Times New Roman"/>
                      <w:b/>
                      <w:bCs/>
                      <w:kern w:val="2"/>
                      <w:sz w:val="21"/>
                      <w:szCs w:val="22"/>
                      <w:highlight w:val="none"/>
                      <w:lang w:val="en-US" w:eastAsia="zh-CN" w:bidi="ar-SA"/>
                    </w:rPr>
                  </w:pPr>
                  <w:r>
                    <w:rPr>
                      <w:rFonts w:hint="default" w:ascii="Times New Roman" w:hAnsi="Times New Roman" w:eastAsia="宋体" w:cs="Times New Roman"/>
                      <w:b/>
                      <w:bCs/>
                      <w:kern w:val="2"/>
                      <w:sz w:val="21"/>
                      <w:szCs w:val="22"/>
                      <w:highlight w:val="none"/>
                      <w:lang w:val="en-US" w:eastAsia="zh-CN" w:bidi="ar-SA"/>
                    </w:rPr>
                    <w:t>备注</w:t>
                  </w:r>
                </w:p>
              </w:tc>
            </w:tr>
            <w:tr w14:paraId="551BB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38" w:type="pct"/>
                  <w:vMerge w:val="restart"/>
                  <w:noWrap w:val="0"/>
                  <w:vAlign w:val="center"/>
                </w:tcPr>
                <w:p w14:paraId="4EDF34A6">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地表水</w:t>
                  </w:r>
                </w:p>
                <w:p w14:paraId="6E44E2F4">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环境</w:t>
                  </w:r>
                </w:p>
              </w:tc>
              <w:tc>
                <w:tcPr>
                  <w:tcW w:w="661" w:type="pct"/>
                  <w:noWrap w:val="0"/>
                  <w:vAlign w:val="center"/>
                </w:tcPr>
                <w:p w14:paraId="21C22FB0">
                  <w:pPr>
                    <w:jc w:val="center"/>
                    <w:rPr>
                      <w:rFonts w:hint="default" w:ascii="Times New Roman" w:hAnsi="Times New Roman" w:eastAsia="宋体" w:cs="Times New Roman"/>
                      <w:b w:val="0"/>
                      <w:bCs w:val="0"/>
                      <w:kern w:val="2"/>
                      <w:sz w:val="21"/>
                      <w:szCs w:val="22"/>
                      <w:highlight w:val="none"/>
                      <w:lang w:val="en-US" w:eastAsia="zh-CN" w:bidi="ar-SA"/>
                    </w:rPr>
                  </w:pPr>
                  <w:r>
                    <w:rPr>
                      <w:rFonts w:hint="eastAsia" w:ascii="Times New Roman" w:hAnsi="Times New Roman" w:eastAsia="宋体" w:cs="Times New Roman"/>
                      <w:b w:val="0"/>
                      <w:bCs w:val="0"/>
                      <w:kern w:val="2"/>
                      <w:sz w:val="21"/>
                      <w:szCs w:val="22"/>
                      <w:highlight w:val="none"/>
                      <w:lang w:val="en-US" w:eastAsia="zh-CN" w:bidi="ar-SA"/>
                    </w:rPr>
                    <w:t>八道河</w:t>
                  </w:r>
                </w:p>
              </w:tc>
              <w:tc>
                <w:tcPr>
                  <w:tcW w:w="474" w:type="pct"/>
                  <w:noWrap w:val="0"/>
                  <w:vAlign w:val="center"/>
                </w:tcPr>
                <w:p w14:paraId="28633B2A">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S</w:t>
                  </w:r>
                </w:p>
              </w:tc>
              <w:tc>
                <w:tcPr>
                  <w:tcW w:w="607" w:type="pct"/>
                  <w:noWrap w:val="0"/>
                  <w:vAlign w:val="center"/>
                </w:tcPr>
                <w:p w14:paraId="757AFFD2">
                  <w:pPr>
                    <w:jc w:val="center"/>
                    <w:rPr>
                      <w:rFonts w:hint="default" w:ascii="Times New Roman" w:hAnsi="Times New Roman" w:eastAsia="宋体" w:cs="Times New Roman"/>
                      <w:b w:val="0"/>
                      <w:bCs w:val="0"/>
                      <w:kern w:val="2"/>
                      <w:sz w:val="21"/>
                      <w:szCs w:val="22"/>
                      <w:highlight w:val="none"/>
                      <w:lang w:val="en-US" w:eastAsia="zh-CN" w:bidi="ar-SA"/>
                    </w:rPr>
                  </w:pPr>
                  <w:r>
                    <w:rPr>
                      <w:rFonts w:hint="eastAsia" w:ascii="Times New Roman" w:hAnsi="Times New Roman" w:eastAsia="宋体" w:cs="Times New Roman"/>
                      <w:b w:val="0"/>
                      <w:bCs w:val="0"/>
                      <w:kern w:val="2"/>
                      <w:sz w:val="21"/>
                      <w:szCs w:val="22"/>
                      <w:highlight w:val="none"/>
                      <w:lang w:val="en-US" w:eastAsia="zh-CN" w:bidi="ar-SA"/>
                    </w:rPr>
                    <w:t>小型</w:t>
                  </w:r>
                </w:p>
              </w:tc>
              <w:tc>
                <w:tcPr>
                  <w:tcW w:w="841" w:type="pct"/>
                  <w:noWrap w:val="0"/>
                  <w:vAlign w:val="center"/>
                </w:tcPr>
                <w:p w14:paraId="08940B63">
                  <w:pPr>
                    <w:jc w:val="center"/>
                    <w:rPr>
                      <w:rFonts w:hint="default" w:ascii="Times New Roman" w:hAnsi="Times New Roman" w:eastAsia="宋体" w:cs="Times New Roman"/>
                      <w:b w:val="0"/>
                      <w:bCs w:val="0"/>
                      <w:kern w:val="2"/>
                      <w:sz w:val="21"/>
                      <w:szCs w:val="22"/>
                      <w:highlight w:val="none"/>
                      <w:lang w:val="en-US" w:eastAsia="zh-CN" w:bidi="ar-SA"/>
                    </w:rPr>
                  </w:pPr>
                  <w:r>
                    <w:rPr>
                      <w:rFonts w:hint="eastAsia" w:ascii="Times New Roman" w:hAnsi="Times New Roman" w:eastAsia="宋体" w:cs="Times New Roman"/>
                      <w:b w:val="0"/>
                      <w:bCs w:val="0"/>
                      <w:kern w:val="2"/>
                      <w:sz w:val="21"/>
                      <w:szCs w:val="22"/>
                      <w:highlight w:val="none"/>
                      <w:lang w:val="en-US" w:eastAsia="zh-CN" w:bidi="ar-SA"/>
                    </w:rPr>
                    <w:t>2.29</w:t>
                  </w:r>
                </w:p>
              </w:tc>
              <w:tc>
                <w:tcPr>
                  <w:tcW w:w="1675" w:type="pct"/>
                  <w:noWrap w:val="0"/>
                  <w:vAlign w:val="center"/>
                </w:tcPr>
                <w:p w14:paraId="1FC99576">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《地表水环境质量标准》（GB3838-2002）Ⅲ类标准</w:t>
                  </w:r>
                </w:p>
              </w:tc>
            </w:tr>
            <w:tr w14:paraId="1A05C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38" w:type="pct"/>
                  <w:vMerge w:val="continue"/>
                  <w:noWrap w:val="0"/>
                  <w:vAlign w:val="center"/>
                </w:tcPr>
                <w:p w14:paraId="5F37F900">
                  <w:pPr>
                    <w:jc w:val="center"/>
                    <w:rPr>
                      <w:rFonts w:hint="default" w:ascii="Times New Roman" w:hAnsi="Times New Roman" w:eastAsia="宋体" w:cs="Times New Roman"/>
                      <w:b w:val="0"/>
                      <w:bCs w:val="0"/>
                      <w:kern w:val="2"/>
                      <w:sz w:val="21"/>
                      <w:szCs w:val="22"/>
                      <w:highlight w:val="none"/>
                      <w:lang w:val="en-US" w:eastAsia="zh-CN" w:bidi="ar-SA"/>
                    </w:rPr>
                  </w:pPr>
                </w:p>
              </w:tc>
              <w:tc>
                <w:tcPr>
                  <w:tcW w:w="661" w:type="pct"/>
                  <w:noWrap w:val="0"/>
                  <w:vAlign w:val="center"/>
                </w:tcPr>
                <w:p w14:paraId="4C4C09D7">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牛山河</w:t>
                  </w:r>
                </w:p>
              </w:tc>
              <w:tc>
                <w:tcPr>
                  <w:tcW w:w="474" w:type="pct"/>
                  <w:noWrap w:val="0"/>
                  <w:vAlign w:val="center"/>
                </w:tcPr>
                <w:p w14:paraId="4F0D82BD">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S</w:t>
                  </w:r>
                </w:p>
              </w:tc>
              <w:tc>
                <w:tcPr>
                  <w:tcW w:w="607" w:type="pct"/>
                  <w:noWrap w:val="0"/>
                  <w:vAlign w:val="center"/>
                </w:tcPr>
                <w:p w14:paraId="13023302">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中型</w:t>
                  </w:r>
                </w:p>
              </w:tc>
              <w:tc>
                <w:tcPr>
                  <w:tcW w:w="841" w:type="pct"/>
                  <w:noWrap w:val="0"/>
                  <w:vAlign w:val="center"/>
                </w:tcPr>
                <w:p w14:paraId="02A2CB9B">
                  <w:pPr>
                    <w:jc w:val="center"/>
                    <w:rPr>
                      <w:rFonts w:hint="default" w:ascii="Times New Roman" w:hAnsi="Times New Roman" w:eastAsia="宋体" w:cs="Times New Roman"/>
                      <w:b w:val="0"/>
                      <w:bCs w:val="0"/>
                      <w:kern w:val="2"/>
                      <w:sz w:val="21"/>
                      <w:szCs w:val="22"/>
                      <w:highlight w:val="none"/>
                      <w:lang w:val="en-US" w:eastAsia="zh-CN" w:bidi="ar-SA"/>
                    </w:rPr>
                  </w:pPr>
                  <w:r>
                    <w:rPr>
                      <w:rFonts w:hint="eastAsia" w:ascii="Times New Roman" w:hAnsi="Times New Roman" w:eastAsia="宋体" w:cs="Times New Roman"/>
                      <w:b w:val="0"/>
                      <w:bCs w:val="0"/>
                      <w:kern w:val="2"/>
                      <w:sz w:val="21"/>
                      <w:szCs w:val="22"/>
                      <w:highlight w:val="none"/>
                      <w:lang w:val="en-US" w:eastAsia="zh-CN" w:bidi="ar-SA"/>
                    </w:rPr>
                    <w:t>4.10</w:t>
                  </w:r>
                </w:p>
              </w:tc>
              <w:tc>
                <w:tcPr>
                  <w:tcW w:w="1675" w:type="pct"/>
                  <w:vMerge w:val="restart"/>
                  <w:noWrap w:val="0"/>
                  <w:vAlign w:val="center"/>
                </w:tcPr>
                <w:p w14:paraId="4E212BCB">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《地表水环境质量标准》（GB3838-2002）</w:t>
                  </w:r>
                  <w:r>
                    <w:rPr>
                      <w:rFonts w:hint="eastAsia" w:ascii="Times New Roman" w:hAnsi="Times New Roman" w:eastAsia="宋体" w:cs="Times New Roman"/>
                      <w:b w:val="0"/>
                      <w:bCs w:val="0"/>
                      <w:kern w:val="2"/>
                      <w:sz w:val="21"/>
                      <w:szCs w:val="22"/>
                      <w:highlight w:val="none"/>
                      <w:lang w:val="en-US" w:eastAsia="zh-CN" w:bidi="ar-SA"/>
                    </w:rPr>
                    <w:t>Ⅱ类</w:t>
                  </w:r>
                  <w:r>
                    <w:rPr>
                      <w:rFonts w:hint="default" w:ascii="Times New Roman" w:hAnsi="Times New Roman" w:eastAsia="宋体" w:cs="Times New Roman"/>
                      <w:b w:val="0"/>
                      <w:bCs w:val="0"/>
                      <w:kern w:val="2"/>
                      <w:sz w:val="21"/>
                      <w:szCs w:val="22"/>
                      <w:highlight w:val="none"/>
                      <w:lang w:val="en-US" w:eastAsia="zh-CN" w:bidi="ar-SA"/>
                    </w:rPr>
                    <w:t>标准</w:t>
                  </w:r>
                </w:p>
              </w:tc>
            </w:tr>
            <w:tr w14:paraId="1F2FB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38" w:type="pct"/>
                  <w:vMerge w:val="continue"/>
                  <w:noWrap w:val="0"/>
                  <w:vAlign w:val="center"/>
                </w:tcPr>
                <w:p w14:paraId="0DC39F68">
                  <w:pPr>
                    <w:jc w:val="center"/>
                    <w:rPr>
                      <w:rFonts w:hint="default" w:ascii="Times New Roman" w:hAnsi="Times New Roman" w:eastAsia="宋体" w:cs="Times New Roman"/>
                      <w:b w:val="0"/>
                      <w:bCs w:val="0"/>
                      <w:kern w:val="2"/>
                      <w:sz w:val="21"/>
                      <w:szCs w:val="22"/>
                      <w:highlight w:val="none"/>
                      <w:lang w:val="en-US" w:eastAsia="zh-CN" w:bidi="ar-SA"/>
                    </w:rPr>
                  </w:pPr>
                </w:p>
              </w:tc>
              <w:tc>
                <w:tcPr>
                  <w:tcW w:w="661" w:type="pct"/>
                  <w:noWrap w:val="0"/>
                  <w:vAlign w:val="center"/>
                </w:tcPr>
                <w:p w14:paraId="20664E6B">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cs="Times New Roman"/>
                      <w:color w:val="auto"/>
                      <w:sz w:val="21"/>
                      <w:szCs w:val="21"/>
                      <w:lang w:val="en-US" w:eastAsia="zh-CN"/>
                    </w:rPr>
                    <w:t>竹根河</w:t>
                  </w:r>
                </w:p>
              </w:tc>
              <w:tc>
                <w:tcPr>
                  <w:tcW w:w="474" w:type="pct"/>
                  <w:noWrap w:val="0"/>
                  <w:vAlign w:val="center"/>
                </w:tcPr>
                <w:p w14:paraId="7CEB318C">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S</w:t>
                  </w:r>
                  <w:r>
                    <w:rPr>
                      <w:rFonts w:hint="eastAsia" w:ascii="Times New Roman" w:hAnsi="Times New Roman" w:eastAsia="宋体" w:cs="Times New Roman"/>
                      <w:b w:val="0"/>
                      <w:bCs w:val="0"/>
                      <w:kern w:val="2"/>
                      <w:sz w:val="21"/>
                      <w:szCs w:val="22"/>
                      <w:highlight w:val="none"/>
                      <w:lang w:val="en-US" w:eastAsia="zh-CN" w:bidi="ar-SA"/>
                    </w:rPr>
                    <w:t>E</w:t>
                  </w:r>
                </w:p>
              </w:tc>
              <w:tc>
                <w:tcPr>
                  <w:tcW w:w="607" w:type="pct"/>
                  <w:noWrap w:val="0"/>
                  <w:vAlign w:val="center"/>
                </w:tcPr>
                <w:p w14:paraId="4DE491CF">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中型</w:t>
                  </w:r>
                </w:p>
              </w:tc>
              <w:tc>
                <w:tcPr>
                  <w:tcW w:w="841" w:type="pct"/>
                  <w:noWrap w:val="0"/>
                  <w:vAlign w:val="center"/>
                </w:tcPr>
                <w:p w14:paraId="3275D6F1">
                  <w:pPr>
                    <w:jc w:val="center"/>
                    <w:rPr>
                      <w:rFonts w:hint="default" w:ascii="Times New Roman" w:hAnsi="Times New Roman" w:eastAsia="宋体" w:cs="Times New Roman"/>
                      <w:b w:val="0"/>
                      <w:bCs w:val="0"/>
                      <w:kern w:val="2"/>
                      <w:sz w:val="21"/>
                      <w:szCs w:val="22"/>
                      <w:highlight w:val="none"/>
                      <w:lang w:val="en-US" w:eastAsia="zh-CN" w:bidi="ar-SA"/>
                    </w:rPr>
                  </w:pPr>
                  <w:r>
                    <w:rPr>
                      <w:rFonts w:hint="eastAsia" w:ascii="Times New Roman" w:hAnsi="Times New Roman" w:eastAsia="宋体" w:cs="Times New Roman"/>
                      <w:b w:val="0"/>
                      <w:bCs w:val="0"/>
                      <w:kern w:val="2"/>
                      <w:sz w:val="21"/>
                      <w:szCs w:val="22"/>
                      <w:highlight w:val="none"/>
                      <w:lang w:val="en-US" w:eastAsia="zh-CN" w:bidi="ar-SA"/>
                    </w:rPr>
                    <w:t>10.3km</w:t>
                  </w:r>
                </w:p>
              </w:tc>
              <w:tc>
                <w:tcPr>
                  <w:tcW w:w="1675" w:type="pct"/>
                  <w:vMerge w:val="continue"/>
                  <w:noWrap w:val="0"/>
                  <w:vAlign w:val="center"/>
                </w:tcPr>
                <w:p w14:paraId="577066CF">
                  <w:pPr>
                    <w:jc w:val="center"/>
                    <w:rPr>
                      <w:rFonts w:hint="default" w:ascii="Times New Roman" w:hAnsi="Times New Roman" w:eastAsia="宋体" w:cs="Times New Roman"/>
                      <w:b w:val="0"/>
                      <w:bCs w:val="0"/>
                      <w:kern w:val="2"/>
                      <w:sz w:val="21"/>
                      <w:szCs w:val="22"/>
                      <w:highlight w:val="none"/>
                      <w:lang w:val="en-US" w:eastAsia="zh-CN" w:bidi="ar-SA"/>
                    </w:rPr>
                  </w:pPr>
                </w:p>
              </w:tc>
            </w:tr>
          </w:tbl>
          <w:p w14:paraId="4DB594E0">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lang w:val="en-US" w:eastAsia="zh-CN"/>
              </w:rPr>
              <w:t>3、声</w:t>
            </w:r>
            <w:r>
              <w:rPr>
                <w:rFonts w:hint="default" w:ascii="Times New Roman" w:hAnsi="Times New Roman" w:eastAsia="宋体" w:cs="Times New Roman"/>
                <w:b/>
                <w:bCs/>
                <w:color w:val="auto"/>
                <w:kern w:val="0"/>
                <w:sz w:val="24"/>
              </w:rPr>
              <w:t>环境保护目标</w:t>
            </w:r>
          </w:p>
          <w:p w14:paraId="53330DF4">
            <w:pPr>
              <w:pStyle w:val="9"/>
              <w:numPr>
                <w:ilvl w:val="0"/>
                <w:numId w:val="2"/>
              </w:numPr>
              <w:adjustRightInd w:val="0"/>
              <w:snapToGrid w:val="0"/>
              <w:spacing w:after="0" w:line="360" w:lineRule="auto"/>
              <w:ind w:firstLine="482" w:firstLineChars="200"/>
              <w:rPr>
                <w:rStyle w:val="44"/>
                <w:rFonts w:hint="eastAsia" w:ascii="Times New Roman" w:hAnsi="Times New Roman" w:eastAsia="宋体" w:cs="Times New Roman"/>
                <w:b/>
                <w:bCs/>
                <w:color w:val="auto"/>
                <w:sz w:val="24"/>
                <w:szCs w:val="24"/>
                <w:lang w:val="en-US" w:eastAsia="zh-CN"/>
              </w:rPr>
            </w:pPr>
            <w:r>
              <w:rPr>
                <w:rStyle w:val="44"/>
                <w:rFonts w:hint="eastAsia" w:ascii="Times New Roman" w:hAnsi="Times New Roman" w:eastAsia="宋体" w:cs="Times New Roman"/>
                <w:b/>
                <w:bCs/>
                <w:color w:val="auto"/>
                <w:sz w:val="24"/>
                <w:szCs w:val="24"/>
                <w:lang w:val="en-US" w:eastAsia="zh-CN"/>
              </w:rPr>
              <w:t>改扩建前</w:t>
            </w:r>
            <w:r>
              <w:rPr>
                <w:rFonts w:hint="eastAsia" w:ascii="Times New Roman" w:hAnsi="Times New Roman" w:cs="Times New Roman"/>
                <w:b/>
                <w:bCs/>
                <w:color w:val="auto"/>
                <w:sz w:val="24"/>
                <w:szCs w:val="32"/>
                <w:lang w:val="en-US" w:eastAsia="zh-CN"/>
              </w:rPr>
              <w:t>环境保护目标分布情况</w:t>
            </w:r>
          </w:p>
          <w:p w14:paraId="4882EAFC">
            <w:pPr>
              <w:pStyle w:val="54"/>
              <w:ind w:firstLine="480"/>
              <w:rPr>
                <w:rStyle w:val="44"/>
                <w:rFonts w:hint="eastAsia" w:ascii="Times New Roman" w:hAnsi="Times New Roman" w:eastAsia="宋体" w:cs="Times New Roman"/>
                <w:b w:val="0"/>
                <w:bCs w:val="0"/>
                <w:color w:val="auto"/>
                <w:sz w:val="24"/>
                <w:szCs w:val="24"/>
                <w:highlight w:val="none"/>
                <w:lang w:val="en-US" w:eastAsia="zh-CN"/>
              </w:rPr>
            </w:pPr>
            <w:r>
              <w:rPr>
                <w:rStyle w:val="44"/>
                <w:rFonts w:hint="default" w:ascii="Times New Roman" w:hAnsi="Times New Roman" w:eastAsia="宋体" w:cs="Times New Roman"/>
                <w:b w:val="0"/>
                <w:bCs w:val="0"/>
                <w:color w:val="auto"/>
                <w:sz w:val="24"/>
                <w:szCs w:val="24"/>
                <w:highlight w:val="none"/>
                <w:lang w:val="en-US" w:eastAsia="zh-CN"/>
              </w:rPr>
              <w:t>经现场勘查、调查统计，</w:t>
            </w:r>
            <w:r>
              <w:rPr>
                <w:rStyle w:val="44"/>
                <w:rFonts w:hint="eastAsia" w:ascii="Times New Roman" w:hAnsi="Times New Roman" w:eastAsia="宋体" w:cs="Times New Roman"/>
                <w:b w:val="0"/>
                <w:bCs w:val="0"/>
                <w:color w:val="auto"/>
                <w:sz w:val="24"/>
                <w:szCs w:val="24"/>
                <w:highlight w:val="none"/>
                <w:lang w:val="en-US" w:eastAsia="zh-CN"/>
              </w:rPr>
              <w:t>现状</w:t>
            </w:r>
            <w:r>
              <w:rPr>
                <w:rStyle w:val="44"/>
                <w:rFonts w:hint="default" w:ascii="Times New Roman" w:hAnsi="Times New Roman" w:eastAsia="宋体" w:cs="Times New Roman"/>
                <w:b w:val="0"/>
                <w:bCs w:val="0"/>
                <w:color w:val="auto"/>
                <w:sz w:val="24"/>
                <w:szCs w:val="24"/>
                <w:highlight w:val="none"/>
                <w:lang w:val="en-US" w:eastAsia="zh-CN"/>
              </w:rPr>
              <w:t>道路沿线评价范围内共涉及</w:t>
            </w:r>
            <w:r>
              <w:rPr>
                <w:rStyle w:val="44"/>
                <w:rFonts w:hint="eastAsia" w:ascii="Times New Roman" w:hAnsi="Times New Roman" w:eastAsia="宋体" w:cs="Times New Roman"/>
                <w:b w:val="0"/>
                <w:bCs w:val="0"/>
                <w:color w:val="auto"/>
                <w:sz w:val="24"/>
                <w:szCs w:val="24"/>
                <w:highlight w:val="none"/>
                <w:lang w:val="en-US" w:eastAsia="zh-CN"/>
              </w:rPr>
              <w:t>27</w:t>
            </w:r>
            <w:r>
              <w:rPr>
                <w:rStyle w:val="44"/>
                <w:rFonts w:hint="default" w:ascii="Times New Roman" w:hAnsi="Times New Roman" w:eastAsia="宋体" w:cs="Times New Roman"/>
                <w:b w:val="0"/>
                <w:bCs w:val="0"/>
                <w:color w:val="auto"/>
                <w:sz w:val="24"/>
                <w:szCs w:val="24"/>
                <w:highlight w:val="none"/>
                <w:lang w:val="en-US" w:eastAsia="zh-CN"/>
              </w:rPr>
              <w:t>个已建声环境敏感点，</w:t>
            </w:r>
            <w:r>
              <w:rPr>
                <w:rStyle w:val="44"/>
                <w:rFonts w:hint="eastAsia" w:ascii="Times New Roman" w:hAnsi="Times New Roman" w:eastAsia="宋体" w:cs="Times New Roman"/>
                <w:b w:val="0"/>
                <w:bCs w:val="0"/>
                <w:color w:val="auto"/>
                <w:sz w:val="24"/>
                <w:szCs w:val="24"/>
                <w:highlight w:val="none"/>
                <w:lang w:val="en-US" w:eastAsia="zh-CN"/>
              </w:rPr>
              <w:t>具体如下表所示：</w:t>
            </w:r>
          </w:p>
          <w:p w14:paraId="3915A94F">
            <w:pPr>
              <w:pStyle w:val="54"/>
              <w:ind w:firstLine="480"/>
              <w:rPr>
                <w:rFonts w:hint="eastAsia" w:eastAsia="宋体" w:cs="Times New Roman"/>
                <w:b w:val="0"/>
                <w:bCs w:val="0"/>
                <w:color w:val="auto"/>
                <w:kern w:val="0"/>
                <w:sz w:val="24"/>
                <w:szCs w:val="24"/>
                <w:highlight w:val="none"/>
                <w:lang w:val="en-US" w:eastAsia="zh-CN"/>
              </w:rPr>
            </w:pPr>
          </w:p>
          <w:p w14:paraId="12D3F439">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p w14:paraId="3BE68A92">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p w14:paraId="52F5129C">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p w14:paraId="0D021CE5">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p w14:paraId="2765BB5C">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p w14:paraId="3BAE73ED">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p w14:paraId="33262296">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p w14:paraId="584CB0F6">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p w14:paraId="058964DC">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p w14:paraId="541892AC">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p w14:paraId="28A272F8">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p w14:paraId="4705E2BE">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p w14:paraId="59182BBF">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p w14:paraId="42E4A83E">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p w14:paraId="36049396">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p w14:paraId="08815EBF">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tc>
      </w:tr>
    </w:tbl>
    <w:p w14:paraId="34DC9B5B">
      <w:pPr>
        <w:adjustRightInd w:val="0"/>
        <w:snapToGrid w:val="0"/>
        <w:jc w:val="center"/>
        <w:rPr>
          <w:rFonts w:hint="default" w:ascii="Times New Roman" w:hAnsi="Times New Roman" w:cs="Times New Roman"/>
          <w:b/>
          <w:bCs/>
          <w:color w:val="auto"/>
          <w:kern w:val="0"/>
          <w:sz w:val="24"/>
        </w:rPr>
        <w:sectPr>
          <w:pgSz w:w="11906" w:h="16838"/>
          <w:pgMar w:top="1440" w:right="1531" w:bottom="1440" w:left="1531"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29"/>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73"/>
        <w:gridCol w:w="12898"/>
      </w:tblGrid>
      <w:tr w14:paraId="7E2AB2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50" w:hRule="atLeast"/>
          <w:jc w:val="center"/>
        </w:trPr>
        <w:tc>
          <w:tcPr>
            <w:tcW w:w="449" w:type="pct"/>
            <w:noWrap w:val="0"/>
            <w:vAlign w:val="center"/>
          </w:tcPr>
          <w:p w14:paraId="5B1A7999">
            <w:pPr>
              <w:adjustRightInd w:val="0"/>
              <w:snapToGrid w:val="0"/>
              <w:jc w:val="center"/>
              <w:rPr>
                <w:rFonts w:hint="default" w:ascii="Times New Roman" w:hAnsi="Times New Roman" w:cs="Times New Roman"/>
                <w:b/>
                <w:bCs/>
                <w:color w:val="auto"/>
                <w:kern w:val="0"/>
                <w:sz w:val="24"/>
              </w:rPr>
            </w:pPr>
          </w:p>
        </w:tc>
        <w:tc>
          <w:tcPr>
            <w:tcW w:w="4550" w:type="pct"/>
            <w:noWrap w:val="0"/>
            <w:vAlign w:val="center"/>
          </w:tcPr>
          <w:p w14:paraId="6864FFF1">
            <w:pPr>
              <w:widowControl/>
              <w:bidi w:val="0"/>
              <w:spacing w:line="240" w:lineRule="auto"/>
              <w:jc w:val="center"/>
              <w:rPr>
                <w:rFonts w:hint="default" w:ascii="Times New Roman" w:hAnsi="Times New Roman" w:eastAsia="宋体" w:cs="Times New Roman"/>
                <w:b/>
                <w:bCs/>
                <w:kern w:val="2"/>
                <w:sz w:val="21"/>
                <w:szCs w:val="21"/>
                <w:highlight w:val="none"/>
                <w:lang w:val="en-US" w:eastAsia="zh-CN" w:bidi="ar-SA"/>
              </w:rPr>
            </w:pPr>
            <w:bookmarkStart w:id="43" w:name="_Toc75932855"/>
            <w:r>
              <w:rPr>
                <w:rFonts w:hint="default" w:ascii="Times New Roman" w:hAnsi="Times New Roman" w:eastAsia="宋体" w:cs="Times New Roman"/>
                <w:b/>
                <w:bCs/>
                <w:kern w:val="2"/>
                <w:sz w:val="21"/>
                <w:szCs w:val="21"/>
                <w:highlight w:val="none"/>
                <w:lang w:val="en-US" w:eastAsia="zh-CN" w:bidi="ar-SA"/>
              </w:rPr>
              <w:t>表</w:t>
            </w:r>
            <w:r>
              <w:rPr>
                <w:rFonts w:hint="eastAsia" w:ascii="Times New Roman" w:hAnsi="Times New Roman" w:eastAsia="宋体" w:cs="Times New Roman"/>
                <w:b/>
                <w:bCs/>
                <w:kern w:val="2"/>
                <w:sz w:val="21"/>
                <w:szCs w:val="21"/>
                <w:highlight w:val="none"/>
                <w:lang w:val="en-US" w:eastAsia="zh-CN" w:bidi="ar-SA"/>
              </w:rPr>
              <w:t>3</w:t>
            </w:r>
            <w:r>
              <w:rPr>
                <w:rFonts w:hint="default" w:ascii="Times New Roman" w:hAnsi="Times New Roman" w:eastAsia="宋体" w:cs="Times New Roman"/>
                <w:b/>
                <w:bCs/>
                <w:kern w:val="2"/>
                <w:sz w:val="21"/>
                <w:szCs w:val="21"/>
                <w:highlight w:val="none"/>
                <w:lang w:val="en-US" w:eastAsia="zh-CN" w:bidi="ar-SA"/>
              </w:rPr>
              <w:t>-6  改扩建前道路沿线声环境保护目标一览表</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3"/>
              <w:gridCol w:w="873"/>
              <w:gridCol w:w="612"/>
              <w:gridCol w:w="1919"/>
              <w:gridCol w:w="635"/>
              <w:gridCol w:w="538"/>
              <w:gridCol w:w="1359"/>
              <w:gridCol w:w="862"/>
              <w:gridCol w:w="988"/>
              <w:gridCol w:w="497"/>
              <w:gridCol w:w="469"/>
              <w:gridCol w:w="469"/>
              <w:gridCol w:w="2968"/>
            </w:tblGrid>
            <w:tr w14:paraId="17529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0" w:type="auto"/>
                  <w:vMerge w:val="restart"/>
                  <w:vAlign w:val="center"/>
                </w:tcPr>
                <w:p w14:paraId="2DFC82C6">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bookmarkStart w:id="44" w:name="_Toc15971"/>
                  <w:bookmarkStart w:id="45" w:name="_Toc23234"/>
                  <w:r>
                    <w:rPr>
                      <w:rFonts w:hint="default" w:ascii="Times New Roman" w:hAnsi="Times New Roman" w:eastAsia="宋体" w:cs="Times New Roman"/>
                      <w:b/>
                      <w:bCs/>
                      <w:snapToGrid w:val="0"/>
                      <w:color w:val="auto"/>
                      <w:kern w:val="2"/>
                      <w:sz w:val="21"/>
                      <w:szCs w:val="21"/>
                      <w:highlight w:val="none"/>
                      <w:vertAlign w:val="baseline"/>
                      <w:lang w:val="en-US" w:eastAsia="zh-CN"/>
                    </w:rPr>
                    <w:t>序号</w:t>
                  </w:r>
                  <w:bookmarkEnd w:id="44"/>
                  <w:bookmarkEnd w:id="45"/>
                </w:p>
              </w:tc>
              <w:tc>
                <w:tcPr>
                  <w:tcW w:w="0" w:type="auto"/>
                  <w:vMerge w:val="restart"/>
                  <w:vAlign w:val="center"/>
                </w:tcPr>
                <w:p w14:paraId="476D018F">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bookmarkStart w:id="46" w:name="_Toc31379"/>
                  <w:r>
                    <w:rPr>
                      <w:rFonts w:hint="default" w:ascii="Times New Roman" w:hAnsi="Times New Roman" w:eastAsia="宋体" w:cs="Times New Roman"/>
                      <w:b/>
                      <w:bCs/>
                      <w:snapToGrid w:val="0"/>
                      <w:color w:val="auto"/>
                      <w:kern w:val="2"/>
                      <w:sz w:val="21"/>
                      <w:szCs w:val="21"/>
                      <w:highlight w:val="none"/>
                      <w:vertAlign w:val="baseline"/>
                      <w:lang w:val="en-US" w:eastAsia="zh-CN"/>
                    </w:rPr>
                    <w:t>声环境保护目标名称</w:t>
                  </w:r>
                  <w:bookmarkEnd w:id="46"/>
                </w:p>
              </w:tc>
              <w:tc>
                <w:tcPr>
                  <w:tcW w:w="0" w:type="auto"/>
                  <w:vMerge w:val="restart"/>
                  <w:vAlign w:val="center"/>
                </w:tcPr>
                <w:p w14:paraId="3C561DA3">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bookmarkStart w:id="47" w:name="_Toc32186"/>
                  <w:bookmarkStart w:id="48" w:name="_Toc31237"/>
                  <w:r>
                    <w:rPr>
                      <w:rFonts w:hint="default" w:ascii="Times New Roman" w:hAnsi="Times New Roman" w:eastAsia="宋体" w:cs="Times New Roman"/>
                      <w:b/>
                      <w:bCs/>
                      <w:snapToGrid w:val="0"/>
                      <w:color w:val="auto"/>
                      <w:kern w:val="2"/>
                      <w:sz w:val="21"/>
                      <w:szCs w:val="21"/>
                      <w:highlight w:val="none"/>
                      <w:vertAlign w:val="baseline"/>
                      <w:lang w:val="en-US" w:eastAsia="zh-CN"/>
                    </w:rPr>
                    <w:t>所在路段</w:t>
                  </w:r>
                  <w:bookmarkEnd w:id="47"/>
                </w:p>
                <w:bookmarkEnd w:id="48"/>
              </w:tc>
              <w:tc>
                <w:tcPr>
                  <w:tcW w:w="0" w:type="auto"/>
                  <w:vMerge w:val="restart"/>
                  <w:vAlign w:val="center"/>
                </w:tcPr>
                <w:p w14:paraId="5C68F4C0">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bookmarkStart w:id="49" w:name="_Toc14043"/>
                  <w:r>
                    <w:rPr>
                      <w:rFonts w:hint="default" w:ascii="Times New Roman" w:hAnsi="Times New Roman" w:eastAsia="宋体" w:cs="Times New Roman"/>
                      <w:b/>
                      <w:bCs/>
                      <w:snapToGrid w:val="0"/>
                      <w:color w:val="auto"/>
                      <w:kern w:val="2"/>
                      <w:sz w:val="21"/>
                      <w:szCs w:val="21"/>
                      <w:highlight w:val="none"/>
                      <w:vertAlign w:val="baseline"/>
                      <w:lang w:val="en-US" w:eastAsia="zh-CN"/>
                    </w:rPr>
                    <w:t>里程范围</w:t>
                  </w:r>
                  <w:bookmarkEnd w:id="49"/>
                </w:p>
              </w:tc>
              <w:tc>
                <w:tcPr>
                  <w:tcW w:w="0" w:type="auto"/>
                  <w:vMerge w:val="restart"/>
                  <w:vAlign w:val="center"/>
                </w:tcPr>
                <w:p w14:paraId="1C11A05E">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bookmarkStart w:id="50" w:name="_Toc30716"/>
                  <w:bookmarkStart w:id="51" w:name="_Toc583"/>
                  <w:r>
                    <w:rPr>
                      <w:rFonts w:hint="default" w:ascii="Times New Roman" w:hAnsi="Times New Roman" w:eastAsia="宋体" w:cs="Times New Roman"/>
                      <w:b/>
                      <w:bCs/>
                      <w:snapToGrid w:val="0"/>
                      <w:color w:val="auto"/>
                      <w:kern w:val="2"/>
                      <w:sz w:val="21"/>
                      <w:szCs w:val="21"/>
                      <w:highlight w:val="none"/>
                      <w:vertAlign w:val="baseline"/>
                      <w:lang w:val="en-US" w:eastAsia="zh-CN"/>
                    </w:rPr>
                    <w:t>线路形式</w:t>
                  </w:r>
                  <w:bookmarkEnd w:id="50"/>
                </w:p>
              </w:tc>
              <w:tc>
                <w:tcPr>
                  <w:tcW w:w="0" w:type="auto"/>
                  <w:vMerge w:val="restart"/>
                  <w:vAlign w:val="center"/>
                </w:tcPr>
                <w:p w14:paraId="1E20D802">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bookmarkStart w:id="52" w:name="_Toc26445"/>
                  <w:r>
                    <w:rPr>
                      <w:rFonts w:hint="default" w:ascii="Times New Roman" w:hAnsi="Times New Roman" w:eastAsia="宋体" w:cs="Times New Roman"/>
                      <w:b/>
                      <w:bCs/>
                      <w:snapToGrid w:val="0"/>
                      <w:color w:val="auto"/>
                      <w:kern w:val="2"/>
                      <w:sz w:val="21"/>
                      <w:szCs w:val="21"/>
                      <w:highlight w:val="none"/>
                      <w:vertAlign w:val="baseline"/>
                      <w:lang w:val="en-US" w:eastAsia="zh-CN"/>
                    </w:rPr>
                    <w:t>方位</w:t>
                  </w:r>
                  <w:bookmarkEnd w:id="52"/>
                </w:p>
                <w:bookmarkEnd w:id="51"/>
              </w:tc>
              <w:tc>
                <w:tcPr>
                  <w:tcW w:w="0" w:type="auto"/>
                  <w:vMerge w:val="restart"/>
                  <w:vAlign w:val="center"/>
                </w:tcPr>
                <w:p w14:paraId="51FE1A99">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bookmarkStart w:id="53" w:name="_Toc21484"/>
                  <w:r>
                    <w:rPr>
                      <w:rFonts w:hint="default" w:ascii="Times New Roman" w:hAnsi="Times New Roman" w:eastAsia="宋体" w:cs="Times New Roman"/>
                      <w:b/>
                      <w:bCs/>
                      <w:snapToGrid w:val="0"/>
                      <w:color w:val="auto"/>
                      <w:kern w:val="2"/>
                      <w:sz w:val="21"/>
                      <w:szCs w:val="21"/>
                      <w:highlight w:val="none"/>
                      <w:vertAlign w:val="baseline"/>
                      <w:lang w:val="en-US" w:eastAsia="zh-CN"/>
                    </w:rPr>
                    <w:t>声环境保护目标预测点与路面高差/m</w:t>
                  </w:r>
                  <w:bookmarkEnd w:id="53"/>
                </w:p>
              </w:tc>
              <w:tc>
                <w:tcPr>
                  <w:tcW w:w="0" w:type="auto"/>
                  <w:vMerge w:val="restart"/>
                  <w:vAlign w:val="center"/>
                </w:tcPr>
                <w:p w14:paraId="2B5BF5DE">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bookmarkStart w:id="54" w:name="_Toc9802"/>
                  <w:bookmarkStart w:id="55" w:name="_Toc11233"/>
                  <w:r>
                    <w:rPr>
                      <w:rFonts w:hint="default" w:ascii="Times New Roman" w:hAnsi="Times New Roman" w:eastAsia="宋体" w:cs="Times New Roman"/>
                      <w:b/>
                      <w:bCs/>
                      <w:snapToGrid w:val="0"/>
                      <w:color w:val="auto"/>
                      <w:kern w:val="2"/>
                      <w:sz w:val="21"/>
                      <w:szCs w:val="21"/>
                      <w:highlight w:val="none"/>
                      <w:vertAlign w:val="baseline"/>
                      <w:lang w:val="en-US" w:eastAsia="zh-CN"/>
                    </w:rPr>
                    <w:t>距道路边界距离/m</w:t>
                  </w:r>
                  <w:bookmarkEnd w:id="54"/>
                </w:p>
                <w:bookmarkEnd w:id="55"/>
              </w:tc>
              <w:tc>
                <w:tcPr>
                  <w:tcW w:w="0" w:type="auto"/>
                  <w:vMerge w:val="restart"/>
                  <w:vAlign w:val="center"/>
                </w:tcPr>
                <w:p w14:paraId="3272C6BF">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bookmarkStart w:id="56" w:name="_Toc20139"/>
                  <w:r>
                    <w:rPr>
                      <w:rFonts w:hint="default" w:ascii="Times New Roman" w:hAnsi="Times New Roman" w:eastAsia="宋体" w:cs="Times New Roman"/>
                      <w:b/>
                      <w:bCs/>
                      <w:snapToGrid w:val="0"/>
                      <w:color w:val="auto"/>
                      <w:kern w:val="2"/>
                      <w:sz w:val="21"/>
                      <w:szCs w:val="21"/>
                      <w:highlight w:val="none"/>
                      <w:vertAlign w:val="baseline"/>
                      <w:lang w:val="en-US" w:eastAsia="zh-CN"/>
                    </w:rPr>
                    <w:t>距道路中心线距离/m</w:t>
                  </w:r>
                  <w:bookmarkEnd w:id="56"/>
                </w:p>
              </w:tc>
              <w:tc>
                <w:tcPr>
                  <w:tcW w:w="0" w:type="auto"/>
                  <w:gridSpan w:val="3"/>
                  <w:vAlign w:val="center"/>
                </w:tcPr>
                <w:p w14:paraId="4BD4E154">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bookmarkStart w:id="57" w:name="_Toc32391"/>
                  <w:r>
                    <w:rPr>
                      <w:rFonts w:hint="default" w:ascii="Times New Roman" w:hAnsi="Times New Roman" w:eastAsia="宋体" w:cs="Times New Roman"/>
                      <w:b/>
                      <w:bCs/>
                      <w:snapToGrid w:val="0"/>
                      <w:color w:val="auto"/>
                      <w:kern w:val="2"/>
                      <w:sz w:val="21"/>
                      <w:szCs w:val="21"/>
                      <w:highlight w:val="none"/>
                      <w:vertAlign w:val="baseline"/>
                      <w:lang w:val="en-US" w:eastAsia="zh-CN"/>
                    </w:rPr>
                    <w:t>不同功能区户数</w:t>
                  </w:r>
                  <w:bookmarkEnd w:id="57"/>
                  <w:bookmarkStart w:id="58" w:name="_Toc7592"/>
                </w:p>
              </w:tc>
              <w:tc>
                <w:tcPr>
                  <w:tcW w:w="0" w:type="auto"/>
                  <w:vMerge w:val="restart"/>
                  <w:vAlign w:val="center"/>
                </w:tcPr>
                <w:p w14:paraId="3D0A9B40">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r>
                    <w:rPr>
                      <w:rFonts w:hint="default" w:ascii="Times New Roman" w:hAnsi="Times New Roman" w:eastAsia="宋体" w:cs="Times New Roman"/>
                      <w:b/>
                      <w:bCs/>
                      <w:snapToGrid w:val="0"/>
                      <w:color w:val="auto"/>
                      <w:kern w:val="2"/>
                      <w:sz w:val="21"/>
                      <w:szCs w:val="21"/>
                      <w:highlight w:val="none"/>
                      <w:vertAlign w:val="baseline"/>
                      <w:lang w:val="en-US" w:eastAsia="zh-CN"/>
                    </w:rPr>
                    <w:t>声环境保护目标情况说明</w:t>
                  </w:r>
                  <w:bookmarkEnd w:id="58"/>
                </w:p>
              </w:tc>
            </w:tr>
            <w:tr w14:paraId="16A5A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6" w:hRule="atLeast"/>
                <w:jc w:val="center"/>
              </w:trPr>
              <w:tc>
                <w:tcPr>
                  <w:tcW w:w="0" w:type="auto"/>
                  <w:vMerge w:val="continue"/>
                  <w:vAlign w:val="center"/>
                </w:tcPr>
                <w:p w14:paraId="4ED32668">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bookmarkStart w:id="59" w:name="_Toc513"/>
                </w:p>
              </w:tc>
              <w:tc>
                <w:tcPr>
                  <w:tcW w:w="0" w:type="auto"/>
                  <w:vMerge w:val="continue"/>
                  <w:vAlign w:val="center"/>
                </w:tcPr>
                <w:p w14:paraId="4F8C8735">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p>
              </w:tc>
              <w:tc>
                <w:tcPr>
                  <w:tcW w:w="0" w:type="auto"/>
                  <w:vMerge w:val="continue"/>
                  <w:vAlign w:val="center"/>
                </w:tcPr>
                <w:p w14:paraId="16609DFD">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p>
              </w:tc>
              <w:tc>
                <w:tcPr>
                  <w:tcW w:w="0" w:type="auto"/>
                  <w:vMerge w:val="continue"/>
                  <w:vAlign w:val="center"/>
                </w:tcPr>
                <w:p w14:paraId="6FB5B670">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p>
              </w:tc>
              <w:tc>
                <w:tcPr>
                  <w:tcW w:w="0" w:type="auto"/>
                  <w:vMerge w:val="continue"/>
                  <w:vAlign w:val="center"/>
                </w:tcPr>
                <w:p w14:paraId="667F324D">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p>
              </w:tc>
              <w:tc>
                <w:tcPr>
                  <w:tcW w:w="0" w:type="auto"/>
                  <w:vMerge w:val="continue"/>
                  <w:vAlign w:val="center"/>
                </w:tcPr>
                <w:p w14:paraId="15302031">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p>
              </w:tc>
              <w:tc>
                <w:tcPr>
                  <w:tcW w:w="0" w:type="auto"/>
                  <w:vMerge w:val="continue"/>
                  <w:vAlign w:val="center"/>
                </w:tcPr>
                <w:p w14:paraId="545114AC">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p>
              </w:tc>
              <w:tc>
                <w:tcPr>
                  <w:tcW w:w="0" w:type="auto"/>
                  <w:vMerge w:val="continue"/>
                  <w:vAlign w:val="center"/>
                </w:tcPr>
                <w:p w14:paraId="02C78AD0">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p>
              </w:tc>
              <w:tc>
                <w:tcPr>
                  <w:tcW w:w="0" w:type="auto"/>
                  <w:vMerge w:val="continue"/>
                  <w:vAlign w:val="center"/>
                </w:tcPr>
                <w:p w14:paraId="4F8C7923">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p>
              </w:tc>
              <w:tc>
                <w:tcPr>
                  <w:tcW w:w="0" w:type="auto"/>
                  <w:vAlign w:val="center"/>
                </w:tcPr>
                <w:p w14:paraId="392A8811">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bookmarkStart w:id="60" w:name="_Toc19635"/>
                  <w:r>
                    <w:rPr>
                      <w:rFonts w:hint="default" w:ascii="Times New Roman" w:hAnsi="Times New Roman" w:eastAsia="宋体" w:cs="Times New Roman"/>
                      <w:b/>
                      <w:bCs/>
                      <w:snapToGrid w:val="0"/>
                      <w:color w:val="auto"/>
                      <w:kern w:val="2"/>
                      <w:sz w:val="21"/>
                      <w:szCs w:val="21"/>
                      <w:highlight w:val="none"/>
                      <w:vertAlign w:val="baseline"/>
                      <w:lang w:val="en-US" w:eastAsia="zh-CN"/>
                    </w:rPr>
                    <w:t>4a类</w:t>
                  </w:r>
                  <w:bookmarkEnd w:id="60"/>
                </w:p>
              </w:tc>
              <w:tc>
                <w:tcPr>
                  <w:tcW w:w="0" w:type="auto"/>
                  <w:vAlign w:val="center"/>
                </w:tcPr>
                <w:p w14:paraId="73C9D005">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r>
                    <w:rPr>
                      <w:rFonts w:hint="default" w:ascii="Times New Roman" w:hAnsi="Times New Roman" w:eastAsia="宋体" w:cs="Times New Roman"/>
                      <w:b/>
                      <w:bCs/>
                      <w:snapToGrid w:val="0"/>
                      <w:color w:val="auto"/>
                      <w:kern w:val="2"/>
                      <w:sz w:val="21"/>
                      <w:szCs w:val="21"/>
                      <w:highlight w:val="none"/>
                      <w:vertAlign w:val="baseline"/>
                      <w:lang w:val="en-US" w:eastAsia="zh-CN"/>
                    </w:rPr>
                    <w:t>2类</w:t>
                  </w:r>
                </w:p>
              </w:tc>
              <w:tc>
                <w:tcPr>
                  <w:tcW w:w="0" w:type="auto"/>
                  <w:vAlign w:val="center"/>
                </w:tcPr>
                <w:p w14:paraId="0D28F823">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r>
                    <w:rPr>
                      <w:rFonts w:hint="eastAsia" w:ascii="Times New Roman" w:hAnsi="Times New Roman" w:eastAsia="宋体" w:cs="Times New Roman"/>
                      <w:b/>
                      <w:bCs/>
                      <w:snapToGrid w:val="0"/>
                      <w:color w:val="auto"/>
                      <w:kern w:val="2"/>
                      <w:sz w:val="21"/>
                      <w:szCs w:val="21"/>
                      <w:highlight w:val="none"/>
                      <w:vertAlign w:val="baseline"/>
                      <w:lang w:val="en-US" w:eastAsia="zh-CN"/>
                    </w:rPr>
                    <w:t>1类</w:t>
                  </w:r>
                </w:p>
              </w:tc>
              <w:tc>
                <w:tcPr>
                  <w:tcW w:w="0" w:type="auto"/>
                  <w:vMerge w:val="continue"/>
                  <w:vAlign w:val="center"/>
                </w:tcPr>
                <w:p w14:paraId="3D1D0498">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p>
              </w:tc>
            </w:tr>
            <w:tr w14:paraId="056BE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1C33F32E">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bookmarkStart w:id="61" w:name="_Toc9607"/>
                  <w:r>
                    <w:rPr>
                      <w:rFonts w:hint="default" w:ascii="Times New Roman" w:hAnsi="Times New Roman" w:eastAsia="宋体" w:cs="Times New Roman"/>
                      <w:b/>
                      <w:bCs/>
                      <w:snapToGrid w:val="0"/>
                      <w:color w:val="auto"/>
                      <w:kern w:val="2"/>
                      <w:sz w:val="21"/>
                      <w:szCs w:val="21"/>
                      <w:highlight w:val="none"/>
                      <w:vertAlign w:val="baseline"/>
                      <w:lang w:val="en-US" w:eastAsia="zh-CN"/>
                    </w:rPr>
                    <w:t>1</w:t>
                  </w:r>
                  <w:bookmarkEnd w:id="59"/>
                  <w:bookmarkEnd w:id="61"/>
                </w:p>
              </w:tc>
              <w:tc>
                <w:tcPr>
                  <w:tcW w:w="0" w:type="auto"/>
                  <w:vAlign w:val="center"/>
                </w:tcPr>
                <w:p w14:paraId="2FB17712">
                  <w:pPr>
                    <w:spacing w:line="240" w:lineRule="auto"/>
                    <w:jc w:val="center"/>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银山村居民点</w:t>
                  </w:r>
                </w:p>
              </w:tc>
              <w:tc>
                <w:tcPr>
                  <w:tcW w:w="0" w:type="auto"/>
                  <w:vMerge w:val="restart"/>
                  <w:vAlign w:val="center"/>
                </w:tcPr>
                <w:p w14:paraId="2CC8C7AD">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bookmarkStart w:id="62" w:name="_Toc24223"/>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起点-终点</w:t>
                  </w:r>
                </w:p>
                <w:bookmarkEnd w:id="62"/>
              </w:tc>
              <w:tc>
                <w:tcPr>
                  <w:tcW w:w="0" w:type="auto"/>
                  <w:vAlign w:val="center"/>
                </w:tcPr>
                <w:p w14:paraId="4DEF76DE">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起点200m范围</w:t>
                  </w:r>
                </w:p>
              </w:tc>
              <w:tc>
                <w:tcPr>
                  <w:tcW w:w="0" w:type="auto"/>
                  <w:vAlign w:val="center"/>
                </w:tcPr>
                <w:p w14:paraId="603A54A5">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w:t>
                  </w:r>
                </w:p>
              </w:tc>
              <w:tc>
                <w:tcPr>
                  <w:tcW w:w="0" w:type="auto"/>
                  <w:vAlign w:val="center"/>
                </w:tcPr>
                <w:p w14:paraId="34A54182">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bookmarkStart w:id="63" w:name="_Toc12080"/>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北侧</w:t>
                  </w:r>
                </w:p>
                <w:bookmarkEnd w:id="63"/>
              </w:tc>
              <w:tc>
                <w:tcPr>
                  <w:tcW w:w="0" w:type="auto"/>
                  <w:vAlign w:val="center"/>
                </w:tcPr>
                <w:p w14:paraId="2C41C56F">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-0.3</w:t>
                  </w:r>
                </w:p>
              </w:tc>
              <w:tc>
                <w:tcPr>
                  <w:tcW w:w="0" w:type="auto"/>
                  <w:vAlign w:val="center"/>
                </w:tcPr>
                <w:p w14:paraId="6EEB46A8">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bookmarkStart w:id="64" w:name="_Toc19271"/>
                  <w:bookmarkStart w:id="65" w:name="_Toc28700"/>
                  <w:r>
                    <w:rPr>
                      <w:rFonts w:hint="default" w:ascii="Times New Roman" w:hAnsi="Times New Roman" w:eastAsia="宋体" w:cs="Times New Roman"/>
                      <w:b w:val="0"/>
                      <w:bCs w:val="0"/>
                      <w:snapToGrid w:val="0"/>
                      <w:color w:val="auto"/>
                      <w:kern w:val="2"/>
                      <w:sz w:val="21"/>
                      <w:szCs w:val="21"/>
                      <w:highlight w:val="none"/>
                      <w:vertAlign w:val="baseline"/>
                      <w:lang w:val="en-US" w:eastAsia="zh-CN"/>
                    </w:rPr>
                    <w:t>2</w:t>
                  </w:r>
                  <w:bookmarkEnd w:id="64"/>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.0</w:t>
                  </w:r>
                </w:p>
                <w:bookmarkEnd w:id="65"/>
              </w:tc>
              <w:tc>
                <w:tcPr>
                  <w:tcW w:w="0" w:type="auto"/>
                  <w:vAlign w:val="center"/>
                </w:tcPr>
                <w:p w14:paraId="6BEDBB84">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7.0</w:t>
                  </w:r>
                </w:p>
              </w:tc>
              <w:tc>
                <w:tcPr>
                  <w:tcW w:w="0" w:type="auto"/>
                  <w:vAlign w:val="center"/>
                </w:tcPr>
                <w:p w14:paraId="21BD848A">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w:t>
                  </w:r>
                </w:p>
              </w:tc>
              <w:tc>
                <w:tcPr>
                  <w:tcW w:w="0" w:type="auto"/>
                  <w:vAlign w:val="center"/>
                </w:tcPr>
                <w:p w14:paraId="1E39DA9E">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3</w:t>
                  </w:r>
                </w:p>
              </w:tc>
              <w:tc>
                <w:tcPr>
                  <w:tcW w:w="0" w:type="auto"/>
                  <w:vAlign w:val="center"/>
                </w:tcPr>
                <w:p w14:paraId="0510A6BA">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bookmarkStart w:id="66" w:name="_Toc30481"/>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w:t>
                  </w:r>
                </w:p>
                <w:bookmarkEnd w:id="66"/>
              </w:tc>
              <w:tc>
                <w:tcPr>
                  <w:tcW w:w="0" w:type="auto"/>
                  <w:vAlign w:val="center"/>
                </w:tcPr>
                <w:p w14:paraId="14226354">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bookmarkStart w:id="67" w:name="_Toc30134"/>
                  <w:bookmarkStart w:id="68" w:name="_Toc20064"/>
                  <w:bookmarkStart w:id="69" w:name="_Toc2777"/>
                  <w:r>
                    <w:rPr>
                      <w:rFonts w:hint="default" w:ascii="Times New Roman" w:hAnsi="Times New Roman" w:eastAsia="宋体" w:cs="Times New Roman"/>
                      <w:b w:val="0"/>
                      <w:bCs w:val="0"/>
                      <w:snapToGrid w:val="0"/>
                      <w:color w:val="auto"/>
                      <w:kern w:val="2"/>
                      <w:sz w:val="21"/>
                      <w:szCs w:val="21"/>
                      <w:highlight w:val="none"/>
                      <w:vertAlign w:val="baseline"/>
                      <w:lang w:val="en-US" w:eastAsia="zh-CN"/>
                    </w:rPr>
                    <w:t>房屋为2层砖混房，侧对拟建道路，房屋分散分布，现状声环境受周边交通噪声和社会生活噪声影响</w:t>
                  </w:r>
                  <w:bookmarkEnd w:id="67"/>
                  <w:bookmarkEnd w:id="68"/>
                  <w:bookmarkEnd w:id="69"/>
                </w:p>
              </w:tc>
            </w:tr>
            <w:tr w14:paraId="2FA01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34E2292D">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bookmarkStart w:id="70" w:name="_Toc3722"/>
                  <w:bookmarkStart w:id="71" w:name="_Toc30805"/>
                  <w:r>
                    <w:rPr>
                      <w:rFonts w:hint="eastAsia" w:ascii="Times New Roman" w:hAnsi="Times New Roman" w:eastAsia="宋体" w:cs="Times New Roman"/>
                      <w:b/>
                      <w:bCs/>
                      <w:snapToGrid w:val="0"/>
                      <w:color w:val="auto"/>
                      <w:kern w:val="2"/>
                      <w:sz w:val="21"/>
                      <w:szCs w:val="21"/>
                      <w:highlight w:val="none"/>
                      <w:vertAlign w:val="baseline"/>
                      <w:lang w:val="en-US" w:eastAsia="zh-CN"/>
                    </w:rPr>
                    <w:t>2</w:t>
                  </w:r>
                </w:p>
              </w:tc>
              <w:tc>
                <w:tcPr>
                  <w:tcW w:w="0" w:type="auto"/>
                  <w:vAlign w:val="center"/>
                </w:tcPr>
                <w:p w14:paraId="4C57B974">
                  <w:pPr>
                    <w:spacing w:line="240" w:lineRule="auto"/>
                    <w:jc w:val="center"/>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蒋后湾居民点</w:t>
                  </w:r>
                </w:p>
              </w:tc>
              <w:tc>
                <w:tcPr>
                  <w:tcW w:w="0" w:type="auto"/>
                  <w:vMerge w:val="continue"/>
                  <w:vAlign w:val="center"/>
                </w:tcPr>
                <w:p w14:paraId="1F5A1963">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p>
              </w:tc>
              <w:tc>
                <w:tcPr>
                  <w:tcW w:w="0" w:type="auto"/>
                  <w:vAlign w:val="center"/>
                </w:tcPr>
                <w:p w14:paraId="356BBDD1">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default" w:ascii="Times New Roman" w:hAnsi="Times New Roman" w:eastAsia="宋体" w:cs="Times New Roman"/>
                      <w:b w:val="0"/>
                      <w:bCs w:val="0"/>
                      <w:snapToGrid w:val="0"/>
                      <w:color w:val="auto"/>
                      <w:kern w:val="2"/>
                      <w:sz w:val="21"/>
                      <w:szCs w:val="21"/>
                      <w:highlight w:val="none"/>
                      <w:vertAlign w:val="baseline"/>
                      <w:lang w:val="en-US" w:eastAsia="zh-CN"/>
                    </w:rPr>
                    <w:t>K</w:t>
                  </w: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0</w:t>
                  </w:r>
                  <w:r>
                    <w:rPr>
                      <w:rFonts w:hint="default" w:ascii="Times New Roman" w:hAnsi="Times New Roman" w:eastAsia="宋体" w:cs="Times New Roman"/>
                      <w:b w:val="0"/>
                      <w:bCs w:val="0"/>
                      <w:snapToGrid w:val="0"/>
                      <w:color w:val="auto"/>
                      <w:kern w:val="2"/>
                      <w:sz w:val="21"/>
                      <w:szCs w:val="21"/>
                      <w:highlight w:val="none"/>
                      <w:vertAlign w:val="baseline"/>
                      <w:lang w:val="en-US" w:eastAsia="zh-CN"/>
                    </w:rPr>
                    <w:t>+</w:t>
                  </w: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721</w:t>
                  </w:r>
                  <w:r>
                    <w:rPr>
                      <w:rFonts w:hint="default" w:ascii="Times New Roman" w:hAnsi="Times New Roman" w:eastAsia="宋体" w:cs="Times New Roman"/>
                      <w:b w:val="0"/>
                      <w:bCs w:val="0"/>
                      <w:snapToGrid w:val="0"/>
                      <w:color w:val="auto"/>
                      <w:kern w:val="2"/>
                      <w:sz w:val="21"/>
                      <w:szCs w:val="21"/>
                      <w:highlight w:val="none"/>
                      <w:vertAlign w:val="baseline"/>
                      <w:lang w:val="en-US" w:eastAsia="zh-CN"/>
                    </w:rPr>
                    <w:t>~K</w:t>
                  </w: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1</w:t>
                  </w:r>
                  <w:r>
                    <w:rPr>
                      <w:rFonts w:hint="default" w:ascii="Times New Roman" w:hAnsi="Times New Roman" w:eastAsia="宋体" w:cs="Times New Roman"/>
                      <w:b w:val="0"/>
                      <w:bCs w:val="0"/>
                      <w:snapToGrid w:val="0"/>
                      <w:color w:val="auto"/>
                      <w:kern w:val="2"/>
                      <w:sz w:val="21"/>
                      <w:szCs w:val="21"/>
                      <w:highlight w:val="none"/>
                      <w:vertAlign w:val="baseline"/>
                      <w:lang w:val="en-US" w:eastAsia="zh-CN"/>
                    </w:rPr>
                    <w:t>+</w:t>
                  </w: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357</w:t>
                  </w:r>
                </w:p>
              </w:tc>
              <w:tc>
                <w:tcPr>
                  <w:tcW w:w="0" w:type="auto"/>
                  <w:vAlign w:val="center"/>
                </w:tcPr>
                <w:p w14:paraId="2D6CFCFA">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default" w:ascii="Times New Roman" w:hAnsi="Times New Roman" w:eastAsia="宋体" w:cs="Times New Roman"/>
                      <w:b w:val="0"/>
                      <w:bCs w:val="0"/>
                      <w:snapToGrid w:val="0"/>
                      <w:color w:val="auto"/>
                      <w:kern w:val="2"/>
                      <w:sz w:val="21"/>
                      <w:szCs w:val="21"/>
                      <w:highlight w:val="none"/>
                      <w:vertAlign w:val="baseline"/>
                      <w:lang w:val="en-US" w:eastAsia="zh-CN"/>
                    </w:rPr>
                    <w:t>路面</w:t>
                  </w:r>
                </w:p>
              </w:tc>
              <w:tc>
                <w:tcPr>
                  <w:tcW w:w="0" w:type="auto"/>
                  <w:vAlign w:val="center"/>
                </w:tcPr>
                <w:p w14:paraId="0DADAED6">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eastAsia"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两侧</w:t>
                  </w:r>
                </w:p>
              </w:tc>
              <w:tc>
                <w:tcPr>
                  <w:tcW w:w="0" w:type="auto"/>
                  <w:vAlign w:val="center"/>
                </w:tcPr>
                <w:p w14:paraId="29856F6C">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eastAsia"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-0.4</w:t>
                  </w:r>
                </w:p>
              </w:tc>
              <w:tc>
                <w:tcPr>
                  <w:tcW w:w="0" w:type="auto"/>
                  <w:vAlign w:val="center"/>
                </w:tcPr>
                <w:p w14:paraId="36CD9545">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3.0</w:t>
                  </w:r>
                </w:p>
              </w:tc>
              <w:tc>
                <w:tcPr>
                  <w:tcW w:w="0" w:type="auto"/>
                  <w:vAlign w:val="center"/>
                </w:tcPr>
                <w:p w14:paraId="22E961C9">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8.0</w:t>
                  </w:r>
                </w:p>
              </w:tc>
              <w:tc>
                <w:tcPr>
                  <w:tcW w:w="0" w:type="auto"/>
                  <w:vAlign w:val="center"/>
                </w:tcPr>
                <w:p w14:paraId="72D1603D">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w:t>
                  </w:r>
                </w:p>
              </w:tc>
              <w:tc>
                <w:tcPr>
                  <w:tcW w:w="0" w:type="auto"/>
                  <w:vAlign w:val="center"/>
                </w:tcPr>
                <w:p w14:paraId="0CAA7C71">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20</w:t>
                  </w:r>
                </w:p>
              </w:tc>
              <w:tc>
                <w:tcPr>
                  <w:tcW w:w="0" w:type="auto"/>
                  <w:vAlign w:val="center"/>
                </w:tcPr>
                <w:p w14:paraId="7E18FDF6">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w:t>
                  </w:r>
                </w:p>
              </w:tc>
              <w:tc>
                <w:tcPr>
                  <w:tcW w:w="0" w:type="auto"/>
                  <w:vAlign w:val="center"/>
                </w:tcPr>
                <w:p w14:paraId="7CACC716">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房屋为1-2</w:t>
                  </w:r>
                  <w:r>
                    <w:rPr>
                      <w:rFonts w:hint="default" w:ascii="Times New Roman" w:hAnsi="Times New Roman" w:eastAsia="宋体" w:cs="Times New Roman"/>
                      <w:b w:val="0"/>
                      <w:bCs w:val="0"/>
                      <w:snapToGrid w:val="0"/>
                      <w:color w:val="auto"/>
                      <w:kern w:val="2"/>
                      <w:sz w:val="21"/>
                      <w:szCs w:val="21"/>
                      <w:highlight w:val="none"/>
                      <w:vertAlign w:val="baseline"/>
                      <w:lang w:val="en-US" w:eastAsia="zh-CN"/>
                    </w:rPr>
                    <w:t>层砖混房，房屋</w:t>
                  </w: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分散分布</w:t>
                  </w:r>
                  <w:r>
                    <w:rPr>
                      <w:rFonts w:hint="default" w:ascii="Times New Roman" w:hAnsi="Times New Roman" w:eastAsia="宋体" w:cs="Times New Roman"/>
                      <w:b w:val="0"/>
                      <w:bCs w:val="0"/>
                      <w:snapToGrid w:val="0"/>
                      <w:color w:val="auto"/>
                      <w:kern w:val="2"/>
                      <w:sz w:val="21"/>
                      <w:szCs w:val="21"/>
                      <w:highlight w:val="none"/>
                      <w:vertAlign w:val="baseline"/>
                      <w:lang w:val="en-US" w:eastAsia="zh-CN"/>
                    </w:rPr>
                    <w:t>，现状声环境受周边交通噪声和社会生活噪声影响</w:t>
                  </w:r>
                </w:p>
              </w:tc>
            </w:tr>
            <w:tr w14:paraId="00DF1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5C22627A">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r>
                    <w:rPr>
                      <w:rFonts w:hint="eastAsia" w:ascii="Times New Roman" w:hAnsi="Times New Roman" w:eastAsia="宋体" w:cs="Times New Roman"/>
                      <w:b/>
                      <w:bCs/>
                      <w:snapToGrid w:val="0"/>
                      <w:color w:val="auto"/>
                      <w:kern w:val="2"/>
                      <w:sz w:val="21"/>
                      <w:szCs w:val="21"/>
                      <w:highlight w:val="none"/>
                      <w:vertAlign w:val="baseline"/>
                      <w:lang w:val="en-US" w:eastAsia="zh-CN"/>
                    </w:rPr>
                    <w:t>3</w:t>
                  </w:r>
                </w:p>
              </w:tc>
              <w:tc>
                <w:tcPr>
                  <w:tcW w:w="0" w:type="auto"/>
                  <w:vAlign w:val="center"/>
                </w:tcPr>
                <w:p w14:paraId="18533874">
                  <w:pPr>
                    <w:spacing w:line="240" w:lineRule="auto"/>
                    <w:jc w:val="center"/>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胡家老湾居民点</w:t>
                  </w:r>
                </w:p>
              </w:tc>
              <w:tc>
                <w:tcPr>
                  <w:tcW w:w="0" w:type="auto"/>
                  <w:vMerge w:val="continue"/>
                  <w:vAlign w:val="center"/>
                </w:tcPr>
                <w:p w14:paraId="4571A82D">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p>
              </w:tc>
              <w:tc>
                <w:tcPr>
                  <w:tcW w:w="0" w:type="auto"/>
                  <w:vAlign w:val="center"/>
                </w:tcPr>
                <w:p w14:paraId="742BE106">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default" w:ascii="Times New Roman" w:hAnsi="Times New Roman" w:eastAsia="宋体" w:cs="Times New Roman"/>
                      <w:b w:val="0"/>
                      <w:bCs w:val="0"/>
                      <w:snapToGrid w:val="0"/>
                      <w:color w:val="auto"/>
                      <w:kern w:val="2"/>
                      <w:sz w:val="21"/>
                      <w:szCs w:val="21"/>
                      <w:highlight w:val="none"/>
                      <w:vertAlign w:val="baseline"/>
                      <w:lang w:val="en-US" w:eastAsia="zh-CN"/>
                    </w:rPr>
                    <w:t>K</w:t>
                  </w: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2</w:t>
                  </w:r>
                  <w:r>
                    <w:rPr>
                      <w:rFonts w:hint="default" w:ascii="Times New Roman" w:hAnsi="Times New Roman" w:eastAsia="宋体" w:cs="Times New Roman"/>
                      <w:b w:val="0"/>
                      <w:bCs w:val="0"/>
                      <w:snapToGrid w:val="0"/>
                      <w:color w:val="auto"/>
                      <w:kern w:val="2"/>
                      <w:sz w:val="21"/>
                      <w:szCs w:val="21"/>
                      <w:highlight w:val="none"/>
                      <w:vertAlign w:val="baseline"/>
                      <w:lang w:val="en-US" w:eastAsia="zh-CN"/>
                    </w:rPr>
                    <w:t>+</w:t>
                  </w: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027</w:t>
                  </w:r>
                  <w:r>
                    <w:rPr>
                      <w:rFonts w:hint="default" w:ascii="Times New Roman" w:hAnsi="Times New Roman" w:eastAsia="宋体" w:cs="Times New Roman"/>
                      <w:b w:val="0"/>
                      <w:bCs w:val="0"/>
                      <w:snapToGrid w:val="0"/>
                      <w:color w:val="auto"/>
                      <w:kern w:val="2"/>
                      <w:sz w:val="21"/>
                      <w:szCs w:val="21"/>
                      <w:highlight w:val="none"/>
                      <w:vertAlign w:val="baseline"/>
                      <w:lang w:val="en-US" w:eastAsia="zh-CN"/>
                    </w:rPr>
                    <w:t>~K</w:t>
                  </w: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2</w:t>
                  </w:r>
                  <w:r>
                    <w:rPr>
                      <w:rFonts w:hint="default" w:ascii="Times New Roman" w:hAnsi="Times New Roman" w:eastAsia="宋体" w:cs="Times New Roman"/>
                      <w:b w:val="0"/>
                      <w:bCs w:val="0"/>
                      <w:snapToGrid w:val="0"/>
                      <w:color w:val="auto"/>
                      <w:kern w:val="2"/>
                      <w:sz w:val="21"/>
                      <w:szCs w:val="21"/>
                      <w:highlight w:val="none"/>
                      <w:vertAlign w:val="baseline"/>
                      <w:lang w:val="en-US" w:eastAsia="zh-CN"/>
                    </w:rPr>
                    <w:t>+</w:t>
                  </w: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326</w:t>
                  </w:r>
                </w:p>
              </w:tc>
              <w:tc>
                <w:tcPr>
                  <w:tcW w:w="0" w:type="auto"/>
                  <w:vAlign w:val="center"/>
                </w:tcPr>
                <w:p w14:paraId="79BD6123">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default" w:ascii="Times New Roman" w:hAnsi="Times New Roman" w:eastAsia="宋体" w:cs="Times New Roman"/>
                      <w:b w:val="0"/>
                      <w:bCs w:val="0"/>
                      <w:snapToGrid w:val="0"/>
                      <w:color w:val="auto"/>
                      <w:kern w:val="2"/>
                      <w:sz w:val="21"/>
                      <w:szCs w:val="21"/>
                      <w:highlight w:val="none"/>
                      <w:vertAlign w:val="baseline"/>
                      <w:lang w:val="en-US" w:eastAsia="zh-CN"/>
                    </w:rPr>
                    <w:t>路面</w:t>
                  </w:r>
                </w:p>
              </w:tc>
              <w:tc>
                <w:tcPr>
                  <w:tcW w:w="0" w:type="auto"/>
                  <w:vAlign w:val="center"/>
                </w:tcPr>
                <w:p w14:paraId="5BF32560">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eastAsia"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西北侧</w:t>
                  </w:r>
                </w:p>
              </w:tc>
              <w:tc>
                <w:tcPr>
                  <w:tcW w:w="0" w:type="auto"/>
                  <w:vAlign w:val="center"/>
                </w:tcPr>
                <w:p w14:paraId="59783BBF">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3.0</w:t>
                  </w:r>
                </w:p>
              </w:tc>
              <w:tc>
                <w:tcPr>
                  <w:tcW w:w="0" w:type="auto"/>
                  <w:vAlign w:val="center"/>
                </w:tcPr>
                <w:p w14:paraId="6511CD41">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8.5</w:t>
                  </w:r>
                </w:p>
              </w:tc>
              <w:tc>
                <w:tcPr>
                  <w:tcW w:w="0" w:type="auto"/>
                  <w:vAlign w:val="center"/>
                </w:tcPr>
                <w:p w14:paraId="4E8F50E6">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11.5</w:t>
                  </w:r>
                </w:p>
              </w:tc>
              <w:tc>
                <w:tcPr>
                  <w:tcW w:w="0" w:type="auto"/>
                  <w:vAlign w:val="center"/>
                </w:tcPr>
                <w:p w14:paraId="45FC40BE">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w:t>
                  </w:r>
                </w:p>
              </w:tc>
              <w:tc>
                <w:tcPr>
                  <w:tcW w:w="0" w:type="auto"/>
                  <w:vAlign w:val="center"/>
                </w:tcPr>
                <w:p w14:paraId="3F0C3112">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7</w:t>
                  </w:r>
                </w:p>
              </w:tc>
              <w:tc>
                <w:tcPr>
                  <w:tcW w:w="0" w:type="auto"/>
                  <w:vAlign w:val="center"/>
                </w:tcPr>
                <w:p w14:paraId="6847DDC4">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eastAsia"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w:t>
                  </w:r>
                </w:p>
              </w:tc>
              <w:tc>
                <w:tcPr>
                  <w:tcW w:w="0" w:type="auto"/>
                  <w:vAlign w:val="center"/>
                </w:tcPr>
                <w:p w14:paraId="59042406">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房屋为1-2</w:t>
                  </w:r>
                  <w:r>
                    <w:rPr>
                      <w:rFonts w:hint="default" w:ascii="Times New Roman" w:hAnsi="Times New Roman" w:eastAsia="宋体" w:cs="Times New Roman"/>
                      <w:b w:val="0"/>
                      <w:bCs w:val="0"/>
                      <w:snapToGrid w:val="0"/>
                      <w:color w:val="auto"/>
                      <w:kern w:val="2"/>
                      <w:sz w:val="21"/>
                      <w:szCs w:val="21"/>
                      <w:highlight w:val="none"/>
                      <w:vertAlign w:val="baseline"/>
                      <w:lang w:val="en-US" w:eastAsia="zh-CN"/>
                    </w:rPr>
                    <w:t>层砖混房，房屋</w:t>
                  </w: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分散分布</w:t>
                  </w:r>
                  <w:r>
                    <w:rPr>
                      <w:rFonts w:hint="default" w:ascii="Times New Roman" w:hAnsi="Times New Roman" w:eastAsia="宋体" w:cs="Times New Roman"/>
                      <w:b w:val="0"/>
                      <w:bCs w:val="0"/>
                      <w:snapToGrid w:val="0"/>
                      <w:color w:val="auto"/>
                      <w:kern w:val="2"/>
                      <w:sz w:val="21"/>
                      <w:szCs w:val="21"/>
                      <w:highlight w:val="none"/>
                      <w:vertAlign w:val="baseline"/>
                      <w:lang w:val="en-US" w:eastAsia="zh-CN"/>
                    </w:rPr>
                    <w:t>，现状声环境受周边交通噪声和社会生活噪声影响</w:t>
                  </w:r>
                </w:p>
              </w:tc>
            </w:tr>
            <w:tr w14:paraId="1AF6D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2042CEAA">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kern w:val="2"/>
                      <w:sz w:val="21"/>
                      <w:szCs w:val="21"/>
                      <w:highlight w:val="none"/>
                      <w:vertAlign w:val="baseline"/>
                      <w:lang w:val="en-US" w:eastAsia="zh-CN"/>
                    </w:rPr>
                  </w:pPr>
                  <w:r>
                    <w:rPr>
                      <w:rFonts w:hint="eastAsia" w:ascii="Times New Roman" w:hAnsi="Times New Roman" w:eastAsia="宋体" w:cs="Times New Roman"/>
                      <w:b/>
                      <w:bCs/>
                      <w:snapToGrid w:val="0"/>
                      <w:color w:val="auto"/>
                      <w:kern w:val="2"/>
                      <w:sz w:val="21"/>
                      <w:szCs w:val="21"/>
                      <w:highlight w:val="none"/>
                      <w:vertAlign w:val="baseline"/>
                      <w:lang w:val="en-US" w:eastAsia="zh-CN"/>
                    </w:rPr>
                    <w:t>4</w:t>
                  </w:r>
                </w:p>
              </w:tc>
              <w:tc>
                <w:tcPr>
                  <w:tcW w:w="0" w:type="auto"/>
                  <w:vAlign w:val="center"/>
                </w:tcPr>
                <w:p w14:paraId="67DA4C31">
                  <w:pPr>
                    <w:spacing w:line="240" w:lineRule="auto"/>
                    <w:jc w:val="center"/>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橡岭岗居民点</w:t>
                  </w:r>
                </w:p>
              </w:tc>
              <w:tc>
                <w:tcPr>
                  <w:tcW w:w="0" w:type="auto"/>
                  <w:vMerge w:val="continue"/>
                  <w:vAlign w:val="center"/>
                </w:tcPr>
                <w:p w14:paraId="435B30BC">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p>
              </w:tc>
              <w:tc>
                <w:tcPr>
                  <w:tcW w:w="1920" w:type="dxa"/>
                  <w:vAlign w:val="center"/>
                </w:tcPr>
                <w:p w14:paraId="6C1E95A5">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w:t>
                  </w:r>
                </w:p>
              </w:tc>
              <w:tc>
                <w:tcPr>
                  <w:tcW w:w="636" w:type="dxa"/>
                  <w:vAlign w:val="center"/>
                </w:tcPr>
                <w:p w14:paraId="7106F103">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w:t>
                  </w:r>
                </w:p>
              </w:tc>
              <w:tc>
                <w:tcPr>
                  <w:tcW w:w="0" w:type="auto"/>
                  <w:vAlign w:val="center"/>
                </w:tcPr>
                <w:p w14:paraId="18C7FF6D">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eastAsia"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西北侧</w:t>
                  </w:r>
                </w:p>
              </w:tc>
              <w:tc>
                <w:tcPr>
                  <w:tcW w:w="0" w:type="auto"/>
                  <w:vAlign w:val="center"/>
                </w:tcPr>
                <w:p w14:paraId="3ED77D1F">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1.0</w:t>
                  </w:r>
                </w:p>
              </w:tc>
              <w:tc>
                <w:tcPr>
                  <w:tcW w:w="0" w:type="auto"/>
                  <w:vAlign w:val="center"/>
                </w:tcPr>
                <w:p w14:paraId="3C3609B6">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9.0</w:t>
                  </w:r>
                </w:p>
              </w:tc>
              <w:tc>
                <w:tcPr>
                  <w:tcW w:w="0" w:type="auto"/>
                  <w:vAlign w:val="center"/>
                </w:tcPr>
                <w:p w14:paraId="6D3EFA86">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11</w:t>
                  </w:r>
                </w:p>
              </w:tc>
              <w:tc>
                <w:tcPr>
                  <w:tcW w:w="0" w:type="auto"/>
                  <w:vAlign w:val="center"/>
                </w:tcPr>
                <w:p w14:paraId="65F2B15D">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w:t>
                  </w:r>
                </w:p>
              </w:tc>
              <w:tc>
                <w:tcPr>
                  <w:tcW w:w="0" w:type="auto"/>
                  <w:vAlign w:val="center"/>
                </w:tcPr>
                <w:p w14:paraId="365C7078">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4</w:t>
                  </w:r>
                </w:p>
              </w:tc>
              <w:tc>
                <w:tcPr>
                  <w:tcW w:w="0" w:type="auto"/>
                  <w:vAlign w:val="center"/>
                </w:tcPr>
                <w:p w14:paraId="40CA3A61">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snapToGrid w:val="0"/>
                      <w:color w:val="auto"/>
                      <w:kern w:val="2"/>
                      <w:sz w:val="21"/>
                      <w:szCs w:val="21"/>
                      <w:highlight w:val="none"/>
                      <w:vertAlign w:val="baseline"/>
                      <w:lang w:val="en-US" w:eastAsia="zh-CN"/>
                    </w:rPr>
                  </w:pPr>
                  <w:r>
                    <w:rPr>
                      <w:rFonts w:hint="eastAsia" w:ascii="Times New Roman" w:hAnsi="Times New Roman" w:eastAsia="宋体" w:cs="Times New Roman"/>
                      <w:b w:val="0"/>
                      <w:bCs w:val="0"/>
                      <w:snapToGrid w:val="0"/>
                      <w:color w:val="auto"/>
                      <w:kern w:val="2"/>
                      <w:sz w:val="21"/>
                      <w:szCs w:val="21"/>
                      <w:highlight w:val="none"/>
                      <w:vertAlign w:val="baseline"/>
                      <w:lang w:val="en-US" w:eastAsia="zh-CN"/>
                    </w:rPr>
                    <w:t>-</w:t>
                  </w:r>
                </w:p>
              </w:tc>
              <w:tc>
                <w:tcPr>
                  <w:tcW w:w="0" w:type="auto"/>
                  <w:vAlign w:val="center"/>
                </w:tcPr>
                <w:p w14:paraId="4F35118C">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eastAsia" w:ascii="Times New Roman" w:hAnsi="Times New Roman" w:eastAsia="宋体" w:cs="Times New Roman"/>
                      <w:b w:val="0"/>
                      <w:bCs w:val="0"/>
                      <w:snapToGrid w:val="0"/>
                      <w:color w:val="auto"/>
                      <w:kern w:val="2"/>
                      <w:sz w:val="21"/>
                      <w:szCs w:val="21"/>
                      <w:highlight w:val="none"/>
                      <w:vertAlign w:val="baseline"/>
                      <w:lang w:val="en-US" w:eastAsia="zh-CN"/>
                    </w:rPr>
                  </w:pPr>
                  <w:r>
                    <w:rPr>
                      <w:rFonts w:hint="default" w:ascii="Times New Roman" w:hAnsi="Times New Roman" w:eastAsia="宋体" w:cs="Times New Roman"/>
                      <w:b w:val="0"/>
                      <w:bCs w:val="0"/>
                      <w:snapToGrid w:val="0"/>
                      <w:color w:val="auto"/>
                      <w:kern w:val="2"/>
                      <w:sz w:val="21"/>
                      <w:szCs w:val="21"/>
                      <w:highlight w:val="none"/>
                      <w:vertAlign w:val="baseline"/>
                      <w:lang w:val="en-US" w:eastAsia="zh-CN"/>
                    </w:rPr>
                    <w:t>房屋为2层砖混房，房屋分散分布，现状声环境受周边交通噪声和社会生活噪声影响</w:t>
                  </w:r>
                </w:p>
              </w:tc>
            </w:tr>
            <w:bookmarkEnd w:id="70"/>
            <w:bookmarkEnd w:id="71"/>
          </w:tbl>
          <w:p w14:paraId="79CDE2A6">
            <w:pPr>
              <w:widowControl/>
              <w:bidi w:val="0"/>
              <w:spacing w:line="240" w:lineRule="auto"/>
              <w:jc w:val="center"/>
              <w:rPr>
                <w:rFonts w:hint="default" w:ascii="Times New Roman" w:hAnsi="Times New Roman" w:eastAsia="宋体" w:cs="Times New Roman"/>
                <w:b/>
                <w:bCs/>
                <w:kern w:val="2"/>
                <w:sz w:val="21"/>
                <w:szCs w:val="21"/>
                <w:highlight w:val="none"/>
                <w:lang w:val="en-US" w:eastAsia="zh-CN" w:bidi="ar-SA"/>
              </w:rPr>
            </w:pPr>
          </w:p>
          <w:p w14:paraId="3D6BCAF2">
            <w:pPr>
              <w:widowControl/>
              <w:bidi w:val="0"/>
              <w:spacing w:line="240" w:lineRule="auto"/>
              <w:jc w:val="center"/>
              <w:rPr>
                <w:rFonts w:hint="default" w:ascii="Times New Roman" w:hAnsi="Times New Roman" w:eastAsia="宋体" w:cs="Times New Roman"/>
                <w:b/>
                <w:bCs/>
                <w:kern w:val="2"/>
                <w:sz w:val="21"/>
                <w:szCs w:val="21"/>
                <w:highlight w:val="none"/>
                <w:lang w:val="en-US" w:eastAsia="zh-CN" w:bidi="ar-SA"/>
              </w:rPr>
            </w:pPr>
          </w:p>
          <w:p w14:paraId="5179AFC7">
            <w:pPr>
              <w:widowControl/>
              <w:bidi w:val="0"/>
              <w:spacing w:line="240" w:lineRule="auto"/>
              <w:jc w:val="center"/>
              <w:rPr>
                <w:rFonts w:hint="default" w:ascii="Times New Roman" w:hAnsi="Times New Roman" w:eastAsia="宋体" w:cs="Times New Roman"/>
                <w:b/>
                <w:bCs/>
                <w:kern w:val="2"/>
                <w:sz w:val="21"/>
                <w:szCs w:val="21"/>
                <w:highlight w:val="none"/>
                <w:lang w:val="en-US" w:eastAsia="zh-CN" w:bidi="ar-SA"/>
              </w:rPr>
            </w:pPr>
          </w:p>
          <w:p w14:paraId="7271DF62">
            <w:pPr>
              <w:widowControl/>
              <w:bidi w:val="0"/>
              <w:spacing w:line="240" w:lineRule="auto"/>
              <w:jc w:val="center"/>
              <w:rPr>
                <w:rFonts w:hint="default" w:ascii="Times New Roman" w:hAnsi="Times New Roman" w:eastAsia="宋体" w:cs="Times New Roman"/>
                <w:b/>
                <w:bCs/>
                <w:kern w:val="2"/>
                <w:sz w:val="21"/>
                <w:szCs w:val="21"/>
                <w:highlight w:val="none"/>
                <w:lang w:val="en-US" w:eastAsia="zh-CN" w:bidi="ar-SA"/>
              </w:rPr>
            </w:pPr>
          </w:p>
          <w:p w14:paraId="5BF87CBA">
            <w:pPr>
              <w:widowControl/>
              <w:bidi w:val="0"/>
              <w:spacing w:line="240" w:lineRule="auto"/>
              <w:jc w:val="center"/>
              <w:rPr>
                <w:rFonts w:hint="default" w:ascii="Times New Roman" w:hAnsi="Times New Roman" w:eastAsia="宋体" w:cs="Times New Roman"/>
                <w:b/>
                <w:bCs/>
                <w:kern w:val="2"/>
                <w:sz w:val="21"/>
                <w:szCs w:val="21"/>
                <w:highlight w:val="none"/>
                <w:lang w:val="en-US" w:eastAsia="zh-CN" w:bidi="ar-SA"/>
              </w:rPr>
            </w:pPr>
          </w:p>
          <w:p w14:paraId="465631E3">
            <w:pPr>
              <w:widowControl/>
              <w:bidi w:val="0"/>
              <w:spacing w:line="240" w:lineRule="auto"/>
              <w:jc w:val="center"/>
              <w:rPr>
                <w:rFonts w:hint="default" w:ascii="Times New Roman" w:hAnsi="Times New Roman" w:eastAsia="宋体" w:cs="Times New Roman"/>
                <w:b/>
                <w:bCs/>
                <w:kern w:val="2"/>
                <w:sz w:val="21"/>
                <w:szCs w:val="21"/>
                <w:highlight w:val="none"/>
                <w:lang w:val="en-US" w:eastAsia="zh-CN" w:bidi="ar-SA"/>
              </w:rPr>
            </w:pPr>
          </w:p>
          <w:p w14:paraId="75E58CDA">
            <w:pPr>
              <w:widowControl/>
              <w:bidi w:val="0"/>
              <w:spacing w:line="240" w:lineRule="auto"/>
              <w:jc w:val="center"/>
              <w:rPr>
                <w:rFonts w:hint="default" w:ascii="Times New Roman" w:hAnsi="Times New Roman" w:eastAsia="宋体" w:cs="Times New Roman"/>
                <w:b/>
                <w:bCs/>
                <w:kern w:val="2"/>
                <w:sz w:val="21"/>
                <w:szCs w:val="21"/>
                <w:highlight w:val="none"/>
                <w:lang w:val="en-US" w:eastAsia="zh-CN" w:bidi="ar-SA"/>
              </w:rPr>
            </w:pPr>
          </w:p>
          <w:p w14:paraId="18127962">
            <w:pPr>
              <w:widowControl/>
              <w:bidi w:val="0"/>
              <w:spacing w:line="240" w:lineRule="auto"/>
              <w:jc w:val="center"/>
              <w:rPr>
                <w:rFonts w:hint="default" w:ascii="Times New Roman" w:hAnsi="Times New Roman" w:eastAsia="宋体" w:cs="Times New Roman"/>
                <w:b/>
                <w:bCs/>
                <w:kern w:val="2"/>
                <w:sz w:val="21"/>
                <w:szCs w:val="21"/>
                <w:highlight w:val="none"/>
                <w:lang w:val="en-US" w:eastAsia="zh-CN" w:bidi="ar-SA"/>
              </w:rPr>
            </w:pPr>
          </w:p>
          <w:p w14:paraId="461F7926">
            <w:pPr>
              <w:widowControl/>
              <w:bidi w:val="0"/>
              <w:spacing w:line="240" w:lineRule="auto"/>
              <w:jc w:val="center"/>
              <w:rPr>
                <w:rFonts w:hint="default" w:ascii="Times New Roman" w:hAnsi="Times New Roman" w:eastAsia="宋体" w:cs="Times New Roman"/>
                <w:b/>
                <w:bCs/>
                <w:kern w:val="2"/>
                <w:sz w:val="21"/>
                <w:szCs w:val="21"/>
                <w:highlight w:val="none"/>
                <w:lang w:val="en-US" w:eastAsia="zh-CN" w:bidi="ar-SA"/>
              </w:rPr>
            </w:pPr>
          </w:p>
          <w:p w14:paraId="56C86FBB">
            <w:pPr>
              <w:widowControl/>
              <w:bidi w:val="0"/>
              <w:spacing w:line="240" w:lineRule="auto"/>
              <w:jc w:val="center"/>
              <w:rPr>
                <w:rFonts w:hint="default" w:ascii="Times New Roman" w:hAnsi="Times New Roman" w:eastAsia="宋体" w:cs="Times New Roman"/>
                <w:b/>
                <w:bCs/>
                <w:kern w:val="2"/>
                <w:sz w:val="21"/>
                <w:szCs w:val="21"/>
                <w:highlight w:val="none"/>
                <w:lang w:val="en-US" w:eastAsia="zh-CN" w:bidi="ar-SA"/>
              </w:rPr>
            </w:pPr>
          </w:p>
          <w:p w14:paraId="445CE85F">
            <w:pPr>
              <w:widowControl/>
              <w:bidi w:val="0"/>
              <w:spacing w:line="240" w:lineRule="auto"/>
              <w:jc w:val="center"/>
              <w:rPr>
                <w:rFonts w:hint="default" w:ascii="Times New Roman" w:hAnsi="Times New Roman" w:eastAsia="宋体" w:cs="Times New Roman"/>
                <w:b/>
                <w:bCs/>
                <w:kern w:val="2"/>
                <w:sz w:val="21"/>
                <w:szCs w:val="21"/>
                <w:highlight w:val="none"/>
                <w:lang w:val="en-US" w:eastAsia="zh-CN" w:bidi="ar-SA"/>
              </w:rPr>
            </w:pPr>
          </w:p>
          <w:bookmarkEnd w:id="43"/>
          <w:p w14:paraId="2F647521">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tc>
      </w:tr>
    </w:tbl>
    <w:p w14:paraId="288D1B55">
      <w:pPr>
        <w:adjustRightInd w:val="0"/>
        <w:snapToGrid w:val="0"/>
        <w:jc w:val="center"/>
        <w:rPr>
          <w:rFonts w:hint="default" w:ascii="Times New Roman" w:hAnsi="Times New Roman" w:cs="Times New Roman"/>
          <w:b/>
          <w:bCs/>
          <w:color w:val="auto"/>
          <w:kern w:val="0"/>
          <w:sz w:val="24"/>
        </w:rPr>
        <w:sectPr>
          <w:type w:val="continuous"/>
          <w:pgSz w:w="16838" w:h="11906" w:orient="landscape"/>
          <w:pgMar w:top="1531" w:right="1440" w:bottom="1531" w:left="1440"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15"/>
        <w:gridCol w:w="8245"/>
      </w:tblGrid>
      <w:tr w14:paraId="52A16A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50" w:hRule="atLeast"/>
          <w:jc w:val="center"/>
        </w:trPr>
        <w:tc>
          <w:tcPr>
            <w:tcW w:w="815" w:type="dxa"/>
            <w:noWrap w:val="0"/>
            <w:vAlign w:val="center"/>
          </w:tcPr>
          <w:p w14:paraId="77FE4A64">
            <w:pPr>
              <w:adjustRightInd w:val="0"/>
              <w:snapToGrid w:val="0"/>
              <w:jc w:val="center"/>
              <w:rPr>
                <w:rFonts w:hint="default" w:ascii="Times New Roman" w:hAnsi="Times New Roman" w:cs="Times New Roman"/>
                <w:b/>
                <w:bCs/>
                <w:color w:val="auto"/>
                <w:kern w:val="0"/>
                <w:sz w:val="24"/>
              </w:rPr>
            </w:pPr>
          </w:p>
        </w:tc>
        <w:tc>
          <w:tcPr>
            <w:tcW w:w="8245" w:type="dxa"/>
            <w:noWrap w:val="0"/>
            <w:vAlign w:val="center"/>
          </w:tcPr>
          <w:p w14:paraId="0D7052A2">
            <w:pPr>
              <w:widowControl/>
              <w:spacing w:line="360" w:lineRule="auto"/>
              <w:ind w:firstLine="482" w:firstLineChars="200"/>
              <w:rPr>
                <w:rFonts w:hint="default" w:ascii="Times New Roman" w:hAnsi="Times New Roman" w:cs="Times New Roman"/>
                <w:b/>
                <w:bCs/>
                <w:color w:val="auto"/>
                <w:sz w:val="24"/>
                <w:szCs w:val="32"/>
                <w:lang w:val="en-US" w:eastAsia="zh-CN"/>
              </w:rPr>
            </w:pPr>
            <w:r>
              <w:rPr>
                <w:rFonts w:hint="eastAsia" w:ascii="Times New Roman" w:hAnsi="Times New Roman" w:cs="Times New Roman"/>
                <w:b/>
                <w:bCs/>
                <w:color w:val="auto"/>
                <w:sz w:val="24"/>
                <w:szCs w:val="32"/>
                <w:lang w:val="en-US" w:eastAsia="zh-CN"/>
              </w:rPr>
              <w:t>（2）改扩建后项目声环境保护目标分布情况</w:t>
            </w:r>
          </w:p>
          <w:p w14:paraId="219FCBC3">
            <w:pPr>
              <w:pStyle w:val="54"/>
              <w:ind w:firstLine="480"/>
              <w:rPr>
                <w:rFonts w:hint="eastAsia" w:ascii="Times New Roman" w:hAnsi="Times New Roman" w:eastAsia="宋体" w:cs="Times New Roman"/>
                <w:b w:val="0"/>
                <w:bCs w:val="0"/>
                <w:color w:val="auto"/>
                <w:kern w:val="0"/>
                <w:sz w:val="24"/>
                <w:szCs w:val="24"/>
                <w:highlight w:val="none"/>
                <w:lang w:val="en-US" w:eastAsia="zh-CN"/>
              </w:rPr>
            </w:pPr>
            <w:r>
              <w:rPr>
                <w:rFonts w:hint="eastAsia" w:ascii="Times New Roman" w:hAnsi="Times New Roman" w:cs="Times New Roman"/>
                <w:color w:val="auto"/>
                <w:sz w:val="24"/>
                <w:szCs w:val="32"/>
                <w:lang w:val="en-US" w:eastAsia="zh-CN"/>
              </w:rPr>
              <w:t>根据本项目设计资料，项目主要以老路为基础，对现状老路进行翻新拓宽及裁弯取直，设计对道路两侧蒋后塆及胡家老塆现有居民进行拆迁安置，经现场</w:t>
            </w:r>
            <w:r>
              <w:rPr>
                <w:rStyle w:val="44"/>
                <w:rFonts w:hint="default" w:ascii="Times New Roman" w:hAnsi="Times New Roman" w:eastAsia="宋体" w:cs="Times New Roman"/>
                <w:b w:val="0"/>
                <w:bCs w:val="0"/>
                <w:color w:val="auto"/>
                <w:sz w:val="24"/>
                <w:szCs w:val="24"/>
                <w:highlight w:val="none"/>
                <w:lang w:val="en-US" w:eastAsia="zh-CN"/>
              </w:rPr>
              <w:t>勘查、调查</w:t>
            </w:r>
            <w:r>
              <w:rPr>
                <w:rStyle w:val="44"/>
                <w:rFonts w:hint="eastAsia" w:ascii="Times New Roman" w:hAnsi="Times New Roman" w:eastAsia="宋体" w:cs="Times New Roman"/>
                <w:b w:val="0"/>
                <w:bCs w:val="0"/>
                <w:color w:val="auto"/>
                <w:sz w:val="24"/>
                <w:szCs w:val="24"/>
                <w:highlight w:val="none"/>
                <w:lang w:val="en-US" w:eastAsia="zh-CN"/>
              </w:rPr>
              <w:t>，本项目改扩建后</w:t>
            </w:r>
            <w:r>
              <w:rPr>
                <w:rFonts w:hint="eastAsia" w:ascii="Times New Roman" w:hAnsi="Times New Roman" w:cs="Times New Roman"/>
                <w:color w:val="auto"/>
                <w:sz w:val="24"/>
                <w:szCs w:val="32"/>
                <w:lang w:val="en-US" w:eastAsia="zh-CN"/>
              </w:rPr>
              <w:t>项目</w:t>
            </w:r>
            <w:r>
              <w:rPr>
                <w:rStyle w:val="44"/>
                <w:rFonts w:hint="default" w:ascii="Times New Roman" w:hAnsi="Times New Roman" w:eastAsia="宋体" w:cs="Times New Roman"/>
                <w:b w:val="0"/>
                <w:bCs w:val="0"/>
                <w:color w:val="auto"/>
                <w:sz w:val="24"/>
                <w:szCs w:val="24"/>
                <w:highlight w:val="none"/>
                <w:lang w:val="en-US" w:eastAsia="zh-CN"/>
              </w:rPr>
              <w:t>评价范围内</w:t>
            </w:r>
            <w:r>
              <w:rPr>
                <w:rFonts w:hint="default" w:ascii="Times New Roman" w:hAnsi="Times New Roman" w:eastAsia="宋体" w:cs="Times New Roman"/>
                <w:b w:val="0"/>
                <w:bCs w:val="0"/>
                <w:color w:val="auto"/>
                <w:kern w:val="0"/>
                <w:sz w:val="24"/>
                <w:szCs w:val="24"/>
                <w:highlight w:val="none"/>
                <w:lang w:val="en-US" w:eastAsia="zh-CN"/>
              </w:rPr>
              <w:t>无声环境保护目标</w:t>
            </w:r>
            <w:r>
              <w:rPr>
                <w:rFonts w:hint="eastAsia" w:ascii="Times New Roman" w:hAnsi="Times New Roman" w:eastAsia="宋体" w:cs="Times New Roman"/>
                <w:b w:val="0"/>
                <w:bCs w:val="0"/>
                <w:color w:val="auto"/>
                <w:kern w:val="0"/>
                <w:sz w:val="24"/>
                <w:szCs w:val="24"/>
                <w:highlight w:val="none"/>
                <w:lang w:val="en-US" w:eastAsia="zh-CN"/>
              </w:rPr>
              <w:t>。</w:t>
            </w:r>
          </w:p>
          <w:tbl>
            <w:tblPr>
              <w:tblStyle w:val="30"/>
              <w:tblW w:w="80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29"/>
            </w:tblGrid>
            <w:tr w14:paraId="73121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9" w:type="dxa"/>
                  <w:vAlign w:val="center"/>
                </w:tcPr>
                <w:p w14:paraId="293A6A21">
                  <w:pPr>
                    <w:pStyle w:val="54"/>
                    <w:ind w:left="0" w:leftChars="0" w:firstLine="0" w:firstLineChars="0"/>
                    <w:jc w:val="both"/>
                    <w:rPr>
                      <w:rFonts w:hint="eastAsia" w:eastAsia="宋体" w:cs="Times New Roman"/>
                      <w:b w:val="0"/>
                      <w:bCs w:val="0"/>
                      <w:color w:val="auto"/>
                      <w:kern w:val="0"/>
                      <w:sz w:val="24"/>
                      <w:szCs w:val="24"/>
                      <w:highlight w:val="none"/>
                      <w:vertAlign w:val="baseline"/>
                      <w:lang w:val="en-US" w:eastAsia="zh-CN"/>
                    </w:rPr>
                  </w:pPr>
                  <w:r>
                    <w:rPr>
                      <w:rFonts w:hint="eastAsia" w:eastAsia="宋体" w:cs="Times New Roman"/>
                      <w:b w:val="0"/>
                      <w:bCs w:val="0"/>
                      <w:color w:val="auto"/>
                      <w:kern w:val="0"/>
                      <w:sz w:val="24"/>
                      <w:szCs w:val="24"/>
                      <w:highlight w:val="none"/>
                      <w:vertAlign w:val="baseline"/>
                      <w:lang w:val="en-US" w:eastAsia="zh-CN"/>
                    </w:rPr>
                    <w:drawing>
                      <wp:inline distT="0" distB="0" distL="114300" distR="114300">
                        <wp:extent cx="4890770" cy="2751455"/>
                        <wp:effectExtent l="0" t="0" r="5080" b="10795"/>
                        <wp:docPr id="60" name="图片 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0"/>
                                <pic:cNvPicPr>
                                  <a:picLocks noChangeAspect="1"/>
                                </pic:cNvPicPr>
                              </pic:nvPicPr>
                              <pic:blipFill>
                                <a:blip r:embed="rId30"/>
                                <a:stretch>
                                  <a:fillRect/>
                                </a:stretch>
                              </pic:blipFill>
                              <pic:spPr>
                                <a:xfrm>
                                  <a:off x="0" y="0"/>
                                  <a:ext cx="4890770" cy="2751455"/>
                                </a:xfrm>
                                <a:prstGeom prst="rect">
                                  <a:avLst/>
                                </a:prstGeom>
                              </pic:spPr>
                            </pic:pic>
                          </a:graphicData>
                        </a:graphic>
                      </wp:inline>
                    </w:drawing>
                  </w:r>
                </w:p>
              </w:tc>
            </w:tr>
            <w:tr w14:paraId="4DE7B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9" w:type="dxa"/>
                  <w:vAlign w:val="center"/>
                </w:tcPr>
                <w:p w14:paraId="34549AAD">
                  <w:pPr>
                    <w:pStyle w:val="54"/>
                    <w:ind w:left="0" w:leftChars="0" w:firstLine="0" w:firstLineChars="0"/>
                    <w:jc w:val="center"/>
                    <w:rPr>
                      <w:rFonts w:hint="eastAsia" w:eastAsia="宋体" w:cs="Times New Roman"/>
                      <w:b w:val="0"/>
                      <w:bCs w:val="0"/>
                      <w:color w:val="auto"/>
                      <w:kern w:val="0"/>
                      <w:sz w:val="24"/>
                      <w:szCs w:val="24"/>
                      <w:highlight w:val="none"/>
                      <w:vertAlign w:val="baseline"/>
                      <w:lang w:val="en-US" w:eastAsia="zh-CN"/>
                    </w:rPr>
                  </w:pPr>
                  <w:r>
                    <w:rPr>
                      <w:rFonts w:hint="eastAsia" w:eastAsia="宋体" w:cs="Times New Roman"/>
                      <w:b w:val="0"/>
                      <w:bCs w:val="0"/>
                      <w:color w:val="auto"/>
                      <w:kern w:val="0"/>
                      <w:sz w:val="24"/>
                      <w:szCs w:val="24"/>
                      <w:highlight w:val="none"/>
                      <w:vertAlign w:val="baseline"/>
                      <w:lang w:val="en-US" w:eastAsia="zh-CN"/>
                    </w:rPr>
                    <w:drawing>
                      <wp:inline distT="0" distB="0" distL="114300" distR="114300">
                        <wp:extent cx="4629150" cy="3470910"/>
                        <wp:effectExtent l="0" t="0" r="0" b="15240"/>
                        <wp:docPr id="63" name="图片 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
                                <pic:cNvPicPr>
                                  <a:picLocks noChangeAspect="1"/>
                                </pic:cNvPicPr>
                              </pic:nvPicPr>
                              <pic:blipFill>
                                <a:blip r:embed="rId31"/>
                                <a:stretch>
                                  <a:fillRect/>
                                </a:stretch>
                              </pic:blipFill>
                              <pic:spPr>
                                <a:xfrm>
                                  <a:off x="0" y="0"/>
                                  <a:ext cx="4629150" cy="3470910"/>
                                </a:xfrm>
                                <a:prstGeom prst="rect">
                                  <a:avLst/>
                                </a:prstGeom>
                              </pic:spPr>
                            </pic:pic>
                          </a:graphicData>
                        </a:graphic>
                      </wp:inline>
                    </w:drawing>
                  </w:r>
                </w:p>
              </w:tc>
            </w:tr>
            <w:tr w14:paraId="7453C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9" w:type="dxa"/>
                  <w:vAlign w:val="center"/>
                </w:tcPr>
                <w:p w14:paraId="338CDE92">
                  <w:pPr>
                    <w:pStyle w:val="54"/>
                    <w:ind w:left="0" w:leftChars="0" w:firstLine="0" w:firstLineChars="0"/>
                    <w:jc w:val="center"/>
                    <w:rPr>
                      <w:rFonts w:hint="eastAsia" w:eastAsia="宋体" w:cs="Times New Roman"/>
                      <w:b w:val="0"/>
                      <w:bCs w:val="0"/>
                      <w:color w:val="auto"/>
                      <w:kern w:val="0"/>
                      <w:sz w:val="24"/>
                      <w:szCs w:val="24"/>
                      <w:highlight w:val="none"/>
                      <w:vertAlign w:val="baseline"/>
                      <w:lang w:val="en-US" w:eastAsia="zh-CN"/>
                    </w:rPr>
                  </w:pPr>
                  <w:r>
                    <w:rPr>
                      <w:rFonts w:hint="eastAsia" w:eastAsia="宋体" w:cs="Times New Roman"/>
                      <w:b w:val="0"/>
                      <w:bCs w:val="0"/>
                      <w:color w:val="auto"/>
                      <w:kern w:val="0"/>
                      <w:sz w:val="24"/>
                      <w:szCs w:val="24"/>
                      <w:highlight w:val="none"/>
                      <w:vertAlign w:val="baseline"/>
                      <w:lang w:val="en-US" w:eastAsia="zh-CN"/>
                    </w:rPr>
                    <w:drawing>
                      <wp:inline distT="0" distB="0" distL="114300" distR="114300">
                        <wp:extent cx="4954905" cy="4128770"/>
                        <wp:effectExtent l="0" t="0" r="17145" b="5080"/>
                        <wp:docPr id="64" name="图片 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4"/>
                                <pic:cNvPicPr>
                                  <a:picLocks noChangeAspect="1"/>
                                </pic:cNvPicPr>
                              </pic:nvPicPr>
                              <pic:blipFill>
                                <a:blip r:embed="rId32"/>
                                <a:stretch>
                                  <a:fillRect/>
                                </a:stretch>
                              </pic:blipFill>
                              <pic:spPr>
                                <a:xfrm>
                                  <a:off x="0" y="0"/>
                                  <a:ext cx="4954905" cy="4128770"/>
                                </a:xfrm>
                                <a:prstGeom prst="rect">
                                  <a:avLst/>
                                </a:prstGeom>
                              </pic:spPr>
                            </pic:pic>
                          </a:graphicData>
                        </a:graphic>
                      </wp:inline>
                    </w:drawing>
                  </w:r>
                </w:p>
              </w:tc>
            </w:tr>
            <w:tr w14:paraId="2E8E3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9" w:type="dxa"/>
                  <w:vAlign w:val="center"/>
                </w:tcPr>
                <w:p w14:paraId="2D72CBD6">
                  <w:pPr>
                    <w:pStyle w:val="54"/>
                    <w:ind w:left="0" w:leftChars="0" w:firstLine="0" w:firstLineChars="0"/>
                    <w:jc w:val="center"/>
                    <w:rPr>
                      <w:rFonts w:hint="eastAsia" w:eastAsia="宋体" w:cs="Times New Roman"/>
                      <w:b w:val="0"/>
                      <w:bCs w:val="0"/>
                      <w:color w:val="auto"/>
                      <w:kern w:val="0"/>
                      <w:sz w:val="24"/>
                      <w:szCs w:val="24"/>
                      <w:highlight w:val="none"/>
                      <w:vertAlign w:val="baseline"/>
                      <w:lang w:val="en-US" w:eastAsia="zh-CN"/>
                    </w:rPr>
                  </w:pPr>
                  <w:r>
                    <w:rPr>
                      <w:rFonts w:hint="eastAsia" w:eastAsia="宋体" w:cs="Times New Roman"/>
                      <w:b w:val="0"/>
                      <w:bCs w:val="0"/>
                      <w:color w:val="auto"/>
                      <w:kern w:val="0"/>
                      <w:sz w:val="24"/>
                      <w:szCs w:val="24"/>
                      <w:highlight w:val="none"/>
                      <w:vertAlign w:val="baseline"/>
                      <w:lang w:val="en-US" w:eastAsia="zh-CN"/>
                    </w:rPr>
                    <w:drawing>
                      <wp:inline distT="0" distB="0" distL="114300" distR="114300">
                        <wp:extent cx="4939665" cy="3703320"/>
                        <wp:effectExtent l="0" t="0" r="13335" b="11430"/>
                        <wp:docPr id="65" name="图片 6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5"/>
                                <pic:cNvPicPr>
                                  <a:picLocks noChangeAspect="1"/>
                                </pic:cNvPicPr>
                              </pic:nvPicPr>
                              <pic:blipFill>
                                <a:blip r:embed="rId33"/>
                                <a:stretch>
                                  <a:fillRect/>
                                </a:stretch>
                              </pic:blipFill>
                              <pic:spPr>
                                <a:xfrm>
                                  <a:off x="0" y="0"/>
                                  <a:ext cx="4939665" cy="3703320"/>
                                </a:xfrm>
                                <a:prstGeom prst="rect">
                                  <a:avLst/>
                                </a:prstGeom>
                              </pic:spPr>
                            </pic:pic>
                          </a:graphicData>
                        </a:graphic>
                      </wp:inline>
                    </w:drawing>
                  </w:r>
                </w:p>
              </w:tc>
            </w:tr>
            <w:tr w14:paraId="02F3D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9" w:type="dxa"/>
                  <w:vAlign w:val="center"/>
                </w:tcPr>
                <w:p w14:paraId="3D254DD0">
                  <w:pPr>
                    <w:pStyle w:val="54"/>
                    <w:ind w:left="0" w:leftChars="0" w:firstLine="0" w:firstLineChars="0"/>
                    <w:jc w:val="center"/>
                    <w:rPr>
                      <w:rFonts w:hint="eastAsia" w:eastAsia="宋体" w:cs="Times New Roman"/>
                      <w:b w:val="0"/>
                      <w:bCs w:val="0"/>
                      <w:color w:val="auto"/>
                      <w:kern w:val="0"/>
                      <w:sz w:val="24"/>
                      <w:szCs w:val="24"/>
                      <w:highlight w:val="none"/>
                      <w:vertAlign w:val="baseline"/>
                      <w:lang w:val="en-US" w:eastAsia="zh-CN"/>
                    </w:rPr>
                  </w:pPr>
                  <w:r>
                    <w:rPr>
                      <w:rFonts w:hint="eastAsia" w:eastAsia="宋体" w:cs="Times New Roman"/>
                      <w:b w:val="0"/>
                      <w:bCs w:val="0"/>
                      <w:color w:val="auto"/>
                      <w:kern w:val="0"/>
                      <w:sz w:val="24"/>
                      <w:szCs w:val="24"/>
                      <w:highlight w:val="none"/>
                      <w:vertAlign w:val="baseline"/>
                      <w:lang w:val="en-US" w:eastAsia="zh-CN"/>
                    </w:rPr>
                    <w:drawing>
                      <wp:inline distT="0" distB="0" distL="114300" distR="114300">
                        <wp:extent cx="4939665" cy="3703320"/>
                        <wp:effectExtent l="0" t="0" r="13335" b="11430"/>
                        <wp:docPr id="66" name="图片 6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6"/>
                                <pic:cNvPicPr>
                                  <a:picLocks noChangeAspect="1"/>
                                </pic:cNvPicPr>
                              </pic:nvPicPr>
                              <pic:blipFill>
                                <a:blip r:embed="rId34"/>
                                <a:stretch>
                                  <a:fillRect/>
                                </a:stretch>
                              </pic:blipFill>
                              <pic:spPr>
                                <a:xfrm>
                                  <a:off x="0" y="0"/>
                                  <a:ext cx="4939665" cy="3703320"/>
                                </a:xfrm>
                                <a:prstGeom prst="rect">
                                  <a:avLst/>
                                </a:prstGeom>
                              </pic:spPr>
                            </pic:pic>
                          </a:graphicData>
                        </a:graphic>
                      </wp:inline>
                    </w:drawing>
                  </w:r>
                </w:p>
              </w:tc>
            </w:tr>
            <w:tr w14:paraId="56028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9" w:type="dxa"/>
                  <w:vAlign w:val="center"/>
                </w:tcPr>
                <w:p w14:paraId="7A763A64">
                  <w:pPr>
                    <w:pStyle w:val="54"/>
                    <w:ind w:left="0" w:leftChars="0" w:firstLine="0" w:firstLineChars="0"/>
                    <w:jc w:val="center"/>
                    <w:rPr>
                      <w:rFonts w:hint="eastAsia" w:eastAsia="宋体" w:cs="Times New Roman"/>
                      <w:b w:val="0"/>
                      <w:bCs w:val="0"/>
                      <w:color w:val="auto"/>
                      <w:kern w:val="0"/>
                      <w:sz w:val="24"/>
                      <w:szCs w:val="24"/>
                      <w:highlight w:val="none"/>
                      <w:vertAlign w:val="baseline"/>
                      <w:lang w:val="en-US" w:eastAsia="zh-CN"/>
                    </w:rPr>
                  </w:pPr>
                  <w:r>
                    <w:rPr>
                      <w:rFonts w:hint="eastAsia" w:eastAsia="宋体" w:cs="Times New Roman"/>
                      <w:b w:val="0"/>
                      <w:bCs w:val="0"/>
                      <w:color w:val="auto"/>
                      <w:kern w:val="0"/>
                      <w:sz w:val="24"/>
                      <w:szCs w:val="24"/>
                      <w:highlight w:val="none"/>
                      <w:vertAlign w:val="baseline"/>
                      <w:lang w:val="en-US" w:eastAsia="zh-CN"/>
                    </w:rPr>
                    <w:drawing>
                      <wp:inline distT="0" distB="0" distL="114300" distR="114300">
                        <wp:extent cx="4939665" cy="3703320"/>
                        <wp:effectExtent l="0" t="0" r="13335" b="11430"/>
                        <wp:docPr id="67" name="图片 6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9"/>
                                <pic:cNvPicPr>
                                  <a:picLocks noChangeAspect="1"/>
                                </pic:cNvPicPr>
                              </pic:nvPicPr>
                              <pic:blipFill>
                                <a:blip r:embed="rId35"/>
                                <a:stretch>
                                  <a:fillRect/>
                                </a:stretch>
                              </pic:blipFill>
                              <pic:spPr>
                                <a:xfrm>
                                  <a:off x="0" y="0"/>
                                  <a:ext cx="4939665" cy="3703320"/>
                                </a:xfrm>
                                <a:prstGeom prst="rect">
                                  <a:avLst/>
                                </a:prstGeom>
                              </pic:spPr>
                            </pic:pic>
                          </a:graphicData>
                        </a:graphic>
                      </wp:inline>
                    </w:drawing>
                  </w:r>
                </w:p>
              </w:tc>
            </w:tr>
            <w:tr w14:paraId="32279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9" w:type="dxa"/>
                  <w:vAlign w:val="center"/>
                </w:tcPr>
                <w:p w14:paraId="6BEC88CE">
                  <w:pPr>
                    <w:pStyle w:val="54"/>
                    <w:ind w:left="0" w:leftChars="0" w:firstLine="0" w:firstLineChars="0"/>
                    <w:jc w:val="center"/>
                    <w:rPr>
                      <w:rFonts w:hint="eastAsia" w:eastAsia="宋体" w:cs="Times New Roman"/>
                      <w:b w:val="0"/>
                      <w:bCs w:val="0"/>
                      <w:color w:val="auto"/>
                      <w:kern w:val="0"/>
                      <w:sz w:val="24"/>
                      <w:szCs w:val="24"/>
                      <w:highlight w:val="none"/>
                      <w:vertAlign w:val="baseline"/>
                      <w:lang w:val="en-US" w:eastAsia="zh-CN"/>
                    </w:rPr>
                  </w:pPr>
                  <w:r>
                    <w:rPr>
                      <w:rFonts w:hint="eastAsia" w:eastAsia="宋体" w:cs="Times New Roman"/>
                      <w:b w:val="0"/>
                      <w:bCs w:val="0"/>
                      <w:color w:val="auto"/>
                      <w:kern w:val="0"/>
                      <w:sz w:val="24"/>
                      <w:szCs w:val="24"/>
                      <w:highlight w:val="none"/>
                      <w:vertAlign w:val="baseline"/>
                      <w:lang w:val="en-US" w:eastAsia="zh-CN"/>
                    </w:rPr>
                    <w:drawing>
                      <wp:inline distT="0" distB="0" distL="114300" distR="114300">
                        <wp:extent cx="4939665" cy="3703320"/>
                        <wp:effectExtent l="0" t="0" r="13335" b="11430"/>
                        <wp:docPr id="69" name="图片 6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7"/>
                                <pic:cNvPicPr>
                                  <a:picLocks noChangeAspect="1"/>
                                </pic:cNvPicPr>
                              </pic:nvPicPr>
                              <pic:blipFill>
                                <a:blip r:embed="rId36"/>
                                <a:stretch>
                                  <a:fillRect/>
                                </a:stretch>
                              </pic:blipFill>
                              <pic:spPr>
                                <a:xfrm>
                                  <a:off x="0" y="0"/>
                                  <a:ext cx="4939665" cy="3703320"/>
                                </a:xfrm>
                                <a:prstGeom prst="rect">
                                  <a:avLst/>
                                </a:prstGeom>
                              </pic:spPr>
                            </pic:pic>
                          </a:graphicData>
                        </a:graphic>
                      </wp:inline>
                    </w:drawing>
                  </w:r>
                </w:p>
              </w:tc>
            </w:tr>
            <w:tr w14:paraId="672AD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9" w:type="dxa"/>
                  <w:vAlign w:val="center"/>
                </w:tcPr>
                <w:p w14:paraId="44E0DE38">
                  <w:pPr>
                    <w:pStyle w:val="54"/>
                    <w:ind w:firstLine="480"/>
                    <w:jc w:val="center"/>
                    <w:rPr>
                      <w:rFonts w:hint="eastAsia" w:eastAsia="宋体" w:cs="Times New Roman"/>
                      <w:b w:val="0"/>
                      <w:bCs w:val="0"/>
                      <w:color w:val="auto"/>
                      <w:kern w:val="0"/>
                      <w:sz w:val="24"/>
                      <w:szCs w:val="24"/>
                      <w:highlight w:val="none"/>
                      <w:vertAlign w:val="baseline"/>
                      <w:lang w:val="en-US" w:eastAsia="zh-CN"/>
                    </w:rPr>
                  </w:pPr>
                  <w:r>
                    <w:rPr>
                      <w:rFonts w:hint="eastAsia" w:cs="Times New Roman"/>
                      <w:b/>
                      <w:bCs/>
                      <w:color w:val="auto"/>
                      <w:kern w:val="0"/>
                      <w:sz w:val="28"/>
                      <w:szCs w:val="28"/>
                      <w:highlight w:val="none"/>
                      <w:lang w:val="en-US" w:eastAsia="zh-CN"/>
                    </w:rPr>
                    <w:t>现场居民拆迁图片</w:t>
                  </w:r>
                </w:p>
              </w:tc>
            </w:tr>
          </w:tbl>
          <w:p w14:paraId="63C84C0C">
            <w:pPr>
              <w:pStyle w:val="54"/>
              <w:ind w:firstLine="480"/>
              <w:rPr>
                <w:rFonts w:hint="default" w:ascii="Times New Roman" w:hAnsi="Times New Roman" w:eastAsia="宋体" w:cs="Times New Roman"/>
                <w:b w:val="0"/>
                <w:bCs w:val="0"/>
                <w:color w:val="auto"/>
                <w:kern w:val="0"/>
                <w:sz w:val="24"/>
                <w:szCs w:val="24"/>
                <w:highlight w:val="none"/>
                <w:lang w:val="en-US" w:eastAsia="zh-CN"/>
              </w:rPr>
            </w:pPr>
          </w:p>
        </w:tc>
      </w:tr>
    </w:tbl>
    <w:p w14:paraId="75A97426">
      <w:pPr>
        <w:adjustRightInd w:val="0"/>
        <w:snapToGrid w:val="0"/>
        <w:jc w:val="center"/>
        <w:rPr>
          <w:rFonts w:hint="default" w:ascii="Times New Roman" w:hAnsi="Times New Roman" w:cs="Times New Roman"/>
          <w:b/>
          <w:bCs/>
          <w:color w:val="auto"/>
          <w:kern w:val="0"/>
          <w:sz w:val="24"/>
        </w:rPr>
        <w:sectPr>
          <w:type w:val="continuous"/>
          <w:pgSz w:w="11906" w:h="16838"/>
          <w:pgMar w:top="1440" w:right="1531" w:bottom="1440" w:left="1531"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15"/>
        <w:gridCol w:w="8245"/>
      </w:tblGrid>
      <w:tr w14:paraId="3D133A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 w:type="dxa"/>
            <w:noWrap w:val="0"/>
            <w:vAlign w:val="center"/>
          </w:tcPr>
          <w:p w14:paraId="64D53629">
            <w:pPr>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b/>
                <w:bCs/>
                <w:color w:val="auto"/>
                <w:kern w:val="0"/>
                <w:sz w:val="24"/>
              </w:rPr>
              <w:t>评价标准</w:t>
            </w:r>
          </w:p>
        </w:tc>
        <w:tc>
          <w:tcPr>
            <w:tcW w:w="8245" w:type="dxa"/>
            <w:noWrap w:val="0"/>
            <w:vAlign w:val="center"/>
          </w:tcPr>
          <w:p w14:paraId="469DCAC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1、</w:t>
            </w:r>
            <w:r>
              <w:rPr>
                <w:rFonts w:hint="default" w:ascii="Times New Roman" w:hAnsi="Times New Roman" w:cs="Times New Roman"/>
                <w:b/>
                <w:bCs/>
                <w:color w:val="auto"/>
                <w:sz w:val="24"/>
                <w:szCs w:val="32"/>
              </w:rPr>
              <w:t>环境质量标准</w:t>
            </w:r>
          </w:p>
          <w:p w14:paraId="1A4D2A50">
            <w:pPr>
              <w:spacing w:line="360" w:lineRule="auto"/>
              <w:ind w:firstLine="482"/>
              <w:rPr>
                <w:rFonts w:hint="default" w:ascii="Times New Roman" w:hAnsi="Times New Roman" w:cs="Times New Roman"/>
                <w:b/>
                <w:bCs/>
                <w:color w:val="auto"/>
                <w:kern w:val="0"/>
                <w:sz w:val="32"/>
                <w:szCs w:val="22"/>
              </w:rPr>
            </w:pP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1</w:t>
            </w: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rPr>
              <w:t>大气环境质量标准</w:t>
            </w:r>
          </w:p>
          <w:p w14:paraId="760B7C6D">
            <w:pPr>
              <w:spacing w:line="360" w:lineRule="auto"/>
              <w:ind w:firstLine="482"/>
              <w:rPr>
                <w:rFonts w:hint="default" w:ascii="Times New Roman" w:hAnsi="Times New Roman" w:cs="Times New Roman"/>
                <w:bCs/>
                <w:color w:val="auto"/>
                <w:sz w:val="24"/>
                <w:szCs w:val="32"/>
              </w:rPr>
            </w:pPr>
            <w:r>
              <w:rPr>
                <w:rFonts w:hint="default" w:ascii="Times New Roman" w:hAnsi="Times New Roman" w:cs="Times New Roman"/>
                <w:bCs/>
                <w:color w:val="auto"/>
                <w:sz w:val="24"/>
                <w:szCs w:val="32"/>
              </w:rPr>
              <w:t>项目区域环境空气执行《环境空气质量标准》（GB3095-2012）及2018年修改单中二级标准限值。</w:t>
            </w:r>
          </w:p>
          <w:p w14:paraId="3495C706">
            <w:pPr>
              <w:jc w:val="center"/>
              <w:rPr>
                <w:rFonts w:hint="default" w:ascii="Times New Roman" w:hAnsi="Times New Roman" w:cs="Times New Roman"/>
                <w:b/>
                <w:color w:val="auto"/>
                <w:szCs w:val="18"/>
              </w:rPr>
            </w:pPr>
            <w:r>
              <w:rPr>
                <w:rFonts w:hint="default" w:ascii="Times New Roman" w:hAnsi="Times New Roman" w:cs="Times New Roman"/>
                <w:b/>
                <w:color w:val="auto"/>
              </w:rPr>
              <w:t>表3-</w:t>
            </w:r>
            <w:r>
              <w:rPr>
                <w:rFonts w:hint="eastAsia" w:ascii="Times New Roman" w:hAnsi="Times New Roman" w:cs="Times New Roman"/>
                <w:b/>
                <w:color w:val="auto"/>
                <w:lang w:val="en-US" w:eastAsia="zh-CN"/>
              </w:rPr>
              <w:t>7</w:t>
            </w:r>
            <w:r>
              <w:rPr>
                <w:rFonts w:hint="default" w:ascii="Times New Roman" w:hAnsi="Times New Roman" w:cs="Times New Roman"/>
                <w:b/>
                <w:color w:val="auto"/>
                <w:lang w:val="en-US" w:eastAsia="zh-CN"/>
              </w:rPr>
              <w:t xml:space="preserve"> </w:t>
            </w:r>
            <w:r>
              <w:rPr>
                <w:rFonts w:hint="default" w:ascii="Times New Roman" w:hAnsi="Times New Roman" w:cs="Times New Roman"/>
                <w:b/>
                <w:color w:val="auto"/>
              </w:rPr>
              <w:t xml:space="preserve"> 环境空气质量标准     单位：µg/m³</w:t>
            </w:r>
          </w:p>
          <w:tbl>
            <w:tblPr>
              <w:tblStyle w:val="29"/>
              <w:tblpPr w:leftFromText="180" w:rightFromText="180" w:vertAnchor="text" w:tblpXSpec="center"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763"/>
              <w:gridCol w:w="2290"/>
              <w:gridCol w:w="2010"/>
              <w:gridCol w:w="1956"/>
            </w:tblGrid>
            <w:tr w14:paraId="19B3D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14" w:hRule="atLeast"/>
              </w:trPr>
              <w:tc>
                <w:tcPr>
                  <w:tcW w:w="1763" w:type="dxa"/>
                  <w:tcBorders>
                    <w:top w:val="single" w:color="auto" w:sz="4" w:space="0"/>
                    <w:left w:val="single" w:color="auto" w:sz="4" w:space="0"/>
                    <w:bottom w:val="single" w:color="auto" w:sz="4" w:space="0"/>
                    <w:right w:val="single" w:color="auto" w:sz="4" w:space="0"/>
                  </w:tcBorders>
                  <w:noWrap w:val="0"/>
                  <w:vAlign w:val="center"/>
                </w:tcPr>
                <w:p w14:paraId="1D49C73A">
                  <w:pPr>
                    <w:pStyle w:val="15"/>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污染物名称</w:t>
                  </w:r>
                </w:p>
              </w:tc>
              <w:tc>
                <w:tcPr>
                  <w:tcW w:w="2290" w:type="dxa"/>
                  <w:tcBorders>
                    <w:top w:val="single" w:color="auto" w:sz="4" w:space="0"/>
                    <w:left w:val="single" w:color="auto" w:sz="4" w:space="0"/>
                    <w:bottom w:val="single" w:color="auto" w:sz="4" w:space="0"/>
                    <w:right w:val="single" w:color="auto" w:sz="4" w:space="0"/>
                  </w:tcBorders>
                  <w:noWrap w:val="0"/>
                  <w:vAlign w:val="center"/>
                </w:tcPr>
                <w:p w14:paraId="084C6A5B">
                  <w:pPr>
                    <w:pStyle w:val="15"/>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取值时间</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3B679EB9">
                  <w:pPr>
                    <w:pStyle w:val="15"/>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浓度限值</w:t>
                  </w:r>
                </w:p>
              </w:tc>
              <w:tc>
                <w:tcPr>
                  <w:tcW w:w="1956" w:type="dxa"/>
                  <w:tcBorders>
                    <w:top w:val="single" w:color="auto" w:sz="4" w:space="0"/>
                    <w:left w:val="single" w:color="auto" w:sz="4" w:space="0"/>
                    <w:bottom w:val="single" w:color="auto" w:sz="4" w:space="0"/>
                    <w:right w:val="single" w:color="auto" w:sz="4" w:space="0"/>
                  </w:tcBorders>
                  <w:noWrap w:val="0"/>
                  <w:vAlign w:val="center"/>
                </w:tcPr>
                <w:p w14:paraId="3A78EE10">
                  <w:pPr>
                    <w:pStyle w:val="15"/>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标准来源</w:t>
                  </w:r>
                </w:p>
              </w:tc>
            </w:tr>
            <w:tr w14:paraId="5C42E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14" w:hRule="atLeast"/>
              </w:trPr>
              <w:tc>
                <w:tcPr>
                  <w:tcW w:w="1763" w:type="dxa"/>
                  <w:vMerge w:val="restart"/>
                  <w:tcBorders>
                    <w:top w:val="single" w:color="auto" w:sz="4" w:space="0"/>
                    <w:left w:val="single" w:color="auto" w:sz="4" w:space="0"/>
                    <w:right w:val="single" w:color="auto" w:sz="4" w:space="0"/>
                  </w:tcBorders>
                  <w:noWrap w:val="0"/>
                  <w:vAlign w:val="center"/>
                </w:tcPr>
                <w:p w14:paraId="3B7F0121">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2</w:t>
                  </w:r>
                </w:p>
              </w:tc>
              <w:tc>
                <w:tcPr>
                  <w:tcW w:w="2290" w:type="dxa"/>
                  <w:tcBorders>
                    <w:top w:val="single" w:color="auto" w:sz="4" w:space="0"/>
                    <w:left w:val="single" w:color="auto" w:sz="4" w:space="0"/>
                    <w:bottom w:val="single" w:color="auto" w:sz="4" w:space="0"/>
                    <w:right w:val="single" w:color="auto" w:sz="4" w:space="0"/>
                  </w:tcBorders>
                  <w:noWrap w:val="0"/>
                  <w:vAlign w:val="center"/>
                </w:tcPr>
                <w:p w14:paraId="21CEEECC">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年平均</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6FDADB52">
                  <w:pPr>
                    <w:pStyle w:val="15"/>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color w:val="auto"/>
                      <w:sz w:val="21"/>
                      <w:szCs w:val="21"/>
                      <w:lang w:val="en-US" w:eastAsia="zh-CN"/>
                    </w:rPr>
                    <w:t>60</w:t>
                  </w:r>
                </w:p>
              </w:tc>
              <w:tc>
                <w:tcPr>
                  <w:tcW w:w="1956" w:type="dxa"/>
                  <w:vMerge w:val="restart"/>
                  <w:tcBorders>
                    <w:top w:val="single" w:color="auto" w:sz="4" w:space="0"/>
                    <w:left w:val="single" w:color="auto" w:sz="4" w:space="0"/>
                    <w:right w:val="single" w:color="auto" w:sz="4" w:space="0"/>
                  </w:tcBorders>
                  <w:noWrap w:val="0"/>
                  <w:vAlign w:val="center"/>
                </w:tcPr>
                <w:p w14:paraId="203832DC">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《环境空气质量标准》（GB3095-2012）及2018年修改单中二级标准</w:t>
                  </w:r>
                </w:p>
              </w:tc>
            </w:tr>
            <w:tr w14:paraId="42B1B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14" w:hRule="atLeast"/>
              </w:trPr>
              <w:tc>
                <w:tcPr>
                  <w:tcW w:w="1763" w:type="dxa"/>
                  <w:vMerge w:val="continue"/>
                  <w:tcBorders>
                    <w:left w:val="single" w:color="auto" w:sz="4" w:space="0"/>
                    <w:right w:val="single" w:color="auto" w:sz="4" w:space="0"/>
                  </w:tcBorders>
                  <w:noWrap w:val="0"/>
                  <w:vAlign w:val="center"/>
                </w:tcPr>
                <w:p w14:paraId="68AD8C13">
                  <w:pPr>
                    <w:jc w:val="center"/>
                    <w:rPr>
                      <w:rFonts w:hint="default" w:ascii="Times New Roman" w:hAnsi="Times New Roman" w:cs="Times New Roman"/>
                      <w:color w:val="auto"/>
                      <w:sz w:val="21"/>
                      <w:szCs w:val="21"/>
                    </w:rPr>
                  </w:pPr>
                </w:p>
              </w:tc>
              <w:tc>
                <w:tcPr>
                  <w:tcW w:w="2290" w:type="dxa"/>
                  <w:tcBorders>
                    <w:top w:val="single" w:color="auto" w:sz="4" w:space="0"/>
                    <w:left w:val="single" w:color="auto" w:sz="4" w:space="0"/>
                    <w:bottom w:val="single" w:color="auto" w:sz="4" w:space="0"/>
                    <w:right w:val="single" w:color="auto" w:sz="4" w:space="0"/>
                  </w:tcBorders>
                  <w:noWrap w:val="0"/>
                  <w:vAlign w:val="center"/>
                </w:tcPr>
                <w:p w14:paraId="0F50D182">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24小时平均</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3BADA2DC">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150</w:t>
                  </w:r>
                </w:p>
              </w:tc>
              <w:tc>
                <w:tcPr>
                  <w:tcW w:w="1956" w:type="dxa"/>
                  <w:vMerge w:val="continue"/>
                  <w:tcBorders>
                    <w:left w:val="single" w:color="auto" w:sz="4" w:space="0"/>
                    <w:right w:val="single" w:color="auto" w:sz="4" w:space="0"/>
                  </w:tcBorders>
                  <w:noWrap w:val="0"/>
                  <w:vAlign w:val="center"/>
                </w:tcPr>
                <w:p w14:paraId="602D424B">
                  <w:pPr>
                    <w:jc w:val="center"/>
                    <w:rPr>
                      <w:rFonts w:hint="default" w:ascii="Times New Roman" w:hAnsi="Times New Roman" w:cs="Times New Roman"/>
                      <w:color w:val="auto"/>
                      <w:sz w:val="21"/>
                      <w:szCs w:val="21"/>
                    </w:rPr>
                  </w:pPr>
                </w:p>
              </w:tc>
            </w:tr>
            <w:tr w14:paraId="4FE31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14" w:hRule="atLeast"/>
              </w:trPr>
              <w:tc>
                <w:tcPr>
                  <w:tcW w:w="1763" w:type="dxa"/>
                  <w:vMerge w:val="continue"/>
                  <w:tcBorders>
                    <w:left w:val="single" w:color="auto" w:sz="4" w:space="0"/>
                    <w:bottom w:val="single" w:color="auto" w:sz="4" w:space="0"/>
                    <w:right w:val="single" w:color="auto" w:sz="4" w:space="0"/>
                  </w:tcBorders>
                  <w:noWrap w:val="0"/>
                  <w:vAlign w:val="center"/>
                </w:tcPr>
                <w:p w14:paraId="2E87DAB8">
                  <w:pPr>
                    <w:widowControl/>
                    <w:jc w:val="left"/>
                    <w:rPr>
                      <w:rFonts w:hint="default" w:ascii="Times New Roman" w:hAnsi="Times New Roman" w:cs="Times New Roman"/>
                      <w:color w:val="auto"/>
                      <w:sz w:val="21"/>
                      <w:szCs w:val="21"/>
                    </w:rPr>
                  </w:pPr>
                </w:p>
              </w:tc>
              <w:tc>
                <w:tcPr>
                  <w:tcW w:w="2290" w:type="dxa"/>
                  <w:tcBorders>
                    <w:top w:val="single" w:color="auto" w:sz="4" w:space="0"/>
                    <w:left w:val="single" w:color="auto" w:sz="4" w:space="0"/>
                    <w:bottom w:val="single" w:color="auto" w:sz="4" w:space="0"/>
                    <w:right w:val="single" w:color="auto" w:sz="4" w:space="0"/>
                  </w:tcBorders>
                  <w:noWrap w:val="0"/>
                  <w:vAlign w:val="center"/>
                </w:tcPr>
                <w:p w14:paraId="65694CF1">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1小时平均</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6064CD2B">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500</w:t>
                  </w:r>
                </w:p>
              </w:tc>
              <w:tc>
                <w:tcPr>
                  <w:tcW w:w="1956" w:type="dxa"/>
                  <w:vMerge w:val="continue"/>
                  <w:tcBorders>
                    <w:left w:val="single" w:color="auto" w:sz="4" w:space="0"/>
                    <w:right w:val="single" w:color="auto" w:sz="4" w:space="0"/>
                  </w:tcBorders>
                  <w:noWrap w:val="0"/>
                  <w:vAlign w:val="center"/>
                </w:tcPr>
                <w:p w14:paraId="6C446C0E">
                  <w:pPr>
                    <w:widowControl/>
                    <w:jc w:val="left"/>
                    <w:rPr>
                      <w:rFonts w:hint="default" w:ascii="Times New Roman" w:hAnsi="Times New Roman" w:cs="Times New Roman"/>
                      <w:color w:val="auto"/>
                      <w:sz w:val="21"/>
                      <w:szCs w:val="21"/>
                    </w:rPr>
                  </w:pPr>
                </w:p>
              </w:tc>
            </w:tr>
            <w:tr w14:paraId="6BD77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14" w:hRule="atLeast"/>
              </w:trPr>
              <w:tc>
                <w:tcPr>
                  <w:tcW w:w="1763" w:type="dxa"/>
                  <w:vMerge w:val="restart"/>
                  <w:tcBorders>
                    <w:top w:val="single" w:color="auto" w:sz="4" w:space="0"/>
                    <w:left w:val="single" w:color="auto" w:sz="4" w:space="0"/>
                    <w:right w:val="single" w:color="auto" w:sz="4" w:space="0"/>
                  </w:tcBorders>
                  <w:noWrap w:val="0"/>
                  <w:vAlign w:val="center"/>
                </w:tcPr>
                <w:p w14:paraId="5F3F18DD">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2</w:t>
                  </w:r>
                </w:p>
              </w:tc>
              <w:tc>
                <w:tcPr>
                  <w:tcW w:w="2290" w:type="dxa"/>
                  <w:tcBorders>
                    <w:top w:val="single" w:color="auto" w:sz="4" w:space="0"/>
                    <w:left w:val="single" w:color="auto" w:sz="4" w:space="0"/>
                    <w:bottom w:val="single" w:color="auto" w:sz="4" w:space="0"/>
                    <w:right w:val="single" w:color="auto" w:sz="4" w:space="0"/>
                  </w:tcBorders>
                  <w:noWrap w:val="0"/>
                  <w:vAlign w:val="center"/>
                </w:tcPr>
                <w:p w14:paraId="2220C762">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年平均</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282DA39F">
                  <w:pPr>
                    <w:pStyle w:val="15"/>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color w:val="auto"/>
                      <w:sz w:val="21"/>
                      <w:szCs w:val="21"/>
                      <w:lang w:val="en-US" w:eastAsia="zh-CN"/>
                    </w:rPr>
                    <w:t>40</w:t>
                  </w:r>
                </w:p>
              </w:tc>
              <w:tc>
                <w:tcPr>
                  <w:tcW w:w="1956" w:type="dxa"/>
                  <w:vMerge w:val="continue"/>
                  <w:tcBorders>
                    <w:left w:val="single" w:color="auto" w:sz="4" w:space="0"/>
                    <w:right w:val="single" w:color="auto" w:sz="4" w:space="0"/>
                  </w:tcBorders>
                  <w:noWrap w:val="0"/>
                  <w:vAlign w:val="center"/>
                </w:tcPr>
                <w:p w14:paraId="47CCEEE7">
                  <w:pPr>
                    <w:widowControl/>
                    <w:jc w:val="left"/>
                    <w:rPr>
                      <w:rFonts w:hint="default" w:ascii="Times New Roman" w:hAnsi="Times New Roman" w:cs="Times New Roman"/>
                      <w:color w:val="auto"/>
                      <w:sz w:val="21"/>
                      <w:szCs w:val="21"/>
                    </w:rPr>
                  </w:pPr>
                </w:p>
              </w:tc>
            </w:tr>
            <w:tr w14:paraId="33D76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14" w:hRule="atLeast"/>
              </w:trPr>
              <w:tc>
                <w:tcPr>
                  <w:tcW w:w="1763" w:type="dxa"/>
                  <w:vMerge w:val="continue"/>
                  <w:tcBorders>
                    <w:left w:val="single" w:color="auto" w:sz="4" w:space="0"/>
                    <w:right w:val="single" w:color="auto" w:sz="4" w:space="0"/>
                  </w:tcBorders>
                  <w:noWrap w:val="0"/>
                  <w:vAlign w:val="center"/>
                </w:tcPr>
                <w:p w14:paraId="13B56768">
                  <w:pPr>
                    <w:jc w:val="center"/>
                    <w:rPr>
                      <w:rFonts w:hint="default" w:ascii="Times New Roman" w:hAnsi="Times New Roman" w:cs="Times New Roman"/>
                      <w:color w:val="auto"/>
                      <w:sz w:val="21"/>
                      <w:szCs w:val="21"/>
                    </w:rPr>
                  </w:pPr>
                </w:p>
              </w:tc>
              <w:tc>
                <w:tcPr>
                  <w:tcW w:w="2290" w:type="dxa"/>
                  <w:tcBorders>
                    <w:top w:val="single" w:color="auto" w:sz="4" w:space="0"/>
                    <w:left w:val="single" w:color="auto" w:sz="4" w:space="0"/>
                    <w:bottom w:val="single" w:color="auto" w:sz="4" w:space="0"/>
                    <w:right w:val="single" w:color="auto" w:sz="4" w:space="0"/>
                  </w:tcBorders>
                  <w:noWrap w:val="0"/>
                  <w:vAlign w:val="center"/>
                </w:tcPr>
                <w:p w14:paraId="3FB932D8">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24小时平均</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7AD006F4">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80</w:t>
                  </w:r>
                </w:p>
              </w:tc>
              <w:tc>
                <w:tcPr>
                  <w:tcW w:w="1956" w:type="dxa"/>
                  <w:vMerge w:val="continue"/>
                  <w:tcBorders>
                    <w:left w:val="single" w:color="auto" w:sz="4" w:space="0"/>
                    <w:right w:val="single" w:color="auto" w:sz="4" w:space="0"/>
                  </w:tcBorders>
                  <w:noWrap w:val="0"/>
                  <w:vAlign w:val="center"/>
                </w:tcPr>
                <w:p w14:paraId="3882E0CB">
                  <w:pPr>
                    <w:widowControl/>
                    <w:jc w:val="left"/>
                    <w:rPr>
                      <w:rFonts w:hint="default" w:ascii="Times New Roman" w:hAnsi="Times New Roman" w:cs="Times New Roman"/>
                      <w:color w:val="auto"/>
                      <w:sz w:val="21"/>
                      <w:szCs w:val="21"/>
                    </w:rPr>
                  </w:pPr>
                </w:p>
              </w:tc>
            </w:tr>
            <w:tr w14:paraId="79DEC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14" w:hRule="atLeast"/>
              </w:trPr>
              <w:tc>
                <w:tcPr>
                  <w:tcW w:w="1763" w:type="dxa"/>
                  <w:vMerge w:val="continue"/>
                  <w:tcBorders>
                    <w:left w:val="single" w:color="auto" w:sz="4" w:space="0"/>
                    <w:bottom w:val="single" w:color="auto" w:sz="4" w:space="0"/>
                    <w:right w:val="single" w:color="auto" w:sz="4" w:space="0"/>
                  </w:tcBorders>
                  <w:noWrap w:val="0"/>
                  <w:vAlign w:val="center"/>
                </w:tcPr>
                <w:p w14:paraId="614A4876">
                  <w:pPr>
                    <w:widowControl/>
                    <w:jc w:val="left"/>
                    <w:rPr>
                      <w:rFonts w:hint="default" w:ascii="Times New Roman" w:hAnsi="Times New Roman" w:cs="Times New Roman"/>
                      <w:color w:val="auto"/>
                      <w:sz w:val="21"/>
                      <w:szCs w:val="21"/>
                    </w:rPr>
                  </w:pPr>
                </w:p>
              </w:tc>
              <w:tc>
                <w:tcPr>
                  <w:tcW w:w="2290" w:type="dxa"/>
                  <w:tcBorders>
                    <w:top w:val="single" w:color="auto" w:sz="4" w:space="0"/>
                    <w:left w:val="single" w:color="auto" w:sz="4" w:space="0"/>
                    <w:bottom w:val="single" w:color="auto" w:sz="4" w:space="0"/>
                    <w:right w:val="single" w:color="auto" w:sz="4" w:space="0"/>
                  </w:tcBorders>
                  <w:noWrap w:val="0"/>
                  <w:vAlign w:val="center"/>
                </w:tcPr>
                <w:p w14:paraId="248BB404">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1小时平均</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39C16B17">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c>
                <w:tcPr>
                  <w:tcW w:w="1956" w:type="dxa"/>
                  <w:vMerge w:val="continue"/>
                  <w:tcBorders>
                    <w:left w:val="single" w:color="auto" w:sz="4" w:space="0"/>
                    <w:right w:val="single" w:color="auto" w:sz="4" w:space="0"/>
                  </w:tcBorders>
                  <w:noWrap w:val="0"/>
                  <w:vAlign w:val="center"/>
                </w:tcPr>
                <w:p w14:paraId="65C5BA53">
                  <w:pPr>
                    <w:widowControl/>
                    <w:jc w:val="left"/>
                    <w:rPr>
                      <w:rFonts w:hint="default" w:ascii="Times New Roman" w:hAnsi="Times New Roman" w:cs="Times New Roman"/>
                      <w:color w:val="auto"/>
                      <w:sz w:val="21"/>
                      <w:szCs w:val="21"/>
                    </w:rPr>
                  </w:pPr>
                </w:p>
              </w:tc>
            </w:tr>
            <w:tr w14:paraId="4FD15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1763" w:type="dxa"/>
                  <w:vMerge w:val="restart"/>
                  <w:tcBorders>
                    <w:top w:val="single" w:color="auto" w:sz="4" w:space="0"/>
                    <w:left w:val="single" w:color="auto" w:sz="4" w:space="0"/>
                    <w:bottom w:val="single" w:color="auto" w:sz="4" w:space="0"/>
                    <w:right w:val="single" w:color="auto" w:sz="4" w:space="0"/>
                  </w:tcBorders>
                  <w:noWrap w:val="0"/>
                  <w:vAlign w:val="center"/>
                </w:tcPr>
                <w:p w14:paraId="40895B10">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w:t>
                  </w:r>
                </w:p>
              </w:tc>
              <w:tc>
                <w:tcPr>
                  <w:tcW w:w="2290" w:type="dxa"/>
                  <w:tcBorders>
                    <w:top w:val="single" w:color="auto" w:sz="4" w:space="0"/>
                    <w:left w:val="single" w:color="auto" w:sz="4" w:space="0"/>
                    <w:bottom w:val="single" w:color="auto" w:sz="4" w:space="0"/>
                    <w:right w:val="single" w:color="auto" w:sz="4" w:space="0"/>
                  </w:tcBorders>
                  <w:noWrap w:val="0"/>
                  <w:vAlign w:val="center"/>
                </w:tcPr>
                <w:p w14:paraId="7B5BFE98">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24小时平均</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33631A91">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4mg/m³</w:t>
                  </w:r>
                </w:p>
              </w:tc>
              <w:tc>
                <w:tcPr>
                  <w:tcW w:w="1956" w:type="dxa"/>
                  <w:vMerge w:val="continue"/>
                  <w:tcBorders>
                    <w:left w:val="single" w:color="auto" w:sz="4" w:space="0"/>
                    <w:right w:val="single" w:color="auto" w:sz="4" w:space="0"/>
                  </w:tcBorders>
                  <w:noWrap w:val="0"/>
                  <w:vAlign w:val="center"/>
                </w:tcPr>
                <w:p w14:paraId="427B0948">
                  <w:pPr>
                    <w:widowControl/>
                    <w:jc w:val="left"/>
                    <w:rPr>
                      <w:rFonts w:hint="default" w:ascii="Times New Roman" w:hAnsi="Times New Roman" w:cs="Times New Roman"/>
                      <w:color w:val="auto"/>
                      <w:sz w:val="21"/>
                      <w:szCs w:val="21"/>
                    </w:rPr>
                  </w:pPr>
                </w:p>
              </w:tc>
            </w:tr>
            <w:tr w14:paraId="7069C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1763" w:type="dxa"/>
                  <w:vMerge w:val="continue"/>
                  <w:tcBorders>
                    <w:top w:val="single" w:color="auto" w:sz="4" w:space="0"/>
                    <w:left w:val="single" w:color="auto" w:sz="4" w:space="0"/>
                    <w:bottom w:val="single" w:color="auto" w:sz="4" w:space="0"/>
                    <w:right w:val="single" w:color="auto" w:sz="4" w:space="0"/>
                  </w:tcBorders>
                  <w:noWrap w:val="0"/>
                  <w:vAlign w:val="center"/>
                </w:tcPr>
                <w:p w14:paraId="78444C05">
                  <w:pPr>
                    <w:widowControl/>
                    <w:jc w:val="left"/>
                    <w:rPr>
                      <w:rFonts w:hint="default" w:ascii="Times New Roman" w:hAnsi="Times New Roman" w:cs="Times New Roman"/>
                      <w:color w:val="auto"/>
                      <w:sz w:val="21"/>
                      <w:szCs w:val="21"/>
                    </w:rPr>
                  </w:pPr>
                </w:p>
              </w:tc>
              <w:tc>
                <w:tcPr>
                  <w:tcW w:w="2290" w:type="dxa"/>
                  <w:tcBorders>
                    <w:top w:val="single" w:color="auto" w:sz="4" w:space="0"/>
                    <w:left w:val="single" w:color="auto" w:sz="4" w:space="0"/>
                    <w:bottom w:val="single" w:color="auto" w:sz="4" w:space="0"/>
                    <w:right w:val="single" w:color="auto" w:sz="4" w:space="0"/>
                  </w:tcBorders>
                  <w:noWrap w:val="0"/>
                  <w:vAlign w:val="center"/>
                </w:tcPr>
                <w:p w14:paraId="4231BC0C">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1小时平均</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428BC517">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10mg/m³</w:t>
                  </w:r>
                </w:p>
              </w:tc>
              <w:tc>
                <w:tcPr>
                  <w:tcW w:w="1956" w:type="dxa"/>
                  <w:vMerge w:val="continue"/>
                  <w:tcBorders>
                    <w:left w:val="single" w:color="auto" w:sz="4" w:space="0"/>
                    <w:right w:val="single" w:color="auto" w:sz="4" w:space="0"/>
                  </w:tcBorders>
                  <w:noWrap w:val="0"/>
                  <w:vAlign w:val="center"/>
                </w:tcPr>
                <w:p w14:paraId="18D6FD45">
                  <w:pPr>
                    <w:widowControl/>
                    <w:jc w:val="left"/>
                    <w:rPr>
                      <w:rFonts w:hint="default" w:ascii="Times New Roman" w:hAnsi="Times New Roman" w:cs="Times New Roman"/>
                      <w:color w:val="auto"/>
                      <w:sz w:val="21"/>
                      <w:szCs w:val="21"/>
                    </w:rPr>
                  </w:pPr>
                </w:p>
              </w:tc>
            </w:tr>
            <w:tr w14:paraId="1C4B3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1763" w:type="dxa"/>
                  <w:vMerge w:val="restart"/>
                  <w:tcBorders>
                    <w:top w:val="single" w:color="auto" w:sz="4" w:space="0"/>
                    <w:left w:val="single" w:color="auto" w:sz="4" w:space="0"/>
                    <w:bottom w:val="single" w:color="auto" w:sz="4" w:space="0"/>
                    <w:right w:val="single" w:color="auto" w:sz="4" w:space="0"/>
                  </w:tcBorders>
                  <w:noWrap w:val="0"/>
                  <w:vAlign w:val="center"/>
                </w:tcPr>
                <w:p w14:paraId="5AB6AB3C">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3</w:t>
                  </w:r>
                </w:p>
              </w:tc>
              <w:tc>
                <w:tcPr>
                  <w:tcW w:w="2290" w:type="dxa"/>
                  <w:tcBorders>
                    <w:top w:val="single" w:color="auto" w:sz="4" w:space="0"/>
                    <w:left w:val="single" w:color="auto" w:sz="4" w:space="0"/>
                    <w:bottom w:val="single" w:color="auto" w:sz="4" w:space="0"/>
                    <w:right w:val="single" w:color="auto" w:sz="4" w:space="0"/>
                  </w:tcBorders>
                  <w:noWrap w:val="0"/>
                  <w:vAlign w:val="center"/>
                </w:tcPr>
                <w:p w14:paraId="1C90B5FC">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日最大8小时平均</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5F4B02F3">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160</w:t>
                  </w:r>
                </w:p>
              </w:tc>
              <w:tc>
                <w:tcPr>
                  <w:tcW w:w="1956" w:type="dxa"/>
                  <w:vMerge w:val="continue"/>
                  <w:tcBorders>
                    <w:left w:val="single" w:color="auto" w:sz="4" w:space="0"/>
                    <w:right w:val="single" w:color="auto" w:sz="4" w:space="0"/>
                  </w:tcBorders>
                  <w:noWrap w:val="0"/>
                  <w:vAlign w:val="center"/>
                </w:tcPr>
                <w:p w14:paraId="5A313CBF">
                  <w:pPr>
                    <w:widowControl/>
                    <w:jc w:val="left"/>
                    <w:rPr>
                      <w:rFonts w:hint="default" w:ascii="Times New Roman" w:hAnsi="Times New Roman" w:cs="Times New Roman"/>
                      <w:color w:val="auto"/>
                      <w:sz w:val="21"/>
                      <w:szCs w:val="21"/>
                    </w:rPr>
                  </w:pPr>
                </w:p>
              </w:tc>
            </w:tr>
            <w:tr w14:paraId="3ED5A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1763" w:type="dxa"/>
                  <w:vMerge w:val="continue"/>
                  <w:tcBorders>
                    <w:top w:val="single" w:color="auto" w:sz="4" w:space="0"/>
                    <w:left w:val="single" w:color="auto" w:sz="4" w:space="0"/>
                    <w:bottom w:val="single" w:color="auto" w:sz="4" w:space="0"/>
                    <w:right w:val="single" w:color="auto" w:sz="4" w:space="0"/>
                  </w:tcBorders>
                  <w:noWrap w:val="0"/>
                  <w:vAlign w:val="center"/>
                </w:tcPr>
                <w:p w14:paraId="6E7D1093">
                  <w:pPr>
                    <w:widowControl/>
                    <w:jc w:val="left"/>
                    <w:rPr>
                      <w:rFonts w:hint="default" w:ascii="Times New Roman" w:hAnsi="Times New Roman" w:cs="Times New Roman"/>
                      <w:color w:val="auto"/>
                      <w:sz w:val="21"/>
                      <w:szCs w:val="21"/>
                    </w:rPr>
                  </w:pPr>
                </w:p>
              </w:tc>
              <w:tc>
                <w:tcPr>
                  <w:tcW w:w="2290" w:type="dxa"/>
                  <w:tcBorders>
                    <w:top w:val="single" w:color="auto" w:sz="4" w:space="0"/>
                    <w:left w:val="single" w:color="auto" w:sz="4" w:space="0"/>
                    <w:bottom w:val="single" w:color="auto" w:sz="4" w:space="0"/>
                    <w:right w:val="single" w:color="auto" w:sz="4" w:space="0"/>
                  </w:tcBorders>
                  <w:noWrap w:val="0"/>
                  <w:vAlign w:val="center"/>
                </w:tcPr>
                <w:p w14:paraId="24EBCF3B">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1小时平均</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3F15067D">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c>
                <w:tcPr>
                  <w:tcW w:w="1956" w:type="dxa"/>
                  <w:vMerge w:val="continue"/>
                  <w:tcBorders>
                    <w:left w:val="single" w:color="auto" w:sz="4" w:space="0"/>
                    <w:right w:val="single" w:color="auto" w:sz="4" w:space="0"/>
                  </w:tcBorders>
                  <w:noWrap w:val="0"/>
                  <w:vAlign w:val="center"/>
                </w:tcPr>
                <w:p w14:paraId="103AF3AE">
                  <w:pPr>
                    <w:widowControl/>
                    <w:jc w:val="left"/>
                    <w:rPr>
                      <w:rFonts w:hint="default" w:ascii="Times New Roman" w:hAnsi="Times New Roman" w:cs="Times New Roman"/>
                      <w:color w:val="auto"/>
                      <w:sz w:val="21"/>
                      <w:szCs w:val="21"/>
                    </w:rPr>
                  </w:pPr>
                </w:p>
              </w:tc>
            </w:tr>
            <w:tr w14:paraId="6B8A0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14" w:hRule="atLeast"/>
              </w:trPr>
              <w:tc>
                <w:tcPr>
                  <w:tcW w:w="1763" w:type="dxa"/>
                  <w:vMerge w:val="restart"/>
                  <w:tcBorders>
                    <w:top w:val="single" w:color="auto" w:sz="4" w:space="0"/>
                    <w:left w:val="single" w:color="auto" w:sz="4" w:space="0"/>
                    <w:bottom w:val="single" w:color="auto" w:sz="4" w:space="0"/>
                    <w:right w:val="single" w:color="auto" w:sz="4" w:space="0"/>
                  </w:tcBorders>
                  <w:noWrap w:val="0"/>
                  <w:vAlign w:val="center"/>
                </w:tcPr>
                <w:p w14:paraId="420D3205">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10</w:t>
                  </w:r>
                </w:p>
              </w:tc>
              <w:tc>
                <w:tcPr>
                  <w:tcW w:w="2290" w:type="dxa"/>
                  <w:tcBorders>
                    <w:top w:val="single" w:color="auto" w:sz="4" w:space="0"/>
                    <w:left w:val="single" w:color="auto" w:sz="4" w:space="0"/>
                    <w:bottom w:val="single" w:color="auto" w:sz="4" w:space="0"/>
                    <w:right w:val="single" w:color="auto" w:sz="4" w:space="0"/>
                  </w:tcBorders>
                  <w:noWrap w:val="0"/>
                  <w:vAlign w:val="center"/>
                </w:tcPr>
                <w:p w14:paraId="3898DC22">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年平均</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2C9D0A0E">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w:t>
                  </w:r>
                </w:p>
              </w:tc>
              <w:tc>
                <w:tcPr>
                  <w:tcW w:w="1956" w:type="dxa"/>
                  <w:vMerge w:val="continue"/>
                  <w:tcBorders>
                    <w:left w:val="single" w:color="auto" w:sz="4" w:space="0"/>
                    <w:right w:val="single" w:color="auto" w:sz="4" w:space="0"/>
                  </w:tcBorders>
                  <w:noWrap w:val="0"/>
                  <w:vAlign w:val="center"/>
                </w:tcPr>
                <w:p w14:paraId="45491691">
                  <w:pPr>
                    <w:widowControl/>
                    <w:jc w:val="left"/>
                    <w:rPr>
                      <w:rFonts w:hint="default" w:ascii="Times New Roman" w:hAnsi="Times New Roman" w:cs="Times New Roman"/>
                      <w:color w:val="auto"/>
                      <w:sz w:val="21"/>
                      <w:szCs w:val="21"/>
                    </w:rPr>
                  </w:pPr>
                </w:p>
              </w:tc>
            </w:tr>
            <w:tr w14:paraId="6E068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14" w:hRule="atLeast"/>
              </w:trPr>
              <w:tc>
                <w:tcPr>
                  <w:tcW w:w="1763" w:type="dxa"/>
                  <w:vMerge w:val="continue"/>
                  <w:tcBorders>
                    <w:top w:val="single" w:color="auto" w:sz="4" w:space="0"/>
                    <w:left w:val="single" w:color="auto" w:sz="4" w:space="0"/>
                    <w:bottom w:val="single" w:color="auto" w:sz="4" w:space="0"/>
                    <w:right w:val="single" w:color="auto" w:sz="4" w:space="0"/>
                  </w:tcBorders>
                  <w:noWrap w:val="0"/>
                  <w:vAlign w:val="center"/>
                </w:tcPr>
                <w:p w14:paraId="20B7DB22">
                  <w:pPr>
                    <w:widowControl/>
                    <w:jc w:val="left"/>
                    <w:rPr>
                      <w:rFonts w:hint="default" w:ascii="Times New Roman" w:hAnsi="Times New Roman" w:cs="Times New Roman"/>
                      <w:color w:val="auto"/>
                      <w:sz w:val="21"/>
                      <w:szCs w:val="21"/>
                    </w:rPr>
                  </w:pPr>
                </w:p>
              </w:tc>
              <w:tc>
                <w:tcPr>
                  <w:tcW w:w="2290" w:type="dxa"/>
                  <w:tcBorders>
                    <w:top w:val="single" w:color="auto" w:sz="4" w:space="0"/>
                    <w:left w:val="single" w:color="auto" w:sz="4" w:space="0"/>
                    <w:bottom w:val="single" w:color="auto" w:sz="4" w:space="0"/>
                    <w:right w:val="single" w:color="auto" w:sz="4" w:space="0"/>
                  </w:tcBorders>
                  <w:noWrap w:val="0"/>
                  <w:vAlign w:val="center"/>
                </w:tcPr>
                <w:p w14:paraId="7962B805">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24小时平均</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184A2F16">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150</w:t>
                  </w:r>
                </w:p>
              </w:tc>
              <w:tc>
                <w:tcPr>
                  <w:tcW w:w="1956" w:type="dxa"/>
                  <w:vMerge w:val="continue"/>
                  <w:tcBorders>
                    <w:left w:val="single" w:color="auto" w:sz="4" w:space="0"/>
                    <w:right w:val="single" w:color="auto" w:sz="4" w:space="0"/>
                  </w:tcBorders>
                  <w:noWrap w:val="0"/>
                  <w:vAlign w:val="center"/>
                </w:tcPr>
                <w:p w14:paraId="598727B1">
                  <w:pPr>
                    <w:widowControl/>
                    <w:jc w:val="left"/>
                    <w:rPr>
                      <w:rFonts w:hint="default" w:ascii="Times New Roman" w:hAnsi="Times New Roman" w:cs="Times New Roman"/>
                      <w:color w:val="auto"/>
                      <w:sz w:val="21"/>
                      <w:szCs w:val="21"/>
                    </w:rPr>
                  </w:pPr>
                </w:p>
              </w:tc>
            </w:tr>
            <w:tr w14:paraId="303C5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14" w:hRule="atLeast"/>
              </w:trPr>
              <w:tc>
                <w:tcPr>
                  <w:tcW w:w="1763" w:type="dxa"/>
                  <w:vMerge w:val="restart"/>
                  <w:tcBorders>
                    <w:top w:val="single" w:color="auto" w:sz="4" w:space="0"/>
                    <w:left w:val="single" w:color="auto" w:sz="4" w:space="0"/>
                    <w:bottom w:val="single" w:color="auto" w:sz="4" w:space="0"/>
                    <w:right w:val="single" w:color="auto" w:sz="4" w:space="0"/>
                  </w:tcBorders>
                  <w:noWrap w:val="0"/>
                  <w:vAlign w:val="center"/>
                </w:tcPr>
                <w:p w14:paraId="5F526883">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2.5</w:t>
                  </w:r>
                </w:p>
              </w:tc>
              <w:tc>
                <w:tcPr>
                  <w:tcW w:w="2290" w:type="dxa"/>
                  <w:tcBorders>
                    <w:top w:val="single" w:color="auto" w:sz="4" w:space="0"/>
                    <w:left w:val="single" w:color="auto" w:sz="4" w:space="0"/>
                    <w:bottom w:val="single" w:color="auto" w:sz="4" w:space="0"/>
                    <w:right w:val="single" w:color="auto" w:sz="4" w:space="0"/>
                  </w:tcBorders>
                  <w:noWrap w:val="0"/>
                  <w:vAlign w:val="center"/>
                </w:tcPr>
                <w:p w14:paraId="73550F7A">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年平均</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115D0201">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35</w:t>
                  </w:r>
                </w:p>
              </w:tc>
              <w:tc>
                <w:tcPr>
                  <w:tcW w:w="1956" w:type="dxa"/>
                  <w:vMerge w:val="continue"/>
                  <w:tcBorders>
                    <w:left w:val="single" w:color="auto" w:sz="4" w:space="0"/>
                    <w:right w:val="single" w:color="auto" w:sz="4" w:space="0"/>
                  </w:tcBorders>
                  <w:noWrap w:val="0"/>
                  <w:vAlign w:val="center"/>
                </w:tcPr>
                <w:p w14:paraId="4F84722A">
                  <w:pPr>
                    <w:widowControl/>
                    <w:jc w:val="left"/>
                    <w:rPr>
                      <w:rFonts w:hint="default" w:ascii="Times New Roman" w:hAnsi="Times New Roman" w:cs="Times New Roman"/>
                      <w:color w:val="auto"/>
                      <w:sz w:val="21"/>
                      <w:szCs w:val="21"/>
                    </w:rPr>
                  </w:pPr>
                </w:p>
              </w:tc>
            </w:tr>
            <w:tr w14:paraId="5E650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1763" w:type="dxa"/>
                  <w:vMerge w:val="continue"/>
                  <w:tcBorders>
                    <w:top w:val="single" w:color="auto" w:sz="4" w:space="0"/>
                    <w:left w:val="single" w:color="auto" w:sz="4" w:space="0"/>
                    <w:bottom w:val="single" w:color="auto" w:sz="4" w:space="0"/>
                    <w:right w:val="single" w:color="auto" w:sz="4" w:space="0"/>
                  </w:tcBorders>
                  <w:noWrap w:val="0"/>
                  <w:vAlign w:val="center"/>
                </w:tcPr>
                <w:p w14:paraId="6C8E9A79">
                  <w:pPr>
                    <w:widowControl/>
                    <w:jc w:val="left"/>
                    <w:rPr>
                      <w:rFonts w:hint="default" w:ascii="Times New Roman" w:hAnsi="Times New Roman" w:cs="Times New Roman"/>
                      <w:color w:val="auto"/>
                      <w:sz w:val="21"/>
                      <w:szCs w:val="21"/>
                    </w:rPr>
                  </w:pPr>
                </w:p>
              </w:tc>
              <w:tc>
                <w:tcPr>
                  <w:tcW w:w="2290" w:type="dxa"/>
                  <w:tcBorders>
                    <w:top w:val="single" w:color="auto" w:sz="4" w:space="0"/>
                    <w:left w:val="single" w:color="auto" w:sz="4" w:space="0"/>
                    <w:bottom w:val="single" w:color="auto" w:sz="4" w:space="0"/>
                    <w:right w:val="single" w:color="auto" w:sz="4" w:space="0"/>
                  </w:tcBorders>
                  <w:noWrap w:val="0"/>
                  <w:vAlign w:val="center"/>
                </w:tcPr>
                <w:p w14:paraId="1B182039">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24小时平均</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33DC4457">
                  <w:pPr>
                    <w:pStyle w:val="15"/>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75</w:t>
                  </w:r>
                </w:p>
              </w:tc>
              <w:tc>
                <w:tcPr>
                  <w:tcW w:w="1956" w:type="dxa"/>
                  <w:vMerge w:val="continue"/>
                  <w:tcBorders>
                    <w:left w:val="single" w:color="auto" w:sz="4" w:space="0"/>
                    <w:right w:val="single" w:color="auto" w:sz="4" w:space="0"/>
                  </w:tcBorders>
                  <w:noWrap w:val="0"/>
                  <w:vAlign w:val="center"/>
                </w:tcPr>
                <w:p w14:paraId="596A5F14">
                  <w:pPr>
                    <w:widowControl/>
                    <w:jc w:val="left"/>
                    <w:rPr>
                      <w:rFonts w:hint="default" w:ascii="Times New Roman" w:hAnsi="Times New Roman" w:cs="Times New Roman"/>
                      <w:color w:val="auto"/>
                      <w:sz w:val="21"/>
                      <w:szCs w:val="21"/>
                    </w:rPr>
                  </w:pPr>
                </w:p>
              </w:tc>
            </w:tr>
            <w:tr w14:paraId="566A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1763" w:type="dxa"/>
                  <w:vMerge w:val="restart"/>
                  <w:tcBorders>
                    <w:top w:val="single" w:color="auto" w:sz="4" w:space="0"/>
                    <w:left w:val="single" w:color="auto" w:sz="4" w:space="0"/>
                    <w:right w:val="single" w:color="auto" w:sz="4" w:space="0"/>
                  </w:tcBorders>
                  <w:noWrap w:val="0"/>
                  <w:vAlign w:val="center"/>
                </w:tcPr>
                <w:p w14:paraId="2DD93102">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highlight w:val="none"/>
                    </w:rPr>
                    <w:t>TSP</w:t>
                  </w:r>
                </w:p>
              </w:tc>
              <w:tc>
                <w:tcPr>
                  <w:tcW w:w="2290" w:type="dxa"/>
                  <w:tcBorders>
                    <w:top w:val="single" w:color="auto" w:sz="4" w:space="0"/>
                    <w:left w:val="single" w:color="auto" w:sz="4" w:space="0"/>
                    <w:bottom w:val="single" w:color="auto" w:sz="4" w:space="0"/>
                    <w:right w:val="single" w:color="auto" w:sz="4" w:space="0"/>
                  </w:tcBorders>
                  <w:noWrap w:val="0"/>
                  <w:vAlign w:val="center"/>
                </w:tcPr>
                <w:p w14:paraId="3A9CE0FA">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24小时平均</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6A22A83A">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300</w:t>
                  </w:r>
                </w:p>
              </w:tc>
              <w:tc>
                <w:tcPr>
                  <w:tcW w:w="1956" w:type="dxa"/>
                  <w:vMerge w:val="continue"/>
                  <w:tcBorders>
                    <w:left w:val="single" w:color="auto" w:sz="4" w:space="0"/>
                    <w:right w:val="single" w:color="auto" w:sz="4" w:space="0"/>
                  </w:tcBorders>
                  <w:noWrap w:val="0"/>
                  <w:vAlign w:val="center"/>
                </w:tcPr>
                <w:p w14:paraId="57E83C78">
                  <w:pPr>
                    <w:widowControl/>
                    <w:jc w:val="left"/>
                    <w:rPr>
                      <w:rFonts w:hint="default" w:ascii="Times New Roman" w:hAnsi="Times New Roman" w:cs="Times New Roman"/>
                      <w:color w:val="auto"/>
                      <w:sz w:val="21"/>
                      <w:szCs w:val="21"/>
                    </w:rPr>
                  </w:pPr>
                </w:p>
              </w:tc>
            </w:tr>
            <w:tr w14:paraId="0ABD5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1763" w:type="dxa"/>
                  <w:vMerge w:val="continue"/>
                  <w:tcBorders>
                    <w:left w:val="single" w:color="auto" w:sz="4" w:space="0"/>
                    <w:bottom w:val="single" w:color="auto" w:sz="4" w:space="0"/>
                    <w:right w:val="single" w:color="auto" w:sz="4" w:space="0"/>
                  </w:tcBorders>
                  <w:noWrap w:val="0"/>
                  <w:vAlign w:val="center"/>
                </w:tcPr>
                <w:p w14:paraId="74EED565">
                  <w:pPr>
                    <w:spacing w:line="280" w:lineRule="exact"/>
                    <w:jc w:val="center"/>
                    <w:rPr>
                      <w:rFonts w:hint="default" w:ascii="Times New Roman" w:hAnsi="Times New Roman" w:cs="Times New Roman"/>
                      <w:color w:val="auto"/>
                      <w:sz w:val="21"/>
                      <w:szCs w:val="21"/>
                    </w:rPr>
                  </w:pPr>
                </w:p>
              </w:tc>
              <w:tc>
                <w:tcPr>
                  <w:tcW w:w="2290" w:type="dxa"/>
                  <w:tcBorders>
                    <w:top w:val="single" w:color="auto" w:sz="4" w:space="0"/>
                    <w:left w:val="single" w:color="auto" w:sz="4" w:space="0"/>
                    <w:bottom w:val="single" w:color="auto" w:sz="4" w:space="0"/>
                    <w:right w:val="single" w:color="auto" w:sz="4" w:space="0"/>
                  </w:tcBorders>
                  <w:noWrap w:val="0"/>
                  <w:vAlign w:val="center"/>
                </w:tcPr>
                <w:p w14:paraId="286CD286">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年平均</w:t>
                  </w:r>
                </w:p>
              </w:tc>
              <w:tc>
                <w:tcPr>
                  <w:tcW w:w="2010" w:type="dxa"/>
                  <w:tcBorders>
                    <w:top w:val="single" w:color="auto" w:sz="4" w:space="0"/>
                    <w:left w:val="single" w:color="auto" w:sz="4" w:space="0"/>
                    <w:bottom w:val="single" w:color="auto" w:sz="4" w:space="0"/>
                    <w:right w:val="single" w:color="auto" w:sz="4" w:space="0"/>
                  </w:tcBorders>
                  <w:noWrap w:val="0"/>
                  <w:vAlign w:val="center"/>
                </w:tcPr>
                <w:p w14:paraId="59B7280C">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200</w:t>
                  </w:r>
                </w:p>
              </w:tc>
              <w:tc>
                <w:tcPr>
                  <w:tcW w:w="1956" w:type="dxa"/>
                  <w:vMerge w:val="continue"/>
                  <w:tcBorders>
                    <w:left w:val="single" w:color="auto" w:sz="4" w:space="0"/>
                    <w:bottom w:val="single" w:color="auto" w:sz="4" w:space="0"/>
                    <w:right w:val="single" w:color="auto" w:sz="4" w:space="0"/>
                  </w:tcBorders>
                  <w:noWrap w:val="0"/>
                  <w:vAlign w:val="center"/>
                </w:tcPr>
                <w:p w14:paraId="48CE629B">
                  <w:pPr>
                    <w:widowControl/>
                    <w:jc w:val="left"/>
                    <w:rPr>
                      <w:rFonts w:hint="default" w:ascii="Times New Roman" w:hAnsi="Times New Roman" w:cs="Times New Roman"/>
                      <w:color w:val="auto"/>
                      <w:sz w:val="21"/>
                      <w:szCs w:val="21"/>
                    </w:rPr>
                  </w:pPr>
                </w:p>
              </w:tc>
            </w:tr>
          </w:tbl>
          <w:p w14:paraId="59E578B0">
            <w:pPr>
              <w:spacing w:line="360" w:lineRule="auto"/>
              <w:ind w:firstLine="482"/>
              <w:rPr>
                <w:rFonts w:hint="default" w:ascii="Times New Roman" w:hAnsi="Times New Roman" w:cs="Times New Roman"/>
                <w:b/>
                <w:bCs/>
                <w:color w:val="auto"/>
                <w:sz w:val="32"/>
                <w:szCs w:val="22"/>
              </w:rPr>
            </w:pP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2</w:t>
            </w: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rPr>
              <w:t>地表水环境质量标准</w:t>
            </w:r>
          </w:p>
          <w:p w14:paraId="66756D05">
            <w:pPr>
              <w:spacing w:line="360" w:lineRule="auto"/>
              <w:ind w:firstLine="482"/>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建设项目所在区域地表水为牛山河，牛山河水质评价执行《地表水环境质量标准》（GB3838-2002）中</w:t>
            </w:r>
            <w:r>
              <w:rPr>
                <w:rFonts w:hint="eastAsia" w:ascii="Times New Roman" w:hAnsi="Times New Roman" w:cs="Times New Roman"/>
                <w:color w:val="auto"/>
                <w:sz w:val="24"/>
                <w:szCs w:val="32"/>
                <w:lang w:eastAsia="zh-CN"/>
              </w:rPr>
              <w:t>Ⅱ类</w:t>
            </w:r>
            <w:r>
              <w:rPr>
                <w:rFonts w:hint="default" w:ascii="Times New Roman" w:hAnsi="Times New Roman" w:cs="Times New Roman"/>
                <w:color w:val="auto"/>
                <w:sz w:val="24"/>
                <w:szCs w:val="32"/>
              </w:rPr>
              <w:t>标准。</w:t>
            </w:r>
          </w:p>
          <w:p w14:paraId="600B26A1">
            <w:pPr>
              <w:jc w:val="center"/>
              <w:rPr>
                <w:rFonts w:hint="default" w:ascii="Times New Roman" w:hAnsi="Times New Roman" w:cs="Times New Roman"/>
                <w:b/>
                <w:bCs/>
                <w:color w:val="auto"/>
              </w:rPr>
            </w:pPr>
            <w:r>
              <w:rPr>
                <w:rFonts w:hint="default" w:ascii="Times New Roman" w:hAnsi="Times New Roman" w:cs="Times New Roman"/>
                <w:b/>
                <w:bCs/>
                <w:color w:val="auto"/>
              </w:rPr>
              <w:t>表3-</w:t>
            </w:r>
            <w:r>
              <w:rPr>
                <w:rFonts w:hint="eastAsia" w:ascii="Times New Roman" w:hAnsi="Times New Roman" w:cs="Times New Roman"/>
                <w:b/>
                <w:bCs/>
                <w:color w:val="auto"/>
                <w:lang w:val="en-US" w:eastAsia="zh-CN"/>
              </w:rPr>
              <w:t>8</w:t>
            </w:r>
            <w:r>
              <w:rPr>
                <w:rFonts w:hint="default" w:ascii="Times New Roman" w:hAnsi="Times New Roman" w:cs="Times New Roman"/>
                <w:b/>
                <w:bCs/>
                <w:color w:val="auto"/>
                <w:lang w:val="en-US" w:eastAsia="zh-CN"/>
              </w:rPr>
              <w:t xml:space="preserve">  </w:t>
            </w:r>
            <w:r>
              <w:rPr>
                <w:rFonts w:hint="default" w:ascii="Times New Roman" w:hAnsi="Times New Roman" w:cs="Times New Roman"/>
                <w:b/>
                <w:bCs/>
                <w:color w:val="auto"/>
              </w:rPr>
              <w:t>地表水环境质量标准</w:t>
            </w:r>
            <w:r>
              <w:rPr>
                <w:rFonts w:hint="default" w:ascii="Times New Roman" w:hAnsi="Times New Roman" w:cs="Times New Roman"/>
                <w:color w:val="auto"/>
              </w:rPr>
              <w:t xml:space="preserve">  </w:t>
            </w:r>
            <w:r>
              <w:rPr>
                <w:rFonts w:hint="default" w:ascii="Times New Roman" w:hAnsi="Times New Roman" w:cs="Times New Roman"/>
                <w:b/>
                <w:bCs/>
                <w:color w:val="auto"/>
              </w:rPr>
              <w:t>单位：mg/L</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89"/>
              <w:gridCol w:w="820"/>
              <w:gridCol w:w="958"/>
              <w:gridCol w:w="865"/>
              <w:gridCol w:w="1015"/>
              <w:gridCol w:w="1004"/>
              <w:gridCol w:w="868"/>
            </w:tblGrid>
            <w:tr w14:paraId="5D14D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89" w:type="dxa"/>
                  <w:noWrap w:val="0"/>
                  <w:vAlign w:val="center"/>
                </w:tcPr>
                <w:p w14:paraId="78D0715F">
                  <w:pPr>
                    <w:spacing w:line="240" w:lineRule="auto"/>
                    <w:jc w:val="center"/>
                    <w:rPr>
                      <w:rFonts w:hint="default" w:ascii="Times New Roman" w:hAnsi="Times New Roman" w:cs="Times New Roman"/>
                      <w:b/>
                      <w:caps/>
                      <w:color w:val="auto"/>
                      <w:szCs w:val="21"/>
                    </w:rPr>
                  </w:pPr>
                  <w:r>
                    <w:rPr>
                      <w:rFonts w:hint="default" w:ascii="Times New Roman" w:hAnsi="Times New Roman" w:cs="Times New Roman"/>
                      <w:b/>
                      <w:caps/>
                      <w:color w:val="auto"/>
                      <w:szCs w:val="21"/>
                      <w:lang w:val="zh-CN"/>
                    </w:rPr>
                    <w:t>水质项目</w:t>
                  </w:r>
                </w:p>
              </w:tc>
              <w:tc>
                <w:tcPr>
                  <w:tcW w:w="820" w:type="dxa"/>
                  <w:noWrap w:val="0"/>
                  <w:vAlign w:val="center"/>
                </w:tcPr>
                <w:p w14:paraId="1B564ABC">
                  <w:pPr>
                    <w:spacing w:line="240" w:lineRule="auto"/>
                    <w:jc w:val="center"/>
                    <w:rPr>
                      <w:rFonts w:hint="default" w:ascii="Times New Roman" w:hAnsi="Times New Roman" w:cs="Times New Roman"/>
                      <w:b/>
                      <w:caps/>
                      <w:color w:val="auto"/>
                      <w:szCs w:val="21"/>
                    </w:rPr>
                  </w:pPr>
                  <w:r>
                    <w:rPr>
                      <w:rFonts w:hint="default" w:ascii="Times New Roman" w:hAnsi="Times New Roman" w:cs="Times New Roman"/>
                      <w:b/>
                      <w:caps/>
                      <w:color w:val="auto"/>
                      <w:szCs w:val="21"/>
                    </w:rPr>
                    <w:t>pH</w:t>
                  </w:r>
                </w:p>
              </w:tc>
              <w:tc>
                <w:tcPr>
                  <w:tcW w:w="958" w:type="dxa"/>
                  <w:noWrap w:val="0"/>
                  <w:vAlign w:val="center"/>
                </w:tcPr>
                <w:p w14:paraId="615E8B68">
                  <w:pPr>
                    <w:spacing w:line="240" w:lineRule="auto"/>
                    <w:jc w:val="center"/>
                    <w:rPr>
                      <w:rFonts w:hint="default" w:ascii="Times New Roman" w:hAnsi="Times New Roman" w:cs="Times New Roman"/>
                      <w:b/>
                      <w:caps/>
                      <w:color w:val="auto"/>
                      <w:szCs w:val="21"/>
                    </w:rPr>
                  </w:pPr>
                  <w:r>
                    <w:rPr>
                      <w:rFonts w:hint="default" w:ascii="Times New Roman" w:hAnsi="Times New Roman" w:cs="Times New Roman"/>
                      <w:b/>
                      <w:caps/>
                      <w:color w:val="auto"/>
                      <w:szCs w:val="21"/>
                      <w:lang w:val="zh-CN"/>
                    </w:rPr>
                    <w:t>NH</w:t>
                  </w:r>
                  <w:r>
                    <w:rPr>
                      <w:rFonts w:hint="default" w:ascii="Times New Roman" w:hAnsi="Times New Roman" w:cs="Times New Roman"/>
                      <w:b/>
                      <w:caps/>
                      <w:color w:val="auto"/>
                      <w:szCs w:val="21"/>
                      <w:vertAlign w:val="subscript"/>
                      <w:lang w:val="zh-CN"/>
                    </w:rPr>
                    <w:t>3</w:t>
                  </w:r>
                  <w:r>
                    <w:rPr>
                      <w:rFonts w:hint="default" w:ascii="Times New Roman" w:hAnsi="Times New Roman" w:cs="Times New Roman"/>
                      <w:b/>
                      <w:caps/>
                      <w:color w:val="auto"/>
                      <w:szCs w:val="21"/>
                      <w:lang w:val="zh-CN"/>
                    </w:rPr>
                    <w:t>-N</w:t>
                  </w:r>
                </w:p>
              </w:tc>
              <w:tc>
                <w:tcPr>
                  <w:tcW w:w="865" w:type="dxa"/>
                  <w:noWrap w:val="0"/>
                  <w:vAlign w:val="center"/>
                </w:tcPr>
                <w:p w14:paraId="6EEB2504">
                  <w:pPr>
                    <w:spacing w:line="240" w:lineRule="auto"/>
                    <w:jc w:val="center"/>
                    <w:rPr>
                      <w:rFonts w:hint="default" w:ascii="Times New Roman" w:hAnsi="Times New Roman" w:cs="Times New Roman"/>
                      <w:b/>
                      <w:caps/>
                      <w:color w:val="auto"/>
                      <w:szCs w:val="21"/>
                    </w:rPr>
                  </w:pPr>
                  <w:r>
                    <w:rPr>
                      <w:rFonts w:hint="default" w:ascii="Times New Roman" w:hAnsi="Times New Roman" w:cs="Times New Roman"/>
                      <w:b/>
                      <w:caps/>
                      <w:color w:val="auto"/>
                      <w:szCs w:val="21"/>
                    </w:rPr>
                    <w:t>COD</w:t>
                  </w:r>
                </w:p>
              </w:tc>
              <w:tc>
                <w:tcPr>
                  <w:tcW w:w="1015" w:type="dxa"/>
                  <w:noWrap w:val="0"/>
                  <w:vAlign w:val="center"/>
                </w:tcPr>
                <w:p w14:paraId="201A975D">
                  <w:pPr>
                    <w:spacing w:line="240" w:lineRule="auto"/>
                    <w:jc w:val="center"/>
                    <w:rPr>
                      <w:rFonts w:hint="default" w:ascii="Times New Roman" w:hAnsi="Times New Roman" w:cs="Times New Roman"/>
                      <w:b/>
                      <w:caps/>
                      <w:color w:val="auto"/>
                      <w:szCs w:val="21"/>
                    </w:rPr>
                  </w:pPr>
                  <w:r>
                    <w:rPr>
                      <w:rFonts w:hint="default" w:ascii="Times New Roman" w:hAnsi="Times New Roman" w:cs="Times New Roman"/>
                      <w:b/>
                      <w:caps/>
                      <w:color w:val="auto"/>
                      <w:szCs w:val="21"/>
                    </w:rPr>
                    <w:t>BOD</w:t>
                  </w:r>
                  <w:r>
                    <w:rPr>
                      <w:rFonts w:hint="default" w:ascii="Times New Roman" w:hAnsi="Times New Roman" w:cs="Times New Roman"/>
                      <w:b/>
                      <w:caps/>
                      <w:color w:val="auto"/>
                      <w:szCs w:val="21"/>
                      <w:vertAlign w:val="subscript"/>
                    </w:rPr>
                    <w:t>5</w:t>
                  </w:r>
                </w:p>
              </w:tc>
              <w:tc>
                <w:tcPr>
                  <w:tcW w:w="1004" w:type="dxa"/>
                  <w:noWrap w:val="0"/>
                  <w:vAlign w:val="center"/>
                </w:tcPr>
                <w:p w14:paraId="28A1CA4A">
                  <w:pPr>
                    <w:spacing w:line="240" w:lineRule="auto"/>
                    <w:jc w:val="center"/>
                    <w:rPr>
                      <w:rFonts w:hint="default" w:ascii="Times New Roman" w:hAnsi="Times New Roman" w:cs="Times New Roman"/>
                      <w:b/>
                      <w:caps/>
                      <w:color w:val="auto"/>
                      <w:szCs w:val="21"/>
                    </w:rPr>
                  </w:pPr>
                  <w:r>
                    <w:rPr>
                      <w:rFonts w:hint="default" w:ascii="Times New Roman" w:hAnsi="Times New Roman" w:cs="Times New Roman"/>
                      <w:b/>
                      <w:caps/>
                      <w:color w:val="auto"/>
                      <w:szCs w:val="21"/>
                    </w:rPr>
                    <w:t>TP</w:t>
                  </w:r>
                </w:p>
              </w:tc>
              <w:tc>
                <w:tcPr>
                  <w:tcW w:w="868" w:type="dxa"/>
                  <w:noWrap w:val="0"/>
                  <w:vAlign w:val="center"/>
                </w:tcPr>
                <w:p w14:paraId="0193CDF6">
                  <w:pPr>
                    <w:spacing w:line="240" w:lineRule="auto"/>
                    <w:jc w:val="center"/>
                    <w:rPr>
                      <w:rFonts w:hint="default" w:ascii="Times New Roman" w:hAnsi="Times New Roman" w:cs="Times New Roman"/>
                      <w:b/>
                      <w:caps/>
                      <w:color w:val="auto"/>
                      <w:szCs w:val="21"/>
                    </w:rPr>
                  </w:pPr>
                  <w:r>
                    <w:rPr>
                      <w:rFonts w:hint="default" w:ascii="Times New Roman" w:hAnsi="Times New Roman" w:cs="Times New Roman"/>
                      <w:b/>
                      <w:caps/>
                      <w:color w:val="auto"/>
                      <w:szCs w:val="21"/>
                      <w:lang w:val="en-US" w:eastAsia="zh-CN"/>
                    </w:rPr>
                    <w:t>TN</w:t>
                  </w:r>
                </w:p>
              </w:tc>
            </w:tr>
            <w:tr w14:paraId="00450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89" w:type="dxa"/>
                  <w:noWrap w:val="0"/>
                  <w:vAlign w:val="center"/>
                </w:tcPr>
                <w:p w14:paraId="33029585">
                  <w:pPr>
                    <w:spacing w:line="240" w:lineRule="auto"/>
                    <w:jc w:val="center"/>
                    <w:rPr>
                      <w:rFonts w:hint="default" w:ascii="Times New Roman" w:hAnsi="Times New Roman" w:cs="Times New Roman"/>
                      <w:caps/>
                      <w:color w:val="auto"/>
                      <w:szCs w:val="21"/>
                    </w:rPr>
                  </w:pPr>
                  <w:r>
                    <w:rPr>
                      <w:rFonts w:hint="default" w:ascii="Times New Roman" w:hAnsi="Times New Roman" w:cs="Times New Roman"/>
                      <w:caps/>
                      <w:color w:val="auto"/>
                      <w:szCs w:val="21"/>
                      <w:lang w:val="zh-CN"/>
                    </w:rPr>
                    <w:t>GB3838-2002</w:t>
                  </w:r>
                  <w:r>
                    <w:rPr>
                      <w:rFonts w:hint="default" w:ascii="Times New Roman" w:hAnsi="Times New Roman" w:cs="Times New Roman"/>
                      <w:caps/>
                      <w:color w:val="auto"/>
                      <w:szCs w:val="21"/>
                      <w:lang w:val="en-US" w:eastAsia="zh-CN"/>
                    </w:rPr>
                    <w:t xml:space="preserve">  </w:t>
                  </w:r>
                  <w:r>
                    <w:rPr>
                      <w:rFonts w:hint="eastAsia" w:ascii="Times New Roman" w:hAnsi="Times New Roman" w:cs="Times New Roman"/>
                      <w:caps/>
                      <w:color w:val="auto"/>
                      <w:szCs w:val="21"/>
                      <w:lang w:val="en-US" w:eastAsia="zh-CN"/>
                    </w:rPr>
                    <w:t>Ⅱ类</w:t>
                  </w:r>
                  <w:r>
                    <w:rPr>
                      <w:rFonts w:hint="default" w:ascii="Times New Roman" w:hAnsi="Times New Roman" w:cs="Times New Roman"/>
                      <w:caps/>
                      <w:color w:val="auto"/>
                      <w:szCs w:val="21"/>
                    </w:rPr>
                    <w:t>标准</w:t>
                  </w:r>
                </w:p>
              </w:tc>
              <w:tc>
                <w:tcPr>
                  <w:tcW w:w="820" w:type="dxa"/>
                  <w:noWrap w:val="0"/>
                  <w:vAlign w:val="center"/>
                </w:tcPr>
                <w:p w14:paraId="2E84A660">
                  <w:pPr>
                    <w:spacing w:line="240" w:lineRule="auto"/>
                    <w:jc w:val="center"/>
                    <w:rPr>
                      <w:rFonts w:hint="default" w:ascii="Times New Roman" w:hAnsi="Times New Roman" w:cs="Times New Roman"/>
                      <w:caps/>
                      <w:color w:val="auto"/>
                      <w:szCs w:val="21"/>
                    </w:rPr>
                  </w:pPr>
                  <w:r>
                    <w:rPr>
                      <w:rFonts w:hint="default" w:ascii="Times New Roman" w:hAnsi="Times New Roman" w:cs="Times New Roman"/>
                      <w:caps/>
                      <w:color w:val="auto"/>
                      <w:szCs w:val="21"/>
                    </w:rPr>
                    <w:t>6~9</w:t>
                  </w:r>
                </w:p>
              </w:tc>
              <w:tc>
                <w:tcPr>
                  <w:tcW w:w="958" w:type="dxa"/>
                  <w:noWrap w:val="0"/>
                  <w:vAlign w:val="center"/>
                </w:tcPr>
                <w:p w14:paraId="0010755B">
                  <w:pPr>
                    <w:spacing w:line="240" w:lineRule="auto"/>
                    <w:jc w:val="center"/>
                    <w:rPr>
                      <w:rFonts w:hint="default" w:ascii="Times New Roman" w:hAnsi="Times New Roman" w:cs="Times New Roman" w:eastAsiaTheme="minorEastAsia"/>
                      <w:caps/>
                      <w:color w:val="auto"/>
                      <w:szCs w:val="21"/>
                      <w:lang w:val="en-US" w:eastAsia="zh-CN"/>
                    </w:rPr>
                  </w:pPr>
                  <w:r>
                    <w:rPr>
                      <w:rFonts w:hint="default" w:ascii="Times New Roman" w:hAnsi="Times New Roman" w:cs="Times New Roman"/>
                      <w:caps/>
                      <w:color w:val="auto"/>
                      <w:szCs w:val="21"/>
                      <w:lang w:val="en-US" w:eastAsia="zh-CN"/>
                    </w:rPr>
                    <w:t>0.5</w:t>
                  </w:r>
                </w:p>
              </w:tc>
              <w:tc>
                <w:tcPr>
                  <w:tcW w:w="865" w:type="dxa"/>
                  <w:noWrap w:val="0"/>
                  <w:vAlign w:val="center"/>
                </w:tcPr>
                <w:p w14:paraId="746FA996">
                  <w:pPr>
                    <w:spacing w:line="240" w:lineRule="auto"/>
                    <w:jc w:val="center"/>
                    <w:rPr>
                      <w:rFonts w:hint="default" w:ascii="Times New Roman" w:hAnsi="Times New Roman" w:cs="Times New Roman" w:eastAsiaTheme="minorEastAsia"/>
                      <w:caps/>
                      <w:color w:val="auto"/>
                      <w:szCs w:val="21"/>
                      <w:lang w:val="en-US" w:eastAsia="zh-CN"/>
                    </w:rPr>
                  </w:pPr>
                  <w:r>
                    <w:rPr>
                      <w:rFonts w:hint="default" w:ascii="Times New Roman" w:hAnsi="Times New Roman" w:cs="Times New Roman"/>
                      <w:caps/>
                      <w:color w:val="auto"/>
                      <w:szCs w:val="21"/>
                      <w:lang w:val="en-US" w:eastAsia="zh-CN"/>
                    </w:rPr>
                    <w:t>15</w:t>
                  </w:r>
                </w:p>
              </w:tc>
              <w:tc>
                <w:tcPr>
                  <w:tcW w:w="1015" w:type="dxa"/>
                  <w:noWrap w:val="0"/>
                  <w:vAlign w:val="center"/>
                </w:tcPr>
                <w:p w14:paraId="30DC5643">
                  <w:pPr>
                    <w:spacing w:line="240" w:lineRule="auto"/>
                    <w:jc w:val="center"/>
                    <w:rPr>
                      <w:rFonts w:hint="default" w:ascii="Times New Roman" w:hAnsi="Times New Roman" w:cs="Times New Roman" w:eastAsiaTheme="minorEastAsia"/>
                      <w:caps/>
                      <w:color w:val="auto"/>
                      <w:szCs w:val="21"/>
                      <w:lang w:eastAsia="zh-CN"/>
                    </w:rPr>
                  </w:pPr>
                  <w:r>
                    <w:rPr>
                      <w:rFonts w:hint="default" w:ascii="Times New Roman" w:hAnsi="Times New Roman" w:cs="Times New Roman"/>
                      <w:caps/>
                      <w:color w:val="auto"/>
                      <w:szCs w:val="21"/>
                      <w:lang w:val="en-US" w:eastAsia="zh-CN"/>
                    </w:rPr>
                    <w:t>3</w:t>
                  </w:r>
                </w:p>
              </w:tc>
              <w:tc>
                <w:tcPr>
                  <w:tcW w:w="1004" w:type="dxa"/>
                  <w:noWrap w:val="0"/>
                  <w:vAlign w:val="center"/>
                </w:tcPr>
                <w:p w14:paraId="3FE0BC9D">
                  <w:pPr>
                    <w:spacing w:line="240" w:lineRule="auto"/>
                    <w:jc w:val="center"/>
                    <w:rPr>
                      <w:rFonts w:hint="default" w:ascii="Times New Roman" w:hAnsi="Times New Roman" w:cs="Times New Roman" w:eastAsiaTheme="minorEastAsia"/>
                      <w:caps/>
                      <w:color w:val="auto"/>
                      <w:szCs w:val="21"/>
                      <w:lang w:val="en-US" w:eastAsia="zh-CN"/>
                    </w:rPr>
                  </w:pPr>
                  <w:r>
                    <w:rPr>
                      <w:rFonts w:hint="default" w:ascii="Times New Roman" w:hAnsi="Times New Roman" w:cs="Times New Roman"/>
                      <w:caps/>
                      <w:color w:val="auto"/>
                      <w:szCs w:val="21"/>
                      <w:lang w:val="en-US" w:eastAsia="zh-CN"/>
                    </w:rPr>
                    <w:t>0.1</w:t>
                  </w:r>
                </w:p>
              </w:tc>
              <w:tc>
                <w:tcPr>
                  <w:tcW w:w="868" w:type="dxa"/>
                  <w:noWrap w:val="0"/>
                  <w:vAlign w:val="center"/>
                </w:tcPr>
                <w:p w14:paraId="254D57BC">
                  <w:pPr>
                    <w:spacing w:line="240" w:lineRule="auto"/>
                    <w:jc w:val="center"/>
                    <w:rPr>
                      <w:rFonts w:hint="default" w:ascii="Times New Roman" w:hAnsi="Times New Roman" w:cs="Times New Roman"/>
                      <w:caps/>
                      <w:color w:val="auto"/>
                      <w:szCs w:val="21"/>
                      <w:lang w:val="en-US"/>
                    </w:rPr>
                  </w:pPr>
                  <w:r>
                    <w:rPr>
                      <w:rFonts w:hint="default" w:ascii="Times New Roman" w:hAnsi="Times New Roman" w:cs="Times New Roman"/>
                      <w:caps/>
                      <w:color w:val="auto"/>
                      <w:szCs w:val="21"/>
                      <w:lang w:val="en-US" w:eastAsia="zh-CN"/>
                    </w:rPr>
                    <w:t>0.5</w:t>
                  </w:r>
                </w:p>
              </w:tc>
            </w:tr>
          </w:tbl>
          <w:p w14:paraId="59B09644">
            <w:pPr>
              <w:spacing w:line="360" w:lineRule="auto"/>
              <w:ind w:firstLine="482"/>
              <w:rPr>
                <w:rFonts w:hint="default" w:ascii="Times New Roman" w:hAnsi="Times New Roman" w:cs="Times New Roman"/>
                <w:b/>
                <w:bCs/>
                <w:color w:val="auto"/>
                <w:sz w:val="24"/>
              </w:rPr>
            </w:pPr>
            <w:r>
              <w:rPr>
                <w:rFonts w:hint="default" w:ascii="Times New Roman" w:hAnsi="Times New Roman" w:cs="Times New Roman"/>
                <w:b/>
                <w:bCs/>
                <w:color w:val="auto"/>
                <w:sz w:val="24"/>
                <w:lang w:eastAsia="zh-CN"/>
              </w:rPr>
              <w:t>（</w:t>
            </w:r>
            <w:r>
              <w:rPr>
                <w:rFonts w:hint="default" w:ascii="Times New Roman" w:hAnsi="Times New Roman" w:cs="Times New Roman"/>
                <w:b/>
                <w:bCs/>
                <w:color w:val="auto"/>
                <w:sz w:val="24"/>
                <w:lang w:val="en-US" w:eastAsia="zh-CN"/>
              </w:rPr>
              <w:t>3</w:t>
            </w:r>
            <w:r>
              <w:rPr>
                <w:rFonts w:hint="default" w:ascii="Times New Roman" w:hAnsi="Times New Roman" w:cs="Times New Roman"/>
                <w:b/>
                <w:bCs/>
                <w:color w:val="auto"/>
                <w:sz w:val="24"/>
                <w:lang w:eastAsia="zh-CN"/>
              </w:rPr>
              <w:t>）</w:t>
            </w:r>
            <w:r>
              <w:rPr>
                <w:rFonts w:hint="default" w:ascii="Times New Roman" w:hAnsi="Times New Roman" w:cs="Times New Roman"/>
                <w:b/>
                <w:bCs/>
                <w:color w:val="auto"/>
                <w:sz w:val="24"/>
              </w:rPr>
              <w:t>声环境质量标准</w:t>
            </w:r>
          </w:p>
          <w:p w14:paraId="3629522F">
            <w:pPr>
              <w:spacing w:line="360" w:lineRule="auto"/>
              <w:ind w:firstLine="480" w:firstLineChars="200"/>
              <w:rPr>
                <w:rStyle w:val="44"/>
                <w:rFonts w:hint="default" w:ascii="Times New Roman" w:hAnsi="Times New Roman" w:cs="Times New Roman"/>
                <w:b w:val="0"/>
                <w:bCs w:val="0"/>
                <w:color w:val="auto"/>
                <w:sz w:val="24"/>
                <w:szCs w:val="24"/>
              </w:rPr>
            </w:pPr>
            <w:bookmarkStart w:id="72" w:name="_Toc24792"/>
            <w:bookmarkStart w:id="73" w:name="_Toc7673"/>
            <w:bookmarkStart w:id="74" w:name="_Toc1506"/>
            <w:bookmarkStart w:id="75" w:name="_Toc5046"/>
            <w:r>
              <w:rPr>
                <w:rStyle w:val="44"/>
                <w:rFonts w:hint="default" w:ascii="Times New Roman" w:hAnsi="Times New Roman" w:cs="Times New Roman"/>
                <w:b w:val="0"/>
                <w:bCs w:val="0"/>
                <w:color w:val="auto"/>
                <w:sz w:val="24"/>
                <w:szCs w:val="24"/>
              </w:rPr>
              <w:t>项目道路等级为</w:t>
            </w:r>
            <w:r>
              <w:rPr>
                <w:rStyle w:val="44"/>
                <w:rFonts w:hint="default" w:ascii="Times New Roman" w:hAnsi="Times New Roman" w:cs="Times New Roman"/>
                <w:b w:val="0"/>
                <w:bCs w:val="0"/>
                <w:color w:val="auto"/>
                <w:sz w:val="24"/>
                <w:szCs w:val="24"/>
                <w:lang w:val="en-US" w:eastAsia="zh-CN"/>
              </w:rPr>
              <w:t>三级公路</w:t>
            </w:r>
            <w:r>
              <w:rPr>
                <w:rStyle w:val="44"/>
                <w:rFonts w:hint="default" w:ascii="Times New Roman" w:hAnsi="Times New Roman" w:cs="Times New Roman"/>
                <w:b w:val="0"/>
                <w:bCs w:val="0"/>
                <w:color w:val="auto"/>
                <w:sz w:val="24"/>
                <w:szCs w:val="24"/>
              </w:rPr>
              <w:t>，根据《声环境功能区划技术规范》（GB/T15190-2014）中有关规定，</w:t>
            </w:r>
            <w:r>
              <w:rPr>
                <w:rStyle w:val="44"/>
                <w:rFonts w:hint="default" w:ascii="Times New Roman" w:hAnsi="Times New Roman" w:cs="Times New Roman"/>
                <w:b w:val="0"/>
                <w:bCs w:val="0"/>
                <w:color w:val="auto"/>
                <w:sz w:val="24"/>
                <w:szCs w:val="24"/>
                <w:lang w:val="en-US" w:eastAsia="zh-CN"/>
              </w:rPr>
              <w:t>项目区域</w:t>
            </w:r>
            <w:r>
              <w:rPr>
                <w:rStyle w:val="44"/>
                <w:rFonts w:hint="default" w:ascii="Times New Roman" w:hAnsi="Times New Roman" w:cs="Times New Roman"/>
                <w:b w:val="0"/>
                <w:bCs w:val="0"/>
                <w:color w:val="auto"/>
                <w:sz w:val="24"/>
                <w:szCs w:val="24"/>
              </w:rPr>
              <w:t>划为</w:t>
            </w:r>
            <w:r>
              <w:rPr>
                <w:rStyle w:val="44"/>
                <w:rFonts w:hint="eastAsia" w:ascii="Times New Roman" w:hAnsi="Times New Roman" w:cs="Times New Roman"/>
                <w:b w:val="0"/>
                <w:bCs w:val="0"/>
                <w:color w:val="auto"/>
                <w:sz w:val="24"/>
                <w:szCs w:val="24"/>
                <w:lang w:val="en-US" w:eastAsia="zh-CN"/>
              </w:rPr>
              <w:t>2</w:t>
            </w:r>
            <w:r>
              <w:rPr>
                <w:rStyle w:val="44"/>
                <w:rFonts w:hint="default" w:ascii="Times New Roman" w:hAnsi="Times New Roman" w:cs="Times New Roman"/>
                <w:b w:val="0"/>
                <w:bCs w:val="0"/>
                <w:color w:val="auto"/>
                <w:sz w:val="24"/>
                <w:szCs w:val="24"/>
              </w:rPr>
              <w:t>类区。沿线声环境功能区划情况见下表。</w:t>
            </w:r>
          </w:p>
          <w:bookmarkEnd w:id="72"/>
          <w:bookmarkEnd w:id="73"/>
          <w:bookmarkEnd w:id="74"/>
          <w:bookmarkEnd w:id="75"/>
          <w:p w14:paraId="32B8D3DC">
            <w:pPr>
              <w:widowControl/>
              <w:spacing w:line="240" w:lineRule="auto"/>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表3</w:t>
            </w:r>
            <w:r>
              <w:rPr>
                <w:rFonts w:hint="default" w:ascii="Times New Roman" w:hAnsi="Times New Roman" w:eastAsia="宋体" w:cs="Times New Roman"/>
                <w:b/>
                <w:bCs/>
                <w:color w:val="auto"/>
                <w:lang w:val="en-US" w:eastAsia="zh-CN"/>
              </w:rPr>
              <w:t>-</w:t>
            </w:r>
            <w:r>
              <w:rPr>
                <w:rFonts w:hint="eastAsia" w:ascii="Times New Roman" w:hAnsi="Times New Roman" w:eastAsia="宋体" w:cs="Times New Roman"/>
                <w:b/>
                <w:bCs/>
                <w:color w:val="auto"/>
                <w:lang w:val="en-US" w:eastAsia="zh-CN"/>
              </w:rPr>
              <w:t>9</w:t>
            </w:r>
            <w:r>
              <w:rPr>
                <w:rFonts w:hint="default" w:ascii="Times New Roman" w:hAnsi="Times New Roman" w:eastAsia="宋体" w:cs="Times New Roman"/>
                <w:b/>
                <w:bCs/>
                <w:color w:val="auto"/>
              </w:rPr>
              <w:t xml:space="preserve">  声环境质量标准   单位：dB（A）</w:t>
            </w:r>
          </w:p>
          <w:tbl>
            <w:tblPr>
              <w:tblStyle w:val="30"/>
              <w:tblW w:w="80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55"/>
              <w:gridCol w:w="2344"/>
              <w:gridCol w:w="2330"/>
            </w:tblGrid>
            <w:tr w14:paraId="357B8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trPr>
              <w:tc>
                <w:tcPr>
                  <w:tcW w:w="3355" w:type="dxa"/>
                  <w:vAlign w:val="center"/>
                </w:tcPr>
                <w:p w14:paraId="36214F03">
                  <w:pPr>
                    <w:spacing w:line="240" w:lineRule="auto"/>
                    <w:ind w:left="-120" w:leftChars="0"/>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类别</w:t>
                  </w:r>
                </w:p>
              </w:tc>
              <w:tc>
                <w:tcPr>
                  <w:tcW w:w="2344" w:type="dxa"/>
                  <w:vAlign w:val="center"/>
                </w:tcPr>
                <w:p w14:paraId="29A5A170">
                  <w:pPr>
                    <w:spacing w:line="240" w:lineRule="auto"/>
                    <w:ind w:left="-120" w:leftChars="0"/>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昼间</w:t>
                  </w:r>
                </w:p>
              </w:tc>
              <w:tc>
                <w:tcPr>
                  <w:tcW w:w="2330" w:type="dxa"/>
                  <w:vAlign w:val="center"/>
                </w:tcPr>
                <w:p w14:paraId="0ACA84AC">
                  <w:pPr>
                    <w:spacing w:line="240" w:lineRule="auto"/>
                    <w:ind w:left="-120" w:leftChars="0"/>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夜间</w:t>
                  </w:r>
                </w:p>
              </w:tc>
            </w:tr>
            <w:tr w14:paraId="04C63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55" w:type="dxa"/>
                  <w:vAlign w:val="center"/>
                </w:tcPr>
                <w:p w14:paraId="4C52C0F5">
                  <w:pPr>
                    <w:spacing w:line="240" w:lineRule="auto"/>
                    <w:ind w:left="-120" w:leftChars="0"/>
                    <w:jc w:val="center"/>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val="en-US" w:eastAsia="zh-CN" w:bidi="ar-SA"/>
                    </w:rPr>
                    <w:t>（GB3096-2008）中1类标准</w:t>
                  </w:r>
                </w:p>
              </w:tc>
              <w:tc>
                <w:tcPr>
                  <w:tcW w:w="2344" w:type="dxa"/>
                  <w:vAlign w:val="center"/>
                </w:tcPr>
                <w:p w14:paraId="6705AF23">
                  <w:pPr>
                    <w:spacing w:line="240" w:lineRule="auto"/>
                    <w:ind w:left="-120" w:leftChars="0"/>
                    <w:jc w:val="center"/>
                    <w:rPr>
                      <w:rFonts w:hint="default" w:ascii="Times New Roman" w:hAnsi="Times New Roman" w:cs="Times New Roman" w:eastAsiaTheme="minorEastAsia"/>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60</w:t>
                  </w:r>
                </w:p>
              </w:tc>
              <w:tc>
                <w:tcPr>
                  <w:tcW w:w="2330" w:type="dxa"/>
                  <w:vAlign w:val="center"/>
                </w:tcPr>
                <w:p w14:paraId="6AA5AD8F">
                  <w:pPr>
                    <w:spacing w:line="240" w:lineRule="auto"/>
                    <w:ind w:left="-120" w:leftChars="0"/>
                    <w:jc w:val="center"/>
                    <w:rPr>
                      <w:rFonts w:hint="default" w:ascii="Times New Roman" w:hAnsi="Times New Roman" w:cs="Times New Roman" w:eastAsiaTheme="minorEastAsia"/>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50</w:t>
                  </w:r>
                </w:p>
              </w:tc>
            </w:tr>
          </w:tbl>
          <w:p w14:paraId="22657956">
            <w:pPr>
              <w:keepNext w:val="0"/>
              <w:keepLines w:val="0"/>
              <w:pageBreakBefore w:val="0"/>
              <w:widowControl/>
              <w:kinsoku/>
              <w:wordWrap/>
              <w:overflowPunct/>
              <w:topLinePunct w:val="0"/>
              <w:autoSpaceDE/>
              <w:autoSpaceDN/>
              <w:bidi w:val="0"/>
              <w:adjustRightInd/>
              <w:snapToGrid/>
              <w:spacing w:before="157" w:beforeLines="50" w:line="360" w:lineRule="auto"/>
              <w:ind w:firstLine="482" w:firstLineChars="200"/>
              <w:textAlignment w:val="auto"/>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lang w:val="en-US" w:eastAsia="zh-CN"/>
              </w:rPr>
              <w:t>2、</w:t>
            </w:r>
            <w:r>
              <w:rPr>
                <w:rFonts w:hint="default" w:ascii="Times New Roman" w:hAnsi="Times New Roman" w:cs="Times New Roman"/>
                <w:b/>
                <w:bCs/>
                <w:color w:val="auto"/>
                <w:kern w:val="0"/>
                <w:sz w:val="24"/>
              </w:rPr>
              <w:t>污染物排放标准</w:t>
            </w:r>
          </w:p>
          <w:p w14:paraId="3065E00D">
            <w:pPr>
              <w:widowControl/>
              <w:spacing w:line="360" w:lineRule="auto"/>
              <w:ind w:firstLine="482" w:firstLineChars="200"/>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1</w:t>
            </w: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rPr>
              <w:t>废气</w:t>
            </w:r>
          </w:p>
          <w:p w14:paraId="72CCD1CC">
            <w:pPr>
              <w:widowControl/>
              <w:spacing w:line="360" w:lineRule="auto"/>
              <w:ind w:firstLine="480" w:firstLineChars="20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本项目施工期</w:t>
            </w:r>
            <w:r>
              <w:rPr>
                <w:rFonts w:hint="eastAsia" w:ascii="Times New Roman" w:hAnsi="Times New Roman" w:cs="Times New Roman"/>
                <w:color w:val="auto"/>
                <w:sz w:val="24"/>
                <w:szCs w:val="32"/>
                <w:lang w:val="en-US" w:eastAsia="zh-CN"/>
              </w:rPr>
              <w:t>颗粒物</w:t>
            </w:r>
            <w:r>
              <w:rPr>
                <w:rFonts w:hint="default" w:ascii="Times New Roman" w:hAnsi="Times New Roman" w:cs="Times New Roman"/>
                <w:color w:val="auto"/>
                <w:sz w:val="24"/>
                <w:szCs w:val="32"/>
              </w:rPr>
              <w:t>执行《施工场地颗粒物排放标准》（DB34/4811-2024）表1监测点颗粒物排放要求</w:t>
            </w:r>
            <w:r>
              <w:rPr>
                <w:rFonts w:hint="eastAsia" w:ascii="Times New Roman" w:hAnsi="Times New Roman" w:cs="Times New Roman"/>
                <w:color w:val="auto"/>
                <w:sz w:val="24"/>
                <w:szCs w:val="32"/>
                <w:lang w:eastAsia="zh-CN"/>
              </w:rPr>
              <w:t>，</w:t>
            </w:r>
            <w:r>
              <w:rPr>
                <w:rFonts w:hint="eastAsia" w:ascii="Times New Roman" w:hAnsi="Times New Roman" w:cs="Times New Roman"/>
                <w:color w:val="auto"/>
                <w:sz w:val="24"/>
                <w:szCs w:val="32"/>
                <w:lang w:val="en-US" w:eastAsia="zh-CN"/>
              </w:rPr>
              <w:t>氮氧化物</w:t>
            </w:r>
            <w:r>
              <w:rPr>
                <w:rFonts w:hint="default" w:ascii="Times New Roman" w:hAnsi="Times New Roman" w:cs="Times New Roman"/>
                <w:color w:val="auto"/>
                <w:sz w:val="24"/>
                <w:szCs w:val="32"/>
              </w:rPr>
              <w:t>排放执行《大气污染物综合排放标准》（GB16297-1996）表2中无组织排放监控浓度限值。</w:t>
            </w:r>
            <w:r>
              <w:rPr>
                <w:rFonts w:hint="default" w:ascii="Times New Roman" w:hAnsi="Times New Roman" w:eastAsia="宋体" w:cs="Times New Roman"/>
                <w:kern w:val="0"/>
                <w:sz w:val="24"/>
                <w:lang w:val="en-US" w:eastAsia="zh-CN"/>
              </w:rPr>
              <w:t>具体限值见下表</w:t>
            </w:r>
            <w:r>
              <w:rPr>
                <w:rFonts w:hint="eastAsia" w:ascii="Times New Roman" w:hAnsi="Times New Roman" w:eastAsia="宋体" w:cs="Times New Roman"/>
                <w:kern w:val="0"/>
                <w:sz w:val="24"/>
                <w:lang w:val="en-US" w:eastAsia="zh-CN"/>
              </w:rPr>
              <w:t>：</w:t>
            </w:r>
          </w:p>
          <w:p w14:paraId="35FAB7F6">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val="0"/>
                <w:kern w:val="2"/>
                <w:sz w:val="21"/>
                <w:szCs w:val="21"/>
              </w:rPr>
            </w:pPr>
            <w:r>
              <w:rPr>
                <w:rFonts w:hint="default" w:ascii="Times New Roman" w:hAnsi="Times New Roman" w:eastAsia="宋体" w:cs="Times New Roman"/>
                <w:b/>
                <w:bCs w:val="0"/>
                <w:kern w:val="2"/>
                <w:sz w:val="21"/>
                <w:szCs w:val="21"/>
                <w:lang w:val="en-US" w:eastAsia="zh-CN" w:bidi="ar"/>
              </w:rPr>
              <w:t>表3-</w:t>
            </w:r>
            <w:r>
              <w:rPr>
                <w:rFonts w:hint="eastAsia" w:ascii="Times New Roman" w:hAnsi="Times New Roman" w:eastAsia="宋体" w:cs="Times New Roman"/>
                <w:b/>
                <w:bCs w:val="0"/>
                <w:kern w:val="2"/>
                <w:sz w:val="21"/>
                <w:szCs w:val="21"/>
                <w:lang w:val="en-US" w:eastAsia="zh-CN" w:bidi="ar"/>
              </w:rPr>
              <w:t>10</w:t>
            </w:r>
            <w:r>
              <w:rPr>
                <w:rFonts w:hint="default" w:ascii="Times New Roman" w:hAnsi="Times New Roman" w:eastAsia="宋体" w:cs="Times New Roman"/>
                <w:b/>
                <w:bCs w:val="0"/>
                <w:kern w:val="2"/>
                <w:sz w:val="21"/>
                <w:szCs w:val="21"/>
                <w:lang w:val="en-US" w:eastAsia="zh-CN" w:bidi="ar"/>
              </w:rPr>
              <w:t xml:space="preserve">  监测点颗粒物排放要求</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5"/>
              <w:gridCol w:w="1020"/>
              <w:gridCol w:w="2424"/>
              <w:gridCol w:w="3189"/>
            </w:tblGrid>
            <w:tr w14:paraId="1CE66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Align w:val="center"/>
                </w:tcPr>
                <w:p w14:paraId="20B28B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kern w:val="2"/>
                      <w:sz w:val="21"/>
                      <w:szCs w:val="21"/>
                      <w:vertAlign w:val="baseline"/>
                      <w:lang w:val="en-US" w:eastAsia="zh-CN" w:bidi="ar"/>
                    </w:rPr>
                  </w:pPr>
                  <w:r>
                    <w:rPr>
                      <w:rFonts w:hint="default" w:ascii="Times New Roman" w:hAnsi="Times New Roman" w:eastAsia="宋体" w:cs="Times New Roman"/>
                      <w:b/>
                      <w:bCs/>
                      <w:kern w:val="2"/>
                      <w:sz w:val="21"/>
                      <w:szCs w:val="21"/>
                      <w:vertAlign w:val="baseline"/>
                      <w:lang w:val="en-US" w:eastAsia="zh-CN" w:bidi="ar"/>
                    </w:rPr>
                    <w:t>控制项目</w:t>
                  </w:r>
                </w:p>
              </w:tc>
              <w:tc>
                <w:tcPr>
                  <w:tcW w:w="1066" w:type="dxa"/>
                  <w:vAlign w:val="center"/>
                </w:tcPr>
                <w:p w14:paraId="238CE6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kern w:val="2"/>
                      <w:sz w:val="21"/>
                      <w:szCs w:val="21"/>
                      <w:vertAlign w:val="baseline"/>
                      <w:lang w:val="en-US" w:eastAsia="zh-CN" w:bidi="ar"/>
                    </w:rPr>
                  </w:pPr>
                  <w:r>
                    <w:rPr>
                      <w:rFonts w:hint="default" w:ascii="Times New Roman" w:hAnsi="Times New Roman" w:eastAsia="宋体" w:cs="Times New Roman"/>
                      <w:b/>
                      <w:bCs/>
                      <w:kern w:val="2"/>
                      <w:sz w:val="21"/>
                      <w:szCs w:val="21"/>
                      <w:vertAlign w:val="baseline"/>
                      <w:lang w:val="en-US" w:eastAsia="zh-CN" w:bidi="ar"/>
                    </w:rPr>
                    <w:t>单位</w:t>
                  </w:r>
                </w:p>
              </w:tc>
              <w:tc>
                <w:tcPr>
                  <w:tcW w:w="2534" w:type="dxa"/>
                  <w:vAlign w:val="center"/>
                </w:tcPr>
                <w:p w14:paraId="00337F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kern w:val="2"/>
                      <w:sz w:val="21"/>
                      <w:szCs w:val="21"/>
                      <w:vertAlign w:val="baseline"/>
                      <w:lang w:val="en-US" w:eastAsia="zh-CN" w:bidi="ar"/>
                    </w:rPr>
                  </w:pPr>
                  <w:r>
                    <w:rPr>
                      <w:rFonts w:hint="default" w:ascii="Times New Roman" w:hAnsi="Times New Roman" w:eastAsia="宋体" w:cs="Times New Roman"/>
                      <w:b/>
                      <w:bCs/>
                      <w:kern w:val="2"/>
                      <w:sz w:val="21"/>
                      <w:szCs w:val="21"/>
                      <w:vertAlign w:val="baseline"/>
                      <w:lang w:val="en-US" w:eastAsia="zh-CN" w:bidi="ar"/>
                    </w:rPr>
                    <w:t>监测点浓度限值</w:t>
                  </w:r>
                </w:p>
              </w:tc>
              <w:tc>
                <w:tcPr>
                  <w:tcW w:w="3334" w:type="dxa"/>
                  <w:vAlign w:val="center"/>
                </w:tcPr>
                <w:p w14:paraId="375148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kern w:val="2"/>
                      <w:sz w:val="21"/>
                      <w:szCs w:val="21"/>
                      <w:vertAlign w:val="baseline"/>
                      <w:lang w:val="en-US" w:eastAsia="zh-CN" w:bidi="ar"/>
                    </w:rPr>
                  </w:pPr>
                  <w:r>
                    <w:rPr>
                      <w:rFonts w:hint="default" w:ascii="Times New Roman" w:hAnsi="Times New Roman" w:eastAsia="宋体" w:cs="Times New Roman"/>
                      <w:b/>
                      <w:bCs/>
                      <w:kern w:val="2"/>
                      <w:sz w:val="21"/>
                      <w:szCs w:val="21"/>
                      <w:vertAlign w:val="baseline"/>
                      <w:lang w:val="en-US" w:eastAsia="zh-CN" w:bidi="ar"/>
                    </w:rPr>
                    <w:t>达标判断依据</w:t>
                  </w:r>
                </w:p>
              </w:tc>
            </w:tr>
            <w:tr w14:paraId="35876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restart"/>
                  <w:vAlign w:val="center"/>
                </w:tcPr>
                <w:p w14:paraId="002DE8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bidi="ar"/>
                    </w:rPr>
                  </w:pPr>
                  <w:r>
                    <w:rPr>
                      <w:rFonts w:hint="default" w:ascii="Times New Roman" w:hAnsi="Times New Roman" w:eastAsia="宋体" w:cs="Times New Roman"/>
                      <w:kern w:val="2"/>
                      <w:sz w:val="21"/>
                      <w:szCs w:val="21"/>
                      <w:vertAlign w:val="baseline"/>
                      <w:lang w:val="en-US" w:eastAsia="zh-CN" w:bidi="ar"/>
                    </w:rPr>
                    <w:t>TSP</w:t>
                  </w:r>
                </w:p>
              </w:tc>
              <w:tc>
                <w:tcPr>
                  <w:tcW w:w="1066" w:type="dxa"/>
                  <w:vMerge w:val="restart"/>
                  <w:vAlign w:val="center"/>
                </w:tcPr>
                <w:p w14:paraId="0B7752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bidi="ar"/>
                    </w:rPr>
                  </w:pPr>
                  <w:r>
                    <w:rPr>
                      <w:rFonts w:hint="default" w:ascii="Times New Roman" w:hAnsi="Times New Roman" w:eastAsia="宋体" w:cs="Times New Roman"/>
                      <w:kern w:val="2"/>
                      <w:sz w:val="21"/>
                      <w:szCs w:val="21"/>
                      <w:vertAlign w:val="baseline"/>
                      <w:lang w:val="en-US" w:eastAsia="zh-CN" w:bidi="ar"/>
                    </w:rPr>
                    <w:t>μg/m</w:t>
                  </w:r>
                  <w:r>
                    <w:rPr>
                      <w:rFonts w:hint="default" w:ascii="Times New Roman" w:hAnsi="Times New Roman" w:eastAsia="宋体" w:cs="Times New Roman"/>
                      <w:kern w:val="2"/>
                      <w:sz w:val="21"/>
                      <w:szCs w:val="21"/>
                      <w:vertAlign w:val="superscript"/>
                      <w:lang w:val="en-US" w:eastAsia="zh-CN" w:bidi="ar"/>
                    </w:rPr>
                    <w:t>3</w:t>
                  </w:r>
                </w:p>
              </w:tc>
              <w:tc>
                <w:tcPr>
                  <w:tcW w:w="2534" w:type="dxa"/>
                  <w:vAlign w:val="center"/>
                </w:tcPr>
                <w:p w14:paraId="7C30E6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bidi="ar"/>
                    </w:rPr>
                  </w:pPr>
                  <w:r>
                    <w:rPr>
                      <w:rFonts w:hint="default" w:ascii="Times New Roman" w:hAnsi="Times New Roman" w:eastAsia="宋体" w:cs="Times New Roman"/>
                      <w:kern w:val="2"/>
                      <w:sz w:val="21"/>
                      <w:szCs w:val="21"/>
                      <w:vertAlign w:val="baseline"/>
                      <w:lang w:val="en-US" w:eastAsia="zh-CN" w:bidi="ar"/>
                    </w:rPr>
                    <w:t>1000</w:t>
                  </w:r>
                </w:p>
              </w:tc>
              <w:tc>
                <w:tcPr>
                  <w:tcW w:w="3334" w:type="dxa"/>
                  <w:vAlign w:val="center"/>
                </w:tcPr>
                <w:p w14:paraId="30DEE9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bidi="ar"/>
                    </w:rPr>
                  </w:pPr>
                  <w:r>
                    <w:rPr>
                      <w:rFonts w:hint="default" w:ascii="Times New Roman" w:hAnsi="Times New Roman" w:eastAsia="宋体" w:cs="Times New Roman"/>
                      <w:kern w:val="2"/>
                      <w:sz w:val="21"/>
                      <w:szCs w:val="21"/>
                      <w:vertAlign w:val="baseline"/>
                      <w:lang w:val="en-US" w:eastAsia="zh-CN" w:bidi="ar"/>
                    </w:rPr>
                    <w:t>超标次数≤1次/日</w:t>
                  </w:r>
                </w:p>
              </w:tc>
            </w:tr>
            <w:tr w14:paraId="08BA7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14:paraId="567409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bidi="ar"/>
                    </w:rPr>
                  </w:pPr>
                </w:p>
              </w:tc>
              <w:tc>
                <w:tcPr>
                  <w:tcW w:w="1066" w:type="dxa"/>
                  <w:vMerge w:val="continue"/>
                  <w:vAlign w:val="center"/>
                </w:tcPr>
                <w:p w14:paraId="11C4C8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bidi="ar"/>
                    </w:rPr>
                  </w:pPr>
                </w:p>
              </w:tc>
              <w:tc>
                <w:tcPr>
                  <w:tcW w:w="2534" w:type="dxa"/>
                  <w:vAlign w:val="center"/>
                </w:tcPr>
                <w:p w14:paraId="18EDE0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bidi="ar"/>
                    </w:rPr>
                  </w:pPr>
                  <w:r>
                    <w:rPr>
                      <w:rFonts w:hint="default" w:ascii="Times New Roman" w:hAnsi="Times New Roman" w:eastAsia="宋体" w:cs="Times New Roman"/>
                      <w:kern w:val="2"/>
                      <w:sz w:val="21"/>
                      <w:szCs w:val="21"/>
                      <w:vertAlign w:val="baseline"/>
                      <w:lang w:val="en-US" w:eastAsia="zh-CN" w:bidi="ar"/>
                    </w:rPr>
                    <w:t>500</w:t>
                  </w:r>
                </w:p>
              </w:tc>
              <w:tc>
                <w:tcPr>
                  <w:tcW w:w="3334" w:type="dxa"/>
                  <w:vAlign w:val="center"/>
                </w:tcPr>
                <w:p w14:paraId="0BC7D0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bidi="ar"/>
                    </w:rPr>
                  </w:pPr>
                  <w:r>
                    <w:rPr>
                      <w:rFonts w:hint="default" w:ascii="Times New Roman" w:hAnsi="Times New Roman" w:eastAsia="宋体" w:cs="Times New Roman"/>
                      <w:kern w:val="2"/>
                      <w:sz w:val="21"/>
                      <w:szCs w:val="21"/>
                      <w:vertAlign w:val="baseline"/>
                      <w:lang w:val="en-US" w:eastAsia="zh-CN" w:bidi="ar"/>
                    </w:rPr>
                    <w:t>超标次数≤6次/日</w:t>
                  </w:r>
                </w:p>
              </w:tc>
            </w:tr>
            <w:tr w14:paraId="25BF9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2" w:type="dxa"/>
                  <w:gridSpan w:val="4"/>
                  <w:vAlign w:val="center"/>
                </w:tcPr>
                <w:p w14:paraId="5ED4D1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kern w:val="2"/>
                      <w:sz w:val="21"/>
                      <w:szCs w:val="21"/>
                      <w:vertAlign w:val="baseline"/>
                      <w:lang w:val="en-US" w:eastAsia="zh-CN" w:bidi="ar"/>
                    </w:rPr>
                  </w:pPr>
                  <w:r>
                    <w:rPr>
                      <w:rFonts w:hint="default" w:ascii="Times New Roman" w:hAnsi="Times New Roman" w:eastAsia="宋体" w:cs="Times New Roman"/>
                      <w:kern w:val="2"/>
                      <w:sz w:val="21"/>
                      <w:szCs w:val="21"/>
                      <w:vertAlign w:val="baseline"/>
                      <w:lang w:val="en-US" w:eastAsia="zh-CN" w:bidi="ar"/>
                    </w:rPr>
                    <w:t>任一监测点自整时起依次顺延15分钟的TSP浓度平均值不得</w:t>
                  </w:r>
                  <w:r>
                    <w:rPr>
                      <w:rFonts w:hint="eastAsia" w:ascii="Times New Roman" w:hAnsi="Times New Roman" w:eastAsia="宋体" w:cs="Times New Roman"/>
                      <w:kern w:val="2"/>
                      <w:sz w:val="21"/>
                      <w:szCs w:val="21"/>
                      <w:vertAlign w:val="baseline"/>
                      <w:lang w:val="en-US" w:eastAsia="zh-CN" w:bidi="ar"/>
                    </w:rPr>
                    <w:t>超过</w:t>
                  </w:r>
                  <w:r>
                    <w:rPr>
                      <w:rFonts w:hint="default" w:ascii="Times New Roman" w:hAnsi="Times New Roman" w:eastAsia="宋体" w:cs="Times New Roman"/>
                      <w:kern w:val="2"/>
                      <w:sz w:val="21"/>
                      <w:szCs w:val="21"/>
                      <w:vertAlign w:val="baseline"/>
                      <w:lang w:val="en-US" w:eastAsia="zh-CN" w:bidi="ar"/>
                    </w:rPr>
                    <w:t>限值。超标次数指一个日历日96个TSP15分钟浓度平均值超过监测点浓度限值的次数。</w:t>
                  </w:r>
                </w:p>
                <w:p w14:paraId="0D7CC3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kern w:val="2"/>
                      <w:sz w:val="21"/>
                      <w:szCs w:val="21"/>
                      <w:vertAlign w:val="baseline"/>
                      <w:lang w:val="en-US" w:eastAsia="zh-CN" w:bidi="ar"/>
                    </w:rPr>
                  </w:pPr>
                  <w:r>
                    <w:rPr>
                      <w:rFonts w:hint="default" w:ascii="Times New Roman" w:hAnsi="Times New Roman" w:eastAsia="宋体" w:cs="Times New Roman"/>
                      <w:kern w:val="2"/>
                      <w:sz w:val="21"/>
                      <w:szCs w:val="21"/>
                      <w:vertAlign w:val="baseline"/>
                      <w:lang w:val="en-US" w:eastAsia="zh-CN" w:bidi="ar"/>
                    </w:rPr>
                    <w:t>根据HJ633判定设区市AQI在200~300之间且首要污染物为PM</w:t>
                  </w:r>
                  <w:r>
                    <w:rPr>
                      <w:rFonts w:hint="default" w:ascii="Times New Roman" w:hAnsi="Times New Roman" w:eastAsia="宋体" w:cs="Times New Roman"/>
                      <w:kern w:val="2"/>
                      <w:sz w:val="21"/>
                      <w:szCs w:val="21"/>
                      <w:vertAlign w:val="subscript"/>
                      <w:lang w:val="en-US" w:eastAsia="zh-CN" w:bidi="ar"/>
                    </w:rPr>
                    <w:t>10</w:t>
                  </w:r>
                  <w:r>
                    <w:rPr>
                      <w:rFonts w:hint="default" w:ascii="Times New Roman" w:hAnsi="Times New Roman" w:eastAsia="宋体" w:cs="Times New Roman"/>
                      <w:kern w:val="2"/>
                      <w:sz w:val="21"/>
                      <w:szCs w:val="21"/>
                      <w:vertAlign w:val="baseline"/>
                      <w:lang w:val="en-US" w:eastAsia="zh-CN" w:bidi="ar"/>
                    </w:rPr>
                    <w:t>或PM</w:t>
                  </w:r>
                  <w:r>
                    <w:rPr>
                      <w:rFonts w:hint="default" w:ascii="Times New Roman" w:hAnsi="Times New Roman" w:eastAsia="宋体" w:cs="Times New Roman"/>
                      <w:kern w:val="2"/>
                      <w:sz w:val="21"/>
                      <w:szCs w:val="21"/>
                      <w:vertAlign w:val="subscript"/>
                      <w:lang w:val="en-US" w:eastAsia="zh-CN" w:bidi="ar"/>
                    </w:rPr>
                    <w:t>2.5</w:t>
                  </w:r>
                  <w:r>
                    <w:rPr>
                      <w:rFonts w:hint="default" w:ascii="Times New Roman" w:hAnsi="Times New Roman" w:eastAsia="宋体" w:cs="Times New Roman"/>
                      <w:kern w:val="2"/>
                      <w:sz w:val="21"/>
                      <w:szCs w:val="21"/>
                      <w:vertAlign w:val="baseline"/>
                      <w:lang w:val="en-US" w:eastAsia="zh-CN" w:bidi="ar"/>
                    </w:rPr>
                    <w:t>时，TSP实测值扣除200μg/m</w:t>
                  </w:r>
                  <w:r>
                    <w:rPr>
                      <w:rFonts w:hint="default" w:ascii="Times New Roman" w:hAnsi="Times New Roman" w:eastAsia="宋体" w:cs="Times New Roman"/>
                      <w:kern w:val="2"/>
                      <w:sz w:val="21"/>
                      <w:szCs w:val="21"/>
                      <w:vertAlign w:val="superscript"/>
                      <w:lang w:val="en-US" w:eastAsia="zh-CN" w:bidi="ar"/>
                    </w:rPr>
                    <w:t>3</w:t>
                  </w:r>
                  <w:r>
                    <w:rPr>
                      <w:rFonts w:hint="default" w:ascii="Times New Roman" w:hAnsi="Times New Roman" w:eastAsia="宋体" w:cs="Times New Roman"/>
                      <w:kern w:val="2"/>
                      <w:sz w:val="21"/>
                      <w:szCs w:val="21"/>
                      <w:vertAlign w:val="baseline"/>
                      <w:lang w:val="en-US" w:eastAsia="zh-CN" w:bidi="ar"/>
                    </w:rPr>
                    <w:t>后再进行评价。</w:t>
                  </w:r>
                </w:p>
              </w:tc>
            </w:tr>
          </w:tbl>
          <w:p w14:paraId="5D1A9B5B">
            <w:pPr>
              <w:widowControl/>
              <w:spacing w:line="240" w:lineRule="auto"/>
              <w:jc w:val="center"/>
              <w:rPr>
                <w:rFonts w:hint="default" w:ascii="Times New Roman" w:hAnsi="Times New Roman" w:cs="Times New Roman"/>
                <w:b/>
                <w:bCs/>
                <w:color w:val="auto"/>
              </w:rPr>
            </w:pPr>
            <w:r>
              <w:rPr>
                <w:rFonts w:hint="default" w:ascii="Times New Roman" w:hAnsi="Times New Roman" w:cs="Times New Roman"/>
                <w:b/>
                <w:bCs/>
                <w:color w:val="auto"/>
              </w:rPr>
              <w:t>表3-</w:t>
            </w:r>
            <w:r>
              <w:rPr>
                <w:rFonts w:hint="eastAsia" w:ascii="Times New Roman" w:hAnsi="Times New Roman" w:cs="Times New Roman"/>
                <w:b/>
                <w:bCs/>
                <w:color w:val="auto"/>
                <w:lang w:val="en-US" w:eastAsia="zh-CN"/>
              </w:rPr>
              <w:t>11</w:t>
            </w:r>
            <w:r>
              <w:rPr>
                <w:rFonts w:hint="default" w:ascii="Times New Roman" w:hAnsi="Times New Roman" w:cs="Times New Roman"/>
                <w:b/>
                <w:bCs/>
                <w:color w:val="auto"/>
                <w:lang w:val="en-US" w:eastAsia="zh-CN"/>
              </w:rPr>
              <w:t xml:space="preserve"> </w:t>
            </w:r>
            <w:r>
              <w:rPr>
                <w:rFonts w:hint="default" w:ascii="Times New Roman" w:hAnsi="Times New Roman" w:cs="Times New Roman"/>
                <w:b/>
                <w:bCs/>
                <w:color w:val="auto"/>
              </w:rPr>
              <w:t xml:space="preserve"> 大气污染物排放标准</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4"/>
              <w:gridCol w:w="1528"/>
              <w:gridCol w:w="3224"/>
              <w:gridCol w:w="2073"/>
            </w:tblGrid>
            <w:tr w14:paraId="6C0D6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194" w:type="dxa"/>
                  <w:vMerge w:val="restart"/>
                  <w:noWrap w:val="0"/>
                  <w:vAlign w:val="center"/>
                </w:tcPr>
                <w:p w14:paraId="2610B50A">
                  <w:pPr>
                    <w:widowControl/>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序号</w:t>
                  </w:r>
                </w:p>
              </w:tc>
              <w:tc>
                <w:tcPr>
                  <w:tcW w:w="1528" w:type="dxa"/>
                  <w:vMerge w:val="restart"/>
                  <w:noWrap w:val="0"/>
                  <w:vAlign w:val="center"/>
                </w:tcPr>
                <w:p w14:paraId="2426D9C8">
                  <w:pPr>
                    <w:widowControl/>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污染物</w:t>
                  </w:r>
                </w:p>
              </w:tc>
              <w:tc>
                <w:tcPr>
                  <w:tcW w:w="5297" w:type="dxa"/>
                  <w:gridSpan w:val="2"/>
                  <w:noWrap w:val="0"/>
                  <w:vAlign w:val="center"/>
                </w:tcPr>
                <w:p w14:paraId="3A8D156D">
                  <w:pPr>
                    <w:widowControl/>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无组织排放监控浓度限值</w:t>
                  </w:r>
                </w:p>
              </w:tc>
            </w:tr>
            <w:tr w14:paraId="14B38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4" w:type="dxa"/>
                  <w:vMerge w:val="continue"/>
                  <w:noWrap w:val="0"/>
                  <w:vAlign w:val="center"/>
                </w:tcPr>
                <w:p w14:paraId="0218E6C0">
                  <w:pPr>
                    <w:widowControl/>
                    <w:jc w:val="center"/>
                    <w:rPr>
                      <w:rFonts w:hint="default" w:ascii="Times New Roman" w:hAnsi="Times New Roman" w:cs="Times New Roman"/>
                      <w:b/>
                      <w:bCs/>
                      <w:color w:val="auto"/>
                      <w:kern w:val="0"/>
                      <w:szCs w:val="21"/>
                    </w:rPr>
                  </w:pPr>
                </w:p>
              </w:tc>
              <w:tc>
                <w:tcPr>
                  <w:tcW w:w="1528" w:type="dxa"/>
                  <w:vMerge w:val="continue"/>
                  <w:noWrap w:val="0"/>
                  <w:vAlign w:val="center"/>
                </w:tcPr>
                <w:p w14:paraId="4B22EBD9">
                  <w:pPr>
                    <w:widowControl/>
                    <w:jc w:val="center"/>
                    <w:rPr>
                      <w:rFonts w:hint="default" w:ascii="Times New Roman" w:hAnsi="Times New Roman" w:cs="Times New Roman"/>
                      <w:b/>
                      <w:bCs/>
                      <w:color w:val="auto"/>
                      <w:kern w:val="0"/>
                      <w:szCs w:val="21"/>
                    </w:rPr>
                  </w:pPr>
                </w:p>
              </w:tc>
              <w:tc>
                <w:tcPr>
                  <w:tcW w:w="3224" w:type="dxa"/>
                  <w:noWrap w:val="0"/>
                  <w:vAlign w:val="center"/>
                </w:tcPr>
                <w:p w14:paraId="5CE0A210">
                  <w:pPr>
                    <w:widowControl/>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监控点</w:t>
                  </w:r>
                </w:p>
              </w:tc>
              <w:tc>
                <w:tcPr>
                  <w:tcW w:w="2073" w:type="dxa"/>
                  <w:noWrap w:val="0"/>
                  <w:vAlign w:val="center"/>
                </w:tcPr>
                <w:p w14:paraId="28B58CB2">
                  <w:pPr>
                    <w:widowControl/>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浓度（mg/m</w:t>
                  </w:r>
                  <w:r>
                    <w:rPr>
                      <w:rFonts w:hint="default" w:ascii="Times New Roman" w:hAnsi="Times New Roman" w:cs="Times New Roman"/>
                      <w:b/>
                      <w:bCs/>
                      <w:color w:val="auto"/>
                      <w:kern w:val="0"/>
                      <w:szCs w:val="21"/>
                      <w:vertAlign w:val="superscript"/>
                    </w:rPr>
                    <w:t>3</w:t>
                  </w:r>
                  <w:r>
                    <w:rPr>
                      <w:rFonts w:hint="default" w:ascii="Times New Roman" w:hAnsi="Times New Roman" w:cs="Times New Roman"/>
                      <w:b/>
                      <w:bCs/>
                      <w:color w:val="auto"/>
                      <w:kern w:val="0"/>
                      <w:szCs w:val="21"/>
                    </w:rPr>
                    <w:t>）</w:t>
                  </w:r>
                </w:p>
              </w:tc>
            </w:tr>
            <w:tr w14:paraId="14A11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4" w:type="dxa"/>
                  <w:noWrap w:val="0"/>
                  <w:vAlign w:val="center"/>
                </w:tcPr>
                <w:p w14:paraId="5F5D34DC">
                  <w:pPr>
                    <w:widowControl/>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1</w:t>
                  </w:r>
                </w:p>
              </w:tc>
              <w:tc>
                <w:tcPr>
                  <w:tcW w:w="1528" w:type="dxa"/>
                  <w:noWrap w:val="0"/>
                  <w:vAlign w:val="center"/>
                </w:tcPr>
                <w:p w14:paraId="5B65184F">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氮氧化物</w:t>
                  </w:r>
                </w:p>
              </w:tc>
              <w:tc>
                <w:tcPr>
                  <w:tcW w:w="3224" w:type="dxa"/>
                  <w:noWrap w:val="0"/>
                  <w:vAlign w:val="center"/>
                </w:tcPr>
                <w:p w14:paraId="47E7C7E1">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周界外浓度最高点</w:t>
                  </w:r>
                </w:p>
              </w:tc>
              <w:tc>
                <w:tcPr>
                  <w:tcW w:w="2073" w:type="dxa"/>
                  <w:noWrap w:val="0"/>
                  <w:vAlign w:val="center"/>
                </w:tcPr>
                <w:p w14:paraId="1D3F9CEA">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0.12</w:t>
                  </w:r>
                </w:p>
              </w:tc>
            </w:tr>
          </w:tbl>
          <w:p w14:paraId="1758EC16">
            <w:pPr>
              <w:widowControl/>
              <w:spacing w:line="360" w:lineRule="auto"/>
              <w:ind w:firstLine="482" w:firstLineChars="200"/>
              <w:rPr>
                <w:rFonts w:hint="default" w:ascii="Times New Roman" w:hAnsi="Times New Roman" w:cs="Times New Roman"/>
                <w:color w:val="auto"/>
              </w:rPr>
            </w:pP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2</w:t>
            </w: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rPr>
              <w:t>废水</w:t>
            </w:r>
          </w:p>
          <w:p w14:paraId="0B8CA3BF">
            <w:pPr>
              <w:spacing w:line="360" w:lineRule="auto"/>
              <w:ind w:firstLine="480" w:firstLineChars="200"/>
              <w:rPr>
                <w:rFonts w:hint="default" w:ascii="Times New Roman" w:hAnsi="Times New Roman" w:cs="Times New Roman"/>
                <w:color w:val="auto"/>
              </w:rPr>
            </w:pPr>
            <w:r>
              <w:rPr>
                <w:rFonts w:hint="default" w:ascii="Times New Roman" w:hAnsi="Times New Roman" w:cs="Times New Roman"/>
                <w:color w:val="auto"/>
                <w:sz w:val="24"/>
                <w:szCs w:val="32"/>
              </w:rPr>
              <w:t>项目施工车辆、机械设备冲洗废水经沉淀后回用，不外排</w:t>
            </w:r>
            <w:r>
              <w:rPr>
                <w:rFonts w:hint="default" w:ascii="Times New Roman" w:hAnsi="Times New Roman" w:cs="Times New Roman"/>
                <w:color w:val="auto"/>
                <w:sz w:val="24"/>
                <w:szCs w:val="32"/>
                <w:lang w:eastAsia="zh-CN"/>
              </w:rPr>
              <w:t>；施工期</w:t>
            </w:r>
            <w:r>
              <w:rPr>
                <w:rFonts w:hint="default" w:ascii="Times New Roman" w:hAnsi="Times New Roman" w:cs="Times New Roman"/>
                <w:color w:val="auto"/>
                <w:sz w:val="24"/>
                <w:szCs w:val="32"/>
                <w:lang w:val="en-US" w:eastAsia="zh-CN"/>
              </w:rPr>
              <w:t>及运营期</w:t>
            </w:r>
            <w:r>
              <w:rPr>
                <w:rFonts w:hint="default" w:ascii="Times New Roman" w:hAnsi="Times New Roman" w:cs="Times New Roman"/>
                <w:color w:val="auto"/>
                <w:sz w:val="24"/>
                <w:szCs w:val="32"/>
                <w:lang w:eastAsia="zh-CN"/>
              </w:rPr>
              <w:t>生活污水经过化粪池处理后，用作农肥不外排。</w:t>
            </w:r>
          </w:p>
          <w:p w14:paraId="46174BAA">
            <w:pPr>
              <w:spacing w:line="360" w:lineRule="auto"/>
              <w:ind w:firstLine="482" w:firstLineChars="200"/>
              <w:rPr>
                <w:rFonts w:hint="default" w:ascii="Times New Roman" w:hAnsi="Times New Roman" w:cs="Times New Roman"/>
                <w:color w:val="auto"/>
                <w:sz w:val="24"/>
                <w:szCs w:val="32"/>
              </w:rPr>
            </w:pP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3</w:t>
            </w: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rPr>
              <w:t>噪声</w:t>
            </w:r>
          </w:p>
          <w:p w14:paraId="344C4654">
            <w:pPr>
              <w:widowControl/>
              <w:spacing w:line="360" w:lineRule="auto"/>
              <w:ind w:firstLine="480" w:firstLineChars="200"/>
              <w:rPr>
                <w:rFonts w:hint="default" w:ascii="Times New Roman" w:hAnsi="Times New Roman" w:cs="Times New Roman"/>
                <w:b/>
                <w:bCs/>
                <w:color w:val="auto"/>
              </w:rPr>
            </w:pPr>
            <w:r>
              <w:rPr>
                <w:rFonts w:hint="default" w:ascii="Times New Roman" w:hAnsi="Times New Roman" w:cs="Times New Roman"/>
                <w:color w:val="auto"/>
                <w:sz w:val="24"/>
                <w:szCs w:val="32"/>
              </w:rPr>
              <w:t>施</w:t>
            </w:r>
            <w:r>
              <w:rPr>
                <w:rFonts w:hint="default" w:ascii="Times New Roman" w:hAnsi="Times New Roman" w:eastAsia="宋体" w:cs="Times New Roman"/>
                <w:color w:val="auto"/>
                <w:sz w:val="24"/>
                <w:szCs w:val="32"/>
              </w:rPr>
              <w:t>工期噪声执行《建筑施工场界环境噪声排放标准》（GB12523-2011）中相关标准</w:t>
            </w:r>
            <w:r>
              <w:rPr>
                <w:rFonts w:hint="default" w:ascii="Times New Roman" w:hAnsi="Times New Roman" w:cs="Times New Roman"/>
                <w:color w:val="auto"/>
                <w:sz w:val="24"/>
                <w:szCs w:val="32"/>
              </w:rPr>
              <w:t>。</w:t>
            </w:r>
          </w:p>
          <w:p w14:paraId="5BCCDDE3">
            <w:pPr>
              <w:widowControl/>
              <w:spacing w:line="240" w:lineRule="auto"/>
              <w:jc w:val="center"/>
              <w:rPr>
                <w:rFonts w:hint="default" w:ascii="Times New Roman" w:hAnsi="Times New Roman" w:cs="Times New Roman"/>
                <w:b/>
                <w:bCs/>
                <w:color w:val="auto"/>
              </w:rPr>
            </w:pPr>
            <w:r>
              <w:rPr>
                <w:rFonts w:hint="default" w:ascii="Times New Roman" w:hAnsi="Times New Roman" w:cs="Times New Roman"/>
                <w:b/>
                <w:bCs/>
                <w:color w:val="auto"/>
              </w:rPr>
              <w:t>表3-</w:t>
            </w:r>
            <w:r>
              <w:rPr>
                <w:rFonts w:hint="eastAsia" w:ascii="Times New Roman" w:hAnsi="Times New Roman" w:cs="Times New Roman"/>
                <w:b/>
                <w:bCs/>
                <w:color w:val="auto"/>
                <w:lang w:val="en-US" w:eastAsia="zh-CN"/>
              </w:rPr>
              <w:t>12</w:t>
            </w:r>
            <w:r>
              <w:rPr>
                <w:rFonts w:hint="default" w:ascii="Times New Roman" w:hAnsi="Times New Roman" w:cs="Times New Roman"/>
                <w:b/>
                <w:bCs/>
                <w:color w:val="auto"/>
              </w:rPr>
              <w:t xml:space="preserve"> </w:t>
            </w:r>
            <w:r>
              <w:rPr>
                <w:rFonts w:hint="default" w:ascii="Times New Roman" w:hAnsi="Times New Roman" w:cs="Times New Roman"/>
                <w:b/>
                <w:bCs/>
                <w:color w:val="auto"/>
                <w:lang w:val="en-US" w:eastAsia="zh-CN"/>
              </w:rPr>
              <w:t xml:space="preserve"> </w:t>
            </w:r>
            <w:r>
              <w:rPr>
                <w:rFonts w:hint="default" w:ascii="Times New Roman" w:hAnsi="Times New Roman" w:cs="Times New Roman"/>
                <w:b/>
                <w:bCs/>
                <w:color w:val="auto"/>
              </w:rPr>
              <w:t>施工期间噪声排放标准  单位：dB（A）</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16"/>
              <w:gridCol w:w="2651"/>
              <w:gridCol w:w="2652"/>
            </w:tblGrid>
            <w:tr w14:paraId="474F2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16" w:type="dxa"/>
                  <w:noWrap w:val="0"/>
                  <w:vAlign w:val="center"/>
                </w:tcPr>
                <w:p w14:paraId="01A3CD5B">
                  <w:pPr>
                    <w:widowControl/>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标准</w:t>
                  </w:r>
                </w:p>
              </w:tc>
              <w:tc>
                <w:tcPr>
                  <w:tcW w:w="2651" w:type="dxa"/>
                  <w:noWrap w:val="0"/>
                  <w:vAlign w:val="center"/>
                </w:tcPr>
                <w:p w14:paraId="73C35047">
                  <w:pPr>
                    <w:widowControl/>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昼间</w:t>
                  </w:r>
                </w:p>
              </w:tc>
              <w:tc>
                <w:tcPr>
                  <w:tcW w:w="2652" w:type="dxa"/>
                  <w:noWrap w:val="0"/>
                  <w:vAlign w:val="center"/>
                </w:tcPr>
                <w:p w14:paraId="1F9A9AFA">
                  <w:pPr>
                    <w:widowControl/>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夜间</w:t>
                  </w:r>
                </w:p>
              </w:tc>
            </w:tr>
            <w:tr w14:paraId="276A2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16" w:type="dxa"/>
                  <w:noWrap w:val="0"/>
                  <w:vAlign w:val="center"/>
                </w:tcPr>
                <w:p w14:paraId="5FF75641">
                  <w:pPr>
                    <w:widowControl/>
                    <w:jc w:val="center"/>
                    <w:rPr>
                      <w:rFonts w:hint="default" w:ascii="Times New Roman" w:hAnsi="Times New Roman" w:cs="Times New Roman"/>
                      <w:color w:val="auto"/>
                      <w:kern w:val="0"/>
                    </w:rPr>
                  </w:pPr>
                  <w:r>
                    <w:rPr>
                      <w:rFonts w:hint="default" w:ascii="Times New Roman" w:hAnsi="Times New Roman" w:cs="Times New Roman"/>
                      <w:color w:val="auto"/>
                    </w:rPr>
                    <w:t>GB12523-2011</w:t>
                  </w:r>
                </w:p>
              </w:tc>
              <w:tc>
                <w:tcPr>
                  <w:tcW w:w="2651" w:type="dxa"/>
                  <w:noWrap w:val="0"/>
                  <w:vAlign w:val="center"/>
                </w:tcPr>
                <w:p w14:paraId="372BDD3E">
                  <w:pPr>
                    <w:widowControl/>
                    <w:jc w:val="center"/>
                    <w:rPr>
                      <w:rFonts w:hint="default" w:ascii="Times New Roman" w:hAnsi="Times New Roman" w:cs="Times New Roman"/>
                      <w:color w:val="auto"/>
                      <w:kern w:val="0"/>
                    </w:rPr>
                  </w:pPr>
                  <w:r>
                    <w:rPr>
                      <w:rFonts w:hint="default" w:ascii="Times New Roman" w:hAnsi="Times New Roman" w:cs="Times New Roman"/>
                      <w:color w:val="auto"/>
                      <w:kern w:val="0"/>
                    </w:rPr>
                    <w:t>70</w:t>
                  </w:r>
                </w:p>
              </w:tc>
              <w:tc>
                <w:tcPr>
                  <w:tcW w:w="2652" w:type="dxa"/>
                  <w:noWrap w:val="0"/>
                  <w:vAlign w:val="center"/>
                </w:tcPr>
                <w:p w14:paraId="140B84D0">
                  <w:pPr>
                    <w:widowControl/>
                    <w:jc w:val="center"/>
                    <w:rPr>
                      <w:rFonts w:hint="default" w:ascii="Times New Roman" w:hAnsi="Times New Roman" w:cs="Times New Roman"/>
                      <w:color w:val="auto"/>
                      <w:kern w:val="0"/>
                    </w:rPr>
                  </w:pPr>
                  <w:r>
                    <w:rPr>
                      <w:rFonts w:hint="default" w:ascii="Times New Roman" w:hAnsi="Times New Roman" w:cs="Times New Roman"/>
                      <w:color w:val="auto"/>
                      <w:kern w:val="0"/>
                    </w:rPr>
                    <w:t>55</w:t>
                  </w:r>
                </w:p>
              </w:tc>
            </w:tr>
          </w:tbl>
          <w:p w14:paraId="1C7A515F">
            <w:pPr>
              <w:widowControl/>
              <w:spacing w:line="360" w:lineRule="auto"/>
              <w:ind w:firstLine="482" w:firstLineChars="200"/>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lang w:eastAsia="zh-CN"/>
              </w:rPr>
              <w:t>（</w:t>
            </w:r>
            <w:r>
              <w:rPr>
                <w:rFonts w:hint="default" w:ascii="Times New Roman" w:hAnsi="Times New Roman" w:cs="Times New Roman"/>
                <w:b/>
                <w:bCs/>
                <w:color w:val="auto"/>
                <w:sz w:val="24"/>
                <w:szCs w:val="32"/>
                <w:highlight w:val="none"/>
                <w:lang w:val="en-US" w:eastAsia="zh-CN"/>
              </w:rPr>
              <w:t>4</w:t>
            </w:r>
            <w:r>
              <w:rPr>
                <w:rFonts w:hint="default" w:ascii="Times New Roman" w:hAnsi="Times New Roman" w:cs="Times New Roman"/>
                <w:b/>
                <w:bCs/>
                <w:color w:val="auto"/>
                <w:sz w:val="24"/>
                <w:szCs w:val="32"/>
                <w:highlight w:val="none"/>
                <w:lang w:eastAsia="zh-CN"/>
              </w:rPr>
              <w:t>）</w:t>
            </w:r>
            <w:r>
              <w:rPr>
                <w:rFonts w:hint="default" w:ascii="Times New Roman" w:hAnsi="Times New Roman" w:cs="Times New Roman"/>
                <w:b/>
                <w:bCs/>
                <w:color w:val="auto"/>
                <w:sz w:val="24"/>
                <w:szCs w:val="32"/>
                <w:highlight w:val="none"/>
              </w:rPr>
              <w:t>固体废物</w:t>
            </w:r>
          </w:p>
          <w:p w14:paraId="3C9C9A14">
            <w:pPr>
              <w:widowControl/>
              <w:spacing w:line="360" w:lineRule="auto"/>
              <w:ind w:firstLine="480" w:firstLineChars="200"/>
              <w:rPr>
                <w:rFonts w:hint="default" w:ascii="Times New Roman" w:hAnsi="Times New Roman" w:eastAsia="宋体" w:cs="Times New Roman"/>
                <w:color w:val="auto"/>
                <w:sz w:val="24"/>
                <w:szCs w:val="32"/>
                <w:lang w:eastAsia="zh-CN"/>
              </w:rPr>
            </w:pPr>
            <w:r>
              <w:rPr>
                <w:rFonts w:hint="default" w:ascii="Times New Roman" w:hAnsi="Times New Roman" w:cs="Times New Roman"/>
                <w:color w:val="auto"/>
                <w:kern w:val="0"/>
                <w:sz w:val="24"/>
                <w:szCs w:val="24"/>
                <w:highlight w:val="none"/>
                <w:lang w:val="en-US" w:eastAsia="zh-CN" w:bidi="ar-SA"/>
              </w:rPr>
              <w:t>一般工业固废执行《一般工业固体废物贮存和填埋污染控制标准》（GB18599-2020）中相关要求。</w:t>
            </w:r>
          </w:p>
        </w:tc>
      </w:tr>
      <w:tr w14:paraId="2E8AFA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26" w:hRule="atLeast"/>
          <w:jc w:val="center"/>
        </w:trPr>
        <w:tc>
          <w:tcPr>
            <w:tcW w:w="815" w:type="dxa"/>
            <w:noWrap w:val="0"/>
            <w:vAlign w:val="center"/>
          </w:tcPr>
          <w:p w14:paraId="3EF041BB">
            <w:pPr>
              <w:adjustRightInd w:val="0"/>
              <w:snapToGrid w:val="0"/>
              <w:jc w:val="center"/>
              <w:rPr>
                <w:rFonts w:hint="default" w:ascii="Times New Roman" w:hAnsi="Times New Roman" w:cs="Times New Roman"/>
                <w:b/>
                <w:bCs/>
                <w:color w:val="auto"/>
                <w:kern w:val="0"/>
                <w:sz w:val="24"/>
              </w:rPr>
            </w:pPr>
            <w:r>
              <w:rPr>
                <w:rFonts w:hint="default" w:ascii="Times New Roman" w:hAnsi="Times New Roman" w:cs="Times New Roman"/>
                <w:b/>
                <w:bCs/>
                <w:color w:val="auto"/>
                <w:kern w:val="0"/>
                <w:szCs w:val="21"/>
                <w:highlight w:val="none"/>
              </w:rPr>
              <w:t>其他</w:t>
            </w:r>
          </w:p>
        </w:tc>
        <w:tc>
          <w:tcPr>
            <w:tcW w:w="8245" w:type="dxa"/>
            <w:noWrap w:val="0"/>
            <w:vAlign w:val="center"/>
          </w:tcPr>
          <w:p w14:paraId="745AC11C">
            <w:pPr>
              <w:pStyle w:val="70"/>
              <w:ind w:firstLine="420"/>
              <w:rPr>
                <w:rFonts w:hint="default" w:ascii="Times New Roman" w:hAnsi="Times New Roman" w:cs="Times New Roman"/>
                <w:color w:val="auto"/>
                <w:sz w:val="24"/>
                <w:szCs w:val="24"/>
                <w:highlight w:val="none"/>
                <w:lang w:val="en-US" w:eastAsia="zh-CN"/>
              </w:rPr>
            </w:pPr>
          </w:p>
          <w:p w14:paraId="34691F3D">
            <w:pPr>
              <w:pStyle w:val="70"/>
              <w:ind w:firstLine="42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本项目为</w:t>
            </w:r>
            <w:r>
              <w:rPr>
                <w:rFonts w:hint="default" w:ascii="Times New Roman" w:hAnsi="Times New Roman" w:cs="Times New Roman"/>
                <w:color w:val="auto"/>
                <w:sz w:val="24"/>
                <w:szCs w:val="24"/>
                <w:highlight w:val="none"/>
                <w:lang w:val="en-US" w:eastAsia="zh-CN"/>
              </w:rPr>
              <w:t>三级公路</w:t>
            </w:r>
            <w:r>
              <w:rPr>
                <w:rFonts w:hint="default" w:ascii="Times New Roman" w:hAnsi="Times New Roman" w:cs="Times New Roman"/>
                <w:color w:val="auto"/>
                <w:sz w:val="24"/>
                <w:szCs w:val="24"/>
                <w:highlight w:val="none"/>
              </w:rPr>
              <w:t>项目，运营期废气主要为汽车尾气，运营期无废水排放，因此无需申请总量控制指标。</w:t>
            </w:r>
          </w:p>
          <w:p w14:paraId="20FF26DA">
            <w:pPr>
              <w:pStyle w:val="70"/>
              <w:ind w:left="0" w:leftChars="0" w:firstLine="0" w:firstLineChars="0"/>
              <w:rPr>
                <w:rFonts w:hint="default" w:ascii="Times New Roman" w:hAnsi="Times New Roman" w:cs="Times New Roman"/>
                <w:color w:val="auto"/>
                <w:sz w:val="24"/>
                <w:szCs w:val="24"/>
                <w:highlight w:val="none"/>
              </w:rPr>
            </w:pPr>
          </w:p>
          <w:p w14:paraId="1606249D">
            <w:pPr>
              <w:pStyle w:val="70"/>
              <w:ind w:left="0" w:leftChars="0" w:firstLine="0" w:firstLineChars="0"/>
              <w:rPr>
                <w:rFonts w:hint="default" w:ascii="Times New Roman" w:hAnsi="Times New Roman" w:cs="Times New Roman"/>
                <w:color w:val="auto"/>
                <w:sz w:val="24"/>
                <w:szCs w:val="24"/>
                <w:highlight w:val="none"/>
              </w:rPr>
            </w:pPr>
          </w:p>
          <w:p w14:paraId="4829DDF9">
            <w:pPr>
              <w:pStyle w:val="70"/>
              <w:ind w:left="0" w:leftChars="0" w:firstLine="0" w:firstLineChars="0"/>
              <w:rPr>
                <w:rFonts w:hint="default" w:ascii="Times New Roman" w:hAnsi="Times New Roman" w:cs="Times New Roman"/>
                <w:color w:val="auto"/>
                <w:sz w:val="24"/>
                <w:szCs w:val="24"/>
                <w:highlight w:val="none"/>
              </w:rPr>
            </w:pPr>
          </w:p>
          <w:p w14:paraId="405E7415">
            <w:pPr>
              <w:pStyle w:val="70"/>
              <w:ind w:left="0" w:leftChars="0" w:firstLine="0" w:firstLineChars="0"/>
              <w:rPr>
                <w:rFonts w:hint="default" w:ascii="Times New Roman" w:hAnsi="Times New Roman" w:cs="Times New Roman"/>
                <w:color w:val="auto"/>
                <w:sz w:val="24"/>
                <w:szCs w:val="24"/>
                <w:highlight w:val="none"/>
              </w:rPr>
            </w:pPr>
          </w:p>
          <w:p w14:paraId="7967A5A1">
            <w:pPr>
              <w:pStyle w:val="70"/>
              <w:ind w:left="0" w:leftChars="0" w:firstLine="0" w:firstLineChars="0"/>
              <w:rPr>
                <w:rFonts w:hint="default" w:ascii="Times New Roman" w:hAnsi="Times New Roman" w:cs="Times New Roman"/>
                <w:color w:val="auto"/>
                <w:sz w:val="24"/>
                <w:szCs w:val="24"/>
                <w:highlight w:val="none"/>
              </w:rPr>
            </w:pPr>
          </w:p>
          <w:p w14:paraId="2E9CA0CE">
            <w:pPr>
              <w:pStyle w:val="70"/>
              <w:ind w:left="0" w:leftChars="0" w:firstLine="0" w:firstLineChars="0"/>
              <w:rPr>
                <w:rFonts w:hint="default" w:ascii="Times New Roman" w:hAnsi="Times New Roman" w:cs="Times New Roman"/>
                <w:color w:val="auto"/>
                <w:sz w:val="24"/>
                <w:szCs w:val="24"/>
                <w:highlight w:val="none"/>
              </w:rPr>
            </w:pPr>
          </w:p>
          <w:p w14:paraId="15B9829C">
            <w:pPr>
              <w:pStyle w:val="70"/>
              <w:ind w:left="0" w:leftChars="0" w:firstLine="0" w:firstLineChars="0"/>
              <w:rPr>
                <w:rFonts w:hint="default" w:ascii="Times New Roman" w:hAnsi="Times New Roman" w:cs="Times New Roman"/>
                <w:color w:val="auto"/>
                <w:sz w:val="24"/>
                <w:szCs w:val="24"/>
                <w:highlight w:val="none"/>
              </w:rPr>
            </w:pPr>
          </w:p>
          <w:p w14:paraId="2CC6D6B4">
            <w:pPr>
              <w:pStyle w:val="70"/>
              <w:ind w:left="0" w:leftChars="0" w:firstLine="0" w:firstLineChars="0"/>
              <w:rPr>
                <w:rFonts w:hint="default" w:ascii="Times New Roman" w:hAnsi="Times New Roman" w:cs="Times New Roman"/>
                <w:color w:val="auto"/>
                <w:sz w:val="24"/>
                <w:szCs w:val="24"/>
                <w:highlight w:val="none"/>
              </w:rPr>
            </w:pPr>
          </w:p>
          <w:p w14:paraId="71376D7F">
            <w:pPr>
              <w:pStyle w:val="70"/>
              <w:ind w:left="0" w:leftChars="0" w:firstLine="0" w:firstLineChars="0"/>
              <w:rPr>
                <w:rFonts w:hint="default" w:ascii="Times New Roman" w:hAnsi="Times New Roman" w:cs="Times New Roman"/>
                <w:color w:val="auto"/>
                <w:sz w:val="24"/>
                <w:szCs w:val="24"/>
                <w:highlight w:val="none"/>
              </w:rPr>
            </w:pPr>
          </w:p>
          <w:p w14:paraId="2E7FCCA9">
            <w:pPr>
              <w:pStyle w:val="70"/>
              <w:ind w:left="0" w:leftChars="0" w:firstLine="0" w:firstLineChars="0"/>
              <w:rPr>
                <w:rFonts w:hint="default" w:ascii="Times New Roman" w:hAnsi="Times New Roman" w:cs="Times New Roman"/>
                <w:color w:val="auto"/>
                <w:sz w:val="24"/>
                <w:szCs w:val="24"/>
                <w:highlight w:val="none"/>
              </w:rPr>
            </w:pPr>
          </w:p>
          <w:p w14:paraId="24BDF75A">
            <w:pPr>
              <w:pStyle w:val="70"/>
              <w:ind w:left="0" w:leftChars="0" w:firstLine="0" w:firstLineChars="0"/>
              <w:rPr>
                <w:rFonts w:hint="default" w:ascii="Times New Roman" w:hAnsi="Times New Roman" w:cs="Times New Roman"/>
                <w:color w:val="auto"/>
                <w:sz w:val="24"/>
                <w:szCs w:val="24"/>
                <w:highlight w:val="none"/>
              </w:rPr>
            </w:pPr>
          </w:p>
          <w:p w14:paraId="248EB6B9">
            <w:pPr>
              <w:pStyle w:val="70"/>
              <w:ind w:left="0" w:leftChars="0" w:firstLine="0" w:firstLineChars="0"/>
              <w:rPr>
                <w:rFonts w:hint="default" w:ascii="Times New Roman" w:hAnsi="Times New Roman" w:cs="Times New Roman"/>
                <w:color w:val="auto"/>
                <w:sz w:val="24"/>
                <w:szCs w:val="24"/>
                <w:highlight w:val="none"/>
              </w:rPr>
            </w:pPr>
          </w:p>
          <w:p w14:paraId="761A215B">
            <w:pPr>
              <w:pStyle w:val="70"/>
              <w:ind w:left="0" w:leftChars="0" w:firstLine="0" w:firstLineChars="0"/>
              <w:rPr>
                <w:rFonts w:hint="default" w:ascii="Times New Roman" w:hAnsi="Times New Roman" w:cs="Times New Roman"/>
                <w:color w:val="auto"/>
                <w:sz w:val="24"/>
                <w:szCs w:val="24"/>
                <w:highlight w:val="none"/>
              </w:rPr>
            </w:pPr>
          </w:p>
          <w:p w14:paraId="0B3AF3BD">
            <w:pPr>
              <w:pStyle w:val="70"/>
              <w:ind w:left="0" w:leftChars="0" w:firstLine="0" w:firstLineChars="0"/>
              <w:rPr>
                <w:rFonts w:hint="default" w:ascii="Times New Roman" w:hAnsi="Times New Roman" w:cs="Times New Roman"/>
                <w:color w:val="auto"/>
                <w:sz w:val="24"/>
                <w:szCs w:val="24"/>
                <w:highlight w:val="none"/>
              </w:rPr>
            </w:pPr>
          </w:p>
          <w:p w14:paraId="42AEDEB1">
            <w:pPr>
              <w:pStyle w:val="70"/>
              <w:ind w:left="0" w:leftChars="0" w:firstLine="0" w:firstLineChars="0"/>
              <w:rPr>
                <w:rFonts w:hint="default" w:ascii="Times New Roman" w:hAnsi="Times New Roman" w:cs="Times New Roman"/>
                <w:color w:val="auto"/>
                <w:sz w:val="24"/>
                <w:szCs w:val="24"/>
                <w:highlight w:val="none"/>
              </w:rPr>
            </w:pPr>
          </w:p>
          <w:p w14:paraId="7048F8B2">
            <w:pPr>
              <w:pStyle w:val="70"/>
              <w:ind w:left="0" w:leftChars="0" w:firstLine="0" w:firstLineChars="0"/>
              <w:rPr>
                <w:rFonts w:hint="default" w:ascii="Times New Roman" w:hAnsi="Times New Roman" w:cs="Times New Roman"/>
                <w:color w:val="auto"/>
                <w:sz w:val="24"/>
                <w:szCs w:val="24"/>
                <w:highlight w:val="none"/>
              </w:rPr>
            </w:pPr>
          </w:p>
          <w:p w14:paraId="5743BCD0">
            <w:pPr>
              <w:pStyle w:val="70"/>
              <w:ind w:left="0" w:leftChars="0" w:firstLine="0" w:firstLineChars="0"/>
              <w:rPr>
                <w:rFonts w:hint="default" w:ascii="Times New Roman" w:hAnsi="Times New Roman" w:cs="Times New Roman"/>
                <w:color w:val="auto"/>
                <w:sz w:val="24"/>
                <w:szCs w:val="24"/>
                <w:highlight w:val="none"/>
              </w:rPr>
            </w:pPr>
          </w:p>
          <w:p w14:paraId="77B73129">
            <w:pPr>
              <w:pStyle w:val="70"/>
              <w:ind w:left="0" w:leftChars="0" w:firstLine="0" w:firstLineChars="0"/>
              <w:rPr>
                <w:rFonts w:hint="default" w:ascii="Times New Roman" w:hAnsi="Times New Roman" w:cs="Times New Roman"/>
                <w:color w:val="auto"/>
                <w:sz w:val="24"/>
                <w:szCs w:val="24"/>
                <w:highlight w:val="none"/>
              </w:rPr>
            </w:pPr>
          </w:p>
          <w:p w14:paraId="496D9D61">
            <w:pPr>
              <w:pStyle w:val="70"/>
              <w:ind w:left="0" w:leftChars="0" w:firstLine="0" w:firstLineChars="0"/>
              <w:rPr>
                <w:rFonts w:hint="default" w:ascii="Times New Roman" w:hAnsi="Times New Roman" w:cs="Times New Roman"/>
                <w:color w:val="auto"/>
                <w:sz w:val="24"/>
                <w:szCs w:val="24"/>
                <w:highlight w:val="none"/>
              </w:rPr>
            </w:pPr>
          </w:p>
          <w:p w14:paraId="2FD98AEF">
            <w:pPr>
              <w:pStyle w:val="70"/>
              <w:ind w:left="0" w:leftChars="0" w:firstLine="0" w:firstLineChars="0"/>
              <w:rPr>
                <w:rFonts w:hint="default" w:ascii="Times New Roman" w:hAnsi="Times New Roman" w:cs="Times New Roman"/>
                <w:color w:val="auto"/>
                <w:sz w:val="24"/>
                <w:szCs w:val="24"/>
                <w:highlight w:val="none"/>
              </w:rPr>
            </w:pPr>
          </w:p>
          <w:p w14:paraId="6EA437D7">
            <w:pPr>
              <w:pStyle w:val="70"/>
              <w:ind w:left="0" w:leftChars="0" w:firstLine="0" w:firstLineChars="0"/>
              <w:rPr>
                <w:rFonts w:hint="default" w:ascii="Times New Roman" w:hAnsi="Times New Roman" w:cs="Times New Roman"/>
                <w:color w:val="auto"/>
                <w:sz w:val="24"/>
                <w:szCs w:val="24"/>
                <w:highlight w:val="none"/>
              </w:rPr>
            </w:pPr>
          </w:p>
          <w:p w14:paraId="71B8AB23">
            <w:pPr>
              <w:pStyle w:val="70"/>
              <w:ind w:left="0" w:leftChars="0" w:firstLine="0" w:firstLineChars="0"/>
              <w:rPr>
                <w:rFonts w:hint="default" w:ascii="Times New Roman" w:hAnsi="Times New Roman" w:cs="Times New Roman"/>
                <w:color w:val="auto"/>
                <w:sz w:val="24"/>
                <w:szCs w:val="24"/>
                <w:highlight w:val="none"/>
              </w:rPr>
            </w:pPr>
          </w:p>
          <w:p w14:paraId="425250C9">
            <w:pPr>
              <w:pStyle w:val="70"/>
              <w:ind w:left="0" w:leftChars="0" w:firstLine="0" w:firstLineChars="0"/>
              <w:rPr>
                <w:rFonts w:hint="default" w:ascii="Times New Roman" w:hAnsi="Times New Roman" w:cs="Times New Roman"/>
                <w:color w:val="auto"/>
                <w:sz w:val="24"/>
                <w:szCs w:val="24"/>
                <w:highlight w:val="none"/>
              </w:rPr>
            </w:pPr>
          </w:p>
        </w:tc>
      </w:tr>
    </w:tbl>
    <w:p w14:paraId="3860F08E">
      <w:pPr>
        <w:pStyle w:val="27"/>
        <w:spacing w:before="0" w:beforeAutospacing="0" w:after="0" w:afterAutospacing="0" w:line="360" w:lineRule="auto"/>
        <w:jc w:val="center"/>
        <w:outlineLvl w:val="0"/>
        <w:rPr>
          <w:rFonts w:hint="default" w:ascii="Times New Roman" w:hAnsi="Times New Roman" w:eastAsia="宋体" w:cs="Times New Roman"/>
          <w:b/>
          <w:bCs/>
          <w:snapToGrid w:val="0"/>
          <w:color w:val="auto"/>
          <w:sz w:val="30"/>
          <w:szCs w:val="30"/>
        </w:rPr>
      </w:pPr>
      <w:r>
        <w:rPr>
          <w:rFonts w:hint="default" w:ascii="Times New Roman" w:hAnsi="Times New Roman" w:eastAsia="黑体" w:cs="Times New Roman"/>
          <w:snapToGrid w:val="0"/>
          <w:color w:val="auto"/>
          <w:kern w:val="2"/>
          <w:sz w:val="36"/>
          <w:szCs w:val="36"/>
        </w:rPr>
        <w:br w:type="page"/>
      </w:r>
      <w:bookmarkStart w:id="76" w:name="_Toc23991"/>
      <w:bookmarkStart w:id="77" w:name="_Toc14575"/>
      <w:bookmarkStart w:id="78" w:name="_Toc14373"/>
      <w:bookmarkStart w:id="79" w:name="_Toc5802"/>
      <w:bookmarkStart w:id="80" w:name="_Toc4995"/>
      <w:r>
        <w:rPr>
          <w:rFonts w:hint="default" w:ascii="Times New Roman" w:hAnsi="Times New Roman" w:eastAsia="宋体" w:cs="Times New Roman"/>
          <w:b/>
          <w:bCs/>
          <w:snapToGrid w:val="0"/>
          <w:color w:val="auto"/>
          <w:sz w:val="30"/>
          <w:szCs w:val="30"/>
        </w:rPr>
        <w:t>四、生态环境影响分析</w:t>
      </w:r>
      <w:bookmarkEnd w:id="76"/>
      <w:bookmarkEnd w:id="77"/>
      <w:bookmarkEnd w:id="78"/>
      <w:bookmarkEnd w:id="79"/>
      <w:bookmarkEnd w:id="80"/>
    </w:p>
    <w:tbl>
      <w:tblPr>
        <w:tblStyle w:val="29"/>
        <w:tblW w:w="898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16"/>
        <w:gridCol w:w="8664"/>
      </w:tblGrid>
      <w:tr w14:paraId="61B691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60" w:hRule="atLeast"/>
          <w:jc w:val="center"/>
        </w:trPr>
        <w:tc>
          <w:tcPr>
            <w:tcW w:w="316" w:type="dxa"/>
            <w:noWrap w:val="0"/>
            <w:tcMar>
              <w:left w:w="28" w:type="dxa"/>
              <w:right w:w="28" w:type="dxa"/>
            </w:tcMar>
            <w:vAlign w:val="center"/>
          </w:tcPr>
          <w:p w14:paraId="1BE477EB">
            <w:pPr>
              <w:pStyle w:val="27"/>
              <w:adjustRightInd w:val="0"/>
              <w:snapToGrid w:val="0"/>
              <w:spacing w:before="0" w:beforeAutospacing="0" w:after="0" w:afterAutospacing="0"/>
              <w:jc w:val="center"/>
              <w:rPr>
                <w:rFonts w:hint="default" w:ascii="Times New Roman" w:hAnsi="Times New Roman" w:cs="Times New Roman"/>
                <w:bCs/>
                <w:color w:val="auto"/>
                <w:kern w:val="2"/>
                <w:sz w:val="21"/>
                <w:szCs w:val="21"/>
              </w:rPr>
            </w:pPr>
            <w:bookmarkStart w:id="81" w:name="_Hlk49796138"/>
            <w:r>
              <w:rPr>
                <w:rFonts w:hint="default" w:ascii="Times New Roman" w:hAnsi="Times New Roman" w:cs="Times New Roman"/>
                <w:b/>
                <w:bCs w:val="0"/>
                <w:color w:val="auto"/>
                <w:spacing w:val="10"/>
                <w:kern w:val="2"/>
              </w:rPr>
              <w:t>施工期生态环境影响分析</w:t>
            </w:r>
            <w:bookmarkEnd w:id="81"/>
          </w:p>
        </w:tc>
        <w:tc>
          <w:tcPr>
            <w:tcW w:w="8664" w:type="dxa"/>
            <w:noWrap w:val="0"/>
            <w:vAlign w:val="top"/>
          </w:tcPr>
          <w:p w14:paraId="60D0FE85">
            <w:pPr>
              <w:pStyle w:val="51"/>
              <w:numPr>
                <w:ilvl w:val="0"/>
                <w:numId w:val="0"/>
              </w:numPr>
              <w:spacing w:before="0" w:beforeLines="0"/>
              <w:ind w:firstLine="480" w:firstLineChars="200"/>
              <w:rPr>
                <w:rFonts w:hint="default" w:ascii="Times New Roman" w:hAnsi="Times New Roman" w:cs="Times New Roman"/>
                <w:b w:val="0"/>
                <w:bCs w:val="0"/>
                <w:color w:val="auto"/>
                <w:sz w:val="24"/>
                <w:szCs w:val="20"/>
              </w:rPr>
            </w:pPr>
            <w:bookmarkStart w:id="82" w:name="_Toc7900"/>
            <w:bookmarkStart w:id="83" w:name="_Toc27128"/>
            <w:bookmarkStart w:id="84" w:name="_Toc13576"/>
            <w:bookmarkStart w:id="85" w:name="_Toc31179"/>
            <w:r>
              <w:rPr>
                <w:rFonts w:hint="default" w:ascii="Times New Roman" w:hAnsi="Times New Roman" w:cs="Times New Roman"/>
                <w:b w:val="0"/>
                <w:bCs w:val="0"/>
                <w:color w:val="auto"/>
                <w:sz w:val="24"/>
                <w:szCs w:val="20"/>
              </w:rPr>
              <w:t>施工期是</w:t>
            </w:r>
            <w:r>
              <w:rPr>
                <w:rFonts w:hint="default" w:ascii="Times New Roman" w:hAnsi="Times New Roman" w:eastAsia="宋体" w:cs="Times New Roman"/>
                <w:b w:val="0"/>
                <w:color w:val="auto"/>
                <w:sz w:val="24"/>
                <w:szCs w:val="18"/>
                <w:highlight w:val="none"/>
                <w:lang w:eastAsia="zh-CN"/>
              </w:rPr>
              <w:t>项目</w:t>
            </w:r>
            <w:r>
              <w:rPr>
                <w:rFonts w:hint="default" w:ascii="Times New Roman" w:hAnsi="Times New Roman" w:cs="Times New Roman"/>
                <w:b w:val="0"/>
                <w:bCs w:val="0"/>
                <w:color w:val="auto"/>
                <w:sz w:val="24"/>
                <w:szCs w:val="20"/>
              </w:rPr>
              <w:t>对环境产生影响较明显的阶段，本项目施工期环境影响分析具体见</w:t>
            </w:r>
            <w:r>
              <w:rPr>
                <w:rFonts w:hint="default" w:ascii="Times New Roman" w:hAnsi="Times New Roman" w:cs="Times New Roman"/>
                <w:b w:val="0"/>
                <w:bCs w:val="0"/>
                <w:color w:val="auto"/>
                <w:sz w:val="24"/>
                <w:szCs w:val="20"/>
                <w:lang w:val="en-US" w:eastAsia="zh-CN"/>
              </w:rPr>
              <w:t>下表</w:t>
            </w:r>
            <w:r>
              <w:rPr>
                <w:rFonts w:hint="default" w:ascii="Times New Roman" w:hAnsi="Times New Roman" w:cs="Times New Roman"/>
                <w:b w:val="0"/>
                <w:bCs w:val="0"/>
                <w:color w:val="auto"/>
                <w:sz w:val="24"/>
                <w:szCs w:val="20"/>
              </w:rPr>
              <w:t>。</w:t>
            </w:r>
            <w:bookmarkEnd w:id="82"/>
            <w:bookmarkEnd w:id="83"/>
            <w:bookmarkEnd w:id="84"/>
            <w:bookmarkEnd w:id="85"/>
          </w:p>
          <w:p w14:paraId="65A329E5">
            <w:pPr>
              <w:keepNext w:val="0"/>
              <w:keepLines w:val="0"/>
              <w:widowControl/>
              <w:suppressLineNumbers w:val="0"/>
              <w:spacing w:line="240" w:lineRule="auto"/>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21"/>
                <w:szCs w:val="21"/>
                <w:lang w:val="en-US" w:eastAsia="zh-CN" w:bidi="ar"/>
              </w:rPr>
              <w:t>表4-1  施工期环境影响因素一览表</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6"/>
              <w:gridCol w:w="1608"/>
              <w:gridCol w:w="1306"/>
              <w:gridCol w:w="4325"/>
            </w:tblGrid>
            <w:tr w14:paraId="2E2B8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noWrap w:val="0"/>
                  <w:vAlign w:val="center"/>
                </w:tcPr>
                <w:p w14:paraId="2D5AE228">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eastAsia="zh-CN"/>
                    </w:rPr>
                  </w:pPr>
                  <w:bookmarkStart w:id="86" w:name="_Toc22316"/>
                  <w:bookmarkStart w:id="87" w:name="_Toc17890"/>
                  <w:bookmarkStart w:id="88" w:name="_Toc8759"/>
                  <w:bookmarkStart w:id="89" w:name="_Toc15715"/>
                  <w:r>
                    <w:rPr>
                      <w:rFonts w:hint="default" w:ascii="Times New Roman" w:hAnsi="Times New Roman" w:eastAsia="宋体" w:cs="Times New Roman"/>
                      <w:b/>
                      <w:bCs/>
                      <w:color w:val="auto"/>
                      <w:sz w:val="21"/>
                      <w:szCs w:val="21"/>
                      <w:vertAlign w:val="baseline"/>
                      <w:lang w:eastAsia="zh-CN"/>
                    </w:rPr>
                    <w:t>环境因素</w:t>
                  </w:r>
                  <w:bookmarkEnd w:id="86"/>
                  <w:bookmarkEnd w:id="87"/>
                  <w:bookmarkEnd w:id="88"/>
                  <w:bookmarkEnd w:id="89"/>
                </w:p>
              </w:tc>
              <w:tc>
                <w:tcPr>
                  <w:tcW w:w="1608" w:type="dxa"/>
                  <w:noWrap w:val="0"/>
                  <w:vAlign w:val="center"/>
                </w:tcPr>
                <w:p w14:paraId="799F8AB9">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eastAsia="zh-CN"/>
                    </w:rPr>
                  </w:pPr>
                  <w:bookmarkStart w:id="90" w:name="_Toc1083"/>
                  <w:bookmarkStart w:id="91" w:name="_Toc864"/>
                  <w:bookmarkStart w:id="92" w:name="_Toc10070"/>
                  <w:bookmarkStart w:id="93" w:name="_Toc17308"/>
                  <w:r>
                    <w:rPr>
                      <w:rFonts w:hint="default" w:ascii="Times New Roman" w:hAnsi="Times New Roman" w:eastAsia="宋体" w:cs="Times New Roman"/>
                      <w:b/>
                      <w:bCs/>
                      <w:color w:val="auto"/>
                      <w:sz w:val="21"/>
                      <w:szCs w:val="21"/>
                      <w:vertAlign w:val="baseline"/>
                      <w:lang w:eastAsia="zh-CN"/>
                    </w:rPr>
                    <w:t>主要影响因素</w:t>
                  </w:r>
                  <w:bookmarkEnd w:id="90"/>
                  <w:bookmarkEnd w:id="91"/>
                  <w:bookmarkEnd w:id="92"/>
                  <w:bookmarkEnd w:id="93"/>
                </w:p>
              </w:tc>
              <w:tc>
                <w:tcPr>
                  <w:tcW w:w="1306" w:type="dxa"/>
                  <w:noWrap w:val="0"/>
                  <w:vAlign w:val="center"/>
                </w:tcPr>
                <w:p w14:paraId="74B3AF9C">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eastAsia="zh-CN"/>
                    </w:rPr>
                  </w:pPr>
                  <w:bookmarkStart w:id="94" w:name="_Toc25976"/>
                  <w:bookmarkStart w:id="95" w:name="_Toc13443"/>
                  <w:bookmarkStart w:id="96" w:name="_Toc5513"/>
                  <w:bookmarkStart w:id="97" w:name="_Toc8225"/>
                  <w:r>
                    <w:rPr>
                      <w:rFonts w:hint="default" w:ascii="Times New Roman" w:hAnsi="Times New Roman" w:eastAsia="宋体" w:cs="Times New Roman"/>
                      <w:b/>
                      <w:bCs/>
                      <w:color w:val="auto"/>
                      <w:sz w:val="21"/>
                      <w:szCs w:val="21"/>
                      <w:vertAlign w:val="baseline"/>
                      <w:lang w:eastAsia="zh-CN"/>
                    </w:rPr>
                    <w:t>影响的性质</w:t>
                  </w:r>
                  <w:bookmarkEnd w:id="94"/>
                  <w:bookmarkEnd w:id="95"/>
                  <w:bookmarkEnd w:id="96"/>
                  <w:bookmarkEnd w:id="97"/>
                </w:p>
              </w:tc>
              <w:tc>
                <w:tcPr>
                  <w:tcW w:w="4325" w:type="dxa"/>
                  <w:noWrap w:val="0"/>
                  <w:vAlign w:val="center"/>
                </w:tcPr>
                <w:p w14:paraId="65F01B1B">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eastAsia="zh-CN"/>
                    </w:rPr>
                  </w:pPr>
                  <w:bookmarkStart w:id="98" w:name="_Toc13327"/>
                  <w:bookmarkStart w:id="99" w:name="_Toc32094"/>
                  <w:bookmarkStart w:id="100" w:name="_Toc28048"/>
                  <w:bookmarkStart w:id="101" w:name="_Toc29382"/>
                  <w:r>
                    <w:rPr>
                      <w:rFonts w:hint="default" w:ascii="Times New Roman" w:hAnsi="Times New Roman" w:eastAsia="宋体" w:cs="Times New Roman"/>
                      <w:b/>
                      <w:bCs/>
                      <w:color w:val="auto"/>
                      <w:sz w:val="21"/>
                      <w:szCs w:val="21"/>
                      <w:vertAlign w:val="baseline"/>
                      <w:lang w:eastAsia="zh-CN"/>
                    </w:rPr>
                    <w:t>影响分析</w:t>
                  </w:r>
                  <w:bookmarkEnd w:id="98"/>
                  <w:bookmarkEnd w:id="99"/>
                  <w:bookmarkEnd w:id="100"/>
                  <w:bookmarkEnd w:id="101"/>
                </w:p>
              </w:tc>
            </w:tr>
            <w:tr w14:paraId="2BA14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vMerge w:val="restart"/>
                  <w:noWrap w:val="0"/>
                  <w:vAlign w:val="center"/>
                </w:tcPr>
                <w:p w14:paraId="52D2863B">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eastAsia="zh-CN"/>
                    </w:rPr>
                  </w:pPr>
                  <w:bookmarkStart w:id="102" w:name="_Toc15384"/>
                  <w:bookmarkStart w:id="103" w:name="_Toc25660"/>
                  <w:bookmarkStart w:id="104" w:name="_Toc27560"/>
                  <w:bookmarkStart w:id="105" w:name="_Toc29193"/>
                  <w:r>
                    <w:rPr>
                      <w:rFonts w:hint="default" w:ascii="Times New Roman" w:hAnsi="Times New Roman" w:eastAsia="宋体" w:cs="Times New Roman"/>
                      <w:b/>
                      <w:bCs/>
                      <w:color w:val="auto"/>
                      <w:sz w:val="21"/>
                      <w:szCs w:val="21"/>
                      <w:vertAlign w:val="baseline"/>
                      <w:lang w:eastAsia="zh-CN"/>
                    </w:rPr>
                    <w:t>环境空气</w:t>
                  </w:r>
                  <w:bookmarkEnd w:id="102"/>
                  <w:bookmarkEnd w:id="103"/>
                  <w:bookmarkEnd w:id="104"/>
                  <w:bookmarkEnd w:id="105"/>
                </w:p>
              </w:tc>
              <w:tc>
                <w:tcPr>
                  <w:tcW w:w="1608" w:type="dxa"/>
                  <w:noWrap w:val="0"/>
                  <w:vAlign w:val="center"/>
                </w:tcPr>
                <w:p w14:paraId="20C2C318">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rPr>
                  </w:pPr>
                  <w:bookmarkStart w:id="106" w:name="_Toc10355"/>
                  <w:bookmarkStart w:id="107" w:name="_Toc29602"/>
                  <w:bookmarkStart w:id="108" w:name="_Toc2502"/>
                  <w:bookmarkStart w:id="109" w:name="_Toc16202"/>
                  <w:r>
                    <w:rPr>
                      <w:rFonts w:hint="default" w:ascii="Times New Roman" w:hAnsi="Times New Roman" w:eastAsia="宋体" w:cs="Times New Roman"/>
                      <w:b w:val="0"/>
                      <w:bCs w:val="0"/>
                      <w:color w:val="auto"/>
                      <w:sz w:val="21"/>
                      <w:szCs w:val="21"/>
                      <w:vertAlign w:val="baseline"/>
                    </w:rPr>
                    <w:t>扬尘</w:t>
                  </w:r>
                  <w:bookmarkEnd w:id="106"/>
                  <w:bookmarkEnd w:id="107"/>
                  <w:bookmarkEnd w:id="108"/>
                  <w:bookmarkEnd w:id="109"/>
                </w:p>
              </w:tc>
              <w:tc>
                <w:tcPr>
                  <w:tcW w:w="1306" w:type="dxa"/>
                  <w:vMerge w:val="restart"/>
                  <w:noWrap w:val="0"/>
                  <w:vAlign w:val="center"/>
                </w:tcPr>
                <w:p w14:paraId="175549BD">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rPr>
                  </w:pPr>
                  <w:bookmarkStart w:id="110" w:name="_Toc9776"/>
                  <w:bookmarkStart w:id="111" w:name="_Toc19040"/>
                  <w:bookmarkStart w:id="112" w:name="_Toc19160"/>
                  <w:bookmarkStart w:id="113" w:name="_Toc9577"/>
                  <w:r>
                    <w:rPr>
                      <w:rFonts w:hint="default" w:ascii="Times New Roman" w:hAnsi="Times New Roman" w:eastAsia="宋体" w:cs="Times New Roman"/>
                      <w:b w:val="0"/>
                      <w:bCs w:val="0"/>
                      <w:color w:val="auto"/>
                      <w:sz w:val="21"/>
                      <w:szCs w:val="21"/>
                      <w:vertAlign w:val="baseline"/>
                      <w:lang w:val="en-US" w:eastAsia="zh-CN"/>
                    </w:rPr>
                    <w:t>短期、可逆、不利</w:t>
                  </w:r>
                  <w:bookmarkEnd w:id="110"/>
                  <w:bookmarkEnd w:id="111"/>
                  <w:bookmarkEnd w:id="112"/>
                  <w:bookmarkEnd w:id="113"/>
                </w:p>
              </w:tc>
              <w:tc>
                <w:tcPr>
                  <w:tcW w:w="4325" w:type="dxa"/>
                  <w:vMerge w:val="restart"/>
                  <w:noWrap w:val="0"/>
                  <w:vAlign w:val="center"/>
                </w:tcPr>
                <w:p w14:paraId="076B05D0">
                  <w:pPr>
                    <w:pStyle w:val="51"/>
                    <w:numPr>
                      <w:ilvl w:val="0"/>
                      <w:numId w:val="0"/>
                    </w:numPr>
                    <w:spacing w:before="0" w:beforeLines="0" w:line="240" w:lineRule="auto"/>
                    <w:jc w:val="left"/>
                    <w:rPr>
                      <w:rFonts w:hint="default" w:ascii="Times New Roman" w:hAnsi="Times New Roman" w:eastAsia="宋体" w:cs="Times New Roman"/>
                      <w:b w:val="0"/>
                      <w:bCs w:val="0"/>
                      <w:color w:val="auto"/>
                      <w:sz w:val="21"/>
                      <w:szCs w:val="21"/>
                      <w:vertAlign w:val="baseline"/>
                    </w:rPr>
                  </w:pPr>
                  <w:bookmarkStart w:id="114" w:name="_Toc13313"/>
                  <w:bookmarkStart w:id="115" w:name="_Toc29431"/>
                  <w:bookmarkStart w:id="116" w:name="_Toc4331"/>
                  <w:bookmarkStart w:id="117" w:name="_Toc1154"/>
                  <w:r>
                    <w:rPr>
                      <w:rFonts w:hint="default" w:ascii="Times New Roman" w:hAnsi="Times New Roman" w:eastAsia="宋体" w:cs="Times New Roman"/>
                      <w:b w:val="0"/>
                      <w:bCs w:val="0"/>
                      <w:color w:val="auto"/>
                      <w:sz w:val="21"/>
                      <w:szCs w:val="21"/>
                      <w:vertAlign w:val="baseline"/>
                    </w:rPr>
                    <w:t>1、粉状物料的装卸、运输、堆放过程产生粉尘污染；</w:t>
                  </w:r>
                  <w:bookmarkEnd w:id="114"/>
                  <w:bookmarkEnd w:id="115"/>
                  <w:bookmarkEnd w:id="116"/>
                  <w:bookmarkEnd w:id="117"/>
                </w:p>
                <w:p w14:paraId="78D413F2">
                  <w:pPr>
                    <w:pStyle w:val="51"/>
                    <w:numPr>
                      <w:ilvl w:val="0"/>
                      <w:numId w:val="0"/>
                    </w:numPr>
                    <w:spacing w:before="0" w:beforeLines="0" w:line="240" w:lineRule="auto"/>
                    <w:jc w:val="left"/>
                    <w:rPr>
                      <w:rFonts w:hint="default" w:ascii="Times New Roman" w:hAnsi="Times New Roman" w:eastAsia="宋体" w:cs="Times New Roman"/>
                      <w:b w:val="0"/>
                      <w:bCs w:val="0"/>
                      <w:color w:val="auto"/>
                      <w:sz w:val="21"/>
                      <w:szCs w:val="21"/>
                      <w:vertAlign w:val="baseline"/>
                    </w:rPr>
                  </w:pPr>
                  <w:bookmarkStart w:id="118" w:name="_Toc31851"/>
                  <w:bookmarkStart w:id="119" w:name="_Toc18210"/>
                  <w:bookmarkStart w:id="120" w:name="_Toc24987"/>
                  <w:bookmarkStart w:id="121" w:name="_Toc29562"/>
                  <w:r>
                    <w:rPr>
                      <w:rFonts w:hint="default" w:ascii="Times New Roman" w:hAnsi="Times New Roman" w:eastAsia="宋体" w:cs="Times New Roman"/>
                      <w:b w:val="0"/>
                      <w:bCs w:val="0"/>
                      <w:color w:val="auto"/>
                      <w:sz w:val="21"/>
                      <w:szCs w:val="21"/>
                      <w:vertAlign w:val="baseline"/>
                    </w:rPr>
                    <w:t>2、</w:t>
                  </w:r>
                  <w:bookmarkEnd w:id="118"/>
                  <w:bookmarkEnd w:id="119"/>
                  <w:bookmarkStart w:id="122" w:name="_Toc22769"/>
                  <w:bookmarkStart w:id="123" w:name="_Toc8943"/>
                  <w:r>
                    <w:rPr>
                      <w:rFonts w:hint="default" w:ascii="Times New Roman" w:hAnsi="Times New Roman" w:eastAsia="宋体" w:cs="Times New Roman"/>
                      <w:b w:val="0"/>
                      <w:bCs w:val="0"/>
                      <w:color w:val="auto"/>
                      <w:sz w:val="21"/>
                      <w:szCs w:val="21"/>
                      <w:vertAlign w:val="baseline"/>
                    </w:rPr>
                    <w:t>以柴油为燃料的施工机械及运输车辆排放的废气中含有烟尘、NO</w:t>
                  </w:r>
                  <w:r>
                    <w:rPr>
                      <w:rFonts w:hint="default" w:ascii="Times New Roman" w:hAnsi="Times New Roman" w:eastAsia="宋体" w:cs="Times New Roman"/>
                      <w:b w:val="0"/>
                      <w:bCs w:val="0"/>
                      <w:color w:val="auto"/>
                      <w:sz w:val="21"/>
                      <w:szCs w:val="21"/>
                      <w:vertAlign w:val="subscript"/>
                    </w:rPr>
                    <w:t>X</w:t>
                  </w:r>
                  <w:r>
                    <w:rPr>
                      <w:rFonts w:hint="default" w:ascii="Times New Roman" w:hAnsi="Times New Roman" w:eastAsia="宋体" w:cs="Times New Roman"/>
                      <w:b w:val="0"/>
                      <w:bCs w:val="0"/>
                      <w:color w:val="auto"/>
                      <w:sz w:val="21"/>
                      <w:szCs w:val="21"/>
                      <w:vertAlign w:val="baseline"/>
                    </w:rPr>
                    <w:t>、CO、THC（烃类）等污染物。</w:t>
                  </w:r>
                  <w:bookmarkEnd w:id="120"/>
                  <w:bookmarkEnd w:id="121"/>
                  <w:bookmarkEnd w:id="122"/>
                  <w:bookmarkEnd w:id="123"/>
                </w:p>
              </w:tc>
            </w:tr>
            <w:tr w14:paraId="71BCB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vMerge w:val="continue"/>
                  <w:noWrap w:val="0"/>
                  <w:vAlign w:val="center"/>
                </w:tcPr>
                <w:p w14:paraId="5FA2FC5D">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rPr>
                  </w:pPr>
                </w:p>
              </w:tc>
              <w:tc>
                <w:tcPr>
                  <w:tcW w:w="1608" w:type="dxa"/>
                  <w:noWrap w:val="0"/>
                  <w:vAlign w:val="center"/>
                </w:tcPr>
                <w:p w14:paraId="16656330">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rPr>
                  </w:pPr>
                  <w:bookmarkStart w:id="124" w:name="_Toc9657"/>
                  <w:bookmarkStart w:id="125" w:name="_Toc1321"/>
                  <w:bookmarkStart w:id="126" w:name="_Toc19949"/>
                  <w:bookmarkStart w:id="127" w:name="_Toc23037"/>
                  <w:r>
                    <w:rPr>
                      <w:rFonts w:hint="default" w:ascii="Times New Roman" w:hAnsi="Times New Roman" w:eastAsia="宋体" w:cs="Times New Roman"/>
                      <w:b w:val="0"/>
                      <w:bCs w:val="0"/>
                      <w:color w:val="auto"/>
                      <w:sz w:val="21"/>
                      <w:szCs w:val="21"/>
                      <w:vertAlign w:val="baseline"/>
                    </w:rPr>
                    <w:t>施工机械及运输车辆废气</w:t>
                  </w:r>
                  <w:bookmarkEnd w:id="124"/>
                  <w:bookmarkEnd w:id="125"/>
                  <w:bookmarkEnd w:id="126"/>
                  <w:bookmarkEnd w:id="127"/>
                </w:p>
              </w:tc>
              <w:tc>
                <w:tcPr>
                  <w:tcW w:w="1306" w:type="dxa"/>
                  <w:vMerge w:val="continue"/>
                  <w:noWrap w:val="0"/>
                  <w:vAlign w:val="center"/>
                </w:tcPr>
                <w:p w14:paraId="46335031">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rPr>
                  </w:pPr>
                </w:p>
              </w:tc>
              <w:tc>
                <w:tcPr>
                  <w:tcW w:w="4325" w:type="dxa"/>
                  <w:vMerge w:val="continue"/>
                  <w:noWrap w:val="0"/>
                  <w:vAlign w:val="center"/>
                </w:tcPr>
                <w:p w14:paraId="0C29CDD3">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rPr>
                  </w:pPr>
                </w:p>
              </w:tc>
            </w:tr>
            <w:tr w14:paraId="2DBBA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vMerge w:val="restart"/>
                  <w:noWrap w:val="0"/>
                  <w:vAlign w:val="center"/>
                </w:tcPr>
                <w:p w14:paraId="490E123E">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eastAsia="zh-CN"/>
                    </w:rPr>
                  </w:pPr>
                  <w:bookmarkStart w:id="128" w:name="_Toc10098"/>
                  <w:bookmarkStart w:id="129" w:name="_Toc32743"/>
                  <w:bookmarkStart w:id="130" w:name="_Toc30790"/>
                  <w:bookmarkStart w:id="131" w:name="_Toc20554"/>
                  <w:r>
                    <w:rPr>
                      <w:rFonts w:hint="default" w:ascii="Times New Roman" w:hAnsi="Times New Roman" w:eastAsia="宋体" w:cs="Times New Roman"/>
                      <w:b/>
                      <w:bCs/>
                      <w:color w:val="auto"/>
                      <w:sz w:val="21"/>
                      <w:szCs w:val="21"/>
                      <w:vertAlign w:val="baseline"/>
                      <w:lang w:eastAsia="zh-CN"/>
                    </w:rPr>
                    <w:t>地表水</w:t>
                  </w:r>
                  <w:bookmarkEnd w:id="128"/>
                  <w:bookmarkEnd w:id="129"/>
                  <w:bookmarkEnd w:id="130"/>
                  <w:bookmarkEnd w:id="131"/>
                </w:p>
                <w:p w14:paraId="00566B57">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eastAsia="zh-CN"/>
                    </w:rPr>
                  </w:pPr>
                  <w:bookmarkStart w:id="132" w:name="_Toc30026"/>
                  <w:bookmarkStart w:id="133" w:name="_Toc2924"/>
                  <w:bookmarkStart w:id="134" w:name="_Toc32126"/>
                  <w:bookmarkStart w:id="135" w:name="_Toc23182"/>
                  <w:r>
                    <w:rPr>
                      <w:rFonts w:hint="default" w:ascii="Times New Roman" w:hAnsi="Times New Roman" w:eastAsia="宋体" w:cs="Times New Roman"/>
                      <w:b/>
                      <w:bCs/>
                      <w:color w:val="auto"/>
                      <w:sz w:val="21"/>
                      <w:szCs w:val="21"/>
                      <w:vertAlign w:val="baseline"/>
                      <w:lang w:eastAsia="zh-CN"/>
                    </w:rPr>
                    <w:t>环境</w:t>
                  </w:r>
                  <w:bookmarkEnd w:id="132"/>
                  <w:bookmarkEnd w:id="133"/>
                  <w:bookmarkEnd w:id="134"/>
                  <w:bookmarkEnd w:id="135"/>
                </w:p>
              </w:tc>
              <w:tc>
                <w:tcPr>
                  <w:tcW w:w="1608" w:type="dxa"/>
                  <w:noWrap w:val="0"/>
                  <w:vAlign w:val="center"/>
                </w:tcPr>
                <w:p w14:paraId="75C547DB">
                  <w:pPr>
                    <w:pStyle w:val="51"/>
                    <w:numPr>
                      <w:ilvl w:val="0"/>
                      <w:numId w:val="0"/>
                    </w:numPr>
                    <w:spacing w:before="0" w:beforeLines="0" w:line="240" w:lineRule="auto"/>
                    <w:ind w:left="0" w:lef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施工场地</w:t>
                  </w:r>
                </w:p>
              </w:tc>
              <w:tc>
                <w:tcPr>
                  <w:tcW w:w="1306" w:type="dxa"/>
                  <w:vMerge w:val="restart"/>
                  <w:noWrap w:val="0"/>
                  <w:vAlign w:val="center"/>
                </w:tcPr>
                <w:p w14:paraId="20A2C48B">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rPr>
                  </w:pPr>
                  <w:bookmarkStart w:id="136" w:name="_Toc11752"/>
                  <w:bookmarkStart w:id="137" w:name="_Toc7316"/>
                  <w:bookmarkStart w:id="138" w:name="_Toc23762"/>
                  <w:bookmarkStart w:id="139" w:name="_Toc12216"/>
                  <w:r>
                    <w:rPr>
                      <w:rFonts w:hint="default" w:ascii="Times New Roman" w:hAnsi="Times New Roman" w:eastAsia="宋体" w:cs="Times New Roman"/>
                      <w:b w:val="0"/>
                      <w:bCs w:val="0"/>
                      <w:color w:val="auto"/>
                      <w:sz w:val="21"/>
                      <w:szCs w:val="21"/>
                      <w:vertAlign w:val="baseline"/>
                    </w:rPr>
                    <w:t>短期、可逆、不利</w:t>
                  </w:r>
                  <w:bookmarkEnd w:id="136"/>
                  <w:bookmarkEnd w:id="137"/>
                  <w:bookmarkEnd w:id="138"/>
                  <w:bookmarkEnd w:id="139"/>
                </w:p>
              </w:tc>
              <w:tc>
                <w:tcPr>
                  <w:tcW w:w="4325" w:type="dxa"/>
                  <w:vMerge w:val="restart"/>
                  <w:noWrap w:val="0"/>
                  <w:vAlign w:val="center"/>
                </w:tcPr>
                <w:p w14:paraId="51D4254B">
                  <w:pPr>
                    <w:pStyle w:val="51"/>
                    <w:numPr>
                      <w:ilvl w:val="0"/>
                      <w:numId w:val="0"/>
                    </w:numPr>
                    <w:spacing w:before="0" w:beforeLines="0" w:line="240" w:lineRule="auto"/>
                    <w:jc w:val="left"/>
                    <w:rPr>
                      <w:rFonts w:hint="default" w:ascii="Times New Roman" w:hAnsi="Times New Roman" w:eastAsia="宋体" w:cs="Times New Roman"/>
                      <w:b w:val="0"/>
                      <w:bCs w:val="0"/>
                      <w:color w:val="auto"/>
                      <w:sz w:val="21"/>
                      <w:szCs w:val="21"/>
                      <w:vertAlign w:val="baseline"/>
                    </w:rPr>
                  </w:pPr>
                  <w:bookmarkStart w:id="140" w:name="_Toc14074"/>
                  <w:bookmarkStart w:id="141" w:name="_Toc7434"/>
                  <w:bookmarkStart w:id="142" w:name="_Toc9909"/>
                  <w:bookmarkStart w:id="143" w:name="_Toc600"/>
                  <w:r>
                    <w:rPr>
                      <w:rFonts w:hint="eastAsia" w:cs="Times New Roman"/>
                      <w:b w:val="0"/>
                      <w:bCs w:val="0"/>
                      <w:color w:val="auto"/>
                      <w:sz w:val="21"/>
                      <w:szCs w:val="21"/>
                      <w:vertAlign w:val="baseline"/>
                      <w:lang w:val="en-US" w:eastAsia="zh-CN"/>
                    </w:rPr>
                    <w:t>1</w:t>
                  </w:r>
                  <w:r>
                    <w:rPr>
                      <w:rFonts w:hint="default" w:ascii="Times New Roman" w:hAnsi="Times New Roman" w:eastAsia="宋体" w:cs="Times New Roman"/>
                      <w:b w:val="0"/>
                      <w:bCs w:val="0"/>
                      <w:color w:val="auto"/>
                      <w:sz w:val="21"/>
                      <w:szCs w:val="21"/>
                      <w:vertAlign w:val="baseline"/>
                    </w:rPr>
                    <w:t>、施工场地产生一定数量的生产废水、冲洗废水，这些废水一旦直接排入附近的河流，将影响水体水质；</w:t>
                  </w:r>
                  <w:bookmarkEnd w:id="140"/>
                  <w:bookmarkEnd w:id="141"/>
                  <w:bookmarkEnd w:id="142"/>
                  <w:bookmarkEnd w:id="143"/>
                </w:p>
                <w:p w14:paraId="6A635DC6">
                  <w:pPr>
                    <w:pStyle w:val="51"/>
                    <w:numPr>
                      <w:ilvl w:val="0"/>
                      <w:numId w:val="0"/>
                    </w:numPr>
                    <w:spacing w:before="0" w:beforeLines="0" w:line="240" w:lineRule="auto"/>
                    <w:jc w:val="left"/>
                    <w:rPr>
                      <w:rFonts w:hint="default" w:ascii="Times New Roman" w:hAnsi="Times New Roman" w:eastAsia="宋体" w:cs="Times New Roman"/>
                      <w:b w:val="0"/>
                      <w:bCs w:val="0"/>
                      <w:color w:val="auto"/>
                      <w:sz w:val="21"/>
                      <w:szCs w:val="21"/>
                      <w:vertAlign w:val="baseline"/>
                    </w:rPr>
                  </w:pPr>
                  <w:bookmarkStart w:id="144" w:name="_Toc22119"/>
                  <w:bookmarkStart w:id="145" w:name="_Toc137"/>
                  <w:bookmarkStart w:id="146" w:name="_Toc5088"/>
                  <w:bookmarkStart w:id="147" w:name="_Toc19680"/>
                  <w:r>
                    <w:rPr>
                      <w:rFonts w:hint="eastAsia" w:cs="Times New Roman"/>
                      <w:b w:val="0"/>
                      <w:bCs w:val="0"/>
                      <w:color w:val="auto"/>
                      <w:sz w:val="21"/>
                      <w:szCs w:val="21"/>
                      <w:vertAlign w:val="baseline"/>
                      <w:lang w:val="en-US" w:eastAsia="zh-CN"/>
                    </w:rPr>
                    <w:t>2</w:t>
                  </w:r>
                  <w:r>
                    <w:rPr>
                      <w:rFonts w:hint="default" w:ascii="Times New Roman" w:hAnsi="Times New Roman" w:eastAsia="宋体" w:cs="Times New Roman"/>
                      <w:b w:val="0"/>
                      <w:bCs w:val="0"/>
                      <w:color w:val="auto"/>
                      <w:sz w:val="21"/>
                      <w:szCs w:val="21"/>
                      <w:vertAlign w:val="baseline"/>
                    </w:rPr>
                    <w:t>、施工人员产生生活污水</w:t>
                  </w:r>
                  <w:r>
                    <w:rPr>
                      <w:rFonts w:hint="default" w:ascii="Times New Roman" w:hAnsi="Times New Roman" w:cs="Times New Roman"/>
                      <w:b w:val="0"/>
                      <w:bCs w:val="0"/>
                      <w:color w:val="auto"/>
                      <w:sz w:val="21"/>
                      <w:szCs w:val="21"/>
                      <w:vertAlign w:val="baseline"/>
                      <w:lang w:eastAsia="zh-CN"/>
                    </w:rPr>
                    <w:t>；</w:t>
                  </w:r>
                  <w:bookmarkEnd w:id="144"/>
                  <w:bookmarkEnd w:id="145"/>
                  <w:bookmarkEnd w:id="146"/>
                  <w:bookmarkEnd w:id="147"/>
                </w:p>
              </w:tc>
            </w:tr>
            <w:tr w14:paraId="3D621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1096" w:type="dxa"/>
                  <w:vMerge w:val="continue"/>
                  <w:noWrap w:val="0"/>
                  <w:vAlign w:val="center"/>
                </w:tcPr>
                <w:p w14:paraId="05EB09ED">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rPr>
                  </w:pPr>
                </w:p>
              </w:tc>
              <w:tc>
                <w:tcPr>
                  <w:tcW w:w="1608" w:type="dxa"/>
                  <w:noWrap w:val="0"/>
                  <w:vAlign w:val="center"/>
                </w:tcPr>
                <w:p w14:paraId="099D6DAA">
                  <w:pPr>
                    <w:pStyle w:val="51"/>
                    <w:numPr>
                      <w:ilvl w:val="0"/>
                      <w:numId w:val="0"/>
                    </w:numPr>
                    <w:spacing w:before="0" w:beforeLines="0" w:line="240" w:lineRule="auto"/>
                    <w:ind w:left="0" w:leftChars="0" w:firstLine="0" w:firstLineChars="0"/>
                    <w:jc w:val="center"/>
                    <w:rPr>
                      <w:rFonts w:hint="default"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color w:val="auto"/>
                      <w:sz w:val="21"/>
                      <w:szCs w:val="21"/>
                      <w:vertAlign w:val="baseline"/>
                    </w:rPr>
                    <w:t>降水地表径流</w:t>
                  </w:r>
                </w:p>
              </w:tc>
              <w:tc>
                <w:tcPr>
                  <w:tcW w:w="1306" w:type="dxa"/>
                  <w:vMerge w:val="continue"/>
                  <w:noWrap w:val="0"/>
                  <w:vAlign w:val="center"/>
                </w:tcPr>
                <w:p w14:paraId="70763B0E">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rPr>
                  </w:pPr>
                </w:p>
              </w:tc>
              <w:tc>
                <w:tcPr>
                  <w:tcW w:w="4325" w:type="dxa"/>
                  <w:vMerge w:val="continue"/>
                  <w:noWrap w:val="0"/>
                  <w:vAlign w:val="center"/>
                </w:tcPr>
                <w:p w14:paraId="0CC4DB98">
                  <w:pPr>
                    <w:pStyle w:val="51"/>
                    <w:numPr>
                      <w:ilvl w:val="0"/>
                      <w:numId w:val="0"/>
                    </w:numPr>
                    <w:spacing w:before="0" w:beforeLines="0" w:line="240" w:lineRule="auto"/>
                    <w:jc w:val="left"/>
                    <w:rPr>
                      <w:rFonts w:hint="default" w:ascii="Times New Roman" w:hAnsi="Times New Roman" w:eastAsia="宋体" w:cs="Times New Roman"/>
                      <w:b w:val="0"/>
                      <w:bCs w:val="0"/>
                      <w:color w:val="auto"/>
                      <w:sz w:val="21"/>
                      <w:szCs w:val="21"/>
                      <w:vertAlign w:val="baseline"/>
                    </w:rPr>
                  </w:pPr>
                </w:p>
              </w:tc>
            </w:tr>
            <w:tr w14:paraId="47D3B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vMerge w:val="continue"/>
                  <w:noWrap w:val="0"/>
                  <w:vAlign w:val="center"/>
                </w:tcPr>
                <w:p w14:paraId="1B9CAE85">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rPr>
                  </w:pPr>
                </w:p>
              </w:tc>
              <w:tc>
                <w:tcPr>
                  <w:tcW w:w="1608" w:type="dxa"/>
                  <w:noWrap w:val="0"/>
                  <w:vAlign w:val="center"/>
                </w:tcPr>
                <w:p w14:paraId="2A3F5304">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lang w:eastAsia="zh-CN"/>
                    </w:rPr>
                  </w:pPr>
                  <w:bookmarkStart w:id="148" w:name="_Toc23042"/>
                  <w:bookmarkStart w:id="149" w:name="_Toc204"/>
                  <w:bookmarkStart w:id="150" w:name="_Toc1637"/>
                  <w:bookmarkStart w:id="151" w:name="_Toc28095"/>
                  <w:r>
                    <w:rPr>
                      <w:rFonts w:hint="default" w:ascii="Times New Roman" w:hAnsi="Times New Roman" w:eastAsia="宋体" w:cs="Times New Roman"/>
                      <w:b w:val="0"/>
                      <w:bCs w:val="0"/>
                      <w:color w:val="auto"/>
                      <w:sz w:val="21"/>
                      <w:szCs w:val="21"/>
                      <w:vertAlign w:val="baseline"/>
                      <w:lang w:val="en-US" w:eastAsia="zh-CN"/>
                    </w:rPr>
                    <w:t>施工运输车辆</w:t>
                  </w:r>
                  <w:bookmarkEnd w:id="148"/>
                  <w:bookmarkEnd w:id="149"/>
                  <w:bookmarkEnd w:id="150"/>
                  <w:bookmarkEnd w:id="151"/>
                </w:p>
              </w:tc>
              <w:tc>
                <w:tcPr>
                  <w:tcW w:w="1306" w:type="dxa"/>
                  <w:vMerge w:val="continue"/>
                  <w:noWrap w:val="0"/>
                  <w:vAlign w:val="center"/>
                </w:tcPr>
                <w:p w14:paraId="59D9135E">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lang w:eastAsia="zh-CN"/>
                    </w:rPr>
                  </w:pPr>
                </w:p>
              </w:tc>
              <w:tc>
                <w:tcPr>
                  <w:tcW w:w="4325" w:type="dxa"/>
                  <w:vMerge w:val="continue"/>
                  <w:noWrap w:val="0"/>
                  <w:vAlign w:val="center"/>
                </w:tcPr>
                <w:p w14:paraId="56FF86B4">
                  <w:pPr>
                    <w:pStyle w:val="51"/>
                    <w:numPr>
                      <w:ilvl w:val="0"/>
                      <w:numId w:val="0"/>
                    </w:numPr>
                    <w:spacing w:before="0" w:beforeLines="0" w:line="240" w:lineRule="auto"/>
                    <w:jc w:val="left"/>
                    <w:rPr>
                      <w:rFonts w:hint="default" w:ascii="Times New Roman" w:hAnsi="Times New Roman" w:eastAsia="宋体" w:cs="Times New Roman"/>
                      <w:b w:val="0"/>
                      <w:bCs w:val="0"/>
                      <w:color w:val="auto"/>
                      <w:sz w:val="21"/>
                      <w:szCs w:val="21"/>
                      <w:vertAlign w:val="baseline"/>
                    </w:rPr>
                  </w:pPr>
                </w:p>
              </w:tc>
            </w:tr>
            <w:tr w14:paraId="10F1F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1096" w:type="dxa"/>
                  <w:noWrap w:val="0"/>
                  <w:vAlign w:val="center"/>
                </w:tcPr>
                <w:p w14:paraId="552AEEB9">
                  <w:pPr>
                    <w:pStyle w:val="51"/>
                    <w:numPr>
                      <w:ilvl w:val="0"/>
                      <w:numId w:val="0"/>
                    </w:numPr>
                    <w:spacing w:before="0" w:beforeLines="0" w:line="240" w:lineRule="auto"/>
                    <w:ind w:left="0" w:leftChars="0" w:firstLine="0" w:firstLineChars="0"/>
                    <w:jc w:val="center"/>
                    <w:rPr>
                      <w:rFonts w:hint="default" w:ascii="Times New Roman" w:hAnsi="Times New Roman" w:eastAsia="宋体" w:cs="Times New Roman"/>
                      <w:b/>
                      <w:bCs/>
                      <w:color w:val="auto"/>
                      <w:sz w:val="21"/>
                      <w:szCs w:val="21"/>
                      <w:vertAlign w:val="baseline"/>
                    </w:rPr>
                  </w:pPr>
                  <w:bookmarkStart w:id="152" w:name="_Toc3217"/>
                  <w:bookmarkStart w:id="153" w:name="_Toc32097"/>
                  <w:bookmarkStart w:id="154" w:name="_Toc18613"/>
                  <w:bookmarkStart w:id="155" w:name="_Toc4648"/>
                  <w:r>
                    <w:rPr>
                      <w:rFonts w:hint="default" w:ascii="Times New Roman" w:hAnsi="Times New Roman" w:eastAsia="宋体" w:cs="Times New Roman"/>
                      <w:b/>
                      <w:bCs/>
                      <w:color w:val="auto"/>
                      <w:sz w:val="21"/>
                      <w:szCs w:val="21"/>
                      <w:vertAlign w:val="baseline"/>
                      <w:lang w:eastAsia="zh-CN"/>
                    </w:rPr>
                    <w:t>声环境</w:t>
                  </w:r>
                </w:p>
              </w:tc>
              <w:tc>
                <w:tcPr>
                  <w:tcW w:w="1608" w:type="dxa"/>
                  <w:noWrap w:val="0"/>
                  <w:vAlign w:val="center"/>
                </w:tcPr>
                <w:p w14:paraId="74C3DBE6">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施工运输车辆</w:t>
                  </w:r>
                </w:p>
              </w:tc>
              <w:tc>
                <w:tcPr>
                  <w:tcW w:w="1306" w:type="dxa"/>
                  <w:noWrap w:val="0"/>
                  <w:vAlign w:val="center"/>
                </w:tcPr>
                <w:p w14:paraId="10EB41E0">
                  <w:pPr>
                    <w:pStyle w:val="51"/>
                    <w:numPr>
                      <w:ilvl w:val="0"/>
                      <w:numId w:val="0"/>
                    </w:numPr>
                    <w:spacing w:before="0" w:beforeLines="0" w:line="240" w:lineRule="auto"/>
                    <w:ind w:left="0" w:leftChars="0" w:firstLine="0" w:firstLineChars="0"/>
                    <w:jc w:val="center"/>
                    <w:rPr>
                      <w:rFonts w:hint="default" w:ascii="Times New Roman" w:hAnsi="Times New Roman" w:eastAsia="宋体" w:cs="Times New Roman"/>
                      <w:b w:val="0"/>
                      <w:bCs w:val="0"/>
                      <w:color w:val="auto"/>
                      <w:sz w:val="21"/>
                      <w:szCs w:val="21"/>
                      <w:vertAlign w:val="baseline"/>
                      <w:lang w:eastAsia="zh-CN"/>
                    </w:rPr>
                  </w:pPr>
                  <w:r>
                    <w:rPr>
                      <w:rFonts w:hint="default" w:ascii="Times New Roman" w:hAnsi="Times New Roman" w:eastAsia="宋体" w:cs="Times New Roman"/>
                      <w:b w:val="0"/>
                      <w:bCs w:val="0"/>
                      <w:color w:val="auto"/>
                      <w:sz w:val="21"/>
                      <w:szCs w:val="21"/>
                      <w:vertAlign w:val="baseline"/>
                      <w:lang w:val="en-US" w:eastAsia="zh-CN"/>
                    </w:rPr>
                    <w:t>短期、可逆、不利</w:t>
                  </w:r>
                </w:p>
              </w:tc>
              <w:tc>
                <w:tcPr>
                  <w:tcW w:w="4325" w:type="dxa"/>
                  <w:noWrap w:val="0"/>
                  <w:vAlign w:val="center"/>
                </w:tcPr>
                <w:p w14:paraId="25D85BB7">
                  <w:pPr>
                    <w:pStyle w:val="51"/>
                    <w:numPr>
                      <w:ilvl w:val="0"/>
                      <w:numId w:val="0"/>
                    </w:numPr>
                    <w:spacing w:before="0" w:beforeLines="0" w:line="240" w:lineRule="auto"/>
                    <w:ind w:left="0" w:leftChars="0" w:firstLine="0" w:firstLineChars="0"/>
                    <w:jc w:val="left"/>
                    <w:rPr>
                      <w:rFonts w:hint="default" w:ascii="Times New Roman" w:hAnsi="Times New Roman" w:eastAsia="宋体" w:cs="Times New Roman"/>
                      <w:b w:val="0"/>
                      <w:bCs w:val="0"/>
                      <w:color w:val="auto"/>
                      <w:sz w:val="21"/>
                      <w:szCs w:val="21"/>
                      <w:vertAlign w:val="baseline"/>
                    </w:rPr>
                  </w:pPr>
                  <w:r>
                    <w:rPr>
                      <w:rFonts w:hint="eastAsia" w:ascii="Times New Roman" w:hAnsi="Times New Roman" w:eastAsia="宋体" w:cs="Times New Roman"/>
                      <w:b w:val="0"/>
                      <w:bCs w:val="0"/>
                      <w:color w:val="auto"/>
                      <w:sz w:val="21"/>
                      <w:szCs w:val="21"/>
                      <w:vertAlign w:val="baseline"/>
                      <w:lang w:val="en-US" w:eastAsia="zh-CN"/>
                    </w:rPr>
                    <w:t>根据调查，本项目沿线居民均已拆迁，但运输</w:t>
                  </w:r>
                  <w:r>
                    <w:rPr>
                      <w:rFonts w:hint="default" w:ascii="Times New Roman" w:hAnsi="Times New Roman" w:eastAsia="宋体" w:cs="Times New Roman"/>
                      <w:b w:val="0"/>
                      <w:bCs w:val="0"/>
                      <w:color w:val="auto"/>
                      <w:sz w:val="21"/>
                      <w:szCs w:val="21"/>
                      <w:vertAlign w:val="baseline"/>
                      <w:lang w:val="en-US" w:eastAsia="zh-CN"/>
                    </w:rPr>
                    <w:t>车辆对</w:t>
                  </w:r>
                  <w:r>
                    <w:rPr>
                      <w:rFonts w:hint="eastAsia" w:ascii="Times New Roman" w:hAnsi="Times New Roman" w:eastAsia="宋体" w:cs="Times New Roman"/>
                      <w:b w:val="0"/>
                      <w:bCs w:val="0"/>
                      <w:color w:val="auto"/>
                      <w:sz w:val="21"/>
                      <w:szCs w:val="21"/>
                      <w:vertAlign w:val="baseline"/>
                      <w:lang w:val="en-US" w:eastAsia="zh-CN"/>
                    </w:rPr>
                    <w:t>运输道路</w:t>
                  </w:r>
                  <w:r>
                    <w:rPr>
                      <w:rFonts w:hint="default" w:ascii="Times New Roman" w:hAnsi="Times New Roman" w:eastAsia="宋体" w:cs="Times New Roman"/>
                      <w:b w:val="0"/>
                      <w:bCs w:val="0"/>
                      <w:color w:val="auto"/>
                      <w:sz w:val="21"/>
                      <w:szCs w:val="21"/>
                      <w:vertAlign w:val="baseline"/>
                      <w:lang w:val="en-US" w:eastAsia="zh-CN"/>
                    </w:rPr>
                    <w:t>沿线较近的声环境敏感点会造成不利影响</w:t>
                  </w:r>
                </w:p>
              </w:tc>
            </w:tr>
            <w:tr w14:paraId="522F7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noWrap w:val="0"/>
                  <w:vAlign w:val="center"/>
                </w:tcPr>
                <w:p w14:paraId="57DA2EDD">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固体废物</w:t>
                  </w:r>
                  <w:bookmarkEnd w:id="152"/>
                  <w:bookmarkEnd w:id="153"/>
                  <w:bookmarkEnd w:id="154"/>
                  <w:bookmarkEnd w:id="155"/>
                </w:p>
              </w:tc>
              <w:tc>
                <w:tcPr>
                  <w:tcW w:w="1608" w:type="dxa"/>
                  <w:noWrap w:val="0"/>
                  <w:vAlign w:val="center"/>
                </w:tcPr>
                <w:p w14:paraId="07ADC0E0">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lang w:val="en-US" w:eastAsia="zh-CN"/>
                    </w:rPr>
                  </w:pPr>
                  <w:bookmarkStart w:id="156" w:name="_Toc2578"/>
                  <w:bookmarkStart w:id="157" w:name="_Toc23531"/>
                  <w:bookmarkStart w:id="158" w:name="_Toc13161"/>
                  <w:bookmarkStart w:id="159" w:name="_Toc11274"/>
                  <w:r>
                    <w:rPr>
                      <w:rFonts w:hint="default" w:ascii="Times New Roman" w:hAnsi="Times New Roman" w:eastAsia="宋体" w:cs="Times New Roman"/>
                      <w:b w:val="0"/>
                      <w:bCs w:val="0"/>
                      <w:color w:val="auto"/>
                      <w:sz w:val="21"/>
                      <w:szCs w:val="21"/>
                      <w:vertAlign w:val="baseline"/>
                      <w:lang w:val="en-US" w:eastAsia="zh-CN"/>
                    </w:rPr>
                    <w:t>弃土、建筑垃圾</w:t>
                  </w:r>
                  <w:bookmarkEnd w:id="156"/>
                  <w:bookmarkEnd w:id="157"/>
                  <w:bookmarkEnd w:id="158"/>
                  <w:bookmarkEnd w:id="159"/>
                </w:p>
              </w:tc>
              <w:tc>
                <w:tcPr>
                  <w:tcW w:w="1306" w:type="dxa"/>
                  <w:noWrap w:val="0"/>
                  <w:vAlign w:val="center"/>
                </w:tcPr>
                <w:p w14:paraId="61C2D0E3">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lang w:eastAsia="zh-CN"/>
                    </w:rPr>
                  </w:pPr>
                  <w:bookmarkStart w:id="160" w:name="_Toc17563"/>
                  <w:bookmarkStart w:id="161" w:name="_Toc16946"/>
                  <w:bookmarkStart w:id="162" w:name="_Toc21573"/>
                  <w:bookmarkStart w:id="163" w:name="_Toc6105"/>
                  <w:r>
                    <w:rPr>
                      <w:rFonts w:hint="default" w:ascii="Times New Roman" w:hAnsi="Times New Roman" w:eastAsia="宋体" w:cs="Times New Roman"/>
                      <w:b w:val="0"/>
                      <w:bCs w:val="0"/>
                      <w:color w:val="auto"/>
                      <w:sz w:val="21"/>
                      <w:szCs w:val="21"/>
                      <w:vertAlign w:val="baseline"/>
                      <w:lang w:eastAsia="zh-CN"/>
                    </w:rPr>
                    <w:t>短期、可逆、不利</w:t>
                  </w:r>
                  <w:bookmarkEnd w:id="160"/>
                  <w:bookmarkEnd w:id="161"/>
                  <w:bookmarkEnd w:id="162"/>
                  <w:bookmarkEnd w:id="163"/>
                </w:p>
              </w:tc>
              <w:tc>
                <w:tcPr>
                  <w:tcW w:w="4325" w:type="dxa"/>
                  <w:noWrap w:val="0"/>
                  <w:vAlign w:val="center"/>
                </w:tcPr>
                <w:p w14:paraId="19041C44">
                  <w:pPr>
                    <w:pStyle w:val="51"/>
                    <w:numPr>
                      <w:ilvl w:val="0"/>
                      <w:numId w:val="0"/>
                    </w:numPr>
                    <w:spacing w:before="0" w:beforeLines="0" w:line="240" w:lineRule="auto"/>
                    <w:jc w:val="left"/>
                    <w:rPr>
                      <w:rFonts w:hint="default" w:ascii="Times New Roman" w:hAnsi="Times New Roman" w:eastAsia="宋体" w:cs="Times New Roman"/>
                      <w:b w:val="0"/>
                      <w:bCs w:val="0"/>
                      <w:color w:val="auto"/>
                      <w:sz w:val="21"/>
                      <w:szCs w:val="21"/>
                      <w:vertAlign w:val="baseline"/>
                    </w:rPr>
                  </w:pPr>
                  <w:bookmarkStart w:id="164" w:name="_Toc14275"/>
                  <w:bookmarkStart w:id="165" w:name="_Toc17012"/>
                  <w:bookmarkStart w:id="166" w:name="_Toc31070"/>
                  <w:bookmarkStart w:id="167" w:name="_Toc26309"/>
                  <w:r>
                    <w:rPr>
                      <w:rFonts w:hint="default" w:ascii="Times New Roman" w:hAnsi="Times New Roman" w:eastAsia="宋体" w:cs="Times New Roman"/>
                      <w:b w:val="0"/>
                      <w:bCs w:val="0"/>
                      <w:color w:val="auto"/>
                      <w:sz w:val="21"/>
                      <w:szCs w:val="21"/>
                      <w:vertAlign w:val="baseline"/>
                      <w:lang w:val="en-US" w:eastAsia="zh-CN"/>
                    </w:rPr>
                    <w:t>弃土、建筑垃圾一旦进入附近河流，对地表水产生影响。</w:t>
                  </w:r>
                  <w:bookmarkEnd w:id="164"/>
                  <w:bookmarkEnd w:id="165"/>
                  <w:bookmarkEnd w:id="166"/>
                  <w:bookmarkEnd w:id="167"/>
                </w:p>
              </w:tc>
            </w:tr>
            <w:tr w14:paraId="0BCAA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vMerge w:val="restart"/>
                  <w:noWrap w:val="0"/>
                  <w:vAlign w:val="center"/>
                </w:tcPr>
                <w:p w14:paraId="619049E5">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highlight w:val="none"/>
                      <w:vertAlign w:val="baseline"/>
                      <w:lang w:eastAsia="zh-CN"/>
                    </w:rPr>
                  </w:pPr>
                  <w:bookmarkStart w:id="168" w:name="_Toc12270"/>
                  <w:bookmarkStart w:id="169" w:name="_Toc12795"/>
                  <w:bookmarkStart w:id="170" w:name="_Toc22059"/>
                  <w:bookmarkStart w:id="171" w:name="_Toc597"/>
                  <w:r>
                    <w:rPr>
                      <w:rFonts w:hint="default" w:ascii="Times New Roman" w:hAnsi="Times New Roman" w:eastAsia="宋体" w:cs="Times New Roman"/>
                      <w:b/>
                      <w:bCs/>
                      <w:color w:val="auto"/>
                      <w:sz w:val="21"/>
                      <w:szCs w:val="21"/>
                      <w:highlight w:val="none"/>
                      <w:vertAlign w:val="baseline"/>
                      <w:lang w:eastAsia="zh-CN"/>
                    </w:rPr>
                    <w:t>生态环境</w:t>
                  </w:r>
                  <w:bookmarkEnd w:id="168"/>
                  <w:bookmarkEnd w:id="169"/>
                  <w:bookmarkEnd w:id="170"/>
                  <w:bookmarkEnd w:id="171"/>
                </w:p>
              </w:tc>
              <w:tc>
                <w:tcPr>
                  <w:tcW w:w="1608" w:type="dxa"/>
                  <w:noWrap w:val="0"/>
                  <w:vAlign w:val="center"/>
                </w:tcPr>
                <w:p w14:paraId="75F2959D">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bookmarkStart w:id="172" w:name="_Toc14706"/>
                  <w:bookmarkStart w:id="173" w:name="_Toc25784"/>
                  <w:bookmarkStart w:id="174" w:name="_Toc5009"/>
                  <w:bookmarkStart w:id="175" w:name="_Toc29551"/>
                  <w:r>
                    <w:rPr>
                      <w:rFonts w:hint="default" w:ascii="Times New Roman" w:hAnsi="Times New Roman" w:eastAsia="宋体" w:cs="Times New Roman"/>
                      <w:b w:val="0"/>
                      <w:bCs w:val="0"/>
                      <w:color w:val="auto"/>
                      <w:sz w:val="21"/>
                      <w:szCs w:val="21"/>
                      <w:highlight w:val="none"/>
                      <w:vertAlign w:val="baseline"/>
                      <w:lang w:val="en-US" w:eastAsia="zh-CN"/>
                    </w:rPr>
                    <w:t>永久占地</w:t>
                  </w:r>
                  <w:bookmarkEnd w:id="172"/>
                  <w:bookmarkEnd w:id="173"/>
                  <w:bookmarkEnd w:id="174"/>
                  <w:r>
                    <w:rPr>
                      <w:rFonts w:hint="eastAsia" w:cs="Times New Roman"/>
                      <w:b w:val="0"/>
                      <w:bCs w:val="0"/>
                      <w:color w:val="auto"/>
                      <w:sz w:val="21"/>
                      <w:szCs w:val="21"/>
                      <w:highlight w:val="none"/>
                      <w:vertAlign w:val="baseline"/>
                      <w:lang w:val="en-US" w:eastAsia="zh-CN"/>
                    </w:rPr>
                    <w:t>、临时占地</w:t>
                  </w:r>
                  <w:bookmarkEnd w:id="175"/>
                </w:p>
              </w:tc>
              <w:tc>
                <w:tcPr>
                  <w:tcW w:w="1306" w:type="dxa"/>
                  <w:noWrap w:val="0"/>
                  <w:vAlign w:val="center"/>
                </w:tcPr>
                <w:p w14:paraId="115D6277">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highlight w:val="none"/>
                      <w:vertAlign w:val="baseline"/>
                      <w:lang w:eastAsia="zh-CN"/>
                    </w:rPr>
                  </w:pPr>
                  <w:bookmarkStart w:id="176" w:name="_Toc28291"/>
                  <w:bookmarkStart w:id="177" w:name="_Toc3812"/>
                  <w:bookmarkStart w:id="178" w:name="_Toc4353"/>
                  <w:bookmarkStart w:id="179" w:name="_Toc14046"/>
                  <w:r>
                    <w:rPr>
                      <w:rFonts w:hint="default" w:ascii="Times New Roman" w:hAnsi="Times New Roman" w:eastAsia="宋体" w:cs="Times New Roman"/>
                      <w:b w:val="0"/>
                      <w:bCs w:val="0"/>
                      <w:color w:val="auto"/>
                      <w:sz w:val="21"/>
                      <w:szCs w:val="21"/>
                      <w:highlight w:val="none"/>
                      <w:vertAlign w:val="baseline"/>
                      <w:lang w:val="en-US" w:eastAsia="zh-CN"/>
                    </w:rPr>
                    <w:t>长期、不可逆、不利</w:t>
                  </w:r>
                  <w:bookmarkEnd w:id="176"/>
                  <w:bookmarkEnd w:id="177"/>
                  <w:bookmarkEnd w:id="178"/>
                  <w:bookmarkEnd w:id="179"/>
                </w:p>
              </w:tc>
              <w:tc>
                <w:tcPr>
                  <w:tcW w:w="4325" w:type="dxa"/>
                  <w:vMerge w:val="restart"/>
                  <w:noWrap w:val="0"/>
                  <w:vAlign w:val="center"/>
                </w:tcPr>
                <w:p w14:paraId="18CDE1A6">
                  <w:pPr>
                    <w:pStyle w:val="51"/>
                    <w:numPr>
                      <w:ilvl w:val="0"/>
                      <w:numId w:val="0"/>
                    </w:numPr>
                    <w:spacing w:before="0" w:beforeLines="0" w:line="240" w:lineRule="auto"/>
                    <w:jc w:val="left"/>
                    <w:rPr>
                      <w:rFonts w:hint="default" w:ascii="Times New Roman" w:hAnsi="Times New Roman" w:eastAsia="宋体" w:cs="Times New Roman"/>
                      <w:b w:val="0"/>
                      <w:bCs w:val="0"/>
                      <w:color w:val="auto"/>
                      <w:sz w:val="21"/>
                      <w:szCs w:val="21"/>
                      <w:highlight w:val="none"/>
                      <w:vertAlign w:val="baseline"/>
                      <w:lang w:val="en-US" w:eastAsia="zh-CN"/>
                    </w:rPr>
                  </w:pPr>
                  <w:bookmarkStart w:id="180" w:name="_Toc19655"/>
                  <w:bookmarkStart w:id="181" w:name="_Toc12339"/>
                  <w:bookmarkStart w:id="182" w:name="_Toc3516"/>
                  <w:bookmarkStart w:id="183" w:name="_Toc2840"/>
                  <w:r>
                    <w:rPr>
                      <w:rFonts w:hint="default" w:ascii="Times New Roman" w:hAnsi="Times New Roman" w:eastAsia="宋体" w:cs="Times New Roman"/>
                      <w:b w:val="0"/>
                      <w:bCs w:val="0"/>
                      <w:color w:val="auto"/>
                      <w:sz w:val="21"/>
                      <w:szCs w:val="21"/>
                      <w:highlight w:val="none"/>
                      <w:vertAlign w:val="baseline"/>
                      <w:lang w:val="en-US" w:eastAsia="zh-CN"/>
                    </w:rPr>
                    <w:t>1、工程占地对沿线植被的影响；</w:t>
                  </w:r>
                  <w:bookmarkEnd w:id="180"/>
                  <w:bookmarkEnd w:id="181"/>
                  <w:bookmarkEnd w:id="182"/>
                  <w:bookmarkEnd w:id="183"/>
                </w:p>
                <w:p w14:paraId="06446112">
                  <w:pPr>
                    <w:pStyle w:val="51"/>
                    <w:numPr>
                      <w:ilvl w:val="0"/>
                      <w:numId w:val="0"/>
                    </w:numPr>
                    <w:spacing w:before="0" w:beforeLines="0" w:line="240" w:lineRule="auto"/>
                    <w:jc w:val="left"/>
                    <w:rPr>
                      <w:rFonts w:hint="default" w:ascii="Times New Roman" w:hAnsi="Times New Roman" w:eastAsia="宋体" w:cs="Times New Roman"/>
                      <w:b w:val="0"/>
                      <w:bCs w:val="0"/>
                      <w:color w:val="auto"/>
                      <w:sz w:val="21"/>
                      <w:szCs w:val="21"/>
                      <w:highlight w:val="none"/>
                      <w:vertAlign w:val="baseline"/>
                    </w:rPr>
                  </w:pPr>
                  <w:bookmarkStart w:id="184" w:name="_Toc9078"/>
                  <w:bookmarkStart w:id="185" w:name="_Toc27500"/>
                  <w:bookmarkStart w:id="186" w:name="_Toc15647"/>
                  <w:bookmarkStart w:id="187" w:name="_Toc6767"/>
                  <w:r>
                    <w:rPr>
                      <w:rFonts w:hint="default" w:ascii="Times New Roman" w:hAnsi="Times New Roman" w:eastAsia="宋体" w:cs="Times New Roman"/>
                      <w:b w:val="0"/>
                      <w:bCs w:val="0"/>
                      <w:color w:val="auto"/>
                      <w:sz w:val="21"/>
                      <w:szCs w:val="21"/>
                      <w:highlight w:val="none"/>
                      <w:vertAlign w:val="baseline"/>
                      <w:lang w:val="en-US" w:eastAsia="zh-CN"/>
                    </w:rPr>
                    <w:t>2、施工过程中在路基开挖、取土时易造成地表植被受损，将增加区域水土流失；</w:t>
                  </w:r>
                  <w:bookmarkEnd w:id="184"/>
                  <w:bookmarkEnd w:id="185"/>
                  <w:bookmarkEnd w:id="186"/>
                  <w:bookmarkEnd w:id="187"/>
                </w:p>
                <w:p w14:paraId="37ED47CC">
                  <w:pPr>
                    <w:pStyle w:val="51"/>
                    <w:numPr>
                      <w:ilvl w:val="0"/>
                      <w:numId w:val="0"/>
                    </w:numPr>
                    <w:spacing w:before="0" w:beforeLines="0" w:line="240" w:lineRule="auto"/>
                    <w:jc w:val="left"/>
                    <w:rPr>
                      <w:rFonts w:hint="default" w:ascii="Times New Roman" w:hAnsi="Times New Roman" w:eastAsia="宋体" w:cs="Times New Roman"/>
                      <w:b w:val="0"/>
                      <w:bCs w:val="0"/>
                      <w:color w:val="auto"/>
                      <w:sz w:val="21"/>
                      <w:szCs w:val="21"/>
                      <w:highlight w:val="none"/>
                      <w:vertAlign w:val="baseline"/>
                    </w:rPr>
                  </w:pPr>
                  <w:bookmarkStart w:id="188" w:name="_Toc6134"/>
                  <w:bookmarkStart w:id="189" w:name="_Toc25042"/>
                  <w:bookmarkStart w:id="190" w:name="_Toc7635"/>
                  <w:bookmarkStart w:id="191" w:name="_Toc19590"/>
                  <w:r>
                    <w:rPr>
                      <w:rFonts w:hint="default" w:ascii="Times New Roman" w:hAnsi="Times New Roman" w:eastAsia="宋体" w:cs="Times New Roman"/>
                      <w:b w:val="0"/>
                      <w:bCs w:val="0"/>
                      <w:color w:val="auto"/>
                      <w:sz w:val="21"/>
                      <w:szCs w:val="21"/>
                      <w:highlight w:val="none"/>
                      <w:vertAlign w:val="baseline"/>
                      <w:lang w:val="en-US" w:eastAsia="zh-CN"/>
                    </w:rPr>
                    <w:t>3、工程施工会对沿线动物、鸟类、植物、水生生物会产生一定影响，一般来讲其影响是可逆的、短暂的。</w:t>
                  </w:r>
                  <w:bookmarkEnd w:id="188"/>
                  <w:bookmarkEnd w:id="189"/>
                  <w:bookmarkEnd w:id="190"/>
                  <w:bookmarkEnd w:id="191"/>
                </w:p>
              </w:tc>
            </w:tr>
            <w:tr w14:paraId="31648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vMerge w:val="continue"/>
                  <w:noWrap w:val="0"/>
                  <w:vAlign w:val="center"/>
                </w:tcPr>
                <w:p w14:paraId="6BF77B1C">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highlight w:val="none"/>
                      <w:vertAlign w:val="baseline"/>
                      <w:lang w:eastAsia="zh-CN"/>
                    </w:rPr>
                  </w:pPr>
                </w:p>
              </w:tc>
              <w:tc>
                <w:tcPr>
                  <w:tcW w:w="1608" w:type="dxa"/>
                  <w:noWrap w:val="0"/>
                  <w:vAlign w:val="center"/>
                </w:tcPr>
                <w:p w14:paraId="159ACA6D">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bookmarkStart w:id="192" w:name="_Toc20144"/>
                  <w:bookmarkStart w:id="193" w:name="_Toc1359"/>
                  <w:bookmarkStart w:id="194" w:name="_Toc28572"/>
                  <w:bookmarkStart w:id="195" w:name="_Toc13808"/>
                  <w:r>
                    <w:rPr>
                      <w:rFonts w:hint="default" w:ascii="Times New Roman" w:hAnsi="Times New Roman" w:eastAsia="宋体" w:cs="Times New Roman"/>
                      <w:b w:val="0"/>
                      <w:bCs w:val="0"/>
                      <w:color w:val="auto"/>
                      <w:sz w:val="21"/>
                      <w:szCs w:val="21"/>
                      <w:highlight w:val="none"/>
                      <w:vertAlign w:val="baseline"/>
                      <w:lang w:val="en-US" w:eastAsia="zh-CN"/>
                    </w:rPr>
                    <w:t>水土流失</w:t>
                  </w:r>
                  <w:bookmarkEnd w:id="192"/>
                  <w:bookmarkEnd w:id="193"/>
                  <w:bookmarkEnd w:id="194"/>
                  <w:bookmarkEnd w:id="195"/>
                </w:p>
              </w:tc>
              <w:tc>
                <w:tcPr>
                  <w:tcW w:w="1306" w:type="dxa"/>
                  <w:vMerge w:val="restart"/>
                  <w:noWrap w:val="0"/>
                  <w:vAlign w:val="center"/>
                </w:tcPr>
                <w:p w14:paraId="0CB766EE">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highlight w:val="none"/>
                      <w:vertAlign w:val="baseline"/>
                      <w:lang w:eastAsia="zh-CN"/>
                    </w:rPr>
                  </w:pPr>
                  <w:bookmarkStart w:id="196" w:name="_Toc9975"/>
                  <w:bookmarkStart w:id="197" w:name="_Toc19097"/>
                  <w:bookmarkStart w:id="198" w:name="_Toc10538"/>
                  <w:bookmarkStart w:id="199" w:name="_Toc23386"/>
                  <w:r>
                    <w:rPr>
                      <w:rFonts w:hint="default" w:ascii="Times New Roman" w:hAnsi="Times New Roman" w:eastAsia="宋体" w:cs="Times New Roman"/>
                      <w:b w:val="0"/>
                      <w:bCs w:val="0"/>
                      <w:color w:val="auto"/>
                      <w:sz w:val="21"/>
                      <w:szCs w:val="21"/>
                      <w:highlight w:val="none"/>
                      <w:vertAlign w:val="baseline"/>
                      <w:lang w:val="en-US" w:eastAsia="zh-CN"/>
                    </w:rPr>
                    <w:t>短期、可逆、不利</w:t>
                  </w:r>
                  <w:bookmarkEnd w:id="196"/>
                  <w:bookmarkEnd w:id="197"/>
                  <w:bookmarkEnd w:id="198"/>
                  <w:bookmarkEnd w:id="199"/>
                </w:p>
              </w:tc>
              <w:tc>
                <w:tcPr>
                  <w:tcW w:w="4325" w:type="dxa"/>
                  <w:vMerge w:val="continue"/>
                  <w:noWrap w:val="0"/>
                  <w:vAlign w:val="center"/>
                </w:tcPr>
                <w:p w14:paraId="53E02C20">
                  <w:pPr>
                    <w:pStyle w:val="51"/>
                    <w:numPr>
                      <w:ilvl w:val="0"/>
                      <w:numId w:val="0"/>
                    </w:numPr>
                    <w:spacing w:before="0" w:beforeLines="0" w:line="240" w:lineRule="auto"/>
                    <w:jc w:val="left"/>
                    <w:rPr>
                      <w:rFonts w:hint="default" w:ascii="Times New Roman" w:hAnsi="Times New Roman" w:eastAsia="宋体" w:cs="Times New Roman"/>
                      <w:b w:val="0"/>
                      <w:bCs w:val="0"/>
                      <w:color w:val="auto"/>
                      <w:sz w:val="21"/>
                      <w:szCs w:val="21"/>
                      <w:highlight w:val="none"/>
                      <w:vertAlign w:val="baseline"/>
                    </w:rPr>
                  </w:pPr>
                </w:p>
              </w:tc>
            </w:tr>
            <w:tr w14:paraId="0285C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vMerge w:val="continue"/>
                  <w:noWrap w:val="0"/>
                  <w:vAlign w:val="center"/>
                </w:tcPr>
                <w:p w14:paraId="75616B14">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highlight w:val="none"/>
                      <w:vertAlign w:val="baseline"/>
                    </w:rPr>
                  </w:pPr>
                </w:p>
              </w:tc>
              <w:tc>
                <w:tcPr>
                  <w:tcW w:w="1608" w:type="dxa"/>
                  <w:noWrap w:val="0"/>
                  <w:vAlign w:val="center"/>
                </w:tcPr>
                <w:p w14:paraId="7B64C580">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highlight w:val="none"/>
                      <w:vertAlign w:val="baseline"/>
                      <w:lang w:eastAsia="zh-CN"/>
                    </w:rPr>
                  </w:pPr>
                  <w:bookmarkStart w:id="200" w:name="_Toc26478"/>
                  <w:bookmarkStart w:id="201" w:name="_Toc26148"/>
                  <w:bookmarkStart w:id="202" w:name="_Toc28347"/>
                  <w:bookmarkStart w:id="203" w:name="_Toc21776"/>
                  <w:r>
                    <w:rPr>
                      <w:rFonts w:hint="default" w:ascii="Times New Roman" w:hAnsi="Times New Roman" w:eastAsia="宋体" w:cs="Times New Roman"/>
                      <w:b w:val="0"/>
                      <w:bCs w:val="0"/>
                      <w:color w:val="auto"/>
                      <w:sz w:val="21"/>
                      <w:szCs w:val="21"/>
                      <w:highlight w:val="none"/>
                      <w:vertAlign w:val="baseline"/>
                      <w:lang w:val="en-US" w:eastAsia="zh-CN"/>
                    </w:rPr>
                    <w:t>施工活动</w:t>
                  </w:r>
                  <w:bookmarkEnd w:id="200"/>
                  <w:bookmarkEnd w:id="201"/>
                  <w:bookmarkEnd w:id="202"/>
                  <w:bookmarkEnd w:id="203"/>
                </w:p>
              </w:tc>
              <w:tc>
                <w:tcPr>
                  <w:tcW w:w="1306" w:type="dxa"/>
                  <w:vMerge w:val="continue"/>
                  <w:noWrap w:val="0"/>
                  <w:vAlign w:val="center"/>
                </w:tcPr>
                <w:p w14:paraId="2A427FDA">
                  <w:pPr>
                    <w:pStyle w:val="51"/>
                    <w:numPr>
                      <w:ilvl w:val="0"/>
                      <w:numId w:val="0"/>
                    </w:numPr>
                    <w:spacing w:before="0" w:beforeLines="0" w:line="240" w:lineRule="auto"/>
                    <w:jc w:val="left"/>
                    <w:rPr>
                      <w:rFonts w:hint="default" w:ascii="Times New Roman" w:hAnsi="Times New Roman" w:eastAsia="宋体" w:cs="Times New Roman"/>
                      <w:b w:val="0"/>
                      <w:bCs w:val="0"/>
                      <w:color w:val="auto"/>
                      <w:sz w:val="21"/>
                      <w:szCs w:val="21"/>
                      <w:highlight w:val="none"/>
                      <w:vertAlign w:val="baseline"/>
                      <w:lang w:eastAsia="zh-CN"/>
                    </w:rPr>
                  </w:pPr>
                </w:p>
              </w:tc>
              <w:tc>
                <w:tcPr>
                  <w:tcW w:w="4325" w:type="dxa"/>
                  <w:vMerge w:val="continue"/>
                  <w:noWrap w:val="0"/>
                  <w:vAlign w:val="center"/>
                </w:tcPr>
                <w:p w14:paraId="68478186">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highlight w:val="none"/>
                      <w:vertAlign w:val="baseline"/>
                    </w:rPr>
                  </w:pPr>
                </w:p>
              </w:tc>
            </w:tr>
          </w:tbl>
          <w:p w14:paraId="0EA4077B">
            <w:pPr>
              <w:pStyle w:val="51"/>
              <w:keepNext w:val="0"/>
              <w:keepLines w:val="0"/>
              <w:pageBreakBefore w:val="0"/>
              <w:widowControl w:val="0"/>
              <w:numPr>
                <w:ilvl w:val="0"/>
                <w:numId w:val="0"/>
              </w:numPr>
              <w:kinsoku/>
              <w:wordWrap/>
              <w:overflowPunct/>
              <w:topLinePunct w:val="0"/>
              <w:autoSpaceDE w:val="0"/>
              <w:autoSpaceDN w:val="0"/>
              <w:bidi w:val="0"/>
              <w:adjustRightInd w:val="0"/>
              <w:snapToGrid w:val="0"/>
              <w:spacing w:before="157" w:beforeLines="50"/>
              <w:ind w:firstLine="482" w:firstLineChars="200"/>
              <w:textAlignment w:val="auto"/>
              <w:rPr>
                <w:rFonts w:hint="default" w:ascii="Times New Roman" w:hAnsi="Times New Roman" w:cs="Times New Roman"/>
                <w:b/>
                <w:bCs/>
                <w:color w:val="auto"/>
                <w:sz w:val="24"/>
                <w:szCs w:val="20"/>
                <w:highlight w:val="none"/>
              </w:rPr>
            </w:pPr>
            <w:bookmarkStart w:id="204" w:name="_Toc9861"/>
            <w:bookmarkStart w:id="205" w:name="_Toc32255"/>
            <w:bookmarkStart w:id="206" w:name="_Toc25506"/>
            <w:bookmarkStart w:id="207" w:name="_Toc12011"/>
            <w:r>
              <w:rPr>
                <w:rFonts w:hint="default" w:ascii="Times New Roman" w:hAnsi="Times New Roman" w:cs="Times New Roman"/>
                <w:b/>
                <w:bCs/>
                <w:color w:val="auto"/>
                <w:sz w:val="24"/>
                <w:szCs w:val="20"/>
                <w:highlight w:val="none"/>
                <w:lang w:val="en-US" w:eastAsia="zh-CN"/>
              </w:rPr>
              <w:t>1、</w:t>
            </w:r>
            <w:r>
              <w:rPr>
                <w:rFonts w:hint="default" w:ascii="Times New Roman" w:hAnsi="Times New Roman" w:cs="Times New Roman"/>
                <w:b/>
                <w:bCs/>
                <w:color w:val="auto"/>
                <w:sz w:val="24"/>
                <w:szCs w:val="20"/>
                <w:highlight w:val="none"/>
              </w:rPr>
              <w:t>施工期环境影响分析</w:t>
            </w:r>
            <w:bookmarkEnd w:id="204"/>
            <w:bookmarkEnd w:id="205"/>
            <w:bookmarkEnd w:id="206"/>
            <w:bookmarkEnd w:id="207"/>
          </w:p>
          <w:p w14:paraId="6FACF629">
            <w:pPr>
              <w:pStyle w:val="51"/>
              <w:numPr>
                <w:ilvl w:val="0"/>
                <w:numId w:val="0"/>
              </w:numPr>
              <w:spacing w:before="0" w:beforeLines="0"/>
              <w:ind w:firstLine="482" w:firstLineChars="200"/>
              <w:rPr>
                <w:rFonts w:hint="default" w:ascii="Times New Roman" w:hAnsi="Times New Roman" w:eastAsia="宋体" w:cs="Times New Roman"/>
                <w:b/>
                <w:bCs/>
                <w:color w:val="auto"/>
                <w:sz w:val="24"/>
                <w:szCs w:val="18"/>
                <w:highlight w:val="none"/>
              </w:rPr>
            </w:pPr>
            <w:bookmarkStart w:id="208" w:name="_Toc8551"/>
            <w:bookmarkStart w:id="209" w:name="_Toc2952"/>
            <w:bookmarkStart w:id="210" w:name="_Toc966"/>
            <w:bookmarkStart w:id="211" w:name="_Toc12246"/>
            <w:r>
              <w:rPr>
                <w:rFonts w:hint="default" w:ascii="Times New Roman" w:hAnsi="Times New Roman" w:eastAsia="宋体" w:cs="Times New Roman"/>
                <w:b/>
                <w:bCs/>
                <w:color w:val="auto"/>
                <w:sz w:val="24"/>
                <w:szCs w:val="18"/>
                <w:highlight w:val="none"/>
                <w:lang w:val="en-US" w:eastAsia="zh-CN"/>
              </w:rPr>
              <w:t>1.1、</w:t>
            </w:r>
            <w:r>
              <w:rPr>
                <w:rFonts w:hint="default" w:ascii="Times New Roman" w:hAnsi="Times New Roman" w:eastAsia="宋体" w:cs="Times New Roman"/>
                <w:b/>
                <w:bCs/>
                <w:color w:val="auto"/>
                <w:sz w:val="24"/>
                <w:szCs w:val="18"/>
                <w:highlight w:val="none"/>
              </w:rPr>
              <w:t>生态环境影响分析</w:t>
            </w:r>
            <w:bookmarkEnd w:id="208"/>
            <w:bookmarkEnd w:id="209"/>
            <w:bookmarkEnd w:id="210"/>
            <w:bookmarkEnd w:id="211"/>
          </w:p>
          <w:p w14:paraId="58E53850">
            <w:pPr>
              <w:pStyle w:val="9"/>
              <w:spacing w:before="0" w:after="0" w:line="360" w:lineRule="auto"/>
              <w:ind w:firstLine="480"/>
              <w:rPr>
                <w:rFonts w:hint="default" w:ascii="Times New Roman" w:hAnsi="Times New Roman" w:eastAsia="宋体" w:cs="Times New Roman"/>
                <w:color w:val="auto"/>
                <w:sz w:val="24"/>
                <w:szCs w:val="21"/>
                <w:lang w:val="en-US" w:eastAsia="zh-CN"/>
              </w:rPr>
            </w:pPr>
            <w:r>
              <w:rPr>
                <w:rFonts w:hint="default" w:ascii="Times New Roman" w:hAnsi="Times New Roman" w:eastAsia="宋体" w:cs="Times New Roman"/>
                <w:color w:val="auto"/>
                <w:sz w:val="24"/>
                <w:szCs w:val="21"/>
                <w:lang w:val="en-US" w:eastAsia="zh-CN"/>
              </w:rPr>
              <w:t>本项目施工期生态环境影响主要表现在施工场区生物量的损失，包括</w:t>
            </w:r>
            <w:r>
              <w:rPr>
                <w:rFonts w:hint="eastAsia" w:ascii="Times New Roman" w:hAnsi="Times New Roman" w:eastAsia="宋体" w:cs="Times New Roman"/>
                <w:color w:val="auto"/>
                <w:sz w:val="24"/>
                <w:szCs w:val="21"/>
                <w:lang w:val="en-US" w:eastAsia="zh-CN"/>
              </w:rPr>
              <w:t>基坑开挖</w:t>
            </w:r>
            <w:r>
              <w:rPr>
                <w:rFonts w:hint="default" w:ascii="Times New Roman" w:hAnsi="Times New Roman" w:eastAsia="宋体" w:cs="Times New Roman"/>
                <w:color w:val="auto"/>
                <w:sz w:val="24"/>
                <w:szCs w:val="21"/>
                <w:lang w:val="en-US" w:eastAsia="zh-CN"/>
              </w:rPr>
              <w:t>时少量树木砍伐、地表植被铲除，土方挖填地对植被造成压埋，车辆、施工机械和施工人员在施工期间碾压、践踏植被，永久性占地铲除植被等。此外植被的破坏也会造成一定的水土流失，但影响范围仅限于项目区，且主要在施工期，本项目占地面积不大，影响有限。</w:t>
            </w:r>
          </w:p>
          <w:p w14:paraId="1BCF36B3">
            <w:pPr>
              <w:pStyle w:val="9"/>
              <w:spacing w:before="0" w:after="0" w:line="360" w:lineRule="auto"/>
              <w:ind w:firstLine="480"/>
              <w:rPr>
                <w:rFonts w:hint="default" w:ascii="Times New Roman" w:hAnsi="Times New Roman" w:eastAsia="宋体" w:cs="Times New Roman"/>
                <w:color w:val="auto"/>
                <w:sz w:val="24"/>
                <w:szCs w:val="21"/>
                <w:lang w:val="en-US" w:eastAsia="zh-CN"/>
              </w:rPr>
            </w:pPr>
            <w:r>
              <w:rPr>
                <w:rFonts w:hint="eastAsia" w:ascii="Times New Roman" w:hAnsi="Times New Roman" w:eastAsia="宋体" w:cs="Times New Roman"/>
                <w:b/>
                <w:bCs/>
                <w:color w:val="auto"/>
                <w:sz w:val="24"/>
                <w:szCs w:val="21"/>
                <w:lang w:val="en-US" w:eastAsia="zh-CN"/>
              </w:rPr>
              <w:t>生态</w:t>
            </w:r>
            <w:r>
              <w:rPr>
                <w:rFonts w:hint="default" w:ascii="Times New Roman" w:hAnsi="Times New Roman" w:eastAsia="宋体" w:cs="Times New Roman"/>
                <w:b/>
                <w:bCs/>
                <w:color w:val="auto"/>
                <w:sz w:val="24"/>
                <w:szCs w:val="21"/>
                <w:lang w:val="en-US" w:eastAsia="zh-CN"/>
              </w:rPr>
              <w:t>环境影响分析详见《生态环境影响专项评价》。</w:t>
            </w:r>
          </w:p>
          <w:p w14:paraId="4AC7D3F6">
            <w:pPr>
              <w:pStyle w:val="51"/>
              <w:numPr>
                <w:ilvl w:val="0"/>
                <w:numId w:val="0"/>
              </w:numPr>
              <w:spacing w:before="0" w:beforeLines="0"/>
              <w:ind w:firstLine="482" w:firstLineChars="200"/>
              <w:rPr>
                <w:rFonts w:hint="default" w:ascii="Times New Roman" w:hAnsi="Times New Roman" w:eastAsia="宋体" w:cs="Times New Roman"/>
                <w:b/>
                <w:bCs/>
                <w:color w:val="auto"/>
                <w:sz w:val="24"/>
                <w:szCs w:val="21"/>
                <w:lang w:val="en-US" w:eastAsia="zh-CN"/>
              </w:rPr>
            </w:pPr>
            <w:bookmarkStart w:id="212" w:name="_Toc5970"/>
            <w:bookmarkStart w:id="213" w:name="_Toc14085"/>
            <w:r>
              <w:rPr>
                <w:rFonts w:hint="eastAsia" w:cs="Times New Roman"/>
                <w:b/>
                <w:bCs/>
                <w:color w:val="auto"/>
                <w:sz w:val="24"/>
                <w:szCs w:val="21"/>
                <w:lang w:val="en-US" w:eastAsia="zh-CN"/>
              </w:rPr>
              <w:t>1.2、</w:t>
            </w:r>
            <w:r>
              <w:rPr>
                <w:rFonts w:hint="default" w:ascii="Times New Roman" w:hAnsi="Times New Roman" w:eastAsia="宋体" w:cs="Times New Roman"/>
                <w:b/>
                <w:bCs/>
                <w:color w:val="auto"/>
                <w:sz w:val="24"/>
                <w:szCs w:val="21"/>
                <w:lang w:val="en-US" w:eastAsia="zh-CN"/>
              </w:rPr>
              <w:t>水土流失环境</w:t>
            </w:r>
            <w:r>
              <w:rPr>
                <w:rFonts w:hint="default" w:ascii="Times New Roman" w:hAnsi="Times New Roman" w:eastAsia="宋体" w:cs="Times New Roman"/>
                <w:b/>
                <w:bCs/>
                <w:color w:val="auto"/>
                <w:sz w:val="24"/>
                <w:szCs w:val="18"/>
                <w:highlight w:val="none"/>
                <w:lang w:val="en-US" w:eastAsia="zh-CN"/>
              </w:rPr>
              <w:t>影响</w:t>
            </w:r>
            <w:r>
              <w:rPr>
                <w:rFonts w:hint="default" w:ascii="Times New Roman" w:hAnsi="Times New Roman" w:eastAsia="宋体" w:cs="Times New Roman"/>
                <w:b/>
                <w:bCs/>
                <w:color w:val="auto"/>
                <w:sz w:val="24"/>
                <w:szCs w:val="21"/>
                <w:lang w:val="en-US" w:eastAsia="zh-CN"/>
              </w:rPr>
              <w:t>分析</w:t>
            </w:r>
            <w:bookmarkEnd w:id="212"/>
            <w:bookmarkEnd w:id="213"/>
          </w:p>
          <w:p w14:paraId="170C45CB">
            <w:pPr>
              <w:pStyle w:val="13"/>
              <w:numPr>
                <w:ilvl w:val="0"/>
                <w:numId w:val="0"/>
              </w:numPr>
              <w:ind w:leftChars="200"/>
              <w:rPr>
                <w:rFonts w:hint="default" w:ascii="Times New Roman" w:hAnsi="Times New Roman" w:eastAsia="宋体" w:cs="Times New Roman"/>
                <w:b w:val="0"/>
                <w:color w:val="auto"/>
                <w:kern w:val="0"/>
                <w:sz w:val="24"/>
                <w:szCs w:val="18"/>
                <w:lang w:val="en-US" w:eastAsia="zh-CN" w:bidi="ar-SA"/>
              </w:rPr>
            </w:pPr>
            <w:r>
              <w:rPr>
                <w:rFonts w:hint="default" w:ascii="Times New Roman" w:hAnsi="Times New Roman" w:eastAsia="宋体" w:cs="Times New Roman"/>
                <w:b w:val="0"/>
                <w:color w:val="auto"/>
                <w:kern w:val="0"/>
                <w:sz w:val="24"/>
                <w:szCs w:val="18"/>
                <w:lang w:val="en-US" w:eastAsia="zh-CN" w:bidi="ar-SA"/>
              </w:rPr>
              <w:t>①水土流失现状</w:t>
            </w:r>
          </w:p>
          <w:p w14:paraId="604A597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根据《土壤侵蚀分类分级标准》（SL190-2007），本工程项目区属以水力侵蚀为主的南方红壤区，容许土壤流失量为500t/（km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•a）。项目区土壤侵蚀类型以水力侵蚀为主，水力侵蚀在项目区表现为面蚀及沟蚀。</w:t>
            </w:r>
          </w:p>
          <w:p w14:paraId="549EF87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根据《六安市水土保持规划（2016-2030）》，项目所在地以微度侵蚀为主。项目区现状植被覆盖良好，无明显水土流失现象。</w:t>
            </w:r>
          </w:p>
          <w:p w14:paraId="713DE154">
            <w:pPr>
              <w:pStyle w:val="13"/>
              <w:numPr>
                <w:ilvl w:val="0"/>
                <w:numId w:val="0"/>
              </w:numPr>
              <w:ind w:leftChars="200"/>
              <w:rPr>
                <w:rFonts w:hint="default" w:ascii="Times New Roman" w:hAnsi="Times New Roman" w:eastAsia="宋体" w:cs="Times New Roman"/>
                <w:b w:val="0"/>
                <w:color w:val="auto"/>
                <w:kern w:val="0"/>
                <w:sz w:val="24"/>
                <w:szCs w:val="18"/>
                <w:lang w:val="en-US" w:eastAsia="zh-CN" w:bidi="ar-SA"/>
              </w:rPr>
            </w:pPr>
            <w:r>
              <w:rPr>
                <w:rFonts w:hint="default" w:ascii="Times New Roman" w:hAnsi="Times New Roman" w:eastAsia="宋体" w:cs="Times New Roman"/>
                <w:b w:val="0"/>
                <w:color w:val="auto"/>
                <w:kern w:val="0"/>
                <w:sz w:val="24"/>
                <w:szCs w:val="18"/>
                <w:lang w:val="en-US" w:eastAsia="zh-CN" w:bidi="ar-SA"/>
              </w:rPr>
              <w:t>②水土流失危害分析</w:t>
            </w:r>
          </w:p>
          <w:p w14:paraId="4A7D64D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本工程施工期主要是工程占地、开挖、回填、弃渣堆放等原因，破坏了项目区域植被，破坏了表土结构，致使土体抗蚀能力降低，土壤侵蚀加剧，导致水土流失增加。道路建设过程中水土流失环节如下图所示：</w:t>
            </w:r>
          </w:p>
          <w:p w14:paraId="705BB213">
            <w:pPr>
              <w:pStyle w:val="13"/>
              <w:ind w:left="0" w:lef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4932045" cy="3571875"/>
                  <wp:effectExtent l="0" t="0" r="1905" b="9525"/>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37"/>
                          <a:stretch>
                            <a:fillRect/>
                          </a:stretch>
                        </pic:blipFill>
                        <pic:spPr>
                          <a:xfrm>
                            <a:off x="0" y="0"/>
                            <a:ext cx="4932045" cy="3571875"/>
                          </a:xfrm>
                          <a:prstGeom prst="rect">
                            <a:avLst/>
                          </a:prstGeom>
                          <a:noFill/>
                          <a:ln>
                            <a:noFill/>
                          </a:ln>
                        </pic:spPr>
                      </pic:pic>
                    </a:graphicData>
                  </a:graphic>
                </wp:inline>
              </w:drawing>
            </w:r>
          </w:p>
          <w:p w14:paraId="0F5EAAA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图4-1  道路建设过程中水土流失环节示意图</w:t>
            </w:r>
          </w:p>
          <w:p w14:paraId="79502ECA">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2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lang w:val="en-US" w:eastAsia="zh-CN"/>
              </w:rPr>
              <w:t>本项目扰动原地貌，降低了地表土壤的抗侵蚀能力，极易引发水土流失。伴随水土流失现象的发生，地表径流挟带进入水体的悬浮物及其他有机物、无机物污染物质的数量增加，从而使水环境服务功能下降，造成生态环境恶化，影响周边农田灌排沟渠，同时工程建设可能对下游河道和防洪造成一定程度的影响。总之，本工程施工过程中如果不进行防护，将对周边环境带来一些不利影响。由于水土流失主要发生在防治责任范围内，只要在工程建设过程中同时按本方案进行水土保持措施实施，加强水土保持管理工作，工程建设造成的水土流失危害可以得到减轻或避免。</w:t>
            </w:r>
          </w:p>
          <w:p w14:paraId="20E13360">
            <w:pPr>
              <w:pStyle w:val="51"/>
              <w:numPr>
                <w:ilvl w:val="0"/>
                <w:numId w:val="0"/>
              </w:numPr>
              <w:spacing w:before="0" w:beforeLines="0"/>
              <w:ind w:firstLine="482" w:firstLineChars="200"/>
              <w:rPr>
                <w:rFonts w:hint="default" w:ascii="Times New Roman" w:hAnsi="Times New Roman" w:cs="Times New Roman"/>
                <w:b/>
                <w:bCs/>
                <w:color w:val="auto"/>
                <w:sz w:val="24"/>
                <w:szCs w:val="20"/>
                <w:highlight w:val="none"/>
              </w:rPr>
            </w:pPr>
            <w:bookmarkStart w:id="214" w:name="_Toc10076"/>
            <w:bookmarkStart w:id="215" w:name="_Toc15476"/>
            <w:bookmarkStart w:id="216" w:name="_Toc1500"/>
            <w:bookmarkStart w:id="217" w:name="_Toc22040"/>
            <w:r>
              <w:rPr>
                <w:rFonts w:hint="default" w:ascii="Times New Roman" w:hAnsi="Times New Roman" w:cs="Times New Roman"/>
                <w:b/>
                <w:bCs/>
                <w:color w:val="auto"/>
                <w:sz w:val="24"/>
                <w:szCs w:val="20"/>
                <w:highlight w:val="none"/>
                <w:lang w:val="en-US" w:eastAsia="zh-CN"/>
              </w:rPr>
              <w:t>1.</w:t>
            </w:r>
            <w:r>
              <w:rPr>
                <w:rFonts w:hint="eastAsia" w:cs="Times New Roman"/>
                <w:b/>
                <w:bCs/>
                <w:color w:val="auto"/>
                <w:sz w:val="24"/>
                <w:szCs w:val="20"/>
                <w:highlight w:val="none"/>
                <w:lang w:val="en-US" w:eastAsia="zh-CN"/>
              </w:rPr>
              <w:t>3</w:t>
            </w:r>
            <w:r>
              <w:rPr>
                <w:rFonts w:hint="default" w:ascii="Times New Roman" w:hAnsi="Times New Roman" w:cs="Times New Roman"/>
                <w:b/>
                <w:bCs/>
                <w:color w:val="auto"/>
                <w:sz w:val="24"/>
                <w:szCs w:val="20"/>
                <w:highlight w:val="none"/>
                <w:lang w:val="en-US" w:eastAsia="zh-CN"/>
              </w:rPr>
              <w:t>、</w:t>
            </w:r>
            <w:r>
              <w:rPr>
                <w:rFonts w:hint="default" w:ascii="Times New Roman" w:hAnsi="Times New Roman" w:cs="Times New Roman"/>
                <w:b/>
                <w:bCs/>
                <w:color w:val="auto"/>
                <w:sz w:val="24"/>
                <w:szCs w:val="20"/>
                <w:highlight w:val="none"/>
              </w:rPr>
              <w:t>废气环境影响分析</w:t>
            </w:r>
            <w:bookmarkEnd w:id="214"/>
            <w:bookmarkEnd w:id="215"/>
            <w:bookmarkEnd w:id="216"/>
            <w:bookmarkEnd w:id="217"/>
          </w:p>
          <w:p w14:paraId="0C620E49">
            <w:pPr>
              <w:pStyle w:val="51"/>
              <w:numPr>
                <w:ilvl w:val="0"/>
                <w:numId w:val="0"/>
              </w:numPr>
              <w:spacing w:before="0" w:beforeLines="0"/>
              <w:ind w:firstLine="480" w:firstLineChars="200"/>
              <w:rPr>
                <w:rFonts w:hint="default" w:ascii="Times New Roman" w:hAnsi="Times New Roman" w:cs="Times New Roman"/>
                <w:color w:val="auto"/>
                <w:sz w:val="24"/>
                <w:szCs w:val="18"/>
              </w:rPr>
            </w:pPr>
            <w:bookmarkStart w:id="218" w:name="_Toc28849"/>
            <w:bookmarkStart w:id="219" w:name="_Toc10809"/>
            <w:bookmarkStart w:id="220" w:name="_Toc24134"/>
            <w:bookmarkStart w:id="221" w:name="_Toc24133"/>
            <w:r>
              <w:rPr>
                <w:rFonts w:hint="default" w:ascii="Times New Roman" w:hAnsi="Times New Roman" w:cs="Times New Roman"/>
                <w:color w:val="auto"/>
                <w:sz w:val="24"/>
                <w:szCs w:val="18"/>
                <w:highlight w:val="none"/>
              </w:rPr>
              <w:t>工程施工期的大气污染物主要来自施工场地堆场和施工车辆进出工地道路以及施工现场、</w:t>
            </w:r>
            <w:r>
              <w:rPr>
                <w:rFonts w:hint="default" w:ascii="Times New Roman" w:hAnsi="Times New Roman" w:cs="Times New Roman"/>
                <w:color w:val="auto"/>
                <w:sz w:val="24"/>
                <w:szCs w:val="18"/>
                <w:highlight w:val="none"/>
                <w:lang w:val="en-US" w:eastAsia="zh-CN"/>
              </w:rPr>
              <w:t>少量</w:t>
            </w:r>
            <w:r>
              <w:rPr>
                <w:rFonts w:hint="default" w:ascii="Times New Roman" w:hAnsi="Times New Roman" w:cs="Times New Roman"/>
                <w:color w:val="auto"/>
                <w:sz w:val="24"/>
                <w:szCs w:val="18"/>
                <w:highlight w:val="none"/>
              </w:rPr>
              <w:t>拆除</w:t>
            </w:r>
            <w:r>
              <w:rPr>
                <w:rFonts w:hint="default" w:ascii="Times New Roman" w:hAnsi="Times New Roman" w:cs="Times New Roman"/>
                <w:color w:val="auto"/>
                <w:sz w:val="24"/>
                <w:szCs w:val="18"/>
                <w:highlight w:val="none"/>
                <w:lang w:val="en-US" w:eastAsia="zh-CN"/>
              </w:rPr>
              <w:t>路面</w:t>
            </w:r>
            <w:r>
              <w:rPr>
                <w:rFonts w:hint="default" w:ascii="Times New Roman" w:hAnsi="Times New Roman" w:cs="Times New Roman"/>
                <w:color w:val="auto"/>
                <w:sz w:val="24"/>
                <w:szCs w:val="18"/>
                <w:highlight w:val="none"/>
              </w:rPr>
              <w:t>等产生的施工</w:t>
            </w:r>
            <w:r>
              <w:rPr>
                <w:rFonts w:hint="default" w:ascii="Times New Roman" w:hAnsi="Times New Roman" w:cs="Times New Roman"/>
                <w:color w:val="auto"/>
                <w:sz w:val="24"/>
                <w:szCs w:val="18"/>
              </w:rPr>
              <w:t>扬尘，</w:t>
            </w:r>
            <w:r>
              <w:rPr>
                <w:rFonts w:hint="eastAsia" w:cs="Times New Roman"/>
                <w:color w:val="auto"/>
                <w:sz w:val="24"/>
                <w:szCs w:val="18"/>
                <w:lang w:val="en-US" w:eastAsia="zh-CN"/>
              </w:rPr>
              <w:t>施工</w:t>
            </w:r>
            <w:r>
              <w:rPr>
                <w:rFonts w:hint="default" w:ascii="Times New Roman" w:hAnsi="Times New Roman" w:cs="Times New Roman"/>
                <w:color w:val="auto"/>
                <w:sz w:val="24"/>
                <w:szCs w:val="18"/>
              </w:rPr>
              <w:t>动力机械排出的尾气，其中以扬尘污染对周围环境的影响较突出。</w:t>
            </w:r>
            <w:bookmarkEnd w:id="218"/>
            <w:bookmarkEnd w:id="219"/>
            <w:bookmarkEnd w:id="220"/>
            <w:bookmarkEnd w:id="221"/>
          </w:p>
          <w:p w14:paraId="168F217C">
            <w:pPr>
              <w:pStyle w:val="51"/>
              <w:numPr>
                <w:ilvl w:val="0"/>
                <w:numId w:val="0"/>
              </w:numPr>
              <w:spacing w:before="0" w:beforeLines="0"/>
              <w:ind w:firstLine="482" w:firstLineChars="200"/>
              <w:rPr>
                <w:rFonts w:hint="default" w:ascii="Times New Roman" w:hAnsi="Times New Roman" w:cs="Times New Roman"/>
                <w:b/>
                <w:bCs/>
                <w:color w:val="auto"/>
                <w:sz w:val="24"/>
                <w:szCs w:val="18"/>
              </w:rPr>
            </w:pPr>
            <w:bookmarkStart w:id="222" w:name="_Toc5319"/>
            <w:bookmarkStart w:id="223" w:name="_Toc19378"/>
            <w:bookmarkStart w:id="224" w:name="_Toc31706"/>
            <w:bookmarkStart w:id="225" w:name="_Toc4014"/>
            <w:r>
              <w:rPr>
                <w:rFonts w:hint="default" w:ascii="Times New Roman" w:hAnsi="Times New Roman" w:cs="Times New Roman"/>
                <w:b/>
                <w:bCs/>
                <w:color w:val="auto"/>
                <w:sz w:val="24"/>
                <w:szCs w:val="18"/>
              </w:rPr>
              <w:t>（1）施工扬尘</w:t>
            </w:r>
            <w:bookmarkEnd w:id="222"/>
            <w:bookmarkEnd w:id="223"/>
            <w:bookmarkEnd w:id="224"/>
            <w:bookmarkEnd w:id="225"/>
          </w:p>
          <w:p w14:paraId="2978D639">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rPr>
            </w:pPr>
            <w:bookmarkStart w:id="226" w:name="_Toc14140"/>
            <w:bookmarkStart w:id="227" w:name="_Toc22811"/>
            <w:bookmarkStart w:id="228" w:name="_Toc1936"/>
            <w:bookmarkStart w:id="229" w:name="_Toc16980"/>
            <w:r>
              <w:rPr>
                <w:rFonts w:hint="default" w:ascii="Times New Roman" w:hAnsi="Times New Roman" w:eastAsia="宋体" w:cs="Times New Roman"/>
                <w:b w:val="0"/>
                <w:color w:val="auto"/>
                <w:sz w:val="24"/>
                <w:szCs w:val="18"/>
              </w:rPr>
              <w:t>施工期环境空气污染源主要</w:t>
            </w:r>
            <w:r>
              <w:rPr>
                <w:rFonts w:hint="default" w:ascii="Times New Roman" w:hAnsi="Times New Roman" w:eastAsia="宋体" w:cs="Times New Roman"/>
                <w:b w:val="0"/>
                <w:color w:val="auto"/>
                <w:sz w:val="24"/>
                <w:szCs w:val="18"/>
                <w:highlight w:val="none"/>
              </w:rPr>
              <w:t>为</w:t>
            </w:r>
            <w:r>
              <w:rPr>
                <w:rFonts w:hint="default" w:ascii="Times New Roman" w:hAnsi="Times New Roman" w:cs="Times New Roman"/>
                <w:color w:val="auto"/>
                <w:sz w:val="24"/>
                <w:szCs w:val="18"/>
                <w:highlight w:val="none"/>
                <w:lang w:val="en-US" w:eastAsia="zh-CN"/>
              </w:rPr>
              <w:t>少量</w:t>
            </w:r>
            <w:r>
              <w:rPr>
                <w:rFonts w:hint="default" w:ascii="Times New Roman" w:hAnsi="Times New Roman" w:cs="Times New Roman"/>
                <w:b w:val="0"/>
                <w:color w:val="auto"/>
                <w:sz w:val="24"/>
                <w:szCs w:val="18"/>
                <w:highlight w:val="none"/>
                <w:lang w:val="en-US" w:eastAsia="zh-CN"/>
              </w:rPr>
              <w:t>老路路面破碎粉尘</w:t>
            </w:r>
            <w:r>
              <w:rPr>
                <w:rFonts w:hint="default" w:ascii="Times New Roman" w:hAnsi="Times New Roman" w:eastAsia="宋体" w:cs="Times New Roman"/>
                <w:b w:val="0"/>
                <w:color w:val="auto"/>
                <w:sz w:val="24"/>
                <w:szCs w:val="18"/>
                <w:highlight w:val="none"/>
              </w:rPr>
              <w:t>、施工运输车辆引起的道路扬尘、物料装卸扬尘等。</w:t>
            </w:r>
            <w:bookmarkEnd w:id="226"/>
            <w:bookmarkEnd w:id="227"/>
            <w:bookmarkEnd w:id="228"/>
            <w:bookmarkEnd w:id="229"/>
          </w:p>
          <w:p w14:paraId="5E945BCC">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rPr>
            </w:pPr>
            <w:bookmarkStart w:id="230" w:name="_Toc18465"/>
            <w:bookmarkStart w:id="231" w:name="_Toc18827"/>
            <w:bookmarkStart w:id="232" w:name="_Toc8020"/>
            <w:bookmarkStart w:id="233" w:name="_Toc7859"/>
            <w:r>
              <w:rPr>
                <w:rFonts w:hint="default" w:ascii="Times New Roman" w:hAnsi="Times New Roman" w:eastAsia="宋体" w:cs="Times New Roman"/>
                <w:b w:val="0"/>
                <w:color w:val="auto"/>
                <w:sz w:val="24"/>
                <w:szCs w:val="18"/>
              </w:rPr>
              <w:t>扬尘污染主要发生在施工前期路面路基开挖及路基填筑过程，包括施工运输车辆引起的道路扬尘、物料装卸扬尘以及施工区扬尘，主要污染物为TSP。根据同类工程施工期的监测数据，不同施工类型周边TSP浓度见下表。</w:t>
            </w:r>
            <w:bookmarkEnd w:id="230"/>
            <w:bookmarkEnd w:id="231"/>
            <w:bookmarkEnd w:id="232"/>
            <w:bookmarkEnd w:id="233"/>
          </w:p>
          <w:p w14:paraId="393DB5EE">
            <w:pPr>
              <w:pStyle w:val="51"/>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jc w:val="center"/>
              <w:textAlignment w:val="auto"/>
              <w:rPr>
                <w:rFonts w:hint="default" w:ascii="Times New Roman" w:hAnsi="Times New Roman" w:eastAsia="宋体" w:cs="Times New Roman"/>
                <w:b/>
                <w:bCs/>
                <w:color w:val="auto"/>
                <w:sz w:val="21"/>
                <w:szCs w:val="15"/>
              </w:rPr>
            </w:pPr>
            <w:bookmarkStart w:id="234" w:name="_Toc23785"/>
            <w:bookmarkStart w:id="235" w:name="_Toc798"/>
            <w:bookmarkStart w:id="236" w:name="_Toc30071"/>
            <w:bookmarkStart w:id="237" w:name="_Toc3609"/>
            <w:r>
              <w:rPr>
                <w:rFonts w:hint="default" w:ascii="Times New Roman" w:hAnsi="Times New Roman" w:eastAsia="宋体" w:cs="Times New Roman"/>
                <w:b/>
                <w:bCs/>
                <w:color w:val="auto"/>
                <w:sz w:val="21"/>
                <w:szCs w:val="15"/>
              </w:rPr>
              <w:t>表</w:t>
            </w:r>
            <w:r>
              <w:rPr>
                <w:rFonts w:hint="default" w:ascii="Times New Roman" w:hAnsi="Times New Roman" w:eastAsia="宋体" w:cs="Times New Roman"/>
                <w:b/>
                <w:bCs/>
                <w:color w:val="auto"/>
                <w:sz w:val="21"/>
                <w:szCs w:val="15"/>
                <w:lang w:val="en-US" w:eastAsia="zh-CN"/>
              </w:rPr>
              <w:t>4-</w:t>
            </w:r>
            <w:r>
              <w:rPr>
                <w:rFonts w:hint="eastAsia" w:cs="Times New Roman"/>
                <w:b/>
                <w:bCs/>
                <w:color w:val="auto"/>
                <w:sz w:val="21"/>
                <w:szCs w:val="15"/>
                <w:lang w:val="en-US" w:eastAsia="zh-CN"/>
              </w:rPr>
              <w:t>2</w:t>
            </w:r>
            <w:r>
              <w:rPr>
                <w:rFonts w:hint="default" w:ascii="Times New Roman" w:hAnsi="Times New Roman" w:eastAsia="宋体" w:cs="Times New Roman"/>
                <w:b/>
                <w:bCs/>
                <w:color w:val="auto"/>
                <w:sz w:val="21"/>
                <w:szCs w:val="15"/>
              </w:rPr>
              <w:t xml:space="preserve">  道路工程施工不同阶段时环境空气的监测数据</w:t>
            </w:r>
            <w:bookmarkEnd w:id="234"/>
            <w:bookmarkEnd w:id="235"/>
            <w:bookmarkEnd w:id="236"/>
            <w:bookmarkEnd w:id="237"/>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8"/>
              <w:gridCol w:w="1934"/>
              <w:gridCol w:w="2175"/>
              <w:gridCol w:w="2122"/>
              <w:gridCol w:w="1373"/>
            </w:tblGrid>
            <w:tr w14:paraId="79A29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noWrap w:val="0"/>
                  <w:vAlign w:val="center"/>
                </w:tcPr>
                <w:p w14:paraId="7F17594D">
                  <w:pPr>
                    <w:spacing w:line="280" w:lineRule="exact"/>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序号</w:t>
                  </w:r>
                </w:p>
              </w:tc>
              <w:tc>
                <w:tcPr>
                  <w:tcW w:w="1934" w:type="dxa"/>
                  <w:noWrap w:val="0"/>
                  <w:vAlign w:val="center"/>
                </w:tcPr>
                <w:p w14:paraId="58BB629D">
                  <w:pPr>
                    <w:spacing w:line="280" w:lineRule="exact"/>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施工类型</w:t>
                  </w:r>
                </w:p>
              </w:tc>
              <w:tc>
                <w:tcPr>
                  <w:tcW w:w="2175" w:type="dxa"/>
                  <w:noWrap w:val="0"/>
                  <w:vAlign w:val="center"/>
                </w:tcPr>
                <w:p w14:paraId="516B74F6">
                  <w:pPr>
                    <w:spacing w:line="280" w:lineRule="exact"/>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污染源或产污场地</w:t>
                  </w:r>
                </w:p>
              </w:tc>
              <w:tc>
                <w:tcPr>
                  <w:tcW w:w="2122" w:type="dxa"/>
                  <w:noWrap w:val="0"/>
                  <w:vAlign w:val="center"/>
                </w:tcPr>
                <w:p w14:paraId="38F17292">
                  <w:pPr>
                    <w:spacing w:line="280" w:lineRule="exact"/>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路基或设备（m）</w:t>
                  </w:r>
                </w:p>
              </w:tc>
              <w:tc>
                <w:tcPr>
                  <w:tcW w:w="1373" w:type="dxa"/>
                  <w:noWrap w:val="0"/>
                  <w:vAlign w:val="center"/>
                </w:tcPr>
                <w:p w14:paraId="3C2A8DF1">
                  <w:pPr>
                    <w:spacing w:line="280" w:lineRule="exact"/>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TSP</w:t>
                  </w:r>
                </w:p>
                <w:p w14:paraId="5023F3C5">
                  <w:pPr>
                    <w:spacing w:line="280" w:lineRule="exact"/>
                    <w:jc w:val="center"/>
                    <w:rPr>
                      <w:rFonts w:hint="default" w:ascii="Times New Roman" w:hAnsi="Times New Roman" w:eastAsia="宋体" w:cs="Times New Roman"/>
                      <w:b/>
                      <w:color w:val="auto"/>
                      <w:kern w:val="0"/>
                      <w:sz w:val="21"/>
                      <w:szCs w:val="21"/>
                      <w:highlight w:val="none"/>
                    </w:rPr>
                  </w:pPr>
                  <w:r>
                    <w:rPr>
                      <w:rFonts w:hint="eastAsia" w:ascii="Times New Roman" w:hAnsi="Times New Roman" w:eastAsia="宋体" w:cs="Times New Roman"/>
                      <w:b/>
                      <w:color w:val="auto"/>
                      <w:kern w:val="0"/>
                      <w:sz w:val="21"/>
                      <w:szCs w:val="21"/>
                      <w:highlight w:val="none"/>
                      <w:lang w:eastAsia="zh-CN"/>
                    </w:rPr>
                    <w:t>(</w:t>
                  </w:r>
                  <w:r>
                    <w:rPr>
                      <w:rFonts w:hint="default" w:ascii="Times New Roman" w:hAnsi="Times New Roman" w:eastAsia="宋体" w:cs="Times New Roman"/>
                      <w:b/>
                      <w:color w:val="auto"/>
                      <w:kern w:val="0"/>
                      <w:sz w:val="21"/>
                      <w:szCs w:val="21"/>
                      <w:highlight w:val="none"/>
                    </w:rPr>
                    <w:t>mg/m</w:t>
                  </w:r>
                  <w:r>
                    <w:rPr>
                      <w:rFonts w:hint="default" w:ascii="Times New Roman" w:hAnsi="Times New Roman" w:eastAsia="宋体" w:cs="Times New Roman"/>
                      <w:b/>
                      <w:color w:val="auto"/>
                      <w:kern w:val="0"/>
                      <w:sz w:val="21"/>
                      <w:szCs w:val="21"/>
                      <w:highlight w:val="none"/>
                      <w:vertAlign w:val="superscript"/>
                    </w:rPr>
                    <w:t>3</w:t>
                  </w:r>
                  <w:r>
                    <w:rPr>
                      <w:rFonts w:hint="eastAsia" w:ascii="Times New Roman" w:hAnsi="Times New Roman" w:eastAsia="宋体" w:cs="Times New Roman"/>
                      <w:b/>
                      <w:color w:val="auto"/>
                      <w:kern w:val="0"/>
                      <w:sz w:val="21"/>
                      <w:szCs w:val="21"/>
                      <w:highlight w:val="none"/>
                      <w:vertAlign w:val="superscript"/>
                      <w:lang w:eastAsia="zh-CN"/>
                    </w:rPr>
                    <w:t>)</w:t>
                  </w:r>
                </w:p>
              </w:tc>
            </w:tr>
            <w:tr w14:paraId="5A79A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noWrap w:val="0"/>
                  <w:vAlign w:val="center"/>
                </w:tcPr>
                <w:p w14:paraId="3CE3E7FF">
                  <w:pPr>
                    <w:spacing w:line="280" w:lineRule="exact"/>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1</w:t>
                  </w:r>
                </w:p>
              </w:tc>
              <w:tc>
                <w:tcPr>
                  <w:tcW w:w="1934" w:type="dxa"/>
                  <w:noWrap w:val="0"/>
                  <w:vAlign w:val="center"/>
                </w:tcPr>
                <w:p w14:paraId="7E77FA76">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路面开凿</w:t>
                  </w:r>
                </w:p>
              </w:tc>
              <w:tc>
                <w:tcPr>
                  <w:tcW w:w="2175" w:type="dxa"/>
                  <w:vMerge w:val="restart"/>
                  <w:noWrap w:val="0"/>
                  <w:vAlign w:val="center"/>
                </w:tcPr>
                <w:p w14:paraId="5726F0F6">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施工区</w:t>
                  </w:r>
                </w:p>
              </w:tc>
              <w:tc>
                <w:tcPr>
                  <w:tcW w:w="2122" w:type="dxa"/>
                  <w:noWrap w:val="0"/>
                  <w:vAlign w:val="center"/>
                </w:tcPr>
                <w:p w14:paraId="1174BCB9">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w:t>
                  </w:r>
                </w:p>
              </w:tc>
              <w:tc>
                <w:tcPr>
                  <w:tcW w:w="1373" w:type="dxa"/>
                  <w:noWrap w:val="0"/>
                  <w:vAlign w:val="center"/>
                </w:tcPr>
                <w:p w14:paraId="5C32F4D3">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0.43</w:t>
                  </w:r>
                </w:p>
              </w:tc>
            </w:tr>
            <w:tr w14:paraId="72EEE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noWrap w:val="0"/>
                  <w:vAlign w:val="center"/>
                </w:tcPr>
                <w:p w14:paraId="4FED13B8">
                  <w:pPr>
                    <w:spacing w:line="280" w:lineRule="exact"/>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2</w:t>
                  </w:r>
                </w:p>
              </w:tc>
              <w:tc>
                <w:tcPr>
                  <w:tcW w:w="1934" w:type="dxa"/>
                  <w:noWrap w:val="0"/>
                  <w:vAlign w:val="center"/>
                </w:tcPr>
                <w:p w14:paraId="10BA85D3">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路肩开挖</w:t>
                  </w:r>
                </w:p>
              </w:tc>
              <w:tc>
                <w:tcPr>
                  <w:tcW w:w="2175" w:type="dxa"/>
                  <w:vMerge w:val="continue"/>
                  <w:noWrap w:val="0"/>
                  <w:vAlign w:val="center"/>
                </w:tcPr>
                <w:p w14:paraId="78CDF781">
                  <w:pPr>
                    <w:spacing w:line="280" w:lineRule="exact"/>
                    <w:jc w:val="center"/>
                    <w:rPr>
                      <w:rFonts w:hint="default" w:ascii="Times New Roman" w:hAnsi="Times New Roman" w:eastAsia="宋体" w:cs="Times New Roman"/>
                      <w:color w:val="auto"/>
                      <w:kern w:val="0"/>
                      <w:sz w:val="21"/>
                      <w:szCs w:val="21"/>
                      <w:highlight w:val="none"/>
                    </w:rPr>
                  </w:pPr>
                </w:p>
              </w:tc>
              <w:tc>
                <w:tcPr>
                  <w:tcW w:w="2122" w:type="dxa"/>
                  <w:noWrap w:val="0"/>
                  <w:vAlign w:val="center"/>
                </w:tcPr>
                <w:p w14:paraId="7929CCB8">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w:t>
                  </w:r>
                </w:p>
              </w:tc>
              <w:tc>
                <w:tcPr>
                  <w:tcW w:w="1373" w:type="dxa"/>
                  <w:noWrap w:val="0"/>
                  <w:vAlign w:val="center"/>
                </w:tcPr>
                <w:p w14:paraId="0E98D7E6">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0.20</w:t>
                  </w:r>
                </w:p>
              </w:tc>
            </w:tr>
            <w:tr w14:paraId="2F84A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noWrap w:val="0"/>
                  <w:vAlign w:val="center"/>
                </w:tcPr>
                <w:p w14:paraId="65FD3CC9">
                  <w:pPr>
                    <w:spacing w:line="280" w:lineRule="exact"/>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3</w:t>
                  </w:r>
                </w:p>
              </w:tc>
              <w:tc>
                <w:tcPr>
                  <w:tcW w:w="1934" w:type="dxa"/>
                  <w:noWrap w:val="0"/>
                  <w:vAlign w:val="center"/>
                </w:tcPr>
                <w:p w14:paraId="2F9488B7">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水泥混凝土摊铺</w:t>
                  </w:r>
                </w:p>
              </w:tc>
              <w:tc>
                <w:tcPr>
                  <w:tcW w:w="2175" w:type="dxa"/>
                  <w:vMerge w:val="continue"/>
                  <w:noWrap w:val="0"/>
                  <w:vAlign w:val="center"/>
                </w:tcPr>
                <w:p w14:paraId="1A213AFB">
                  <w:pPr>
                    <w:spacing w:line="280" w:lineRule="exact"/>
                    <w:jc w:val="center"/>
                    <w:rPr>
                      <w:rFonts w:hint="default" w:ascii="Times New Roman" w:hAnsi="Times New Roman" w:eastAsia="宋体" w:cs="Times New Roman"/>
                      <w:color w:val="auto"/>
                      <w:kern w:val="0"/>
                      <w:sz w:val="21"/>
                      <w:szCs w:val="21"/>
                      <w:highlight w:val="none"/>
                    </w:rPr>
                  </w:pPr>
                </w:p>
              </w:tc>
              <w:tc>
                <w:tcPr>
                  <w:tcW w:w="2122" w:type="dxa"/>
                  <w:noWrap w:val="0"/>
                  <w:vAlign w:val="center"/>
                </w:tcPr>
                <w:p w14:paraId="7F3D8F3E">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60</w:t>
                  </w:r>
                </w:p>
              </w:tc>
              <w:tc>
                <w:tcPr>
                  <w:tcW w:w="1373" w:type="dxa"/>
                  <w:noWrap w:val="0"/>
                  <w:vAlign w:val="center"/>
                </w:tcPr>
                <w:p w14:paraId="4C5190C4">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0.10</w:t>
                  </w:r>
                </w:p>
              </w:tc>
            </w:tr>
            <w:tr w14:paraId="5F917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noWrap w:val="0"/>
                  <w:vAlign w:val="center"/>
                </w:tcPr>
                <w:p w14:paraId="2CBE8EBD">
                  <w:pPr>
                    <w:spacing w:line="280" w:lineRule="exact"/>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4</w:t>
                  </w:r>
                </w:p>
              </w:tc>
              <w:tc>
                <w:tcPr>
                  <w:tcW w:w="1934" w:type="dxa"/>
                  <w:noWrap w:val="0"/>
                  <w:vAlign w:val="center"/>
                </w:tcPr>
                <w:p w14:paraId="0FCCD245">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路基平整</w:t>
                  </w:r>
                </w:p>
              </w:tc>
              <w:tc>
                <w:tcPr>
                  <w:tcW w:w="2175" w:type="dxa"/>
                  <w:vMerge w:val="continue"/>
                  <w:noWrap w:val="0"/>
                  <w:vAlign w:val="center"/>
                </w:tcPr>
                <w:p w14:paraId="7ED7D7BF">
                  <w:pPr>
                    <w:spacing w:line="280" w:lineRule="exact"/>
                    <w:jc w:val="center"/>
                    <w:rPr>
                      <w:rFonts w:hint="default" w:ascii="Times New Roman" w:hAnsi="Times New Roman" w:eastAsia="宋体" w:cs="Times New Roman"/>
                      <w:color w:val="auto"/>
                      <w:kern w:val="0"/>
                      <w:sz w:val="21"/>
                      <w:szCs w:val="21"/>
                      <w:highlight w:val="none"/>
                    </w:rPr>
                  </w:pPr>
                </w:p>
              </w:tc>
              <w:tc>
                <w:tcPr>
                  <w:tcW w:w="2122" w:type="dxa"/>
                  <w:noWrap w:val="0"/>
                  <w:vAlign w:val="center"/>
                </w:tcPr>
                <w:p w14:paraId="02C66FFA">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30</w:t>
                  </w:r>
                </w:p>
              </w:tc>
              <w:tc>
                <w:tcPr>
                  <w:tcW w:w="1373" w:type="dxa"/>
                  <w:noWrap w:val="0"/>
                  <w:vAlign w:val="center"/>
                </w:tcPr>
                <w:p w14:paraId="61DD491B">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0.22</w:t>
                  </w:r>
                </w:p>
              </w:tc>
            </w:tr>
            <w:tr w14:paraId="2D370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noWrap w:val="0"/>
                  <w:vAlign w:val="center"/>
                </w:tcPr>
                <w:p w14:paraId="2B12C1F5">
                  <w:pPr>
                    <w:spacing w:line="280" w:lineRule="exact"/>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5</w:t>
                  </w:r>
                </w:p>
              </w:tc>
              <w:tc>
                <w:tcPr>
                  <w:tcW w:w="1934" w:type="dxa"/>
                  <w:noWrap w:val="0"/>
                  <w:vAlign w:val="center"/>
                </w:tcPr>
                <w:p w14:paraId="1224DC24">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物料运输</w:t>
                  </w:r>
                </w:p>
              </w:tc>
              <w:tc>
                <w:tcPr>
                  <w:tcW w:w="2175" w:type="dxa"/>
                  <w:noWrap w:val="0"/>
                  <w:vAlign w:val="center"/>
                </w:tcPr>
                <w:p w14:paraId="5E2690E3">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运输车辆</w:t>
                  </w:r>
                </w:p>
              </w:tc>
              <w:tc>
                <w:tcPr>
                  <w:tcW w:w="2122" w:type="dxa"/>
                  <w:noWrap w:val="0"/>
                  <w:vAlign w:val="center"/>
                </w:tcPr>
                <w:p w14:paraId="56E652F3">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w:t>
                  </w:r>
                </w:p>
              </w:tc>
              <w:tc>
                <w:tcPr>
                  <w:tcW w:w="1373" w:type="dxa"/>
                  <w:noWrap w:val="0"/>
                  <w:vAlign w:val="center"/>
                </w:tcPr>
                <w:p w14:paraId="79B8F713">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10.14</w:t>
                  </w:r>
                </w:p>
              </w:tc>
            </w:tr>
            <w:tr w14:paraId="578D1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noWrap w:val="0"/>
                  <w:vAlign w:val="center"/>
                </w:tcPr>
                <w:p w14:paraId="34116FFF">
                  <w:pPr>
                    <w:spacing w:line="280" w:lineRule="exact"/>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6</w:t>
                  </w:r>
                </w:p>
              </w:tc>
              <w:tc>
                <w:tcPr>
                  <w:tcW w:w="1934" w:type="dxa"/>
                  <w:noWrap w:val="0"/>
                  <w:vAlign w:val="center"/>
                </w:tcPr>
                <w:p w14:paraId="5BDF51E8">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混凝土搅拌</w:t>
                  </w:r>
                </w:p>
              </w:tc>
              <w:tc>
                <w:tcPr>
                  <w:tcW w:w="2175" w:type="dxa"/>
                  <w:noWrap w:val="0"/>
                  <w:vAlign w:val="center"/>
                </w:tcPr>
                <w:p w14:paraId="29198F23">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运输场地</w:t>
                  </w:r>
                </w:p>
              </w:tc>
              <w:tc>
                <w:tcPr>
                  <w:tcW w:w="2122" w:type="dxa"/>
                  <w:noWrap w:val="0"/>
                  <w:vAlign w:val="center"/>
                </w:tcPr>
                <w:p w14:paraId="5F626961">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w:t>
                  </w:r>
                </w:p>
              </w:tc>
              <w:tc>
                <w:tcPr>
                  <w:tcW w:w="1373" w:type="dxa"/>
                  <w:noWrap w:val="0"/>
                  <w:vAlign w:val="center"/>
                </w:tcPr>
                <w:p w14:paraId="5EFC8725">
                  <w:pPr>
                    <w:spacing w:line="28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7.35</w:t>
                  </w:r>
                </w:p>
              </w:tc>
            </w:tr>
          </w:tbl>
          <w:p w14:paraId="18DD3E02">
            <w:pPr>
              <w:pStyle w:val="51"/>
              <w:keepNext w:val="0"/>
              <w:keepLines w:val="0"/>
              <w:pageBreakBefore w:val="0"/>
              <w:widowControl w:val="0"/>
              <w:numPr>
                <w:ilvl w:val="0"/>
                <w:numId w:val="0"/>
              </w:numPr>
              <w:kinsoku/>
              <w:wordWrap/>
              <w:overflowPunct/>
              <w:topLinePunct w:val="0"/>
              <w:autoSpaceDE w:val="0"/>
              <w:autoSpaceDN w:val="0"/>
              <w:bidi w:val="0"/>
              <w:adjustRightInd w:val="0"/>
              <w:snapToGrid w:val="0"/>
              <w:spacing w:before="157" w:beforeLines="50"/>
              <w:ind w:firstLine="480" w:firstLineChars="200"/>
              <w:textAlignment w:val="auto"/>
              <w:rPr>
                <w:rFonts w:hint="default" w:ascii="Times New Roman" w:hAnsi="Times New Roman" w:eastAsia="宋体" w:cs="Times New Roman"/>
                <w:b w:val="0"/>
                <w:color w:val="auto"/>
                <w:sz w:val="24"/>
                <w:szCs w:val="18"/>
              </w:rPr>
            </w:pPr>
            <w:bookmarkStart w:id="238" w:name="_Toc3702"/>
            <w:bookmarkStart w:id="239" w:name="_Toc14508"/>
            <w:bookmarkStart w:id="240" w:name="_Toc21581"/>
            <w:bookmarkStart w:id="241" w:name="_Toc4435"/>
            <w:r>
              <w:rPr>
                <w:rFonts w:hint="default" w:ascii="Times New Roman" w:hAnsi="Times New Roman" w:eastAsia="宋体" w:cs="Times New Roman"/>
                <w:b w:val="0"/>
                <w:color w:val="auto"/>
                <w:sz w:val="24"/>
                <w:szCs w:val="18"/>
              </w:rPr>
              <w:t>项目在实施过程中应加强扬尘治理，施工工地要做到工地周边围挡、物料堆放覆盖、土方开挖湿法作业、路面硬化、出入车辆清洗、渣土车辆密闭运输</w:t>
            </w:r>
            <w:r>
              <w:rPr>
                <w:rFonts w:hint="eastAsia" w:cs="Times New Roman"/>
                <w:b w:val="0"/>
                <w:color w:val="auto"/>
                <w:sz w:val="24"/>
                <w:szCs w:val="18"/>
                <w:lang w:eastAsia="zh-CN"/>
              </w:rPr>
              <w:t>“</w:t>
            </w:r>
            <w:r>
              <w:rPr>
                <w:rFonts w:hint="default" w:ascii="Times New Roman" w:hAnsi="Times New Roman" w:cs="Times New Roman"/>
                <w:b w:val="0"/>
                <w:color w:val="auto"/>
                <w:sz w:val="24"/>
                <w:szCs w:val="18"/>
                <w:lang w:val="en-US" w:eastAsia="zh-CN"/>
              </w:rPr>
              <w:t>六</w:t>
            </w:r>
            <w:r>
              <w:rPr>
                <w:rFonts w:hint="default" w:ascii="Times New Roman" w:hAnsi="Times New Roman" w:eastAsia="宋体" w:cs="Times New Roman"/>
                <w:b w:val="0"/>
                <w:color w:val="auto"/>
                <w:sz w:val="24"/>
                <w:szCs w:val="18"/>
              </w:rPr>
              <w:t>个百分百</w:t>
            </w:r>
            <w:r>
              <w:rPr>
                <w:rFonts w:hint="eastAsia" w:cs="Times New Roman"/>
                <w:b w:val="0"/>
                <w:color w:val="auto"/>
                <w:sz w:val="24"/>
                <w:szCs w:val="18"/>
                <w:lang w:eastAsia="zh-CN"/>
              </w:rPr>
              <w:t>”</w:t>
            </w:r>
            <w:r>
              <w:rPr>
                <w:rFonts w:hint="default" w:ascii="Times New Roman" w:hAnsi="Times New Roman" w:eastAsia="宋体" w:cs="Times New Roman"/>
                <w:b w:val="0"/>
                <w:color w:val="auto"/>
                <w:sz w:val="24"/>
                <w:szCs w:val="18"/>
              </w:rPr>
              <w:t>，即为施工工地周边100%围挡；出入车辆100%冲洗；拆迁工地100%湿法作业；渣土车辆100%密闭运输；施工现场地面100%硬化；物料堆放100%覆盖。施工扬尘对大气环境质量的这些不利影响是偶然的、短暂的、局部的，也是施工中不可避免的，其将随施工的结束而消失。</w:t>
            </w:r>
            <w:bookmarkEnd w:id="238"/>
            <w:bookmarkEnd w:id="239"/>
            <w:bookmarkEnd w:id="240"/>
            <w:bookmarkEnd w:id="241"/>
          </w:p>
          <w:p w14:paraId="5395C569">
            <w:pPr>
              <w:pStyle w:val="51"/>
              <w:numPr>
                <w:ilvl w:val="0"/>
                <w:numId w:val="0"/>
              </w:numPr>
              <w:spacing w:before="0" w:beforeLines="0"/>
              <w:ind w:firstLine="482" w:firstLineChars="200"/>
              <w:rPr>
                <w:rFonts w:hint="default" w:ascii="Times New Roman" w:hAnsi="Times New Roman" w:cs="Times New Roman"/>
                <w:b/>
                <w:bCs/>
                <w:color w:val="auto"/>
                <w:sz w:val="24"/>
                <w:szCs w:val="18"/>
              </w:rPr>
            </w:pPr>
            <w:bookmarkStart w:id="242" w:name="_Toc24919"/>
            <w:bookmarkStart w:id="243" w:name="_Toc4883"/>
            <w:bookmarkStart w:id="244" w:name="_Toc20529"/>
            <w:bookmarkStart w:id="245" w:name="_Toc22753"/>
            <w:r>
              <w:rPr>
                <w:rFonts w:hint="default" w:ascii="Times New Roman" w:hAnsi="Times New Roman" w:cs="Times New Roman"/>
                <w:b/>
                <w:bCs/>
                <w:color w:val="auto"/>
                <w:sz w:val="24"/>
                <w:szCs w:val="18"/>
              </w:rPr>
              <w:t>（2）施工</w:t>
            </w:r>
            <w:r>
              <w:rPr>
                <w:rFonts w:hint="default" w:ascii="Times New Roman" w:hAnsi="Times New Roman" w:cs="Times New Roman"/>
                <w:b/>
                <w:bCs/>
                <w:color w:val="auto"/>
                <w:sz w:val="24"/>
                <w:szCs w:val="18"/>
                <w:lang w:eastAsia="zh-CN"/>
              </w:rPr>
              <w:t>机械</w:t>
            </w:r>
            <w:r>
              <w:rPr>
                <w:rFonts w:hint="default" w:ascii="Times New Roman" w:hAnsi="Times New Roman" w:cs="Times New Roman"/>
                <w:b/>
                <w:bCs/>
                <w:color w:val="auto"/>
                <w:sz w:val="24"/>
                <w:szCs w:val="18"/>
              </w:rPr>
              <w:t>尾气</w:t>
            </w:r>
            <w:bookmarkEnd w:id="242"/>
            <w:bookmarkEnd w:id="243"/>
            <w:bookmarkEnd w:id="244"/>
            <w:bookmarkEnd w:id="245"/>
          </w:p>
          <w:p w14:paraId="5ADC74DD">
            <w:pPr>
              <w:pStyle w:val="51"/>
              <w:numPr>
                <w:ilvl w:val="0"/>
                <w:numId w:val="0"/>
              </w:numPr>
              <w:spacing w:before="0" w:beforeLines="0"/>
              <w:ind w:firstLine="480" w:firstLineChars="200"/>
              <w:rPr>
                <w:rFonts w:hint="default" w:ascii="Times New Roman" w:hAnsi="Times New Roman" w:cs="Times New Roman"/>
                <w:b w:val="0"/>
                <w:bCs w:val="0"/>
                <w:color w:val="auto"/>
                <w:sz w:val="24"/>
                <w:szCs w:val="18"/>
              </w:rPr>
            </w:pPr>
            <w:bookmarkStart w:id="246" w:name="_Toc2441"/>
            <w:bookmarkStart w:id="247" w:name="_Toc24024"/>
            <w:bookmarkStart w:id="248" w:name="_Toc24576"/>
            <w:bookmarkStart w:id="249" w:name="_Toc3842"/>
            <w:r>
              <w:rPr>
                <w:rFonts w:hint="default" w:ascii="Times New Roman" w:hAnsi="Times New Roman" w:cs="Times New Roman"/>
                <w:b w:val="0"/>
                <w:bCs w:val="0"/>
                <w:color w:val="auto"/>
                <w:sz w:val="24"/>
                <w:szCs w:val="18"/>
              </w:rPr>
              <w:t>施工期，频繁使用机动车运送原材料、设备和建筑机械设备，这些车辆及设备的运行会排放一定量的CO、NOx以及未完全燃烧的碳氢化物HC等，同时产生扬尘污染大气环境。本工程施工期将采用推土机、挖掘机、载重汽车等机械设备，这些设备在行驶和作业过程中将排放尾气，污染周边大气环境，但由于大气污染源较分散，且源强难于定量估算，因此主要在环保防治措施中提出对策建议，只要合理设置施工场地、有效落实各项环保措施，则施工机械尾气对环境空气的</w:t>
            </w:r>
            <w:r>
              <w:rPr>
                <w:rFonts w:hint="eastAsia" w:cs="Times New Roman"/>
                <w:b w:val="0"/>
                <w:bCs w:val="0"/>
                <w:color w:val="auto"/>
                <w:sz w:val="24"/>
                <w:szCs w:val="18"/>
                <w:lang w:eastAsia="zh-CN"/>
              </w:rPr>
              <w:t>影响</w:t>
            </w:r>
            <w:r>
              <w:rPr>
                <w:rFonts w:hint="default" w:ascii="Times New Roman" w:hAnsi="Times New Roman" w:cs="Times New Roman"/>
                <w:b w:val="0"/>
                <w:bCs w:val="0"/>
                <w:color w:val="auto"/>
                <w:sz w:val="24"/>
                <w:szCs w:val="18"/>
              </w:rPr>
              <w:t>较小</w:t>
            </w:r>
            <w:r>
              <w:rPr>
                <w:rFonts w:hint="default" w:ascii="Times New Roman" w:hAnsi="Times New Roman" w:cs="Times New Roman"/>
                <w:b w:val="0"/>
                <w:bCs w:val="0"/>
                <w:color w:val="auto"/>
                <w:sz w:val="24"/>
                <w:szCs w:val="18"/>
                <w:lang w:eastAsia="zh-CN"/>
              </w:rPr>
              <w:t>，而且</w:t>
            </w:r>
            <w:r>
              <w:rPr>
                <w:rFonts w:hint="default" w:ascii="Times New Roman" w:hAnsi="Times New Roman" w:cs="Times New Roman"/>
                <w:b w:val="0"/>
                <w:bCs w:val="0"/>
                <w:color w:val="auto"/>
                <w:sz w:val="24"/>
                <w:szCs w:val="18"/>
              </w:rPr>
              <w:t>是暂时的。</w:t>
            </w:r>
            <w:bookmarkEnd w:id="246"/>
            <w:bookmarkEnd w:id="247"/>
            <w:bookmarkEnd w:id="248"/>
            <w:bookmarkEnd w:id="249"/>
          </w:p>
          <w:p w14:paraId="557B10DA">
            <w:pPr>
              <w:pStyle w:val="51"/>
              <w:numPr>
                <w:ilvl w:val="0"/>
                <w:numId w:val="0"/>
              </w:numPr>
              <w:spacing w:before="0" w:beforeLines="0"/>
              <w:ind w:firstLine="482" w:firstLineChars="200"/>
              <w:rPr>
                <w:rFonts w:hint="eastAsia" w:ascii="Times New Roman" w:hAnsi="Times New Roman" w:eastAsia="宋体" w:cs="Times New Roman"/>
                <w:b/>
                <w:bCs/>
                <w:color w:val="auto"/>
                <w:sz w:val="24"/>
                <w:szCs w:val="18"/>
                <w:lang w:val="en-US" w:eastAsia="zh-CN"/>
              </w:rPr>
            </w:pPr>
            <w:r>
              <w:rPr>
                <w:rFonts w:hint="eastAsia" w:ascii="Times New Roman" w:hAnsi="Times New Roman" w:eastAsia="宋体" w:cs="Times New Roman"/>
                <w:b/>
                <w:bCs/>
                <w:color w:val="auto"/>
                <w:sz w:val="24"/>
                <w:szCs w:val="18"/>
                <w:lang w:eastAsia="zh-CN"/>
              </w:rPr>
              <w:t>（</w:t>
            </w:r>
            <w:r>
              <w:rPr>
                <w:rFonts w:hint="eastAsia" w:ascii="Times New Roman" w:hAnsi="Times New Roman" w:eastAsia="宋体" w:cs="Times New Roman"/>
                <w:b/>
                <w:bCs/>
                <w:color w:val="auto"/>
                <w:sz w:val="24"/>
                <w:szCs w:val="18"/>
                <w:lang w:val="en-US" w:eastAsia="zh-CN"/>
              </w:rPr>
              <w:t>3</w:t>
            </w:r>
            <w:r>
              <w:rPr>
                <w:rFonts w:hint="eastAsia" w:ascii="Times New Roman" w:hAnsi="Times New Roman" w:eastAsia="宋体" w:cs="Times New Roman"/>
                <w:b/>
                <w:bCs/>
                <w:color w:val="auto"/>
                <w:sz w:val="24"/>
                <w:szCs w:val="18"/>
                <w:lang w:eastAsia="zh-CN"/>
              </w:rPr>
              <w:t>）</w:t>
            </w:r>
            <w:r>
              <w:rPr>
                <w:rFonts w:hint="eastAsia" w:ascii="Times New Roman" w:hAnsi="Times New Roman" w:eastAsia="宋体" w:cs="Times New Roman"/>
                <w:b/>
                <w:bCs/>
                <w:color w:val="auto"/>
                <w:sz w:val="24"/>
                <w:szCs w:val="18"/>
                <w:lang w:val="en-US" w:eastAsia="zh-CN"/>
              </w:rPr>
              <w:t>沥青路面施工沥青烟</w:t>
            </w:r>
          </w:p>
          <w:p w14:paraId="584D4DA7">
            <w:pPr>
              <w:pStyle w:val="51"/>
              <w:numPr>
                <w:ilvl w:val="0"/>
                <w:numId w:val="0"/>
              </w:numPr>
              <w:spacing w:before="0" w:beforeLines="0"/>
              <w:ind w:firstLine="480" w:firstLineChars="200"/>
              <w:rPr>
                <w:rFonts w:hint="eastAsia" w:cs="Times New Roman"/>
                <w:b w:val="0"/>
                <w:bCs w:val="0"/>
                <w:color w:val="auto"/>
                <w:sz w:val="24"/>
                <w:szCs w:val="18"/>
                <w:lang w:eastAsia="zh-CN"/>
              </w:rPr>
            </w:pPr>
            <w:r>
              <w:rPr>
                <w:rFonts w:hint="eastAsia" w:cs="Times New Roman"/>
                <w:b w:val="0"/>
                <w:bCs w:val="0"/>
                <w:color w:val="auto"/>
                <w:sz w:val="24"/>
                <w:szCs w:val="18"/>
                <w:lang w:eastAsia="zh-CN"/>
              </w:rPr>
              <w:t>本工程</w:t>
            </w:r>
            <w:r>
              <w:rPr>
                <w:rFonts w:hint="eastAsia" w:cs="Times New Roman"/>
                <w:b w:val="0"/>
                <w:bCs w:val="0"/>
                <w:color w:val="auto"/>
                <w:sz w:val="24"/>
                <w:szCs w:val="18"/>
                <w:lang w:val="en-US" w:eastAsia="zh-CN"/>
              </w:rPr>
              <w:t>采用</w:t>
            </w:r>
            <w:r>
              <w:rPr>
                <w:rFonts w:hint="eastAsia" w:cs="Times New Roman"/>
                <w:b w:val="0"/>
                <w:bCs w:val="0"/>
                <w:color w:val="auto"/>
                <w:sz w:val="24"/>
                <w:szCs w:val="18"/>
                <w:lang w:eastAsia="zh-CN"/>
              </w:rPr>
              <w:t>沥青混凝土路面，项目沥青全部</w:t>
            </w:r>
            <w:r>
              <w:rPr>
                <w:rFonts w:hint="eastAsia" w:cs="Times New Roman"/>
                <w:b w:val="0"/>
                <w:bCs w:val="0"/>
                <w:color w:val="auto"/>
                <w:sz w:val="24"/>
                <w:szCs w:val="18"/>
                <w:lang w:val="en-US" w:eastAsia="zh-CN"/>
              </w:rPr>
              <w:t>外购</w:t>
            </w:r>
            <w:r>
              <w:rPr>
                <w:rFonts w:hint="eastAsia" w:cs="Times New Roman"/>
                <w:b w:val="0"/>
                <w:bCs w:val="0"/>
                <w:color w:val="auto"/>
                <w:sz w:val="24"/>
                <w:szCs w:val="18"/>
                <w:lang w:eastAsia="zh-CN"/>
              </w:rPr>
              <w:t>，施工场地不设沥青拌合站，因此施工期沥青烟的影响只考虑摊铺作业过程中产生的沥青烟影响，这部分沥青烟气为无组织排放，主要污染物为THC、酚和BaP以及异味气体，根据</w:t>
            </w:r>
            <w:r>
              <w:rPr>
                <w:rFonts w:hint="eastAsia" w:cs="Times New Roman"/>
                <w:b w:val="0"/>
                <w:bCs w:val="0"/>
                <w:color w:val="auto"/>
                <w:sz w:val="24"/>
                <w:szCs w:val="18"/>
                <w:lang w:val="en-US" w:eastAsia="zh-CN"/>
              </w:rPr>
              <w:t>同类型项目施工期间监测结果比较，沥青摊铺阶段道路沿线各监测点BaP无组织排放均未出现超标现象，但沥青摊铺阶段沿线各测点环境空气中BaP日均浓度均高于未铺设沥青时背景值。</w:t>
            </w:r>
          </w:p>
          <w:p w14:paraId="197B18CD">
            <w:pPr>
              <w:pStyle w:val="51"/>
              <w:numPr>
                <w:ilvl w:val="0"/>
                <w:numId w:val="0"/>
              </w:numPr>
              <w:spacing w:before="0" w:beforeLines="0"/>
              <w:ind w:firstLine="480" w:firstLineChars="200"/>
              <w:rPr>
                <w:rFonts w:hint="eastAsia" w:cs="Times New Roman"/>
                <w:b w:val="0"/>
                <w:bCs w:val="0"/>
                <w:color w:val="auto"/>
                <w:sz w:val="24"/>
                <w:szCs w:val="18"/>
                <w:lang w:eastAsia="zh-CN"/>
              </w:rPr>
            </w:pPr>
            <w:r>
              <w:rPr>
                <w:rFonts w:hint="eastAsia" w:cs="Times New Roman"/>
                <w:b w:val="0"/>
                <w:bCs w:val="0"/>
                <w:color w:val="auto"/>
                <w:sz w:val="24"/>
                <w:szCs w:val="18"/>
                <w:lang w:eastAsia="zh-CN"/>
              </w:rPr>
              <w:t>因此，在路面工程施工期间沥青摊铺作业过程中，应注意相关设备的选型、设备的完好率和操作规范，保证沥青烟浓度符合排放限值要求。</w:t>
            </w:r>
          </w:p>
          <w:p w14:paraId="693950CF">
            <w:pPr>
              <w:pStyle w:val="51"/>
              <w:numPr>
                <w:ilvl w:val="0"/>
                <w:numId w:val="0"/>
              </w:numPr>
              <w:spacing w:before="0" w:beforeLines="0"/>
              <w:ind w:firstLine="482" w:firstLineChars="200"/>
              <w:rPr>
                <w:rFonts w:hint="default" w:ascii="Times New Roman" w:hAnsi="Times New Roman" w:eastAsia="宋体" w:cs="Times New Roman"/>
                <w:b/>
                <w:bCs/>
                <w:color w:val="auto"/>
                <w:sz w:val="24"/>
                <w:szCs w:val="18"/>
                <w:lang w:val="en-US" w:eastAsia="zh-CN"/>
              </w:rPr>
            </w:pPr>
            <w:r>
              <w:rPr>
                <w:rFonts w:hint="eastAsia" w:ascii="Times New Roman" w:hAnsi="Times New Roman" w:eastAsia="宋体" w:cs="Times New Roman"/>
                <w:b/>
                <w:bCs/>
                <w:color w:val="auto"/>
                <w:sz w:val="24"/>
                <w:szCs w:val="18"/>
                <w:lang w:val="en-US" w:eastAsia="zh-CN"/>
              </w:rPr>
              <w:t>（4）</w:t>
            </w:r>
            <w:r>
              <w:rPr>
                <w:rFonts w:hint="default" w:ascii="Times New Roman" w:hAnsi="Times New Roman" w:eastAsia="宋体" w:cs="Times New Roman"/>
                <w:b/>
                <w:bCs/>
                <w:color w:val="auto"/>
                <w:sz w:val="24"/>
                <w:szCs w:val="18"/>
                <w:lang w:val="en-US" w:eastAsia="zh-CN"/>
              </w:rPr>
              <w:t>拆除施工扬尘</w:t>
            </w:r>
          </w:p>
          <w:p w14:paraId="25129593">
            <w:pPr>
              <w:pStyle w:val="51"/>
              <w:numPr>
                <w:ilvl w:val="0"/>
                <w:numId w:val="0"/>
              </w:numPr>
              <w:spacing w:before="0" w:beforeLines="0"/>
              <w:ind w:firstLine="480" w:firstLineChars="200"/>
              <w:rPr>
                <w:rFonts w:hint="default" w:ascii="Times New Roman" w:hAnsi="Times New Roman" w:eastAsia="宋体" w:cs="Times New Roman"/>
                <w:b w:val="0"/>
                <w:bCs w:val="0"/>
                <w:color w:val="auto"/>
                <w:sz w:val="24"/>
                <w:szCs w:val="18"/>
                <w:lang w:val="en-US" w:eastAsia="zh-CN"/>
              </w:rPr>
            </w:pPr>
            <w:r>
              <w:rPr>
                <w:rFonts w:hint="default" w:ascii="Times New Roman" w:hAnsi="Times New Roman" w:eastAsia="宋体" w:cs="Times New Roman"/>
                <w:b w:val="0"/>
                <w:bCs w:val="0"/>
                <w:color w:val="auto"/>
                <w:sz w:val="24"/>
                <w:szCs w:val="18"/>
                <w:lang w:val="en-US" w:eastAsia="zh-CN"/>
              </w:rPr>
              <w:t>本项目为公路改扩建工程，工程施工前期，需对占地范围内的建筑物进行拆迁，改建路段需对原路面沥青面层进行刨除或全部破除，相应拆除作业中将产生扬尘。拆迁扬尘将对周围的环境空气产生一定的污染，对操作人员和周围近距离居民的身体健康有一定的影响。</w:t>
            </w:r>
          </w:p>
          <w:p w14:paraId="090A2269">
            <w:pPr>
              <w:pStyle w:val="51"/>
              <w:numPr>
                <w:ilvl w:val="0"/>
                <w:numId w:val="0"/>
              </w:numPr>
              <w:spacing w:before="0" w:beforeLines="0"/>
              <w:ind w:firstLine="480" w:firstLineChars="200"/>
              <w:rPr>
                <w:rFonts w:hint="default" w:ascii="Times New Roman" w:hAnsi="Times New Roman" w:eastAsia="宋体" w:cs="Times New Roman"/>
                <w:b w:val="0"/>
                <w:bCs w:val="0"/>
                <w:color w:val="auto"/>
                <w:sz w:val="24"/>
                <w:szCs w:val="18"/>
                <w:lang w:val="en-US" w:eastAsia="zh-CN"/>
              </w:rPr>
            </w:pPr>
            <w:r>
              <w:rPr>
                <w:rFonts w:hint="default" w:ascii="Times New Roman" w:hAnsi="Times New Roman" w:eastAsia="宋体" w:cs="Times New Roman"/>
                <w:b w:val="0"/>
                <w:bCs w:val="0"/>
                <w:color w:val="auto"/>
                <w:sz w:val="24"/>
                <w:szCs w:val="18"/>
                <w:lang w:val="en-US" w:eastAsia="zh-CN"/>
              </w:rPr>
              <w:t>建设单位应制定有效的拆迁方案，施工单位拆除房屋或者其他建（构）筑物时应当设置遮挡，要对被拆除房屋或者其他建（构）筑物进行洒水或者喷淋，对拆迁操作人员采取劳保防护；房屋拆迁后产生的建筑垃圾，应及时清运处置；建筑垃圾堆放期间，需采取防尘网（布）覆盖。通过采取有效扬尘防治措施，可有效减轻拆除施工对环境空气产生的不利影响</w:t>
            </w:r>
          </w:p>
          <w:p w14:paraId="49FFC3A6">
            <w:pPr>
              <w:pStyle w:val="51"/>
              <w:numPr>
                <w:ilvl w:val="0"/>
                <w:numId w:val="0"/>
              </w:numPr>
              <w:spacing w:before="0" w:beforeLines="0"/>
              <w:ind w:firstLine="482" w:firstLineChars="200"/>
              <w:rPr>
                <w:rFonts w:hint="default" w:ascii="Times New Roman" w:hAnsi="Times New Roman" w:eastAsia="宋体" w:cs="Times New Roman"/>
                <w:b/>
                <w:bCs/>
                <w:color w:val="auto"/>
                <w:sz w:val="24"/>
                <w:szCs w:val="20"/>
                <w:lang w:eastAsia="zh-CN"/>
              </w:rPr>
            </w:pPr>
            <w:bookmarkStart w:id="250" w:name="_Toc8389"/>
            <w:bookmarkStart w:id="251" w:name="_Toc6556"/>
            <w:bookmarkStart w:id="252" w:name="_Toc10862"/>
            <w:bookmarkStart w:id="253" w:name="_Toc15580"/>
            <w:r>
              <w:rPr>
                <w:rFonts w:hint="default" w:ascii="Times New Roman" w:hAnsi="Times New Roman" w:eastAsia="宋体" w:cs="Times New Roman"/>
                <w:b/>
                <w:bCs/>
                <w:color w:val="auto"/>
                <w:sz w:val="24"/>
                <w:szCs w:val="20"/>
                <w:lang w:val="en-US" w:eastAsia="zh-CN"/>
              </w:rPr>
              <w:t>1.</w:t>
            </w:r>
            <w:r>
              <w:rPr>
                <w:rFonts w:hint="eastAsia" w:cs="Times New Roman"/>
                <w:b/>
                <w:bCs/>
                <w:color w:val="auto"/>
                <w:sz w:val="24"/>
                <w:szCs w:val="20"/>
                <w:lang w:val="en-US" w:eastAsia="zh-CN"/>
              </w:rPr>
              <w:t>4</w:t>
            </w:r>
            <w:r>
              <w:rPr>
                <w:rFonts w:hint="default" w:ascii="Times New Roman" w:hAnsi="Times New Roman" w:eastAsia="宋体" w:cs="Times New Roman"/>
                <w:b/>
                <w:bCs/>
                <w:color w:val="auto"/>
                <w:sz w:val="24"/>
                <w:szCs w:val="20"/>
                <w:lang w:val="en-US" w:eastAsia="zh-CN"/>
              </w:rPr>
              <w:t>、</w:t>
            </w:r>
            <w:r>
              <w:rPr>
                <w:rFonts w:hint="default" w:ascii="Times New Roman" w:hAnsi="Times New Roman" w:eastAsia="宋体" w:cs="Times New Roman"/>
                <w:b/>
                <w:bCs/>
                <w:color w:val="auto"/>
                <w:sz w:val="24"/>
                <w:szCs w:val="20"/>
              </w:rPr>
              <w:t>废水</w:t>
            </w:r>
            <w:r>
              <w:rPr>
                <w:rFonts w:hint="default" w:ascii="Times New Roman" w:hAnsi="Times New Roman" w:eastAsia="宋体" w:cs="Times New Roman"/>
                <w:b/>
                <w:bCs/>
                <w:color w:val="auto"/>
                <w:sz w:val="24"/>
                <w:szCs w:val="20"/>
                <w:lang w:eastAsia="zh-CN"/>
              </w:rPr>
              <w:t>环境影响分析</w:t>
            </w:r>
            <w:bookmarkEnd w:id="250"/>
            <w:bookmarkEnd w:id="251"/>
            <w:bookmarkEnd w:id="252"/>
            <w:bookmarkEnd w:id="253"/>
          </w:p>
          <w:p w14:paraId="1D39E652">
            <w:pPr>
              <w:pStyle w:val="51"/>
              <w:numPr>
                <w:ilvl w:val="0"/>
                <w:numId w:val="0"/>
              </w:numPr>
              <w:spacing w:before="0" w:beforeLines="0"/>
              <w:ind w:firstLine="480" w:firstLineChars="200"/>
              <w:rPr>
                <w:rFonts w:hint="default" w:ascii="Times New Roman" w:hAnsi="Times New Roman" w:eastAsia="宋体" w:cs="Times New Roman"/>
                <w:b/>
                <w:bCs/>
                <w:color w:val="auto"/>
                <w:sz w:val="24"/>
                <w:szCs w:val="18"/>
                <w:lang w:val="en-US" w:eastAsia="zh-CN"/>
              </w:rPr>
            </w:pPr>
            <w:bookmarkStart w:id="254" w:name="_Toc26030"/>
            <w:bookmarkStart w:id="255" w:name="_Toc19834"/>
            <w:bookmarkStart w:id="256" w:name="_Toc14609"/>
            <w:bookmarkStart w:id="257" w:name="_Toc8078"/>
            <w:r>
              <w:rPr>
                <w:rFonts w:hint="default" w:ascii="Times New Roman" w:hAnsi="Times New Roman" w:eastAsia="宋体" w:cs="Times New Roman"/>
                <w:b w:val="0"/>
                <w:bCs w:val="0"/>
                <w:color w:val="auto"/>
                <w:sz w:val="24"/>
                <w:szCs w:val="18"/>
                <w:lang w:val="en-US" w:eastAsia="zh-CN"/>
              </w:rPr>
              <w:t>施工期废水污染源主要为施工作业开挖等产生的泥浆水、施工机械、车辆和施</w:t>
            </w:r>
            <w:r>
              <w:rPr>
                <w:rFonts w:hint="default" w:ascii="Times New Roman" w:hAnsi="Times New Roman" w:cs="Times New Roman"/>
                <w:b w:val="0"/>
                <w:bCs w:val="0"/>
                <w:color w:val="auto"/>
                <w:sz w:val="24"/>
                <w:szCs w:val="18"/>
                <w:lang w:val="en-US" w:eastAsia="zh-CN"/>
              </w:rPr>
              <w:t>工</w:t>
            </w:r>
            <w:r>
              <w:rPr>
                <w:rFonts w:hint="default" w:ascii="Times New Roman" w:hAnsi="Times New Roman" w:eastAsia="宋体" w:cs="Times New Roman"/>
                <w:b w:val="0"/>
                <w:bCs w:val="0"/>
                <w:color w:val="auto"/>
                <w:sz w:val="24"/>
                <w:szCs w:val="18"/>
                <w:lang w:val="en-US" w:eastAsia="zh-CN"/>
              </w:rPr>
              <w:t>场地的冲洗废水，下雨时冲刷浮土、建筑泥浆、垃圾、弃土等产生的地表径流，施工人员的生活污水。</w:t>
            </w:r>
            <w:bookmarkEnd w:id="254"/>
            <w:bookmarkEnd w:id="255"/>
            <w:bookmarkEnd w:id="256"/>
            <w:bookmarkEnd w:id="257"/>
          </w:p>
          <w:p w14:paraId="638FCB7A">
            <w:pPr>
              <w:pStyle w:val="51"/>
              <w:numPr>
                <w:ilvl w:val="0"/>
                <w:numId w:val="0"/>
              </w:numPr>
              <w:spacing w:before="0" w:beforeLines="0"/>
              <w:ind w:firstLine="482" w:firstLineChars="200"/>
              <w:rPr>
                <w:rFonts w:hint="default" w:ascii="Times New Roman" w:hAnsi="Times New Roman" w:eastAsia="宋体" w:cs="Times New Roman"/>
                <w:b/>
                <w:bCs/>
                <w:color w:val="auto"/>
                <w:sz w:val="24"/>
                <w:szCs w:val="18"/>
              </w:rPr>
            </w:pPr>
            <w:bookmarkStart w:id="258" w:name="_Toc25924"/>
            <w:bookmarkStart w:id="259" w:name="_Toc32534"/>
            <w:bookmarkStart w:id="260" w:name="_Toc19870"/>
            <w:bookmarkStart w:id="261" w:name="_Toc3997"/>
            <w:r>
              <w:rPr>
                <w:rFonts w:hint="default" w:ascii="Times New Roman" w:hAnsi="Times New Roman" w:cs="Times New Roman"/>
                <w:b/>
                <w:bCs/>
                <w:color w:val="auto"/>
                <w:sz w:val="24"/>
                <w:szCs w:val="18"/>
                <w:lang w:val="en-US" w:eastAsia="zh-CN"/>
              </w:rPr>
              <w:t>（</w:t>
            </w:r>
            <w:r>
              <w:rPr>
                <w:rFonts w:hint="default" w:ascii="Times New Roman" w:hAnsi="Times New Roman" w:eastAsia="宋体" w:cs="Times New Roman"/>
                <w:b/>
                <w:bCs/>
                <w:color w:val="auto"/>
                <w:sz w:val="24"/>
                <w:szCs w:val="18"/>
                <w:lang w:val="en-US" w:eastAsia="zh-CN"/>
              </w:rPr>
              <w:t>1）施工废水</w:t>
            </w:r>
            <w:bookmarkEnd w:id="258"/>
            <w:bookmarkEnd w:id="259"/>
            <w:bookmarkEnd w:id="260"/>
            <w:bookmarkEnd w:id="261"/>
          </w:p>
          <w:p w14:paraId="125CF01E">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rPr>
            </w:pPr>
            <w:bookmarkStart w:id="262" w:name="_Toc17994"/>
            <w:bookmarkStart w:id="263" w:name="_Toc27918"/>
            <w:bookmarkStart w:id="264" w:name="_Toc7510"/>
            <w:bookmarkStart w:id="265" w:name="_Toc12118"/>
            <w:r>
              <w:rPr>
                <w:rFonts w:hint="default" w:ascii="Times New Roman" w:hAnsi="Times New Roman" w:eastAsia="宋体" w:cs="Times New Roman"/>
                <w:b w:val="0"/>
                <w:color w:val="auto"/>
                <w:sz w:val="24"/>
                <w:szCs w:val="18"/>
              </w:rPr>
              <w:t>施工机械需要经常清洗或受到雨淋，产生的废水污染物主要为SS、石油类。在施工场地出入口附近设置专门的车辆、机械冲洗区域，该区域地面设置硬化防渗地坪，同时在施工工地周围设置集水沟和隔油沉淀池，废水隔油沉淀处理后重复利用于场地洒水抑尘，不得随意排放。通过采取上述措施，施工场地机械、车辆冲洗废水对地表水基本不会产生影响。</w:t>
            </w:r>
            <w:bookmarkEnd w:id="262"/>
            <w:bookmarkEnd w:id="263"/>
            <w:bookmarkEnd w:id="264"/>
            <w:bookmarkEnd w:id="265"/>
          </w:p>
          <w:p w14:paraId="2B0715EA">
            <w:pPr>
              <w:pStyle w:val="51"/>
              <w:numPr>
                <w:ilvl w:val="0"/>
                <w:numId w:val="0"/>
              </w:numPr>
              <w:spacing w:before="0" w:beforeLines="0"/>
              <w:ind w:firstLine="482" w:firstLineChars="200"/>
              <w:rPr>
                <w:rFonts w:hint="default" w:ascii="Times New Roman" w:hAnsi="Times New Roman" w:eastAsia="宋体" w:cs="Times New Roman"/>
                <w:b/>
                <w:bCs/>
                <w:color w:val="auto"/>
                <w:sz w:val="24"/>
                <w:szCs w:val="18"/>
              </w:rPr>
            </w:pPr>
            <w:bookmarkStart w:id="266" w:name="_Toc11081"/>
            <w:bookmarkStart w:id="267" w:name="_Toc4657"/>
            <w:bookmarkStart w:id="268" w:name="_Toc29167"/>
            <w:bookmarkStart w:id="269" w:name="_Toc16639"/>
            <w:r>
              <w:rPr>
                <w:rFonts w:hint="default" w:ascii="Times New Roman" w:hAnsi="Times New Roman" w:cs="Times New Roman"/>
                <w:b/>
                <w:bCs/>
                <w:color w:val="auto"/>
                <w:sz w:val="24"/>
                <w:szCs w:val="18"/>
                <w:lang w:val="en-US" w:eastAsia="zh-CN"/>
              </w:rPr>
              <w:t>（</w:t>
            </w:r>
            <w:r>
              <w:rPr>
                <w:rFonts w:hint="default" w:ascii="Times New Roman" w:hAnsi="Times New Roman" w:eastAsia="宋体" w:cs="Times New Roman"/>
                <w:b/>
                <w:bCs/>
                <w:color w:val="auto"/>
                <w:sz w:val="24"/>
                <w:szCs w:val="18"/>
                <w:lang w:val="en-US" w:eastAsia="zh-CN"/>
              </w:rPr>
              <w:t>2）施工</w:t>
            </w:r>
            <w:r>
              <w:rPr>
                <w:rFonts w:hint="eastAsia" w:cs="Times New Roman"/>
                <w:b/>
                <w:bCs/>
                <w:color w:val="auto"/>
                <w:sz w:val="24"/>
                <w:szCs w:val="18"/>
                <w:lang w:val="en-US" w:eastAsia="zh-CN"/>
              </w:rPr>
              <w:t>生活区</w:t>
            </w:r>
            <w:r>
              <w:rPr>
                <w:rFonts w:hint="default" w:ascii="Times New Roman" w:hAnsi="Times New Roman" w:eastAsia="宋体" w:cs="Times New Roman"/>
                <w:b/>
                <w:bCs/>
                <w:color w:val="auto"/>
                <w:sz w:val="24"/>
                <w:szCs w:val="18"/>
                <w:lang w:val="en-US" w:eastAsia="zh-CN"/>
              </w:rPr>
              <w:t>生活污水</w:t>
            </w:r>
            <w:bookmarkEnd w:id="266"/>
            <w:bookmarkEnd w:id="267"/>
            <w:bookmarkEnd w:id="268"/>
            <w:bookmarkEnd w:id="269"/>
          </w:p>
          <w:p w14:paraId="006C170C">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highlight w:val="none"/>
              </w:rPr>
            </w:pPr>
            <w:bookmarkStart w:id="270" w:name="_Toc14323"/>
            <w:bookmarkStart w:id="271" w:name="_Toc16099"/>
            <w:bookmarkStart w:id="272" w:name="_Toc23145"/>
            <w:bookmarkStart w:id="273" w:name="_Toc26919"/>
            <w:r>
              <w:rPr>
                <w:rFonts w:hint="eastAsia" w:cs="Times New Roman"/>
                <w:b w:val="0"/>
                <w:color w:val="auto"/>
                <w:sz w:val="24"/>
                <w:szCs w:val="18"/>
                <w:lang w:val="en-US" w:eastAsia="zh-CN"/>
              </w:rPr>
              <w:t>施工生活区租赁项目周边民房，</w:t>
            </w:r>
            <w:r>
              <w:rPr>
                <w:rFonts w:hint="default" w:ascii="Times New Roman" w:hAnsi="Times New Roman" w:eastAsia="宋体" w:cs="Times New Roman"/>
                <w:b w:val="0"/>
                <w:color w:val="auto"/>
                <w:sz w:val="24"/>
                <w:szCs w:val="18"/>
                <w:lang w:val="en-US" w:eastAsia="zh-CN"/>
              </w:rPr>
              <w:t>施工营地生活污水主要为餐饮、粪便、洗漱污水，污水成分较为简单，污染物浓度较低，若直接排入附近水体，将</w:t>
            </w:r>
            <w:r>
              <w:rPr>
                <w:rFonts w:hint="default" w:ascii="Times New Roman" w:hAnsi="Times New Roman" w:eastAsia="宋体" w:cs="Times New Roman"/>
                <w:b w:val="0"/>
                <w:color w:val="auto"/>
                <w:sz w:val="24"/>
                <w:szCs w:val="18"/>
                <w:highlight w:val="none"/>
                <w:lang w:val="en-US" w:eastAsia="zh-CN"/>
              </w:rPr>
              <w:t>对水质造成污染。本项目</w:t>
            </w:r>
            <w:r>
              <w:rPr>
                <w:rFonts w:hint="default" w:ascii="Times New Roman" w:hAnsi="Times New Roman" w:cs="Times New Roman"/>
                <w:b w:val="0"/>
                <w:color w:val="auto"/>
                <w:sz w:val="24"/>
                <w:szCs w:val="18"/>
                <w:highlight w:val="none"/>
                <w:lang w:val="en-US" w:eastAsia="zh-CN"/>
              </w:rPr>
              <w:t>施工</w:t>
            </w:r>
            <w:r>
              <w:rPr>
                <w:rFonts w:hint="default" w:ascii="Times New Roman" w:hAnsi="Times New Roman" w:eastAsia="宋体" w:cs="Times New Roman"/>
                <w:b w:val="0"/>
                <w:color w:val="auto"/>
                <w:sz w:val="24"/>
                <w:szCs w:val="18"/>
                <w:highlight w:val="none"/>
                <w:lang w:val="en-US" w:eastAsia="zh-CN"/>
              </w:rPr>
              <w:t>生活污水经化粪池处理后，</w:t>
            </w:r>
            <w:r>
              <w:rPr>
                <w:rFonts w:hint="default" w:ascii="Times New Roman" w:hAnsi="Times New Roman" w:cs="Times New Roman"/>
                <w:b w:val="0"/>
                <w:color w:val="auto"/>
                <w:sz w:val="24"/>
                <w:szCs w:val="18"/>
                <w:highlight w:val="none"/>
                <w:lang w:val="en-US" w:eastAsia="zh-CN"/>
              </w:rPr>
              <w:t>定期清掏做农肥，不外排</w:t>
            </w:r>
            <w:r>
              <w:rPr>
                <w:rFonts w:hint="default" w:ascii="Times New Roman" w:hAnsi="Times New Roman" w:eastAsia="宋体" w:cs="Times New Roman"/>
                <w:b w:val="0"/>
                <w:color w:val="auto"/>
                <w:sz w:val="24"/>
                <w:szCs w:val="18"/>
                <w:highlight w:val="none"/>
                <w:lang w:val="en-US" w:eastAsia="zh-CN"/>
              </w:rPr>
              <w:t>。</w:t>
            </w:r>
            <w:bookmarkEnd w:id="270"/>
            <w:bookmarkEnd w:id="271"/>
            <w:bookmarkEnd w:id="272"/>
            <w:bookmarkEnd w:id="273"/>
          </w:p>
          <w:p w14:paraId="108FB38E">
            <w:pPr>
              <w:pStyle w:val="51"/>
              <w:numPr>
                <w:ilvl w:val="0"/>
                <w:numId w:val="0"/>
              </w:numPr>
              <w:spacing w:before="0" w:beforeLines="0"/>
              <w:ind w:firstLine="480" w:firstLineChars="200"/>
              <w:rPr>
                <w:rFonts w:hint="default" w:ascii="Times New Roman" w:hAnsi="Times New Roman" w:cs="Times New Roman"/>
                <w:b w:val="0"/>
                <w:color w:val="auto"/>
                <w:sz w:val="24"/>
                <w:szCs w:val="18"/>
                <w:lang w:val="en-US" w:eastAsia="zh-CN"/>
              </w:rPr>
            </w:pPr>
            <w:bookmarkStart w:id="274" w:name="_Toc27570"/>
            <w:bookmarkStart w:id="275" w:name="_Toc21948"/>
            <w:bookmarkStart w:id="276" w:name="_Toc4050"/>
            <w:bookmarkStart w:id="277" w:name="_Toc24308"/>
            <w:r>
              <w:rPr>
                <w:rFonts w:hint="default" w:ascii="Times New Roman" w:hAnsi="Times New Roman" w:eastAsia="宋体" w:cs="Times New Roman"/>
                <w:b w:val="0"/>
                <w:color w:val="auto"/>
                <w:sz w:val="24"/>
                <w:szCs w:val="18"/>
                <w:highlight w:val="none"/>
                <w:lang w:val="en-US" w:eastAsia="zh-CN"/>
              </w:rPr>
              <w:t>因此，采取上述措施后，施工生活污水对项目</w:t>
            </w:r>
            <w:r>
              <w:rPr>
                <w:rFonts w:hint="default" w:ascii="Times New Roman" w:hAnsi="Times New Roman" w:eastAsia="宋体" w:cs="Times New Roman"/>
                <w:b w:val="0"/>
                <w:color w:val="auto"/>
                <w:sz w:val="24"/>
                <w:szCs w:val="18"/>
                <w:lang w:val="en-US" w:eastAsia="zh-CN"/>
              </w:rPr>
              <w:t>所在地地表水环境</w:t>
            </w:r>
            <w:r>
              <w:rPr>
                <w:rFonts w:hint="default" w:ascii="Times New Roman" w:hAnsi="Times New Roman" w:cs="Times New Roman"/>
                <w:b w:val="0"/>
                <w:color w:val="auto"/>
                <w:sz w:val="24"/>
                <w:szCs w:val="18"/>
                <w:lang w:val="en-US" w:eastAsia="zh-CN"/>
              </w:rPr>
              <w:t>基本无</w:t>
            </w:r>
            <w:r>
              <w:rPr>
                <w:rFonts w:hint="default" w:ascii="Times New Roman" w:hAnsi="Times New Roman" w:eastAsia="宋体" w:cs="Times New Roman"/>
                <w:b w:val="0"/>
                <w:color w:val="auto"/>
                <w:sz w:val="24"/>
                <w:szCs w:val="18"/>
                <w:lang w:val="en-US" w:eastAsia="zh-CN"/>
              </w:rPr>
              <w:t>影响</w:t>
            </w:r>
            <w:r>
              <w:rPr>
                <w:rFonts w:hint="default" w:ascii="Times New Roman" w:hAnsi="Times New Roman" w:cs="Times New Roman"/>
                <w:b w:val="0"/>
                <w:color w:val="auto"/>
                <w:sz w:val="24"/>
                <w:szCs w:val="18"/>
                <w:lang w:val="en-US" w:eastAsia="zh-CN"/>
              </w:rPr>
              <w:t>。</w:t>
            </w:r>
            <w:bookmarkEnd w:id="274"/>
            <w:bookmarkEnd w:id="275"/>
            <w:bookmarkEnd w:id="276"/>
            <w:bookmarkEnd w:id="277"/>
          </w:p>
          <w:p w14:paraId="5850993F">
            <w:pPr>
              <w:widowControl w:val="0"/>
              <w:numPr>
                <w:ilvl w:val="0"/>
                <w:numId w:val="0"/>
              </w:numPr>
              <w:autoSpaceDE w:val="0"/>
              <w:autoSpaceDN w:val="0"/>
              <w:adjustRightInd w:val="0"/>
              <w:snapToGrid w:val="0"/>
              <w:spacing w:before="0" w:beforeLines="0" w:after="0" w:afterLines="0" w:line="360" w:lineRule="auto"/>
              <w:ind w:left="420" w:leftChars="0"/>
              <w:jc w:val="left"/>
              <w:outlineLvl w:val="2"/>
              <w:rPr>
                <w:rFonts w:hint="default" w:ascii="Times New Roman" w:hAnsi="Times New Roman" w:eastAsia="宋体" w:cs="Times New Roman"/>
                <w:b/>
                <w:bCs/>
                <w:color w:val="auto"/>
                <w:kern w:val="0"/>
                <w:sz w:val="24"/>
                <w:szCs w:val="18"/>
                <w:lang w:val="en-US" w:eastAsia="zh-CN" w:bidi="ar-SA"/>
              </w:rPr>
            </w:pPr>
            <w:bookmarkStart w:id="278" w:name="_Toc32298"/>
            <w:bookmarkStart w:id="279" w:name="_Toc30451"/>
            <w:bookmarkStart w:id="280" w:name="_Toc19823"/>
            <w:bookmarkStart w:id="281" w:name="_Toc8487"/>
            <w:r>
              <w:rPr>
                <w:rFonts w:hint="default" w:ascii="Times New Roman" w:hAnsi="Times New Roman" w:eastAsia="宋体" w:cs="Times New Roman"/>
                <w:b/>
                <w:bCs/>
                <w:color w:val="auto"/>
                <w:kern w:val="0"/>
                <w:sz w:val="24"/>
                <w:szCs w:val="18"/>
                <w:lang w:val="en-US" w:eastAsia="zh-CN" w:bidi="ar-SA"/>
              </w:rPr>
              <w:t>（3）</w:t>
            </w:r>
            <w:bookmarkEnd w:id="278"/>
            <w:bookmarkEnd w:id="279"/>
            <w:bookmarkEnd w:id="280"/>
            <w:bookmarkEnd w:id="281"/>
            <w:bookmarkStart w:id="282" w:name="_Toc32197"/>
            <w:bookmarkStart w:id="283" w:name="_Toc20755"/>
            <w:bookmarkStart w:id="284" w:name="_Toc13355"/>
            <w:bookmarkStart w:id="285" w:name="_Toc21878"/>
            <w:r>
              <w:rPr>
                <w:rFonts w:hint="default" w:ascii="Times New Roman" w:hAnsi="Times New Roman" w:eastAsia="宋体" w:cs="Times New Roman"/>
                <w:b/>
                <w:bCs/>
                <w:color w:val="auto"/>
                <w:kern w:val="0"/>
                <w:sz w:val="24"/>
                <w:szCs w:val="18"/>
                <w:lang w:val="en-US" w:eastAsia="zh-CN" w:bidi="ar-SA"/>
              </w:rPr>
              <w:t>降水地表径流</w:t>
            </w:r>
            <w:bookmarkEnd w:id="282"/>
            <w:bookmarkEnd w:id="283"/>
            <w:bookmarkEnd w:id="284"/>
            <w:bookmarkEnd w:id="285"/>
          </w:p>
          <w:p w14:paraId="54B6AFB1">
            <w:pPr>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after="0" w:afterLines="0" w:line="360" w:lineRule="auto"/>
              <w:ind w:leftChars="0" w:firstLine="480" w:firstLineChars="200"/>
              <w:jc w:val="left"/>
              <w:textAlignment w:val="auto"/>
              <w:outlineLvl w:val="2"/>
              <w:rPr>
                <w:rFonts w:hint="default" w:ascii="Times New Roman" w:hAnsi="Times New Roman" w:cs="Times New Roman"/>
                <w:b w:val="0"/>
                <w:color w:val="auto"/>
                <w:sz w:val="24"/>
                <w:szCs w:val="18"/>
                <w:lang w:val="en-US" w:eastAsia="zh-CN"/>
              </w:rPr>
            </w:pPr>
            <w:bookmarkStart w:id="286" w:name="_Toc28065"/>
            <w:bookmarkStart w:id="287" w:name="_Toc4388"/>
            <w:bookmarkStart w:id="288" w:name="_Toc25832"/>
            <w:bookmarkStart w:id="289" w:name="_Toc8051"/>
            <w:r>
              <w:rPr>
                <w:rFonts w:hint="default" w:ascii="Times New Roman" w:hAnsi="Times New Roman" w:eastAsia="宋体" w:cs="Times New Roman"/>
                <w:b w:val="0"/>
                <w:bCs w:val="0"/>
                <w:color w:val="auto"/>
                <w:kern w:val="0"/>
                <w:sz w:val="24"/>
                <w:szCs w:val="18"/>
                <w:lang w:val="en-US" w:eastAsia="zh-CN" w:bidi="ar-SA"/>
              </w:rPr>
              <w:t>施工期下雨时会形成地表径流，冲刷路面或临时料堆时，大量悬浮物将随径流进入地势低洼地带，因此易出现施工期的地表径流污染。在施工过程中设置截排水沟进行导流，收集进入临时沉砂池，沉淀处理后回用于项目区洒水抑尘。</w:t>
            </w:r>
            <w:bookmarkEnd w:id="286"/>
            <w:bookmarkEnd w:id="287"/>
            <w:bookmarkEnd w:id="288"/>
            <w:bookmarkEnd w:id="289"/>
          </w:p>
          <w:p w14:paraId="750DC28E">
            <w:pPr>
              <w:pStyle w:val="51"/>
              <w:numPr>
                <w:ilvl w:val="0"/>
                <w:numId w:val="0"/>
              </w:numPr>
              <w:spacing w:before="0" w:beforeLines="0"/>
              <w:ind w:firstLine="482" w:firstLineChars="200"/>
              <w:rPr>
                <w:rFonts w:hint="default" w:ascii="Times New Roman" w:hAnsi="Times New Roman" w:cs="Times New Roman"/>
                <w:b/>
                <w:bCs/>
                <w:color w:val="auto"/>
                <w:sz w:val="24"/>
                <w:szCs w:val="20"/>
                <w:highlight w:val="none"/>
                <w:lang w:eastAsia="zh-CN"/>
              </w:rPr>
            </w:pPr>
            <w:bookmarkStart w:id="290" w:name="_Toc31081"/>
            <w:bookmarkStart w:id="291" w:name="_Toc19026"/>
            <w:bookmarkStart w:id="292" w:name="_Toc27576"/>
            <w:bookmarkStart w:id="293" w:name="_Toc772"/>
            <w:r>
              <w:rPr>
                <w:rFonts w:hint="default" w:ascii="Times New Roman" w:hAnsi="Times New Roman" w:eastAsia="宋体" w:cs="Times New Roman"/>
                <w:b/>
                <w:bCs/>
                <w:color w:val="auto"/>
                <w:sz w:val="24"/>
                <w:szCs w:val="20"/>
                <w:highlight w:val="none"/>
                <w:lang w:val="en-US" w:eastAsia="zh-CN"/>
              </w:rPr>
              <w:t>1.</w:t>
            </w:r>
            <w:r>
              <w:rPr>
                <w:rFonts w:hint="eastAsia" w:cs="Times New Roman"/>
                <w:b/>
                <w:bCs/>
                <w:color w:val="auto"/>
                <w:sz w:val="24"/>
                <w:szCs w:val="20"/>
                <w:highlight w:val="none"/>
                <w:lang w:val="en-US" w:eastAsia="zh-CN"/>
              </w:rPr>
              <w:t>5</w:t>
            </w:r>
            <w:r>
              <w:rPr>
                <w:rFonts w:hint="default" w:ascii="Times New Roman" w:hAnsi="Times New Roman" w:eastAsia="宋体" w:cs="Times New Roman"/>
                <w:b/>
                <w:bCs/>
                <w:color w:val="auto"/>
                <w:sz w:val="24"/>
                <w:szCs w:val="20"/>
                <w:highlight w:val="none"/>
                <w:lang w:val="en-US" w:eastAsia="zh-CN"/>
              </w:rPr>
              <w:t>、</w:t>
            </w:r>
            <w:r>
              <w:rPr>
                <w:rFonts w:hint="default" w:ascii="Times New Roman" w:hAnsi="Times New Roman" w:eastAsia="宋体" w:cs="Times New Roman"/>
                <w:b/>
                <w:bCs/>
                <w:color w:val="auto"/>
                <w:sz w:val="24"/>
                <w:szCs w:val="20"/>
                <w:highlight w:val="none"/>
              </w:rPr>
              <w:t>噪声</w:t>
            </w:r>
            <w:r>
              <w:rPr>
                <w:rFonts w:hint="default" w:ascii="Times New Roman" w:hAnsi="Times New Roman" w:eastAsia="宋体" w:cs="Times New Roman"/>
                <w:b/>
                <w:bCs/>
                <w:color w:val="auto"/>
                <w:sz w:val="24"/>
                <w:szCs w:val="20"/>
                <w:highlight w:val="none"/>
                <w:lang w:eastAsia="zh-CN"/>
              </w:rPr>
              <w:t>环境影响分析</w:t>
            </w:r>
            <w:bookmarkEnd w:id="290"/>
            <w:bookmarkEnd w:id="291"/>
            <w:bookmarkEnd w:id="292"/>
            <w:bookmarkEnd w:id="293"/>
          </w:p>
          <w:p w14:paraId="6D212BC1">
            <w:pPr>
              <w:widowControl w:val="0"/>
              <w:numPr>
                <w:ilvl w:val="0"/>
                <w:numId w:val="0"/>
              </w:numPr>
              <w:autoSpaceDE w:val="0"/>
              <w:autoSpaceDN w:val="0"/>
              <w:adjustRightInd w:val="0"/>
              <w:snapToGrid w:val="0"/>
              <w:spacing w:before="0" w:beforeLines="0" w:after="0" w:afterLines="0" w:line="360" w:lineRule="auto"/>
              <w:ind w:left="420" w:leftChars="0"/>
              <w:jc w:val="left"/>
              <w:outlineLvl w:val="2"/>
              <w:rPr>
                <w:rFonts w:hint="default" w:ascii="Times New Roman" w:hAnsi="Times New Roman" w:eastAsia="宋体" w:cs="Times New Roman"/>
                <w:b/>
                <w:bCs/>
                <w:color w:val="auto"/>
                <w:kern w:val="0"/>
                <w:sz w:val="24"/>
                <w:szCs w:val="18"/>
                <w:lang w:val="en-US" w:eastAsia="zh-CN" w:bidi="ar-SA"/>
              </w:rPr>
            </w:pPr>
            <w:bookmarkStart w:id="294" w:name="_Toc11362"/>
            <w:bookmarkStart w:id="295" w:name="_Toc20021"/>
            <w:bookmarkStart w:id="296" w:name="_Toc15531"/>
            <w:bookmarkStart w:id="297" w:name="_Toc30938"/>
            <w:bookmarkStart w:id="298" w:name="_Toc18410"/>
            <w:r>
              <w:rPr>
                <w:rFonts w:hint="eastAsia" w:ascii="Times New Roman" w:hAnsi="Times New Roman" w:eastAsia="宋体" w:cs="Times New Roman"/>
                <w:b/>
                <w:bCs/>
                <w:color w:val="auto"/>
                <w:kern w:val="0"/>
                <w:sz w:val="24"/>
                <w:szCs w:val="18"/>
                <w:lang w:val="en-US" w:eastAsia="zh-CN" w:bidi="ar-SA"/>
              </w:rPr>
              <w:t>（1）</w:t>
            </w:r>
            <w:r>
              <w:rPr>
                <w:rFonts w:hint="default" w:ascii="Times New Roman" w:hAnsi="Times New Roman" w:eastAsia="宋体" w:cs="Times New Roman"/>
                <w:b/>
                <w:bCs/>
                <w:color w:val="auto"/>
                <w:kern w:val="0"/>
                <w:sz w:val="24"/>
                <w:szCs w:val="18"/>
                <w:lang w:val="en-US" w:eastAsia="zh-CN" w:bidi="ar-SA"/>
              </w:rPr>
              <w:t>施工期噪声源分析</w:t>
            </w:r>
          </w:p>
          <w:p w14:paraId="0441BE09">
            <w:pPr>
              <w:pStyle w:val="7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本项目属于</w:t>
            </w:r>
            <w:r>
              <w:rPr>
                <w:rFonts w:hint="default" w:ascii="Times New Roman" w:hAnsi="Times New Roman" w:cs="Times New Roman"/>
                <w:color w:val="auto"/>
                <w:highlight w:val="none"/>
                <w:lang w:val="en-US" w:eastAsia="zh-CN"/>
              </w:rPr>
              <w:t>三级公路</w:t>
            </w:r>
            <w:r>
              <w:rPr>
                <w:rFonts w:hint="default" w:ascii="Times New Roman" w:hAnsi="Times New Roman" w:cs="Times New Roman"/>
                <w:color w:val="auto"/>
                <w:highlight w:val="none"/>
              </w:rPr>
              <w:t>建设项目，国内目前常用的筑路机械主要有推土机、挖掘机、混凝土输送泵、压路机和铺路机等，参照《环境噪声与振动控制工程技术导则》（HJ2034-2013），施工期主要施工机械设备的噪声源强见</w:t>
            </w:r>
            <w:r>
              <w:rPr>
                <w:rFonts w:hint="default" w:ascii="Times New Roman" w:hAnsi="Times New Roman" w:cs="Times New Roman"/>
                <w:color w:val="auto"/>
                <w:highlight w:val="none"/>
                <w:lang w:val="en-US" w:eastAsia="zh-CN"/>
              </w:rPr>
              <w:t>下表</w:t>
            </w:r>
            <w:r>
              <w:rPr>
                <w:rFonts w:hint="default" w:ascii="Times New Roman" w:hAnsi="Times New Roman" w:cs="Times New Roman"/>
                <w:color w:val="auto"/>
                <w:highlight w:val="none"/>
              </w:rPr>
              <w:t>，本项目噪声污染源强分析见</w:t>
            </w:r>
            <w:r>
              <w:rPr>
                <w:rFonts w:hint="default" w:ascii="Times New Roman" w:hAnsi="Times New Roman" w:cs="Times New Roman"/>
                <w:color w:val="auto"/>
                <w:highlight w:val="none"/>
                <w:lang w:val="en-US" w:eastAsia="zh-CN"/>
              </w:rPr>
              <w:t>下表。</w:t>
            </w:r>
          </w:p>
          <w:p w14:paraId="2D0B24E8">
            <w:pPr>
              <w:pStyle w:val="5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textAlignment w:val="auto"/>
              <w:rPr>
                <w:rFonts w:hint="default" w:ascii="Times New Roman" w:hAnsi="Times New Roman" w:eastAsia="黑体" w:cs="Times New Roman"/>
                <w:b/>
                <w:bCs/>
                <w:color w:val="auto"/>
                <w:sz w:val="18"/>
                <w:szCs w:val="18"/>
                <w:lang w:eastAsia="zh-CN"/>
              </w:rPr>
            </w:pPr>
            <w:r>
              <w:rPr>
                <w:rFonts w:hint="default" w:ascii="Times New Roman" w:hAnsi="Times New Roman" w:eastAsia="宋体" w:cs="Times New Roman"/>
                <w:b/>
                <w:bCs/>
                <w:color w:val="auto"/>
                <w:sz w:val="21"/>
                <w:szCs w:val="21"/>
              </w:rPr>
              <w:t>表</w:t>
            </w:r>
            <w:r>
              <w:rPr>
                <w:rFonts w:hint="eastAsia" w:ascii="Times New Roman" w:hAnsi="Times New Roman" w:eastAsia="宋体" w:cs="Times New Roman"/>
                <w:b/>
                <w:bCs/>
                <w:color w:val="auto"/>
                <w:sz w:val="21"/>
                <w:szCs w:val="21"/>
                <w:lang w:val="en-US" w:eastAsia="zh-CN"/>
              </w:rPr>
              <w:t>4-3</w:t>
            </w:r>
            <w:r>
              <w:rPr>
                <w:rFonts w:hint="default" w:ascii="Times New Roman" w:hAnsi="Times New Roman" w:eastAsia="宋体" w:cs="Times New Roman"/>
                <w:b/>
                <w:bCs/>
                <w:color w:val="auto"/>
                <w:sz w:val="21"/>
                <w:szCs w:val="21"/>
              </w:rPr>
              <w:t xml:space="preserve"> </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主要施工机械</w:t>
            </w:r>
            <w:r>
              <w:rPr>
                <w:rFonts w:hint="default" w:ascii="Times New Roman" w:hAnsi="Times New Roman" w:eastAsia="宋体" w:cs="Times New Roman"/>
                <w:b/>
                <w:bCs/>
                <w:color w:val="auto"/>
                <w:sz w:val="21"/>
                <w:szCs w:val="21"/>
                <w:lang w:val="en-US" w:eastAsia="zh-CN"/>
              </w:rPr>
              <w:t>噪声源强分析表</w:t>
            </w:r>
            <w:r>
              <w:rPr>
                <w:rFonts w:hint="default" w:ascii="Times New Roman" w:hAnsi="Times New Roman" w:eastAsia="宋体" w:cs="Times New Roman"/>
                <w:b/>
                <w:bCs/>
                <w:color w:val="auto"/>
                <w:sz w:val="21"/>
                <w:szCs w:val="21"/>
              </w:rPr>
              <w:t xml:space="preserve"> </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单位：</w:t>
            </w:r>
            <w:r>
              <w:rPr>
                <w:rFonts w:hint="default" w:ascii="Times New Roman" w:hAnsi="Times New Roman" w:cs="Times New Roman"/>
                <w:b/>
                <w:bCs/>
                <w:color w:val="auto"/>
                <w:sz w:val="21"/>
                <w:szCs w:val="16"/>
              </w:rPr>
              <w:t>dB</w:t>
            </w:r>
            <w:r>
              <w:rPr>
                <w:rFonts w:hint="eastAsia" w:cs="Times New Roman"/>
                <w:b/>
                <w:bCs/>
                <w:color w:val="auto"/>
                <w:sz w:val="21"/>
                <w:szCs w:val="16"/>
                <w:lang w:eastAsia="zh-CN"/>
              </w:rPr>
              <w:t>（</w:t>
            </w:r>
            <w:r>
              <w:rPr>
                <w:rFonts w:hint="default" w:ascii="Times New Roman" w:hAnsi="Times New Roman" w:cs="Times New Roman"/>
                <w:b/>
                <w:bCs/>
                <w:color w:val="auto"/>
                <w:sz w:val="21"/>
                <w:szCs w:val="16"/>
              </w:rPr>
              <w:t>A</w:t>
            </w:r>
            <w:r>
              <w:rPr>
                <w:rFonts w:hint="eastAsia" w:cs="Times New Roman"/>
                <w:b/>
                <w:bCs/>
                <w:color w:val="auto"/>
                <w:sz w:val="21"/>
                <w:szCs w:val="16"/>
                <w:lang w:eastAsia="zh-CN"/>
              </w:rPr>
              <w:t>）</w:t>
            </w:r>
          </w:p>
          <w:tbl>
            <w:tblPr>
              <w:tblStyle w:val="29"/>
              <w:tblW w:w="84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86"/>
              <w:gridCol w:w="2851"/>
              <w:gridCol w:w="2583"/>
              <w:gridCol w:w="1652"/>
            </w:tblGrid>
            <w:tr w14:paraId="04329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0" w:hRule="atLeast"/>
                <w:jc w:val="center"/>
              </w:trPr>
              <w:tc>
                <w:tcPr>
                  <w:tcW w:w="1386" w:type="dxa"/>
                  <w:vAlign w:val="center"/>
                </w:tcPr>
                <w:p w14:paraId="4B42780A">
                  <w:pPr>
                    <w:spacing w:line="240" w:lineRule="auto"/>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序号</w:t>
                  </w:r>
                </w:p>
              </w:tc>
              <w:tc>
                <w:tcPr>
                  <w:tcW w:w="2851" w:type="dxa"/>
                  <w:vAlign w:val="center"/>
                </w:tcPr>
                <w:p w14:paraId="143C4AC9">
                  <w:pPr>
                    <w:spacing w:line="240" w:lineRule="auto"/>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机械名称</w:t>
                  </w:r>
                </w:p>
              </w:tc>
              <w:tc>
                <w:tcPr>
                  <w:tcW w:w="2583" w:type="dxa"/>
                  <w:shd w:val="clear" w:color="auto" w:fill="auto"/>
                  <w:tcMar>
                    <w:top w:w="10" w:type="dxa"/>
                    <w:left w:w="10" w:type="dxa"/>
                    <w:bottom w:w="0" w:type="dxa"/>
                    <w:right w:w="10" w:type="dxa"/>
                  </w:tcMar>
                  <w:vAlign w:val="center"/>
                </w:tcPr>
                <w:p w14:paraId="7BCED2A2">
                  <w:pPr>
                    <w:spacing w:line="240" w:lineRule="auto"/>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距声源10m（最大值）</w:t>
                  </w:r>
                </w:p>
              </w:tc>
              <w:tc>
                <w:tcPr>
                  <w:tcW w:w="1652" w:type="dxa"/>
                  <w:shd w:val="clear" w:color="auto" w:fill="auto"/>
                  <w:tcMar>
                    <w:top w:w="10" w:type="dxa"/>
                    <w:left w:w="10" w:type="dxa"/>
                    <w:bottom w:w="0" w:type="dxa"/>
                    <w:right w:w="10" w:type="dxa"/>
                  </w:tcMar>
                  <w:vAlign w:val="center"/>
                </w:tcPr>
                <w:p w14:paraId="248F6D41">
                  <w:pPr>
                    <w:spacing w:line="240" w:lineRule="auto"/>
                    <w:jc w:val="center"/>
                    <w:rPr>
                      <w:rFonts w:hint="default" w:ascii="Times New Roman" w:hAnsi="Times New Roman" w:cs="Times New Roman" w:eastAsiaTheme="minorEastAsia"/>
                      <w:b/>
                      <w:bCs/>
                      <w:color w:val="auto"/>
                      <w:kern w:val="0"/>
                      <w:szCs w:val="21"/>
                      <w:lang w:val="en-US" w:eastAsia="zh-CN"/>
                    </w:rPr>
                  </w:pPr>
                  <w:r>
                    <w:rPr>
                      <w:rFonts w:hint="default" w:ascii="Times New Roman" w:hAnsi="Times New Roman" w:cs="Times New Roman"/>
                      <w:b/>
                      <w:bCs/>
                      <w:color w:val="auto"/>
                      <w:kern w:val="0"/>
                      <w:szCs w:val="21"/>
                      <w:lang w:val="en-US" w:eastAsia="zh-CN"/>
                    </w:rPr>
                    <w:t>备注</w:t>
                  </w:r>
                </w:p>
              </w:tc>
            </w:tr>
            <w:tr w14:paraId="01C6A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386" w:type="dxa"/>
                  <w:vAlign w:val="center"/>
                </w:tcPr>
                <w:p w14:paraId="3B528C70">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2851" w:type="dxa"/>
                  <w:vAlign w:val="center"/>
                </w:tcPr>
                <w:p w14:paraId="4FDA0462">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挖掘机</w:t>
                  </w:r>
                </w:p>
              </w:tc>
              <w:tc>
                <w:tcPr>
                  <w:tcW w:w="2583" w:type="dxa"/>
                  <w:shd w:val="clear" w:color="auto" w:fill="auto"/>
                  <w:tcMar>
                    <w:top w:w="10" w:type="dxa"/>
                    <w:left w:w="10" w:type="dxa"/>
                    <w:bottom w:w="0" w:type="dxa"/>
                    <w:right w:w="10" w:type="dxa"/>
                  </w:tcMar>
                  <w:vAlign w:val="center"/>
                </w:tcPr>
                <w:p w14:paraId="717F0B58">
                  <w:pPr>
                    <w:spacing w:line="240" w:lineRule="auto"/>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78</w:t>
                  </w:r>
                </w:p>
              </w:tc>
              <w:tc>
                <w:tcPr>
                  <w:tcW w:w="1652" w:type="dxa"/>
                  <w:vMerge w:val="restart"/>
                  <w:shd w:val="clear" w:color="auto" w:fill="auto"/>
                  <w:tcMar>
                    <w:top w:w="10" w:type="dxa"/>
                    <w:left w:w="10" w:type="dxa"/>
                    <w:bottom w:w="0" w:type="dxa"/>
                    <w:right w:w="10" w:type="dxa"/>
                  </w:tcMar>
                  <w:vAlign w:val="center"/>
                </w:tcPr>
                <w:p w14:paraId="64C10759">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路基工程</w:t>
                  </w:r>
                </w:p>
              </w:tc>
            </w:tr>
            <w:tr w14:paraId="4DFEE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386" w:type="dxa"/>
                  <w:vAlign w:val="center"/>
                </w:tcPr>
                <w:p w14:paraId="67E8CF89">
                  <w:pPr>
                    <w:spacing w:line="240" w:lineRule="auto"/>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2</w:t>
                  </w:r>
                </w:p>
              </w:tc>
              <w:tc>
                <w:tcPr>
                  <w:tcW w:w="2851" w:type="dxa"/>
                  <w:vAlign w:val="center"/>
                </w:tcPr>
                <w:p w14:paraId="564FE31E">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电动</w:t>
                  </w:r>
                  <w:r>
                    <w:rPr>
                      <w:rFonts w:hint="default" w:ascii="Times New Roman" w:hAnsi="Times New Roman" w:cs="Times New Roman"/>
                      <w:color w:val="auto"/>
                      <w:szCs w:val="21"/>
                    </w:rPr>
                    <w:t>挖掘机</w:t>
                  </w:r>
                </w:p>
              </w:tc>
              <w:tc>
                <w:tcPr>
                  <w:tcW w:w="2583" w:type="dxa"/>
                  <w:shd w:val="clear" w:color="auto" w:fill="auto"/>
                  <w:tcMar>
                    <w:top w:w="10" w:type="dxa"/>
                    <w:left w:w="10" w:type="dxa"/>
                    <w:bottom w:w="0" w:type="dxa"/>
                    <w:right w:w="10" w:type="dxa"/>
                  </w:tcMar>
                  <w:vAlign w:val="center"/>
                </w:tcPr>
                <w:p w14:paraId="4717649A">
                  <w:pPr>
                    <w:spacing w:line="240" w:lineRule="auto"/>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75</w:t>
                  </w:r>
                </w:p>
              </w:tc>
              <w:tc>
                <w:tcPr>
                  <w:tcW w:w="1652" w:type="dxa"/>
                  <w:vMerge w:val="continue"/>
                  <w:shd w:val="clear" w:color="auto" w:fill="auto"/>
                  <w:tcMar>
                    <w:top w:w="10" w:type="dxa"/>
                    <w:left w:w="10" w:type="dxa"/>
                    <w:bottom w:w="0" w:type="dxa"/>
                    <w:right w:w="10" w:type="dxa"/>
                  </w:tcMar>
                  <w:vAlign w:val="center"/>
                </w:tcPr>
                <w:p w14:paraId="0EA8B9CE">
                  <w:pPr>
                    <w:spacing w:line="240" w:lineRule="auto"/>
                    <w:jc w:val="center"/>
                    <w:rPr>
                      <w:rFonts w:hint="default" w:ascii="Times New Roman" w:hAnsi="Times New Roman" w:cs="Times New Roman"/>
                      <w:color w:val="auto"/>
                      <w:szCs w:val="21"/>
                    </w:rPr>
                  </w:pPr>
                </w:p>
              </w:tc>
            </w:tr>
            <w:tr w14:paraId="3D3DD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386" w:type="dxa"/>
                  <w:vAlign w:val="center"/>
                </w:tcPr>
                <w:p w14:paraId="6056D54A">
                  <w:pPr>
                    <w:spacing w:line="240" w:lineRule="auto"/>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3</w:t>
                  </w:r>
                </w:p>
              </w:tc>
              <w:tc>
                <w:tcPr>
                  <w:tcW w:w="2851" w:type="dxa"/>
                  <w:vAlign w:val="center"/>
                </w:tcPr>
                <w:p w14:paraId="40545C12">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推土机</w:t>
                  </w:r>
                </w:p>
              </w:tc>
              <w:tc>
                <w:tcPr>
                  <w:tcW w:w="2583" w:type="dxa"/>
                  <w:shd w:val="clear" w:color="auto" w:fill="auto"/>
                  <w:tcMar>
                    <w:top w:w="10" w:type="dxa"/>
                    <w:left w:w="10" w:type="dxa"/>
                    <w:bottom w:w="0" w:type="dxa"/>
                    <w:right w:w="10" w:type="dxa"/>
                  </w:tcMar>
                  <w:vAlign w:val="center"/>
                </w:tcPr>
                <w:p w14:paraId="73EC15C6">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86</w:t>
                  </w:r>
                </w:p>
              </w:tc>
              <w:tc>
                <w:tcPr>
                  <w:tcW w:w="1652" w:type="dxa"/>
                  <w:vMerge w:val="continue"/>
                  <w:shd w:val="clear" w:color="auto" w:fill="auto"/>
                  <w:tcMar>
                    <w:top w:w="10" w:type="dxa"/>
                    <w:left w:w="10" w:type="dxa"/>
                    <w:bottom w:w="0" w:type="dxa"/>
                    <w:right w:w="10" w:type="dxa"/>
                  </w:tcMar>
                  <w:vAlign w:val="center"/>
                </w:tcPr>
                <w:p w14:paraId="6035A727">
                  <w:pPr>
                    <w:spacing w:line="240" w:lineRule="auto"/>
                    <w:jc w:val="center"/>
                    <w:rPr>
                      <w:rFonts w:hint="default" w:ascii="Times New Roman" w:hAnsi="Times New Roman" w:cs="Times New Roman"/>
                      <w:color w:val="auto"/>
                      <w:szCs w:val="21"/>
                    </w:rPr>
                  </w:pPr>
                </w:p>
              </w:tc>
            </w:tr>
            <w:tr w14:paraId="1A162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386" w:type="dxa"/>
                  <w:vAlign w:val="center"/>
                </w:tcPr>
                <w:p w14:paraId="329A9807">
                  <w:pPr>
                    <w:spacing w:line="240" w:lineRule="auto"/>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4</w:t>
                  </w:r>
                </w:p>
              </w:tc>
              <w:tc>
                <w:tcPr>
                  <w:tcW w:w="2851" w:type="dxa"/>
                  <w:vAlign w:val="center"/>
                </w:tcPr>
                <w:p w14:paraId="3B02A96F">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装载机</w:t>
                  </w:r>
                </w:p>
              </w:tc>
              <w:tc>
                <w:tcPr>
                  <w:tcW w:w="2583" w:type="dxa"/>
                  <w:shd w:val="clear" w:color="auto" w:fill="auto"/>
                  <w:tcMar>
                    <w:top w:w="10" w:type="dxa"/>
                    <w:left w:w="10" w:type="dxa"/>
                    <w:bottom w:w="0" w:type="dxa"/>
                    <w:right w:w="10" w:type="dxa"/>
                  </w:tcMar>
                  <w:vAlign w:val="center"/>
                </w:tcPr>
                <w:p w14:paraId="4645CDD8">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90</w:t>
                  </w:r>
                </w:p>
              </w:tc>
              <w:tc>
                <w:tcPr>
                  <w:tcW w:w="1652" w:type="dxa"/>
                  <w:vMerge w:val="continue"/>
                  <w:shd w:val="clear" w:color="auto" w:fill="auto"/>
                  <w:tcMar>
                    <w:top w:w="10" w:type="dxa"/>
                    <w:left w:w="10" w:type="dxa"/>
                    <w:bottom w:w="0" w:type="dxa"/>
                    <w:right w:w="10" w:type="dxa"/>
                  </w:tcMar>
                  <w:vAlign w:val="center"/>
                </w:tcPr>
                <w:p w14:paraId="16CE9B3F">
                  <w:pPr>
                    <w:spacing w:line="240" w:lineRule="auto"/>
                    <w:jc w:val="center"/>
                    <w:rPr>
                      <w:rFonts w:hint="default" w:ascii="Times New Roman" w:hAnsi="Times New Roman" w:cs="Times New Roman"/>
                      <w:color w:val="auto"/>
                      <w:szCs w:val="21"/>
                    </w:rPr>
                  </w:pPr>
                </w:p>
              </w:tc>
            </w:tr>
            <w:tr w14:paraId="1BE97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386" w:type="dxa"/>
                  <w:vAlign w:val="center"/>
                </w:tcPr>
                <w:p w14:paraId="4325C35C">
                  <w:pPr>
                    <w:spacing w:line="240" w:lineRule="auto"/>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5</w:t>
                  </w:r>
                </w:p>
              </w:tc>
              <w:tc>
                <w:tcPr>
                  <w:tcW w:w="2851" w:type="dxa"/>
                  <w:vAlign w:val="center"/>
                </w:tcPr>
                <w:p w14:paraId="0425FB05">
                  <w:pPr>
                    <w:spacing w:line="240" w:lineRule="auto"/>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振动器</w:t>
                  </w:r>
                </w:p>
              </w:tc>
              <w:tc>
                <w:tcPr>
                  <w:tcW w:w="2583" w:type="dxa"/>
                  <w:shd w:val="clear" w:color="auto" w:fill="auto"/>
                  <w:tcMar>
                    <w:top w:w="10" w:type="dxa"/>
                    <w:left w:w="10" w:type="dxa"/>
                    <w:bottom w:w="0" w:type="dxa"/>
                    <w:right w:w="10" w:type="dxa"/>
                  </w:tcMar>
                  <w:vAlign w:val="center"/>
                </w:tcPr>
                <w:p w14:paraId="294B0625">
                  <w:pPr>
                    <w:spacing w:line="240" w:lineRule="auto"/>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84</w:t>
                  </w:r>
                </w:p>
              </w:tc>
              <w:tc>
                <w:tcPr>
                  <w:tcW w:w="1652" w:type="dxa"/>
                  <w:vMerge w:val="continue"/>
                  <w:shd w:val="clear" w:color="auto" w:fill="auto"/>
                  <w:tcMar>
                    <w:top w:w="10" w:type="dxa"/>
                    <w:left w:w="10" w:type="dxa"/>
                    <w:bottom w:w="0" w:type="dxa"/>
                    <w:right w:w="10" w:type="dxa"/>
                  </w:tcMar>
                  <w:vAlign w:val="center"/>
                </w:tcPr>
                <w:p w14:paraId="621AF387">
                  <w:pPr>
                    <w:spacing w:line="240" w:lineRule="auto"/>
                    <w:jc w:val="center"/>
                    <w:rPr>
                      <w:rFonts w:hint="default" w:ascii="Times New Roman" w:hAnsi="Times New Roman" w:cs="Times New Roman"/>
                      <w:color w:val="auto"/>
                      <w:szCs w:val="21"/>
                    </w:rPr>
                  </w:pPr>
                </w:p>
              </w:tc>
            </w:tr>
            <w:tr w14:paraId="0A8C9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386" w:type="dxa"/>
                  <w:vAlign w:val="center"/>
                </w:tcPr>
                <w:p w14:paraId="5A65477F">
                  <w:pPr>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6</w:t>
                  </w:r>
                </w:p>
              </w:tc>
              <w:tc>
                <w:tcPr>
                  <w:tcW w:w="2851" w:type="dxa"/>
                  <w:vAlign w:val="center"/>
                </w:tcPr>
                <w:p w14:paraId="047BF5D1">
                  <w:pPr>
                    <w:spacing w:line="240" w:lineRule="auto"/>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平地机</w:t>
                  </w:r>
                </w:p>
              </w:tc>
              <w:tc>
                <w:tcPr>
                  <w:tcW w:w="2583" w:type="dxa"/>
                  <w:shd w:val="clear" w:color="auto" w:fill="auto"/>
                  <w:tcMar>
                    <w:top w:w="10" w:type="dxa"/>
                    <w:left w:w="10" w:type="dxa"/>
                    <w:bottom w:w="0" w:type="dxa"/>
                    <w:right w:w="10" w:type="dxa"/>
                  </w:tcMar>
                  <w:vAlign w:val="center"/>
                </w:tcPr>
                <w:p w14:paraId="37FA4EC7">
                  <w:pPr>
                    <w:spacing w:line="240" w:lineRule="auto"/>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90</w:t>
                  </w:r>
                </w:p>
              </w:tc>
              <w:tc>
                <w:tcPr>
                  <w:tcW w:w="1652" w:type="dxa"/>
                  <w:vMerge w:val="continue"/>
                  <w:shd w:val="clear" w:color="auto" w:fill="auto"/>
                  <w:tcMar>
                    <w:top w:w="10" w:type="dxa"/>
                    <w:left w:w="10" w:type="dxa"/>
                    <w:bottom w:w="0" w:type="dxa"/>
                    <w:right w:w="10" w:type="dxa"/>
                  </w:tcMar>
                  <w:vAlign w:val="center"/>
                </w:tcPr>
                <w:p w14:paraId="663B1585">
                  <w:pPr>
                    <w:spacing w:line="240" w:lineRule="auto"/>
                    <w:jc w:val="center"/>
                    <w:rPr>
                      <w:rFonts w:hint="default" w:ascii="Times New Roman" w:hAnsi="Times New Roman" w:cs="Times New Roman"/>
                      <w:color w:val="auto"/>
                      <w:szCs w:val="21"/>
                    </w:rPr>
                  </w:pPr>
                </w:p>
              </w:tc>
            </w:tr>
            <w:tr w14:paraId="1F450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386" w:type="dxa"/>
                  <w:vAlign w:val="center"/>
                </w:tcPr>
                <w:p w14:paraId="6C26193D">
                  <w:pPr>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7</w:t>
                  </w:r>
                </w:p>
              </w:tc>
              <w:tc>
                <w:tcPr>
                  <w:tcW w:w="2851" w:type="dxa"/>
                  <w:vAlign w:val="center"/>
                </w:tcPr>
                <w:p w14:paraId="59D10E68">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摊铺机</w:t>
                  </w:r>
                </w:p>
              </w:tc>
              <w:tc>
                <w:tcPr>
                  <w:tcW w:w="2583" w:type="dxa"/>
                  <w:shd w:val="clear" w:color="auto" w:fill="auto"/>
                  <w:tcMar>
                    <w:top w:w="10" w:type="dxa"/>
                    <w:left w:w="10" w:type="dxa"/>
                    <w:bottom w:w="0" w:type="dxa"/>
                    <w:right w:w="10" w:type="dxa"/>
                  </w:tcMar>
                  <w:vAlign w:val="center"/>
                </w:tcPr>
                <w:p w14:paraId="059DC8B4">
                  <w:pPr>
                    <w:spacing w:line="24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szCs w:val="21"/>
                    </w:rPr>
                    <w:t>87</w:t>
                  </w:r>
                </w:p>
              </w:tc>
              <w:tc>
                <w:tcPr>
                  <w:tcW w:w="1652" w:type="dxa"/>
                  <w:vMerge w:val="restart"/>
                  <w:shd w:val="clear" w:color="auto" w:fill="auto"/>
                  <w:tcMar>
                    <w:top w:w="10" w:type="dxa"/>
                    <w:left w:w="10" w:type="dxa"/>
                    <w:bottom w:w="0" w:type="dxa"/>
                    <w:right w:w="10" w:type="dxa"/>
                  </w:tcMar>
                  <w:vAlign w:val="center"/>
                </w:tcPr>
                <w:p w14:paraId="6E6C0786">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路面工程</w:t>
                  </w:r>
                </w:p>
              </w:tc>
            </w:tr>
            <w:tr w14:paraId="437C9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386" w:type="dxa"/>
                  <w:vAlign w:val="center"/>
                </w:tcPr>
                <w:p w14:paraId="2C09BA49">
                  <w:pPr>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8</w:t>
                  </w:r>
                </w:p>
              </w:tc>
              <w:tc>
                <w:tcPr>
                  <w:tcW w:w="2851" w:type="dxa"/>
                  <w:vAlign w:val="center"/>
                </w:tcPr>
                <w:p w14:paraId="14F48589">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振动式压路机</w:t>
                  </w:r>
                </w:p>
              </w:tc>
              <w:tc>
                <w:tcPr>
                  <w:tcW w:w="2583" w:type="dxa"/>
                  <w:shd w:val="clear" w:color="auto" w:fill="auto"/>
                  <w:tcMar>
                    <w:top w:w="10" w:type="dxa"/>
                    <w:left w:w="10" w:type="dxa"/>
                    <w:bottom w:w="0" w:type="dxa"/>
                    <w:right w:w="10" w:type="dxa"/>
                  </w:tcMar>
                  <w:vAlign w:val="center"/>
                </w:tcPr>
                <w:p w14:paraId="02CB61E3">
                  <w:pPr>
                    <w:spacing w:line="240" w:lineRule="auto"/>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76</w:t>
                  </w:r>
                </w:p>
              </w:tc>
              <w:tc>
                <w:tcPr>
                  <w:tcW w:w="1652" w:type="dxa"/>
                  <w:vMerge w:val="continue"/>
                  <w:shd w:val="clear" w:color="auto" w:fill="auto"/>
                  <w:tcMar>
                    <w:top w:w="10" w:type="dxa"/>
                    <w:left w:w="10" w:type="dxa"/>
                    <w:bottom w:w="0" w:type="dxa"/>
                    <w:right w:w="10" w:type="dxa"/>
                  </w:tcMar>
                  <w:vAlign w:val="center"/>
                </w:tcPr>
                <w:p w14:paraId="1A052527">
                  <w:pPr>
                    <w:spacing w:line="240" w:lineRule="auto"/>
                    <w:jc w:val="center"/>
                    <w:rPr>
                      <w:rFonts w:hint="default" w:ascii="Times New Roman" w:hAnsi="Times New Roman" w:cs="Times New Roman"/>
                      <w:color w:val="auto"/>
                      <w:szCs w:val="21"/>
                      <w:lang w:val="en-US" w:eastAsia="zh-CN"/>
                    </w:rPr>
                  </w:pPr>
                </w:p>
              </w:tc>
            </w:tr>
            <w:tr w14:paraId="0C905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386" w:type="dxa"/>
                  <w:vAlign w:val="center"/>
                </w:tcPr>
                <w:p w14:paraId="40B0AB9E">
                  <w:pPr>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9</w:t>
                  </w:r>
                </w:p>
              </w:tc>
              <w:tc>
                <w:tcPr>
                  <w:tcW w:w="2851" w:type="dxa"/>
                  <w:vAlign w:val="center"/>
                </w:tcPr>
                <w:p w14:paraId="4CEE4F9A">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混凝土输送泵</w:t>
                  </w:r>
                </w:p>
              </w:tc>
              <w:tc>
                <w:tcPr>
                  <w:tcW w:w="2583" w:type="dxa"/>
                  <w:shd w:val="clear" w:color="auto" w:fill="auto"/>
                  <w:tcMar>
                    <w:top w:w="10" w:type="dxa"/>
                    <w:left w:w="10" w:type="dxa"/>
                    <w:bottom w:w="0" w:type="dxa"/>
                    <w:right w:w="10" w:type="dxa"/>
                  </w:tcMar>
                  <w:vAlign w:val="center"/>
                </w:tcPr>
                <w:p w14:paraId="727D17D1">
                  <w:pPr>
                    <w:spacing w:line="240" w:lineRule="auto"/>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84</w:t>
                  </w:r>
                </w:p>
              </w:tc>
              <w:tc>
                <w:tcPr>
                  <w:tcW w:w="1652" w:type="dxa"/>
                  <w:vMerge w:val="continue"/>
                  <w:shd w:val="clear" w:color="auto" w:fill="auto"/>
                  <w:tcMar>
                    <w:top w:w="10" w:type="dxa"/>
                    <w:left w:w="10" w:type="dxa"/>
                    <w:bottom w:w="0" w:type="dxa"/>
                    <w:right w:w="10" w:type="dxa"/>
                  </w:tcMar>
                  <w:vAlign w:val="center"/>
                </w:tcPr>
                <w:p w14:paraId="20A9CEA3">
                  <w:pPr>
                    <w:spacing w:line="240" w:lineRule="auto"/>
                    <w:jc w:val="center"/>
                    <w:rPr>
                      <w:rFonts w:hint="default" w:ascii="Times New Roman" w:hAnsi="Times New Roman" w:cs="Times New Roman"/>
                      <w:color w:val="auto"/>
                      <w:szCs w:val="21"/>
                      <w:lang w:val="en-US" w:eastAsia="zh-CN"/>
                    </w:rPr>
                  </w:pPr>
                </w:p>
              </w:tc>
            </w:tr>
            <w:tr w14:paraId="2AD37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386" w:type="dxa"/>
                  <w:vAlign w:val="center"/>
                </w:tcPr>
                <w:p w14:paraId="00603331">
                  <w:pPr>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10</w:t>
                  </w:r>
                </w:p>
              </w:tc>
              <w:tc>
                <w:tcPr>
                  <w:tcW w:w="2851" w:type="dxa"/>
                  <w:vAlign w:val="center"/>
                </w:tcPr>
                <w:p w14:paraId="64B50CE0">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路面铣刨机</w:t>
                  </w:r>
                </w:p>
              </w:tc>
              <w:tc>
                <w:tcPr>
                  <w:tcW w:w="2583" w:type="dxa"/>
                  <w:shd w:val="clear" w:color="auto" w:fill="auto"/>
                  <w:tcMar>
                    <w:top w:w="10" w:type="dxa"/>
                    <w:left w:w="10" w:type="dxa"/>
                    <w:bottom w:w="0" w:type="dxa"/>
                    <w:right w:w="10" w:type="dxa"/>
                  </w:tcMar>
                  <w:vAlign w:val="center"/>
                </w:tcPr>
                <w:p w14:paraId="7EEC139A">
                  <w:pPr>
                    <w:spacing w:line="240" w:lineRule="auto"/>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89</w:t>
                  </w:r>
                </w:p>
              </w:tc>
              <w:tc>
                <w:tcPr>
                  <w:tcW w:w="1652" w:type="dxa"/>
                  <w:vMerge w:val="restart"/>
                  <w:shd w:val="clear" w:color="auto" w:fill="auto"/>
                  <w:tcMar>
                    <w:top w:w="10" w:type="dxa"/>
                    <w:left w:w="10" w:type="dxa"/>
                    <w:bottom w:w="0" w:type="dxa"/>
                    <w:right w:w="10" w:type="dxa"/>
                  </w:tcMar>
                  <w:vAlign w:val="center"/>
                </w:tcPr>
                <w:p w14:paraId="1E605983">
                  <w:pPr>
                    <w:spacing w:line="240" w:lineRule="auto"/>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路面修缮</w:t>
                  </w:r>
                </w:p>
              </w:tc>
            </w:tr>
            <w:tr w14:paraId="3059F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386" w:type="dxa"/>
                  <w:vAlign w:val="center"/>
                </w:tcPr>
                <w:p w14:paraId="00B351A0">
                  <w:pPr>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11</w:t>
                  </w:r>
                </w:p>
              </w:tc>
              <w:tc>
                <w:tcPr>
                  <w:tcW w:w="2851" w:type="dxa"/>
                  <w:vAlign w:val="center"/>
                </w:tcPr>
                <w:p w14:paraId="16E20B9B">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路面破碎机</w:t>
                  </w:r>
                </w:p>
              </w:tc>
              <w:tc>
                <w:tcPr>
                  <w:tcW w:w="2583" w:type="dxa"/>
                  <w:shd w:val="clear" w:color="auto" w:fill="auto"/>
                  <w:tcMar>
                    <w:top w:w="10" w:type="dxa"/>
                    <w:left w:w="10" w:type="dxa"/>
                    <w:bottom w:w="0" w:type="dxa"/>
                    <w:right w:w="10" w:type="dxa"/>
                  </w:tcMar>
                  <w:vAlign w:val="center"/>
                </w:tcPr>
                <w:p w14:paraId="1B7DE5FD">
                  <w:pPr>
                    <w:spacing w:line="240" w:lineRule="auto"/>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86</w:t>
                  </w:r>
                </w:p>
              </w:tc>
              <w:tc>
                <w:tcPr>
                  <w:tcW w:w="1652" w:type="dxa"/>
                  <w:vMerge w:val="continue"/>
                  <w:shd w:val="clear" w:color="auto" w:fill="auto"/>
                  <w:tcMar>
                    <w:top w:w="10" w:type="dxa"/>
                    <w:left w:w="10" w:type="dxa"/>
                    <w:bottom w:w="0" w:type="dxa"/>
                    <w:right w:w="10" w:type="dxa"/>
                  </w:tcMar>
                  <w:vAlign w:val="center"/>
                </w:tcPr>
                <w:p w14:paraId="3D3FFAE3">
                  <w:pPr>
                    <w:spacing w:line="240" w:lineRule="auto"/>
                    <w:jc w:val="center"/>
                    <w:rPr>
                      <w:rFonts w:hint="default" w:ascii="Times New Roman" w:hAnsi="Times New Roman" w:cs="Times New Roman"/>
                      <w:color w:val="auto"/>
                      <w:szCs w:val="21"/>
                      <w:lang w:val="en-US" w:eastAsia="zh-CN"/>
                    </w:rPr>
                  </w:pPr>
                </w:p>
              </w:tc>
            </w:tr>
            <w:tr w14:paraId="10A03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386" w:type="dxa"/>
                  <w:vAlign w:val="center"/>
                </w:tcPr>
                <w:p w14:paraId="5BA71EAE">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12</w:t>
                  </w:r>
                </w:p>
              </w:tc>
              <w:tc>
                <w:tcPr>
                  <w:tcW w:w="2851" w:type="dxa"/>
                  <w:vAlign w:val="center"/>
                </w:tcPr>
                <w:p w14:paraId="58EC2C10">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Cs w:val="21"/>
                      <w:lang w:val="en-US" w:eastAsia="zh-CN"/>
                    </w:rPr>
                  </w:pPr>
                  <w:r>
                    <w:rPr>
                      <w:rFonts w:hint="default" w:ascii="Times New Roman" w:hAnsi="Times New Roman" w:eastAsia="宋体" w:cs="Times New Roman"/>
                      <w:b w:val="0"/>
                      <w:kern w:val="0"/>
                      <w:sz w:val="21"/>
                      <w:szCs w:val="21"/>
                      <w:lang w:val="en-US" w:eastAsia="zh-CN" w:bidi="ar-SA"/>
                    </w:rPr>
                    <w:t>挖掘机</w:t>
                  </w:r>
                </w:p>
              </w:tc>
              <w:tc>
                <w:tcPr>
                  <w:tcW w:w="2583" w:type="dxa"/>
                  <w:shd w:val="clear" w:color="auto" w:fill="auto"/>
                  <w:tcMar>
                    <w:top w:w="10" w:type="dxa"/>
                    <w:left w:w="10" w:type="dxa"/>
                    <w:bottom w:w="0" w:type="dxa"/>
                    <w:right w:w="10" w:type="dxa"/>
                  </w:tcMar>
                  <w:vAlign w:val="center"/>
                </w:tcPr>
                <w:p w14:paraId="5D7B35F7">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Cs w:val="21"/>
                      <w:lang w:val="en-US" w:eastAsia="zh-CN"/>
                    </w:rPr>
                  </w:pPr>
                  <w:r>
                    <w:rPr>
                      <w:rFonts w:hint="default" w:ascii="Times New Roman" w:hAnsi="Times New Roman" w:eastAsia="宋体" w:cs="Times New Roman"/>
                      <w:b w:val="0"/>
                      <w:kern w:val="0"/>
                      <w:sz w:val="21"/>
                      <w:szCs w:val="21"/>
                      <w:lang w:val="en-US" w:eastAsia="zh-CN" w:bidi="ar-SA"/>
                    </w:rPr>
                    <w:t>69.0</w:t>
                  </w:r>
                </w:p>
              </w:tc>
              <w:tc>
                <w:tcPr>
                  <w:tcW w:w="1652" w:type="dxa"/>
                  <w:vMerge w:val="restart"/>
                  <w:shd w:val="clear" w:color="auto" w:fill="auto"/>
                  <w:tcMar>
                    <w:top w:w="10" w:type="dxa"/>
                    <w:left w:w="10" w:type="dxa"/>
                    <w:bottom w:w="0" w:type="dxa"/>
                    <w:right w:w="10" w:type="dxa"/>
                  </w:tcMar>
                  <w:vAlign w:val="center"/>
                </w:tcPr>
                <w:p w14:paraId="7865AE3D">
                  <w:pPr>
                    <w:spacing w:line="240" w:lineRule="auto"/>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拆迁工程</w:t>
                  </w:r>
                </w:p>
              </w:tc>
            </w:tr>
            <w:tr w14:paraId="05E3F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386" w:type="dxa"/>
                  <w:vAlign w:val="center"/>
                </w:tcPr>
                <w:p w14:paraId="42BCC1CF">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13</w:t>
                  </w:r>
                </w:p>
              </w:tc>
              <w:tc>
                <w:tcPr>
                  <w:tcW w:w="2851" w:type="dxa"/>
                  <w:vAlign w:val="center"/>
                </w:tcPr>
                <w:p w14:paraId="3F7A0809">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Cs w:val="21"/>
                      <w:lang w:val="en-US" w:eastAsia="zh-CN"/>
                    </w:rPr>
                  </w:pPr>
                  <w:r>
                    <w:rPr>
                      <w:rFonts w:hint="default" w:ascii="Times New Roman" w:hAnsi="Times New Roman" w:eastAsia="宋体" w:cs="Times New Roman"/>
                      <w:b w:val="0"/>
                      <w:kern w:val="0"/>
                      <w:sz w:val="21"/>
                      <w:szCs w:val="21"/>
                      <w:lang w:val="en-US" w:eastAsia="zh-CN" w:bidi="ar-SA"/>
                    </w:rPr>
                    <w:t>破碎机</w:t>
                  </w:r>
                </w:p>
              </w:tc>
              <w:tc>
                <w:tcPr>
                  <w:tcW w:w="2583" w:type="dxa"/>
                  <w:shd w:val="clear" w:color="auto" w:fill="auto"/>
                  <w:tcMar>
                    <w:top w:w="10" w:type="dxa"/>
                    <w:left w:w="10" w:type="dxa"/>
                    <w:bottom w:w="0" w:type="dxa"/>
                    <w:right w:w="10" w:type="dxa"/>
                  </w:tcMar>
                  <w:vAlign w:val="center"/>
                </w:tcPr>
                <w:p w14:paraId="3A2897F8">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Cs w:val="21"/>
                      <w:lang w:val="en-US" w:eastAsia="zh-CN"/>
                    </w:rPr>
                  </w:pPr>
                  <w:r>
                    <w:rPr>
                      <w:rFonts w:hint="default" w:ascii="Times New Roman" w:hAnsi="Times New Roman" w:eastAsia="宋体" w:cs="Times New Roman"/>
                      <w:b w:val="0"/>
                      <w:kern w:val="0"/>
                      <w:sz w:val="21"/>
                      <w:szCs w:val="21"/>
                      <w:lang w:val="en-US" w:eastAsia="zh-CN" w:bidi="ar-SA"/>
                    </w:rPr>
                    <w:t>92.0</w:t>
                  </w:r>
                </w:p>
              </w:tc>
              <w:tc>
                <w:tcPr>
                  <w:tcW w:w="1652" w:type="dxa"/>
                  <w:vMerge w:val="continue"/>
                  <w:shd w:val="clear" w:color="auto" w:fill="auto"/>
                  <w:tcMar>
                    <w:top w:w="10" w:type="dxa"/>
                    <w:left w:w="10" w:type="dxa"/>
                    <w:bottom w:w="0" w:type="dxa"/>
                    <w:right w:w="10" w:type="dxa"/>
                  </w:tcMar>
                  <w:vAlign w:val="center"/>
                </w:tcPr>
                <w:p w14:paraId="68BECF7D">
                  <w:pPr>
                    <w:spacing w:line="240" w:lineRule="auto"/>
                    <w:jc w:val="center"/>
                    <w:rPr>
                      <w:rFonts w:hint="default" w:ascii="Times New Roman" w:hAnsi="Times New Roman" w:cs="Times New Roman"/>
                      <w:color w:val="auto"/>
                      <w:szCs w:val="21"/>
                      <w:lang w:val="en-US" w:eastAsia="zh-CN"/>
                    </w:rPr>
                  </w:pPr>
                </w:p>
              </w:tc>
            </w:tr>
            <w:tr w14:paraId="31D86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386" w:type="dxa"/>
                  <w:vAlign w:val="center"/>
                </w:tcPr>
                <w:p w14:paraId="415E160E">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14</w:t>
                  </w:r>
                </w:p>
              </w:tc>
              <w:tc>
                <w:tcPr>
                  <w:tcW w:w="2851" w:type="dxa"/>
                  <w:vAlign w:val="center"/>
                </w:tcPr>
                <w:p w14:paraId="53DD2102">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Cs w:val="21"/>
                      <w:lang w:val="en-US" w:eastAsia="zh-CN"/>
                    </w:rPr>
                  </w:pPr>
                  <w:r>
                    <w:rPr>
                      <w:rFonts w:hint="default" w:ascii="Times New Roman" w:hAnsi="Times New Roman" w:eastAsia="宋体" w:cs="Times New Roman"/>
                      <w:b w:val="0"/>
                      <w:kern w:val="0"/>
                      <w:sz w:val="21"/>
                      <w:szCs w:val="21"/>
                      <w:lang w:val="en-US" w:eastAsia="zh-CN" w:bidi="ar-SA"/>
                    </w:rPr>
                    <w:t>钻孔机</w:t>
                  </w:r>
                </w:p>
              </w:tc>
              <w:tc>
                <w:tcPr>
                  <w:tcW w:w="2583" w:type="dxa"/>
                  <w:shd w:val="clear" w:color="auto" w:fill="auto"/>
                  <w:tcMar>
                    <w:top w:w="10" w:type="dxa"/>
                    <w:left w:w="10" w:type="dxa"/>
                    <w:bottom w:w="0" w:type="dxa"/>
                    <w:right w:w="10" w:type="dxa"/>
                  </w:tcMar>
                  <w:vAlign w:val="center"/>
                </w:tcPr>
                <w:p w14:paraId="359C463C">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Cs w:val="21"/>
                      <w:lang w:val="en-US" w:eastAsia="zh-CN"/>
                    </w:rPr>
                  </w:pPr>
                  <w:r>
                    <w:rPr>
                      <w:rFonts w:hint="default" w:ascii="Times New Roman" w:hAnsi="Times New Roman" w:eastAsia="宋体" w:cs="Times New Roman"/>
                      <w:b w:val="0"/>
                      <w:kern w:val="0"/>
                      <w:sz w:val="21"/>
                      <w:szCs w:val="21"/>
                      <w:lang w:val="en-US" w:eastAsia="zh-CN" w:bidi="ar-SA"/>
                    </w:rPr>
                    <w:t>79.0</w:t>
                  </w:r>
                </w:p>
              </w:tc>
              <w:tc>
                <w:tcPr>
                  <w:tcW w:w="1652" w:type="dxa"/>
                  <w:vMerge w:val="continue"/>
                  <w:shd w:val="clear" w:color="auto" w:fill="auto"/>
                  <w:tcMar>
                    <w:top w:w="10" w:type="dxa"/>
                    <w:left w:w="10" w:type="dxa"/>
                    <w:bottom w:w="0" w:type="dxa"/>
                    <w:right w:w="10" w:type="dxa"/>
                  </w:tcMar>
                  <w:vAlign w:val="center"/>
                </w:tcPr>
                <w:p w14:paraId="48DC79EF">
                  <w:pPr>
                    <w:spacing w:line="240" w:lineRule="auto"/>
                    <w:jc w:val="center"/>
                    <w:rPr>
                      <w:rFonts w:hint="default" w:ascii="Times New Roman" w:hAnsi="Times New Roman" w:cs="Times New Roman"/>
                      <w:color w:val="auto"/>
                      <w:szCs w:val="21"/>
                      <w:lang w:val="en-US" w:eastAsia="zh-CN"/>
                    </w:rPr>
                  </w:pPr>
                </w:p>
              </w:tc>
            </w:tr>
            <w:tr w14:paraId="41BC8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386" w:type="dxa"/>
                  <w:vAlign w:val="center"/>
                </w:tcPr>
                <w:p w14:paraId="66607080">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15</w:t>
                  </w:r>
                </w:p>
              </w:tc>
              <w:tc>
                <w:tcPr>
                  <w:tcW w:w="2851" w:type="dxa"/>
                  <w:vAlign w:val="center"/>
                </w:tcPr>
                <w:p w14:paraId="167FB8DC">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kern w:val="0"/>
                      <w:sz w:val="21"/>
                      <w:szCs w:val="21"/>
                      <w:lang w:val="en-US" w:eastAsia="zh-CN" w:bidi="ar-SA"/>
                    </w:rPr>
                  </w:pPr>
                  <w:r>
                    <w:rPr>
                      <w:rFonts w:hint="default" w:ascii="Times New Roman" w:hAnsi="Times New Roman" w:eastAsia="宋体" w:cs="Times New Roman"/>
                      <w:b w:val="0"/>
                      <w:kern w:val="0"/>
                      <w:sz w:val="21"/>
                      <w:szCs w:val="21"/>
                      <w:lang w:val="en-US" w:eastAsia="zh-CN" w:bidi="ar-SA"/>
                    </w:rPr>
                    <w:t>运输车辆</w:t>
                  </w:r>
                </w:p>
              </w:tc>
              <w:tc>
                <w:tcPr>
                  <w:tcW w:w="2583" w:type="dxa"/>
                  <w:shd w:val="clear" w:color="auto" w:fill="auto"/>
                  <w:tcMar>
                    <w:top w:w="10" w:type="dxa"/>
                    <w:left w:w="10" w:type="dxa"/>
                    <w:bottom w:w="0" w:type="dxa"/>
                    <w:right w:w="10" w:type="dxa"/>
                  </w:tcMar>
                  <w:vAlign w:val="center"/>
                </w:tcPr>
                <w:p w14:paraId="5B49FCD4">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Cs w:val="21"/>
                      <w:lang w:val="en-US" w:eastAsia="zh-CN"/>
                    </w:rPr>
                  </w:pPr>
                  <w:r>
                    <w:rPr>
                      <w:rFonts w:hint="default" w:ascii="Times New Roman" w:hAnsi="Times New Roman" w:eastAsia="宋体" w:cs="Times New Roman"/>
                      <w:b w:val="0"/>
                      <w:kern w:val="0"/>
                      <w:sz w:val="21"/>
                      <w:szCs w:val="21"/>
                      <w:lang w:val="en-US" w:eastAsia="zh-CN" w:bidi="ar-SA"/>
                    </w:rPr>
                    <w:t>80.0</w:t>
                  </w:r>
                </w:p>
              </w:tc>
              <w:tc>
                <w:tcPr>
                  <w:tcW w:w="1652" w:type="dxa"/>
                  <w:vMerge w:val="continue"/>
                  <w:shd w:val="clear" w:color="auto" w:fill="auto"/>
                  <w:tcMar>
                    <w:top w:w="10" w:type="dxa"/>
                    <w:left w:w="10" w:type="dxa"/>
                    <w:bottom w:w="0" w:type="dxa"/>
                    <w:right w:w="10" w:type="dxa"/>
                  </w:tcMar>
                  <w:vAlign w:val="center"/>
                </w:tcPr>
                <w:p w14:paraId="6ED4F066">
                  <w:pPr>
                    <w:spacing w:line="240" w:lineRule="auto"/>
                    <w:jc w:val="center"/>
                    <w:rPr>
                      <w:rFonts w:hint="default" w:ascii="Times New Roman" w:hAnsi="Times New Roman" w:cs="Times New Roman"/>
                      <w:color w:val="auto"/>
                      <w:szCs w:val="21"/>
                      <w:lang w:val="en-US" w:eastAsia="zh-CN"/>
                    </w:rPr>
                  </w:pPr>
                </w:p>
              </w:tc>
            </w:tr>
            <w:tr w14:paraId="4EE6F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386" w:type="dxa"/>
                  <w:vAlign w:val="center"/>
                </w:tcPr>
                <w:p w14:paraId="6EC798BA">
                  <w:pPr>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16</w:t>
                  </w:r>
                </w:p>
              </w:tc>
              <w:tc>
                <w:tcPr>
                  <w:tcW w:w="2851" w:type="dxa"/>
                  <w:vAlign w:val="center"/>
                </w:tcPr>
                <w:p w14:paraId="726802C9">
                  <w:pPr>
                    <w:spacing w:line="240" w:lineRule="auto"/>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运输车辆</w:t>
                  </w:r>
                </w:p>
              </w:tc>
              <w:tc>
                <w:tcPr>
                  <w:tcW w:w="2583" w:type="dxa"/>
                  <w:shd w:val="clear" w:color="auto" w:fill="auto"/>
                  <w:tcMar>
                    <w:top w:w="10" w:type="dxa"/>
                    <w:left w:w="10" w:type="dxa"/>
                    <w:bottom w:w="0" w:type="dxa"/>
                    <w:right w:w="10" w:type="dxa"/>
                  </w:tcMar>
                  <w:vAlign w:val="center"/>
                </w:tcPr>
                <w:p w14:paraId="219DAF08">
                  <w:pPr>
                    <w:spacing w:line="240" w:lineRule="auto"/>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81</w:t>
                  </w:r>
                </w:p>
              </w:tc>
              <w:tc>
                <w:tcPr>
                  <w:tcW w:w="1652" w:type="dxa"/>
                  <w:vMerge w:val="restart"/>
                  <w:shd w:val="clear" w:color="auto" w:fill="auto"/>
                  <w:tcMar>
                    <w:top w:w="10" w:type="dxa"/>
                    <w:left w:w="10" w:type="dxa"/>
                    <w:bottom w:w="0" w:type="dxa"/>
                    <w:right w:w="10" w:type="dxa"/>
                  </w:tcMar>
                  <w:vAlign w:val="center"/>
                </w:tcPr>
                <w:p w14:paraId="1B9C003A">
                  <w:pPr>
                    <w:spacing w:line="240" w:lineRule="auto"/>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其他</w:t>
                  </w:r>
                </w:p>
              </w:tc>
            </w:tr>
            <w:tr w14:paraId="34079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386" w:type="dxa"/>
                  <w:vAlign w:val="center"/>
                </w:tcPr>
                <w:p w14:paraId="3CBB6103">
                  <w:pPr>
                    <w:spacing w:line="240" w:lineRule="auto"/>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kern w:val="2"/>
                      <w:sz w:val="21"/>
                      <w:szCs w:val="21"/>
                      <w:lang w:val="en-US" w:eastAsia="zh-CN" w:bidi="ar-SA"/>
                    </w:rPr>
                    <w:t>17</w:t>
                  </w:r>
                </w:p>
              </w:tc>
              <w:tc>
                <w:tcPr>
                  <w:tcW w:w="2851" w:type="dxa"/>
                  <w:vAlign w:val="center"/>
                </w:tcPr>
                <w:p w14:paraId="085159E2">
                  <w:pPr>
                    <w:spacing w:line="240" w:lineRule="auto"/>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商砼搅拌车</w:t>
                  </w:r>
                </w:p>
              </w:tc>
              <w:tc>
                <w:tcPr>
                  <w:tcW w:w="2583" w:type="dxa"/>
                  <w:shd w:val="clear" w:color="auto" w:fill="auto"/>
                  <w:tcMar>
                    <w:top w:w="10" w:type="dxa"/>
                    <w:left w:w="10" w:type="dxa"/>
                    <w:bottom w:w="0" w:type="dxa"/>
                    <w:right w:w="10" w:type="dxa"/>
                  </w:tcMar>
                  <w:vAlign w:val="center"/>
                </w:tcPr>
                <w:p w14:paraId="69F36F73">
                  <w:pPr>
                    <w:spacing w:line="240" w:lineRule="auto"/>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82</w:t>
                  </w:r>
                </w:p>
              </w:tc>
              <w:tc>
                <w:tcPr>
                  <w:tcW w:w="1652" w:type="dxa"/>
                  <w:vMerge w:val="continue"/>
                  <w:shd w:val="clear" w:color="auto" w:fill="auto"/>
                  <w:tcMar>
                    <w:top w:w="10" w:type="dxa"/>
                    <w:left w:w="10" w:type="dxa"/>
                    <w:bottom w:w="0" w:type="dxa"/>
                    <w:right w:w="10" w:type="dxa"/>
                  </w:tcMar>
                  <w:vAlign w:val="center"/>
                </w:tcPr>
                <w:p w14:paraId="28DFABD9">
                  <w:pPr>
                    <w:spacing w:line="240" w:lineRule="auto"/>
                    <w:jc w:val="center"/>
                    <w:rPr>
                      <w:rFonts w:hint="default" w:ascii="Times New Roman" w:hAnsi="Times New Roman" w:cs="Times New Roman"/>
                      <w:color w:val="auto"/>
                      <w:szCs w:val="21"/>
                      <w:lang w:val="en-US" w:eastAsia="zh-CN"/>
                    </w:rPr>
                  </w:pPr>
                </w:p>
              </w:tc>
            </w:tr>
            <w:bookmarkEnd w:id="294"/>
            <w:bookmarkEnd w:id="295"/>
            <w:bookmarkEnd w:id="296"/>
            <w:bookmarkEnd w:id="297"/>
            <w:bookmarkEnd w:id="298"/>
          </w:tbl>
          <w:p w14:paraId="1F4DAA06">
            <w:pPr>
              <w:widowControl w:val="0"/>
              <w:numPr>
                <w:ilvl w:val="0"/>
                <w:numId w:val="0"/>
              </w:numPr>
              <w:autoSpaceDE w:val="0"/>
              <w:autoSpaceDN w:val="0"/>
              <w:adjustRightInd w:val="0"/>
              <w:snapToGrid w:val="0"/>
              <w:spacing w:before="0" w:beforeLines="0" w:after="0" w:afterLines="0" w:line="360" w:lineRule="auto"/>
              <w:ind w:left="420" w:leftChars="0"/>
              <w:jc w:val="left"/>
              <w:outlineLvl w:val="2"/>
              <w:rPr>
                <w:rFonts w:hint="default" w:ascii="Times New Roman" w:hAnsi="Times New Roman" w:eastAsia="宋体" w:cs="Times New Roman"/>
                <w:b/>
                <w:bCs/>
                <w:color w:val="auto"/>
                <w:kern w:val="0"/>
                <w:sz w:val="24"/>
                <w:szCs w:val="18"/>
                <w:lang w:val="en-US" w:eastAsia="zh-CN" w:bidi="ar-SA"/>
              </w:rPr>
            </w:pPr>
            <w:bookmarkStart w:id="299" w:name="_Toc6398"/>
            <w:bookmarkStart w:id="300" w:name="_Toc20930"/>
            <w:bookmarkStart w:id="301" w:name="_Toc18023"/>
            <w:bookmarkStart w:id="302" w:name="_Toc12348"/>
            <w:bookmarkStart w:id="303" w:name="_Toc12680"/>
            <w:r>
              <w:rPr>
                <w:rFonts w:hint="eastAsia" w:ascii="Times New Roman" w:hAnsi="Times New Roman" w:eastAsia="宋体" w:cs="Times New Roman"/>
                <w:b/>
                <w:bCs/>
                <w:color w:val="auto"/>
                <w:kern w:val="0"/>
                <w:sz w:val="24"/>
                <w:szCs w:val="18"/>
                <w:lang w:val="en-US" w:eastAsia="zh-CN" w:bidi="ar-SA"/>
              </w:rPr>
              <w:t>（2）</w:t>
            </w:r>
            <w:r>
              <w:rPr>
                <w:rFonts w:hint="default" w:ascii="Times New Roman" w:hAnsi="Times New Roman" w:eastAsia="宋体" w:cs="Times New Roman"/>
                <w:b/>
                <w:bCs/>
                <w:color w:val="auto"/>
                <w:kern w:val="0"/>
                <w:sz w:val="24"/>
                <w:szCs w:val="18"/>
                <w:lang w:val="en-US" w:eastAsia="zh-CN" w:bidi="ar-SA"/>
              </w:rPr>
              <w:t>施工期声环境影响</w:t>
            </w:r>
          </w:p>
          <w:p w14:paraId="52CB4578">
            <w:pPr>
              <w:pStyle w:val="51"/>
              <w:numPr>
                <w:ilvl w:val="0"/>
                <w:numId w:val="0"/>
              </w:numPr>
              <w:spacing w:before="0" w:beforeLines="0"/>
              <w:ind w:firstLine="480" w:firstLineChars="200"/>
              <w:rPr>
                <w:rFonts w:hint="default" w:ascii="Times New Roman" w:hAnsi="Times New Roman" w:cs="Times New Roman"/>
                <w:color w:val="auto"/>
                <w:sz w:val="24"/>
                <w:szCs w:val="20"/>
                <w:lang w:val="en-US" w:eastAsia="zh-CN"/>
              </w:rPr>
            </w:pPr>
            <w:r>
              <w:rPr>
                <w:rFonts w:hint="default" w:ascii="Times New Roman" w:hAnsi="Times New Roman" w:cs="Times New Roman"/>
                <w:color w:val="auto"/>
                <w:sz w:val="24"/>
                <w:szCs w:val="20"/>
                <w:lang w:val="en-US" w:eastAsia="zh-CN"/>
              </w:rPr>
              <w:t>道路建设施工阶段的主要噪声来自施工机械和运输车辆辐射的噪声，这部分噪声虽然是暂时的，但项目的施工期长，而且现在的施工过程采用的施工机械越来越多，而施工机械一般都具有高噪声、无规则等特点，</w:t>
            </w:r>
            <w:r>
              <w:rPr>
                <w:rFonts w:hint="eastAsia" w:cs="Times New Roman"/>
                <w:color w:val="auto"/>
                <w:sz w:val="24"/>
                <w:szCs w:val="20"/>
                <w:lang w:val="en-US" w:eastAsia="zh-CN"/>
              </w:rPr>
              <w:t>本项目周边无居民点或办公场所，对周边影响较小</w:t>
            </w:r>
            <w:r>
              <w:rPr>
                <w:rFonts w:hint="default" w:ascii="Times New Roman" w:hAnsi="Times New Roman" w:cs="Times New Roman"/>
                <w:color w:val="auto"/>
                <w:sz w:val="24"/>
                <w:szCs w:val="20"/>
                <w:lang w:val="en-US" w:eastAsia="zh-CN"/>
              </w:rPr>
              <w:t>。</w:t>
            </w:r>
          </w:p>
          <w:p w14:paraId="59F9239B">
            <w:pPr>
              <w:widowControl w:val="0"/>
              <w:numPr>
                <w:ilvl w:val="0"/>
                <w:numId w:val="0"/>
              </w:numPr>
              <w:autoSpaceDE w:val="0"/>
              <w:autoSpaceDN w:val="0"/>
              <w:adjustRightInd w:val="0"/>
              <w:snapToGrid w:val="0"/>
              <w:spacing w:before="0" w:beforeLines="0" w:after="0" w:afterLines="0" w:line="360" w:lineRule="auto"/>
              <w:ind w:left="420" w:leftChars="0"/>
              <w:jc w:val="left"/>
              <w:outlineLvl w:val="2"/>
              <w:rPr>
                <w:rFonts w:hint="default" w:ascii="Times New Roman" w:hAnsi="Times New Roman" w:eastAsia="宋体" w:cs="Times New Roman"/>
                <w:b/>
                <w:bCs/>
                <w:color w:val="auto"/>
                <w:kern w:val="0"/>
                <w:sz w:val="24"/>
                <w:szCs w:val="18"/>
                <w:lang w:val="en-US" w:eastAsia="zh-CN" w:bidi="ar-SA"/>
              </w:rPr>
            </w:pPr>
            <w:r>
              <w:rPr>
                <w:rFonts w:hint="eastAsia" w:ascii="Times New Roman" w:hAnsi="Times New Roman" w:eastAsia="宋体" w:cs="Times New Roman"/>
                <w:b/>
                <w:bCs/>
                <w:color w:val="auto"/>
                <w:kern w:val="0"/>
                <w:sz w:val="24"/>
                <w:szCs w:val="18"/>
                <w:lang w:val="en-US" w:eastAsia="zh-CN" w:bidi="ar-SA"/>
              </w:rPr>
              <w:t>（3）</w:t>
            </w:r>
            <w:r>
              <w:rPr>
                <w:rFonts w:hint="default" w:ascii="Times New Roman" w:hAnsi="Times New Roman" w:eastAsia="宋体" w:cs="Times New Roman"/>
                <w:b/>
                <w:bCs/>
                <w:color w:val="auto"/>
                <w:kern w:val="0"/>
                <w:sz w:val="24"/>
                <w:szCs w:val="18"/>
                <w:lang w:val="en-US" w:eastAsia="zh-CN" w:bidi="ar-SA"/>
              </w:rPr>
              <w:t>施工噪声预测方法</w:t>
            </w:r>
          </w:p>
          <w:p w14:paraId="3DEDC66D">
            <w:pPr>
              <w:pStyle w:val="54"/>
              <w:ind w:firstLine="480"/>
              <w:rPr>
                <w:rFonts w:hint="default" w:ascii="Times New Roman" w:hAnsi="Times New Roman" w:eastAsia="宋体" w:cs="Times New Roman"/>
                <w:color w:val="auto"/>
                <w:sz w:val="24"/>
                <w:szCs w:val="20"/>
                <w:lang w:val="en-US" w:eastAsia="zh-CN"/>
              </w:rPr>
            </w:pPr>
            <w:r>
              <w:rPr>
                <w:rFonts w:hint="default" w:ascii="Times New Roman" w:hAnsi="Times New Roman" w:eastAsia="宋体" w:cs="Times New Roman"/>
                <w:color w:val="auto"/>
                <w:sz w:val="24"/>
                <w:szCs w:val="20"/>
                <w:highlight w:val="none"/>
                <w:lang w:val="en-US" w:eastAsia="zh-CN"/>
              </w:rPr>
              <w:t>工程施工机械噪声主要属于中低频噪声，噪声源均在地面产生，可只考虑扩散衰减，将声源看成点声源，若在距</w:t>
            </w:r>
            <w:r>
              <w:rPr>
                <w:rFonts w:hint="default" w:ascii="Times New Roman" w:hAnsi="Times New Roman" w:eastAsia="宋体" w:cs="Times New Roman"/>
                <w:color w:val="auto"/>
                <w:sz w:val="24"/>
                <w:szCs w:val="20"/>
                <w:lang w:val="en-US" w:eastAsia="zh-CN"/>
              </w:rPr>
              <w:t>离声源r</w:t>
            </w:r>
            <w:r>
              <w:rPr>
                <w:rFonts w:hint="default" w:ascii="Times New Roman" w:hAnsi="Times New Roman" w:eastAsia="宋体" w:cs="Times New Roman"/>
                <w:color w:val="auto"/>
                <w:sz w:val="24"/>
                <w:szCs w:val="20"/>
                <w:vertAlign w:val="subscript"/>
                <w:lang w:val="en-US" w:eastAsia="zh-CN"/>
              </w:rPr>
              <w:t>0</w:t>
            </w:r>
            <w:r>
              <w:rPr>
                <w:rFonts w:hint="default" w:ascii="Times New Roman" w:hAnsi="Times New Roman" w:eastAsia="宋体" w:cs="Times New Roman"/>
                <w:color w:val="auto"/>
                <w:sz w:val="24"/>
                <w:szCs w:val="20"/>
                <w:lang w:val="en-US" w:eastAsia="zh-CN"/>
              </w:rPr>
              <w:t>处的声压级为L</w:t>
            </w:r>
            <w:r>
              <w:rPr>
                <w:rFonts w:hint="default" w:ascii="Times New Roman" w:hAnsi="Times New Roman" w:eastAsia="宋体" w:cs="Times New Roman"/>
                <w:color w:val="auto"/>
                <w:sz w:val="24"/>
                <w:szCs w:val="20"/>
                <w:vertAlign w:val="subscript"/>
                <w:lang w:val="en-US" w:eastAsia="zh-CN"/>
              </w:rPr>
              <w:t>A</w:t>
            </w:r>
            <w:r>
              <w:rPr>
                <w:rFonts w:hint="default" w:ascii="Times New Roman" w:hAnsi="Times New Roman" w:eastAsia="宋体" w:cs="Times New Roman"/>
                <w:color w:val="auto"/>
                <w:sz w:val="24"/>
                <w:szCs w:val="20"/>
                <w:lang w:val="en-US" w:eastAsia="zh-CN"/>
              </w:rPr>
              <w:t>（r</w:t>
            </w:r>
            <w:r>
              <w:rPr>
                <w:rFonts w:hint="default" w:ascii="Times New Roman" w:hAnsi="Times New Roman" w:eastAsia="宋体" w:cs="Times New Roman"/>
                <w:color w:val="auto"/>
                <w:sz w:val="24"/>
                <w:szCs w:val="20"/>
                <w:vertAlign w:val="subscript"/>
                <w:lang w:val="en-US" w:eastAsia="zh-CN"/>
              </w:rPr>
              <w:t>0</w:t>
            </w:r>
            <w:r>
              <w:rPr>
                <w:rFonts w:hint="default" w:ascii="Times New Roman" w:hAnsi="Times New Roman" w:eastAsia="宋体" w:cs="Times New Roman"/>
                <w:color w:val="auto"/>
                <w:sz w:val="24"/>
                <w:szCs w:val="20"/>
                <w:lang w:val="en-US" w:eastAsia="zh-CN"/>
              </w:rPr>
              <w:t>）时，则在r处的噪声为（忽略空气吸收的作用）：</w:t>
            </w:r>
          </w:p>
          <w:p w14:paraId="3F842520">
            <w:pPr>
              <w:pStyle w:val="54"/>
              <w:ind w:firstLine="480"/>
              <w:jc w:val="center"/>
              <w:rPr>
                <w:rFonts w:hint="default" w:ascii="Times New Roman" w:hAnsi="Times New Roman" w:eastAsia="宋体" w:cs="Times New Roman"/>
                <w:color w:val="auto"/>
                <w:sz w:val="24"/>
                <w:szCs w:val="20"/>
                <w:lang w:val="en-US" w:eastAsia="zh-CN"/>
              </w:rPr>
            </w:pPr>
            <w:r>
              <w:rPr>
                <w:rFonts w:hint="default" w:ascii="Times New Roman" w:hAnsi="Times New Roman" w:eastAsia="宋体" w:cs="Times New Roman"/>
                <w:color w:val="auto"/>
                <w:sz w:val="24"/>
                <w:szCs w:val="20"/>
                <w:lang w:val="en-US" w:eastAsia="zh-CN"/>
              </w:rPr>
              <w:t>L</w:t>
            </w:r>
            <w:r>
              <w:rPr>
                <w:rFonts w:hint="default" w:ascii="Times New Roman" w:hAnsi="Times New Roman" w:eastAsia="宋体" w:cs="Times New Roman"/>
                <w:color w:val="auto"/>
                <w:sz w:val="24"/>
                <w:szCs w:val="20"/>
                <w:vertAlign w:val="subscript"/>
                <w:lang w:val="en-US" w:eastAsia="zh-CN"/>
              </w:rPr>
              <w:t>A</w:t>
            </w:r>
            <w:r>
              <w:rPr>
                <w:rFonts w:hint="eastAsia" w:cs="Times New Roman"/>
                <w:color w:val="auto"/>
                <w:sz w:val="24"/>
                <w:szCs w:val="20"/>
                <w:vertAlign w:val="subscript"/>
                <w:lang w:val="en-US" w:eastAsia="zh-CN"/>
              </w:rPr>
              <w:t>(</w:t>
            </w:r>
            <w:r>
              <w:rPr>
                <w:rFonts w:hint="default" w:ascii="Times New Roman" w:hAnsi="Times New Roman" w:eastAsia="宋体" w:cs="Times New Roman"/>
                <w:color w:val="auto"/>
                <w:sz w:val="24"/>
                <w:szCs w:val="20"/>
                <w:lang w:val="en-US" w:eastAsia="zh-CN"/>
              </w:rPr>
              <w:t>r</w:t>
            </w:r>
            <w:r>
              <w:rPr>
                <w:rFonts w:hint="eastAsia"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=L</w:t>
            </w:r>
            <w:r>
              <w:rPr>
                <w:rFonts w:hint="default" w:ascii="Times New Roman" w:hAnsi="Times New Roman" w:eastAsia="宋体" w:cs="Times New Roman"/>
                <w:color w:val="auto"/>
                <w:sz w:val="24"/>
                <w:szCs w:val="20"/>
                <w:vertAlign w:val="subscript"/>
                <w:lang w:val="en-US" w:eastAsia="zh-CN"/>
              </w:rPr>
              <w:t>A</w:t>
            </w:r>
            <w:r>
              <w:rPr>
                <w:rFonts w:hint="eastAsia" w:cs="Times New Roman"/>
                <w:color w:val="auto"/>
                <w:sz w:val="24"/>
                <w:szCs w:val="20"/>
                <w:vertAlign w:val="subscript"/>
                <w:lang w:val="en-US" w:eastAsia="zh-CN"/>
              </w:rPr>
              <w:t>(</w:t>
            </w:r>
            <w:r>
              <w:rPr>
                <w:rFonts w:hint="default" w:ascii="Times New Roman" w:hAnsi="Times New Roman" w:eastAsia="宋体" w:cs="Times New Roman"/>
                <w:color w:val="auto"/>
                <w:sz w:val="24"/>
                <w:szCs w:val="20"/>
                <w:lang w:val="en-US" w:eastAsia="zh-CN"/>
              </w:rPr>
              <w:t>r</w:t>
            </w:r>
            <w:r>
              <w:rPr>
                <w:rFonts w:hint="default" w:ascii="Times New Roman" w:hAnsi="Times New Roman" w:eastAsia="宋体" w:cs="Times New Roman"/>
                <w:color w:val="auto"/>
                <w:sz w:val="24"/>
                <w:szCs w:val="20"/>
                <w:vertAlign w:val="subscript"/>
                <w:lang w:val="en-US" w:eastAsia="zh-CN"/>
              </w:rPr>
              <w:t>0</w:t>
            </w:r>
            <w:r>
              <w:rPr>
                <w:rFonts w:hint="eastAsia" w:cs="Times New Roman"/>
                <w:color w:val="auto"/>
                <w:sz w:val="24"/>
                <w:szCs w:val="20"/>
                <w:vertAlign w:val="subscript"/>
                <w:lang w:val="en-US" w:eastAsia="zh-CN"/>
              </w:rPr>
              <w:t>)</w:t>
            </w:r>
            <w:r>
              <w:rPr>
                <w:rFonts w:hint="default" w:ascii="Times New Roman" w:hAnsi="Times New Roman" w:eastAsia="宋体" w:cs="Times New Roman"/>
                <w:color w:val="auto"/>
                <w:sz w:val="24"/>
                <w:szCs w:val="20"/>
                <w:lang w:val="en-US" w:eastAsia="zh-CN"/>
              </w:rPr>
              <w:t>-20lg</w:t>
            </w:r>
            <w:r>
              <w:rPr>
                <w:rFonts w:hint="eastAsia"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r/r</w:t>
            </w:r>
            <w:r>
              <w:rPr>
                <w:rFonts w:hint="default" w:ascii="Times New Roman" w:hAnsi="Times New Roman" w:eastAsia="宋体" w:cs="Times New Roman"/>
                <w:color w:val="auto"/>
                <w:sz w:val="24"/>
                <w:szCs w:val="20"/>
                <w:vertAlign w:val="subscript"/>
                <w:lang w:val="en-US" w:eastAsia="zh-CN"/>
              </w:rPr>
              <w:t>0</w:t>
            </w:r>
            <w:r>
              <w:rPr>
                <w:rFonts w:hint="eastAsia" w:cs="Times New Roman"/>
                <w:color w:val="auto"/>
                <w:sz w:val="24"/>
                <w:szCs w:val="20"/>
                <w:vertAlign w:val="subscript"/>
                <w:lang w:val="en-US" w:eastAsia="zh-CN"/>
              </w:rPr>
              <w:t>)</w:t>
            </w:r>
          </w:p>
          <w:p w14:paraId="62790CC0">
            <w:pPr>
              <w:pStyle w:val="54"/>
              <w:ind w:firstLine="480"/>
              <w:rPr>
                <w:rFonts w:hint="default" w:ascii="Times New Roman" w:hAnsi="Times New Roman" w:eastAsia="宋体" w:cs="Times New Roman"/>
                <w:color w:val="auto"/>
                <w:sz w:val="24"/>
                <w:szCs w:val="20"/>
                <w:lang w:val="en-US" w:eastAsia="zh-CN"/>
              </w:rPr>
            </w:pPr>
            <w:r>
              <w:rPr>
                <w:rFonts w:hint="default" w:ascii="Times New Roman" w:hAnsi="Times New Roman" w:eastAsia="宋体" w:cs="Times New Roman"/>
                <w:color w:val="auto"/>
                <w:sz w:val="24"/>
                <w:szCs w:val="20"/>
                <w:lang w:val="en-US" w:eastAsia="zh-CN"/>
              </w:rPr>
              <w:t>式中：L</w:t>
            </w:r>
            <w:r>
              <w:rPr>
                <w:rFonts w:hint="default" w:ascii="Times New Roman" w:hAnsi="Times New Roman" w:eastAsia="宋体" w:cs="Times New Roman"/>
                <w:color w:val="auto"/>
                <w:sz w:val="24"/>
                <w:szCs w:val="20"/>
                <w:vertAlign w:val="subscript"/>
                <w:lang w:val="en-US" w:eastAsia="zh-CN"/>
              </w:rPr>
              <w:t>A</w:t>
            </w:r>
            <w:r>
              <w:rPr>
                <w:rFonts w:hint="default" w:ascii="Times New Roman" w:hAnsi="Times New Roman" w:eastAsia="宋体" w:cs="Times New Roman"/>
                <w:color w:val="auto"/>
                <w:sz w:val="24"/>
                <w:szCs w:val="20"/>
                <w:lang w:val="en-US" w:eastAsia="zh-CN"/>
              </w:rPr>
              <w:t>（r）——距声源r处的声级，dB（A）；</w:t>
            </w:r>
          </w:p>
          <w:p w14:paraId="37827493">
            <w:pPr>
              <w:pStyle w:val="54"/>
              <w:ind w:firstLine="1200" w:firstLineChars="500"/>
              <w:rPr>
                <w:rFonts w:hint="default" w:ascii="Times New Roman" w:hAnsi="Times New Roman" w:eastAsia="宋体" w:cs="Times New Roman"/>
                <w:color w:val="auto"/>
                <w:sz w:val="24"/>
                <w:szCs w:val="20"/>
                <w:lang w:val="en-US" w:eastAsia="zh-CN"/>
              </w:rPr>
            </w:pPr>
            <w:r>
              <w:rPr>
                <w:rFonts w:hint="default" w:ascii="Times New Roman" w:hAnsi="Times New Roman" w:eastAsia="宋体" w:cs="Times New Roman"/>
                <w:color w:val="auto"/>
                <w:sz w:val="24"/>
                <w:szCs w:val="20"/>
                <w:lang w:val="en-US" w:eastAsia="zh-CN"/>
              </w:rPr>
              <w:t>L</w:t>
            </w:r>
            <w:r>
              <w:rPr>
                <w:rFonts w:hint="default" w:ascii="Times New Roman" w:hAnsi="Times New Roman" w:eastAsia="宋体" w:cs="Times New Roman"/>
                <w:color w:val="auto"/>
                <w:sz w:val="24"/>
                <w:szCs w:val="20"/>
                <w:vertAlign w:val="subscript"/>
                <w:lang w:val="en-US" w:eastAsia="zh-CN"/>
              </w:rPr>
              <w:t>A</w:t>
            </w:r>
            <w:r>
              <w:rPr>
                <w:rFonts w:hint="default" w:ascii="Times New Roman" w:hAnsi="Times New Roman" w:eastAsia="宋体" w:cs="Times New Roman"/>
                <w:color w:val="auto"/>
                <w:sz w:val="24"/>
                <w:szCs w:val="20"/>
                <w:lang w:val="en-US" w:eastAsia="zh-CN"/>
              </w:rPr>
              <w:t>（r</w:t>
            </w:r>
            <w:r>
              <w:rPr>
                <w:rFonts w:hint="default" w:ascii="Times New Roman" w:hAnsi="Times New Roman" w:eastAsia="宋体" w:cs="Times New Roman"/>
                <w:color w:val="auto"/>
                <w:sz w:val="24"/>
                <w:szCs w:val="20"/>
                <w:vertAlign w:val="subscript"/>
                <w:lang w:val="en-US" w:eastAsia="zh-CN"/>
              </w:rPr>
              <w:t>0</w:t>
            </w:r>
            <w:r>
              <w:rPr>
                <w:rFonts w:hint="default" w:ascii="Times New Roman" w:hAnsi="Times New Roman" w:eastAsia="宋体" w:cs="Times New Roman"/>
                <w:color w:val="auto"/>
                <w:sz w:val="24"/>
                <w:szCs w:val="20"/>
                <w:lang w:val="en-US" w:eastAsia="zh-CN"/>
              </w:rPr>
              <w:t>）——参考位置r</w:t>
            </w:r>
            <w:r>
              <w:rPr>
                <w:rFonts w:hint="default" w:ascii="Times New Roman" w:hAnsi="Times New Roman" w:eastAsia="宋体" w:cs="Times New Roman"/>
                <w:color w:val="auto"/>
                <w:sz w:val="24"/>
                <w:szCs w:val="20"/>
                <w:vertAlign w:val="subscript"/>
                <w:lang w:val="en-US" w:eastAsia="zh-CN"/>
              </w:rPr>
              <w:t>0</w:t>
            </w:r>
            <w:r>
              <w:rPr>
                <w:rFonts w:hint="default" w:ascii="Times New Roman" w:hAnsi="Times New Roman" w:eastAsia="宋体" w:cs="Times New Roman"/>
                <w:color w:val="auto"/>
                <w:sz w:val="24"/>
                <w:szCs w:val="20"/>
                <w:lang w:val="en-US" w:eastAsia="zh-CN"/>
              </w:rPr>
              <w:t>处的声级，dB（A）；</w:t>
            </w:r>
          </w:p>
          <w:p w14:paraId="58055713">
            <w:pPr>
              <w:pStyle w:val="54"/>
              <w:ind w:firstLine="1200" w:firstLineChars="500"/>
              <w:rPr>
                <w:rFonts w:hint="default" w:ascii="Times New Roman" w:hAnsi="Times New Roman" w:eastAsia="宋体" w:cs="Times New Roman"/>
                <w:color w:val="auto"/>
                <w:sz w:val="24"/>
                <w:szCs w:val="20"/>
                <w:lang w:val="en-US" w:eastAsia="zh-CN"/>
              </w:rPr>
            </w:pPr>
            <w:r>
              <w:rPr>
                <w:rFonts w:hint="default" w:ascii="Times New Roman" w:hAnsi="Times New Roman" w:eastAsia="宋体" w:cs="Times New Roman"/>
                <w:color w:val="auto"/>
                <w:sz w:val="24"/>
                <w:szCs w:val="20"/>
                <w:lang w:val="en-US" w:eastAsia="zh-CN"/>
              </w:rPr>
              <w:t>r——预测点与点声源之间的距离（m）；</w:t>
            </w:r>
          </w:p>
          <w:p w14:paraId="129D3E88">
            <w:pPr>
              <w:pStyle w:val="54"/>
              <w:ind w:firstLine="1200" w:firstLineChars="500"/>
              <w:rPr>
                <w:rFonts w:hint="default" w:ascii="Times New Roman" w:hAnsi="Times New Roman" w:eastAsia="宋体" w:cs="Times New Roman"/>
                <w:color w:val="auto"/>
                <w:sz w:val="24"/>
                <w:szCs w:val="20"/>
                <w:lang w:val="en-US" w:eastAsia="zh-CN"/>
              </w:rPr>
            </w:pPr>
            <w:r>
              <w:rPr>
                <w:rFonts w:hint="default" w:ascii="Times New Roman" w:hAnsi="Times New Roman" w:eastAsia="宋体" w:cs="Times New Roman"/>
                <w:color w:val="auto"/>
                <w:sz w:val="24"/>
                <w:szCs w:val="20"/>
                <w:lang w:val="en-US" w:eastAsia="zh-CN"/>
              </w:rPr>
              <w:t>r</w:t>
            </w:r>
            <w:r>
              <w:rPr>
                <w:rFonts w:hint="default" w:ascii="Times New Roman" w:hAnsi="Times New Roman" w:eastAsia="宋体" w:cs="Times New Roman"/>
                <w:color w:val="auto"/>
                <w:sz w:val="24"/>
                <w:szCs w:val="20"/>
                <w:vertAlign w:val="subscript"/>
                <w:lang w:val="en-US" w:eastAsia="zh-CN"/>
              </w:rPr>
              <w:t>0</w:t>
            </w:r>
            <w:r>
              <w:rPr>
                <w:rFonts w:hint="default" w:ascii="Times New Roman" w:hAnsi="Times New Roman" w:eastAsia="宋体" w:cs="Times New Roman"/>
                <w:color w:val="auto"/>
                <w:sz w:val="24"/>
                <w:szCs w:val="20"/>
                <w:lang w:val="en-US" w:eastAsia="zh-CN"/>
              </w:rPr>
              <w:t>——参考位置与点声源之间的距离（m）；</w:t>
            </w:r>
          </w:p>
          <w:p w14:paraId="1B2ADB06">
            <w:pPr>
              <w:pStyle w:val="54"/>
              <w:ind w:firstLine="480"/>
              <w:rPr>
                <w:rFonts w:hint="default" w:ascii="Times New Roman" w:hAnsi="Times New Roman" w:eastAsia="宋体" w:cs="Times New Roman"/>
                <w:color w:val="auto"/>
                <w:sz w:val="24"/>
                <w:szCs w:val="20"/>
                <w:lang w:val="en-US" w:eastAsia="zh-CN"/>
              </w:rPr>
            </w:pPr>
            <w:r>
              <w:rPr>
                <w:rFonts w:hint="default" w:ascii="Times New Roman" w:hAnsi="Times New Roman" w:eastAsia="宋体" w:cs="Times New Roman"/>
                <w:color w:val="auto"/>
                <w:sz w:val="24"/>
                <w:szCs w:val="20"/>
                <w:lang w:val="en-US" w:eastAsia="zh-CN"/>
              </w:rPr>
              <w:t>多个噪声源在预测点叠加声压级计算公式：</w:t>
            </w:r>
          </w:p>
          <w:p w14:paraId="432B3E04">
            <w:pPr>
              <w:pStyle w:val="54"/>
              <w:ind w:firstLine="480"/>
              <w:jc w:val="center"/>
              <w:rPr>
                <w:rFonts w:hint="default" w:ascii="Times New Roman" w:hAnsi="Times New Roman" w:eastAsia="宋体" w:cs="Times New Roman"/>
                <w:color w:val="auto"/>
                <w:sz w:val="24"/>
                <w:szCs w:val="20"/>
                <w:lang w:val="en-US" w:eastAsia="zh-CN"/>
              </w:rPr>
            </w:pPr>
            <w:r>
              <w:rPr>
                <w:rFonts w:hint="default" w:ascii="Times New Roman" w:hAnsi="Times New Roman" w:eastAsia="宋体" w:cs="Times New Roman"/>
                <w:color w:val="auto"/>
                <w:sz w:val="24"/>
                <w:szCs w:val="20"/>
                <w:lang w:val="en-US" w:eastAsia="zh-CN"/>
              </w:rPr>
              <w:t>Leq=10lg</w:t>
            </w:r>
            <w:r>
              <w:rPr>
                <w:rFonts w:hint="eastAsia"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10</w:t>
            </w:r>
            <w:r>
              <w:rPr>
                <w:rFonts w:hint="default" w:ascii="Times New Roman" w:hAnsi="Times New Roman" w:eastAsia="宋体" w:cs="Times New Roman"/>
                <w:color w:val="auto"/>
                <w:sz w:val="24"/>
                <w:szCs w:val="20"/>
                <w:vertAlign w:val="superscript"/>
                <w:lang w:val="en-US" w:eastAsia="zh-CN"/>
              </w:rPr>
              <w:t>0.1Leqg</w:t>
            </w:r>
            <w:r>
              <w:rPr>
                <w:rFonts w:hint="default" w:ascii="Times New Roman" w:hAnsi="Times New Roman" w:eastAsia="宋体" w:cs="Times New Roman"/>
                <w:color w:val="auto"/>
                <w:sz w:val="24"/>
                <w:szCs w:val="20"/>
                <w:lang w:val="en-US" w:eastAsia="zh-CN"/>
              </w:rPr>
              <w:t>+10</w:t>
            </w:r>
            <w:r>
              <w:rPr>
                <w:rFonts w:hint="default" w:ascii="Times New Roman" w:hAnsi="Times New Roman" w:eastAsia="宋体" w:cs="Times New Roman"/>
                <w:color w:val="auto"/>
                <w:sz w:val="24"/>
                <w:szCs w:val="20"/>
                <w:vertAlign w:val="superscript"/>
                <w:lang w:val="en-US" w:eastAsia="zh-CN"/>
              </w:rPr>
              <w:t>0.1Leqb</w:t>
            </w:r>
            <w:r>
              <w:rPr>
                <w:rFonts w:hint="eastAsia" w:cs="Times New Roman"/>
                <w:color w:val="auto"/>
                <w:sz w:val="24"/>
                <w:szCs w:val="20"/>
                <w:vertAlign w:val="superscript"/>
                <w:lang w:val="en-US" w:eastAsia="zh-CN"/>
              </w:rPr>
              <w:t>)</w:t>
            </w:r>
          </w:p>
          <w:p w14:paraId="73EA3C1D">
            <w:pPr>
              <w:widowControl w:val="0"/>
              <w:numPr>
                <w:ilvl w:val="0"/>
                <w:numId w:val="0"/>
              </w:numPr>
              <w:autoSpaceDE w:val="0"/>
              <w:autoSpaceDN w:val="0"/>
              <w:adjustRightInd w:val="0"/>
              <w:snapToGrid w:val="0"/>
              <w:spacing w:before="0" w:beforeLines="0" w:after="0" w:afterLines="0" w:line="360" w:lineRule="auto"/>
              <w:ind w:left="420" w:leftChars="0"/>
              <w:jc w:val="left"/>
              <w:outlineLvl w:val="2"/>
              <w:rPr>
                <w:rFonts w:hint="default" w:ascii="Times New Roman" w:hAnsi="Times New Roman" w:eastAsia="宋体" w:cs="Times New Roman"/>
                <w:b/>
                <w:bCs/>
                <w:color w:val="auto"/>
                <w:kern w:val="0"/>
                <w:sz w:val="24"/>
                <w:szCs w:val="18"/>
                <w:lang w:val="en-US" w:eastAsia="zh-CN" w:bidi="ar-SA"/>
              </w:rPr>
            </w:pPr>
            <w:r>
              <w:rPr>
                <w:rFonts w:hint="eastAsia" w:ascii="Times New Roman" w:hAnsi="Times New Roman" w:eastAsia="宋体" w:cs="Times New Roman"/>
                <w:b/>
                <w:bCs/>
                <w:color w:val="auto"/>
                <w:kern w:val="0"/>
                <w:sz w:val="24"/>
                <w:szCs w:val="18"/>
                <w:lang w:val="en-US" w:eastAsia="zh-CN" w:bidi="ar-SA"/>
              </w:rPr>
              <w:t>（4）</w:t>
            </w:r>
            <w:r>
              <w:rPr>
                <w:rFonts w:hint="default" w:ascii="Times New Roman" w:hAnsi="Times New Roman" w:eastAsia="宋体" w:cs="Times New Roman"/>
                <w:b/>
                <w:bCs/>
                <w:color w:val="auto"/>
                <w:kern w:val="0"/>
                <w:sz w:val="24"/>
                <w:szCs w:val="18"/>
                <w:lang w:val="en-US" w:eastAsia="zh-CN" w:bidi="ar-SA"/>
              </w:rPr>
              <w:t>预测结果</w:t>
            </w:r>
          </w:p>
          <w:p w14:paraId="30F00B19">
            <w:pPr>
              <w:pStyle w:val="54"/>
              <w:ind w:firstLine="480"/>
              <w:rPr>
                <w:rFonts w:hint="default" w:ascii="Times New Roman" w:hAnsi="Times New Roman" w:cs="Times New Roman"/>
                <w:b/>
                <w:bCs/>
                <w:color w:val="auto"/>
                <w:sz w:val="24"/>
                <w:szCs w:val="20"/>
              </w:rPr>
            </w:pPr>
            <w:r>
              <w:rPr>
                <w:rFonts w:hint="default" w:ascii="Times New Roman" w:hAnsi="Times New Roman" w:cs="Times New Roman"/>
                <w:b/>
                <w:bCs/>
                <w:color w:val="auto"/>
                <w:sz w:val="24"/>
                <w:szCs w:val="20"/>
                <w:lang w:val="en-US" w:eastAsia="zh-CN"/>
              </w:rPr>
              <w:t>对施工边界的影响</w:t>
            </w:r>
          </w:p>
          <w:p w14:paraId="43EA675C">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lang w:val="en-US" w:eastAsia="zh-CN"/>
              </w:rPr>
              <w:t>根据上面预测方法，计算施工机械噪声对环境的影响范围，施工时间按昼间、夜间同负荷连续作业考虑。根据不同施工阶段的特点，假设施工机械同时作业的情景，预测不同施工阶段在施工场界处和声环境敏感点的噪声影响，预测结果见下表。</w:t>
            </w:r>
          </w:p>
          <w:bookmarkEnd w:id="299"/>
          <w:bookmarkEnd w:id="300"/>
          <w:bookmarkEnd w:id="301"/>
          <w:bookmarkEnd w:id="302"/>
          <w:bookmarkEnd w:id="303"/>
          <w:p w14:paraId="1458D9CE">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lang w:val="en-US" w:eastAsia="zh-CN"/>
              </w:rPr>
            </w:pPr>
          </w:p>
          <w:p w14:paraId="35EDCB76">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lang w:val="en-US" w:eastAsia="zh-CN"/>
              </w:rPr>
            </w:pPr>
          </w:p>
          <w:p w14:paraId="0CD246F8">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lang w:val="en-US" w:eastAsia="zh-CN"/>
              </w:rPr>
            </w:pPr>
          </w:p>
          <w:p w14:paraId="1FC8088F">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lang w:val="en-US" w:eastAsia="zh-CN"/>
              </w:rPr>
            </w:pPr>
          </w:p>
          <w:p w14:paraId="258FA309">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lang w:val="en-US" w:eastAsia="zh-CN"/>
              </w:rPr>
            </w:pPr>
          </w:p>
          <w:p w14:paraId="7362EF95">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lang w:val="en-US" w:eastAsia="zh-CN"/>
              </w:rPr>
            </w:pPr>
          </w:p>
          <w:p w14:paraId="12088979">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lang w:val="en-US" w:eastAsia="zh-CN"/>
              </w:rPr>
            </w:pPr>
          </w:p>
          <w:p w14:paraId="22DE9122">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lang w:val="en-US" w:eastAsia="zh-CN"/>
              </w:rPr>
            </w:pPr>
          </w:p>
          <w:p w14:paraId="06E3C0EE">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lang w:val="en-US" w:eastAsia="zh-CN"/>
              </w:rPr>
            </w:pPr>
          </w:p>
          <w:p w14:paraId="5A532E0B">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lang w:val="en-US" w:eastAsia="zh-CN"/>
              </w:rPr>
            </w:pPr>
          </w:p>
          <w:p w14:paraId="14E06C50">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lang w:val="en-US" w:eastAsia="zh-CN"/>
              </w:rPr>
            </w:pPr>
          </w:p>
          <w:p w14:paraId="5A7CE73C">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lang w:val="en-US" w:eastAsia="zh-CN"/>
              </w:rPr>
            </w:pPr>
          </w:p>
        </w:tc>
      </w:tr>
    </w:tbl>
    <w:p w14:paraId="5E287045">
      <w:pPr>
        <w:pStyle w:val="27"/>
        <w:adjustRightInd w:val="0"/>
        <w:snapToGrid w:val="0"/>
        <w:spacing w:before="0" w:beforeAutospacing="0" w:after="0" w:afterAutospacing="0"/>
        <w:jc w:val="center"/>
        <w:rPr>
          <w:rFonts w:hint="default" w:ascii="Times New Roman" w:hAnsi="Times New Roman" w:cs="Times New Roman"/>
          <w:b/>
          <w:bCs w:val="0"/>
          <w:color w:val="auto"/>
          <w:spacing w:val="10"/>
          <w:kern w:val="2"/>
        </w:rPr>
        <w:sectPr>
          <w:type w:val="continuous"/>
          <w:pgSz w:w="11906" w:h="16838"/>
          <w:pgMar w:top="1440" w:right="1531" w:bottom="1440" w:left="1531"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29"/>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93"/>
        <w:gridCol w:w="13598"/>
      </w:tblGrid>
      <w:tr w14:paraId="6C9411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60" w:hRule="atLeast"/>
          <w:jc w:val="center"/>
        </w:trPr>
        <w:tc>
          <w:tcPr>
            <w:tcW w:w="175" w:type="pct"/>
            <w:noWrap w:val="0"/>
            <w:tcMar>
              <w:left w:w="28" w:type="dxa"/>
              <w:right w:w="28" w:type="dxa"/>
            </w:tcMar>
            <w:vAlign w:val="center"/>
          </w:tcPr>
          <w:p w14:paraId="1FF77EAC">
            <w:pPr>
              <w:pStyle w:val="27"/>
              <w:adjustRightInd w:val="0"/>
              <w:snapToGrid w:val="0"/>
              <w:spacing w:before="0" w:beforeAutospacing="0" w:after="0" w:afterAutospacing="0"/>
              <w:jc w:val="center"/>
              <w:rPr>
                <w:rFonts w:hint="default" w:ascii="Times New Roman" w:hAnsi="Times New Roman" w:cs="Times New Roman"/>
                <w:b/>
                <w:bCs w:val="0"/>
                <w:color w:val="auto"/>
                <w:spacing w:val="10"/>
                <w:kern w:val="2"/>
              </w:rPr>
            </w:pPr>
            <w:r>
              <w:rPr>
                <w:rFonts w:hint="default" w:ascii="Times New Roman" w:hAnsi="Times New Roman" w:cs="Times New Roman"/>
                <w:b/>
                <w:bCs w:val="0"/>
                <w:color w:val="auto"/>
                <w:spacing w:val="10"/>
                <w:kern w:val="2"/>
              </w:rPr>
              <w:t>施工期生态环境影响分析</w:t>
            </w:r>
          </w:p>
        </w:tc>
        <w:tc>
          <w:tcPr>
            <w:tcW w:w="4824" w:type="pct"/>
            <w:noWrap w:val="0"/>
            <w:vAlign w:val="top"/>
          </w:tcPr>
          <w:p w14:paraId="0EF06E94">
            <w:pPr>
              <w:pStyle w:val="5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表4-</w:t>
            </w:r>
            <w:r>
              <w:rPr>
                <w:rFonts w:hint="eastAsia" w:ascii="Times New Roman" w:hAnsi="Times New Roman" w:eastAsia="宋体" w:cs="Times New Roman"/>
                <w:b/>
                <w:bCs/>
                <w:color w:val="auto"/>
                <w:sz w:val="21"/>
                <w:szCs w:val="21"/>
                <w:lang w:val="en-US" w:eastAsia="zh-CN"/>
              </w:rPr>
              <w:t>4</w:t>
            </w:r>
            <w:r>
              <w:rPr>
                <w:rFonts w:hint="default" w:ascii="Times New Roman" w:hAnsi="Times New Roman" w:eastAsia="宋体" w:cs="Times New Roman"/>
                <w:b/>
                <w:bCs/>
                <w:color w:val="auto"/>
                <w:sz w:val="21"/>
                <w:szCs w:val="21"/>
                <w:lang w:val="en-US" w:eastAsia="zh-CN"/>
              </w:rPr>
              <w:t xml:space="preserve">  主要施工机械不同距离处的噪声值 单位：dB</w:t>
            </w:r>
            <w:r>
              <w:rPr>
                <w:rFonts w:hint="eastAsia"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lang w:val="en-US" w:eastAsia="zh-CN"/>
              </w:rPr>
              <w:t>A</w:t>
            </w:r>
            <w:r>
              <w:rPr>
                <w:rFonts w:hint="eastAsia" w:eastAsia="宋体" w:cs="Times New Roman"/>
                <w:b/>
                <w:bCs/>
                <w:color w:val="auto"/>
                <w:sz w:val="21"/>
                <w:szCs w:val="21"/>
                <w:lang w:val="en-US" w:eastAsia="zh-CN"/>
              </w:rPr>
              <w:t>）</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881"/>
              <w:gridCol w:w="938"/>
              <w:gridCol w:w="938"/>
              <w:gridCol w:w="952"/>
              <w:gridCol w:w="929"/>
              <w:gridCol w:w="957"/>
              <w:gridCol w:w="987"/>
              <w:gridCol w:w="976"/>
              <w:gridCol w:w="987"/>
              <w:gridCol w:w="956"/>
              <w:gridCol w:w="734"/>
              <w:gridCol w:w="734"/>
              <w:gridCol w:w="849"/>
              <w:gridCol w:w="850"/>
            </w:tblGrid>
            <w:tr w14:paraId="1B731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04" w:type="dxa"/>
                  <w:vMerge w:val="restart"/>
                  <w:vAlign w:val="center"/>
                </w:tcPr>
                <w:p w14:paraId="59640244">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序号</w:t>
                  </w:r>
                </w:p>
              </w:tc>
              <w:tc>
                <w:tcPr>
                  <w:tcW w:w="881" w:type="dxa"/>
                  <w:vMerge w:val="restart"/>
                  <w:vAlign w:val="center"/>
                </w:tcPr>
                <w:p w14:paraId="31B01A63">
                  <w:pPr>
                    <w:pStyle w:val="54"/>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机械名称</w:t>
                  </w:r>
                </w:p>
              </w:tc>
              <w:tc>
                <w:tcPr>
                  <w:tcW w:w="8620" w:type="dxa"/>
                  <w:gridSpan w:val="9"/>
                  <w:vAlign w:val="center"/>
                </w:tcPr>
                <w:p w14:paraId="7C003E41">
                  <w:pPr>
                    <w:pStyle w:val="54"/>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施工机械不同距离（m）</w:t>
                  </w:r>
                </w:p>
              </w:tc>
              <w:tc>
                <w:tcPr>
                  <w:tcW w:w="1468" w:type="dxa"/>
                  <w:gridSpan w:val="2"/>
                  <w:vAlign w:val="center"/>
                </w:tcPr>
                <w:p w14:paraId="72187118">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标准值</w:t>
                  </w:r>
                </w:p>
              </w:tc>
              <w:tc>
                <w:tcPr>
                  <w:tcW w:w="1699" w:type="dxa"/>
                  <w:gridSpan w:val="2"/>
                  <w:vAlign w:val="center"/>
                </w:tcPr>
                <w:p w14:paraId="28309C79">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达标距离（m）</w:t>
                  </w:r>
                </w:p>
              </w:tc>
            </w:tr>
            <w:tr w14:paraId="7DE62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04" w:type="dxa"/>
                  <w:vMerge w:val="continue"/>
                  <w:vAlign w:val="center"/>
                </w:tcPr>
                <w:p w14:paraId="6C3517A3">
                  <w:pPr>
                    <w:pStyle w:val="54"/>
                    <w:spacing w:line="240" w:lineRule="auto"/>
                    <w:ind w:firstLine="0" w:firstLineChars="0"/>
                    <w:jc w:val="center"/>
                    <w:rPr>
                      <w:rFonts w:hint="default" w:ascii="Times New Roman" w:hAnsi="Times New Roman" w:cs="Times New Roman"/>
                      <w:b/>
                      <w:bCs/>
                      <w:color w:val="auto"/>
                      <w:sz w:val="21"/>
                      <w:szCs w:val="21"/>
                    </w:rPr>
                  </w:pPr>
                </w:p>
              </w:tc>
              <w:tc>
                <w:tcPr>
                  <w:tcW w:w="881" w:type="dxa"/>
                  <w:vMerge w:val="continue"/>
                  <w:vAlign w:val="center"/>
                </w:tcPr>
                <w:p w14:paraId="2D7A9A21">
                  <w:pPr>
                    <w:pStyle w:val="54"/>
                    <w:spacing w:line="240" w:lineRule="auto"/>
                    <w:ind w:firstLine="0" w:firstLineChars="0"/>
                    <w:jc w:val="center"/>
                    <w:rPr>
                      <w:rFonts w:hint="default" w:ascii="Times New Roman" w:hAnsi="Times New Roman" w:cs="Times New Roman"/>
                      <w:b/>
                      <w:bCs/>
                      <w:color w:val="auto"/>
                      <w:sz w:val="21"/>
                      <w:szCs w:val="21"/>
                    </w:rPr>
                  </w:pPr>
                </w:p>
              </w:tc>
              <w:tc>
                <w:tcPr>
                  <w:tcW w:w="938" w:type="dxa"/>
                  <w:vAlign w:val="center"/>
                </w:tcPr>
                <w:p w14:paraId="5071ACB9">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10</w:t>
                  </w:r>
                </w:p>
              </w:tc>
              <w:tc>
                <w:tcPr>
                  <w:tcW w:w="938" w:type="dxa"/>
                  <w:vAlign w:val="center"/>
                </w:tcPr>
                <w:p w14:paraId="0EBE997D">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20</w:t>
                  </w:r>
                </w:p>
              </w:tc>
              <w:tc>
                <w:tcPr>
                  <w:tcW w:w="952" w:type="dxa"/>
                  <w:vAlign w:val="center"/>
                </w:tcPr>
                <w:p w14:paraId="023D39D7">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40</w:t>
                  </w:r>
                </w:p>
              </w:tc>
              <w:tc>
                <w:tcPr>
                  <w:tcW w:w="929" w:type="dxa"/>
                  <w:vAlign w:val="center"/>
                </w:tcPr>
                <w:p w14:paraId="6A07BB95">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50</w:t>
                  </w:r>
                </w:p>
              </w:tc>
              <w:tc>
                <w:tcPr>
                  <w:tcW w:w="957" w:type="dxa"/>
                  <w:vAlign w:val="center"/>
                </w:tcPr>
                <w:p w14:paraId="417E3C1E">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70</w:t>
                  </w:r>
                </w:p>
              </w:tc>
              <w:tc>
                <w:tcPr>
                  <w:tcW w:w="987" w:type="dxa"/>
                  <w:vAlign w:val="center"/>
                </w:tcPr>
                <w:p w14:paraId="5F23380B">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100</w:t>
                  </w:r>
                </w:p>
              </w:tc>
              <w:tc>
                <w:tcPr>
                  <w:tcW w:w="976" w:type="dxa"/>
                  <w:vAlign w:val="center"/>
                </w:tcPr>
                <w:p w14:paraId="6A87C68D">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150</w:t>
                  </w:r>
                </w:p>
              </w:tc>
              <w:tc>
                <w:tcPr>
                  <w:tcW w:w="987" w:type="dxa"/>
                  <w:vAlign w:val="center"/>
                </w:tcPr>
                <w:p w14:paraId="5DE01450">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200</w:t>
                  </w:r>
                </w:p>
              </w:tc>
              <w:tc>
                <w:tcPr>
                  <w:tcW w:w="956" w:type="dxa"/>
                  <w:vAlign w:val="center"/>
                </w:tcPr>
                <w:p w14:paraId="148618FB">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400</w:t>
                  </w:r>
                </w:p>
              </w:tc>
              <w:tc>
                <w:tcPr>
                  <w:tcW w:w="734" w:type="dxa"/>
                  <w:vAlign w:val="center"/>
                </w:tcPr>
                <w:p w14:paraId="07940121">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昼</w:t>
                  </w:r>
                </w:p>
              </w:tc>
              <w:tc>
                <w:tcPr>
                  <w:tcW w:w="734" w:type="dxa"/>
                  <w:vAlign w:val="center"/>
                </w:tcPr>
                <w:p w14:paraId="75A68776">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夜</w:t>
                  </w:r>
                </w:p>
              </w:tc>
              <w:tc>
                <w:tcPr>
                  <w:tcW w:w="849" w:type="dxa"/>
                  <w:vAlign w:val="center"/>
                </w:tcPr>
                <w:p w14:paraId="7A623CDF">
                  <w:pPr>
                    <w:pStyle w:val="54"/>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val="en-US" w:eastAsia="zh-CN"/>
                    </w:rPr>
                    <w:t>昼</w:t>
                  </w:r>
                </w:p>
              </w:tc>
              <w:tc>
                <w:tcPr>
                  <w:tcW w:w="850" w:type="dxa"/>
                  <w:vAlign w:val="center"/>
                </w:tcPr>
                <w:p w14:paraId="0E68E24D">
                  <w:pPr>
                    <w:pStyle w:val="54"/>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val="en-US" w:eastAsia="zh-CN"/>
                    </w:rPr>
                    <w:t>夜</w:t>
                  </w:r>
                </w:p>
              </w:tc>
            </w:tr>
            <w:tr w14:paraId="32B26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04" w:type="dxa"/>
                  <w:vAlign w:val="center"/>
                </w:tcPr>
                <w:p w14:paraId="0560EFE2">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1</w:t>
                  </w:r>
                </w:p>
              </w:tc>
              <w:tc>
                <w:tcPr>
                  <w:tcW w:w="881" w:type="dxa"/>
                  <w:vAlign w:val="center"/>
                </w:tcPr>
                <w:p w14:paraId="468B5D8B">
                  <w:pPr>
                    <w:pStyle w:val="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装载机</w:t>
                  </w:r>
                </w:p>
              </w:tc>
              <w:tc>
                <w:tcPr>
                  <w:tcW w:w="938" w:type="dxa"/>
                  <w:vAlign w:val="center"/>
                </w:tcPr>
                <w:p w14:paraId="2C986CDD">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91.0</w:t>
                  </w:r>
                </w:p>
              </w:tc>
              <w:tc>
                <w:tcPr>
                  <w:tcW w:w="938" w:type="dxa"/>
                  <w:vAlign w:val="center"/>
                </w:tcPr>
                <w:p w14:paraId="2D5DB24A">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85.0</w:t>
                  </w:r>
                </w:p>
              </w:tc>
              <w:tc>
                <w:tcPr>
                  <w:tcW w:w="952" w:type="dxa"/>
                  <w:vAlign w:val="center"/>
                </w:tcPr>
                <w:p w14:paraId="742219E8">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79.0</w:t>
                  </w:r>
                </w:p>
              </w:tc>
              <w:tc>
                <w:tcPr>
                  <w:tcW w:w="929" w:type="dxa"/>
                  <w:vAlign w:val="center"/>
                </w:tcPr>
                <w:p w14:paraId="77255005">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77.0</w:t>
                  </w:r>
                </w:p>
              </w:tc>
              <w:tc>
                <w:tcPr>
                  <w:tcW w:w="957" w:type="dxa"/>
                  <w:vAlign w:val="center"/>
                </w:tcPr>
                <w:p w14:paraId="35347DA7">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74.5</w:t>
                  </w:r>
                </w:p>
              </w:tc>
              <w:tc>
                <w:tcPr>
                  <w:tcW w:w="987" w:type="dxa"/>
                  <w:vAlign w:val="center"/>
                </w:tcPr>
                <w:p w14:paraId="33672198">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71.0</w:t>
                  </w:r>
                </w:p>
              </w:tc>
              <w:tc>
                <w:tcPr>
                  <w:tcW w:w="976" w:type="dxa"/>
                  <w:vAlign w:val="center"/>
                </w:tcPr>
                <w:p w14:paraId="0C13F4AB">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67.5</w:t>
                  </w:r>
                </w:p>
              </w:tc>
              <w:tc>
                <w:tcPr>
                  <w:tcW w:w="987" w:type="dxa"/>
                  <w:vAlign w:val="center"/>
                </w:tcPr>
                <w:p w14:paraId="25B03619">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65.0</w:t>
                  </w:r>
                </w:p>
              </w:tc>
              <w:tc>
                <w:tcPr>
                  <w:tcW w:w="956" w:type="dxa"/>
                  <w:vAlign w:val="center"/>
                </w:tcPr>
                <w:p w14:paraId="1BB7874A">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59.0</w:t>
                  </w:r>
                </w:p>
              </w:tc>
              <w:tc>
                <w:tcPr>
                  <w:tcW w:w="734" w:type="dxa"/>
                  <w:vMerge w:val="restart"/>
                  <w:vAlign w:val="center"/>
                </w:tcPr>
                <w:p w14:paraId="14F63BF9">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70</w:t>
                  </w:r>
                </w:p>
              </w:tc>
              <w:tc>
                <w:tcPr>
                  <w:tcW w:w="734" w:type="dxa"/>
                  <w:vMerge w:val="restart"/>
                  <w:vAlign w:val="center"/>
                </w:tcPr>
                <w:p w14:paraId="5EE15EE6">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55</w:t>
                  </w:r>
                </w:p>
              </w:tc>
              <w:tc>
                <w:tcPr>
                  <w:tcW w:w="849" w:type="dxa"/>
                  <w:vAlign w:val="center"/>
                </w:tcPr>
                <w:p w14:paraId="04B10DF1">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110</w:t>
                  </w:r>
                </w:p>
              </w:tc>
              <w:tc>
                <w:tcPr>
                  <w:tcW w:w="850" w:type="dxa"/>
                  <w:vAlign w:val="center"/>
                </w:tcPr>
                <w:p w14:paraId="1F6CE00E">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520</w:t>
                  </w:r>
                </w:p>
              </w:tc>
            </w:tr>
            <w:tr w14:paraId="7EEB5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04" w:type="dxa"/>
                  <w:vAlign w:val="center"/>
                </w:tcPr>
                <w:p w14:paraId="7854FF75">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2</w:t>
                  </w:r>
                </w:p>
              </w:tc>
              <w:tc>
                <w:tcPr>
                  <w:tcW w:w="881" w:type="dxa"/>
                  <w:vAlign w:val="center"/>
                </w:tcPr>
                <w:p w14:paraId="6458A60A">
                  <w:pPr>
                    <w:keepNext w:val="0"/>
                    <w:keepLines w:val="0"/>
                    <w:widowControl/>
                    <w:suppressLineNumbers w:val="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各类压路机</w:t>
                  </w:r>
                </w:p>
              </w:tc>
              <w:tc>
                <w:tcPr>
                  <w:tcW w:w="938" w:type="dxa"/>
                  <w:vAlign w:val="center"/>
                </w:tcPr>
                <w:p w14:paraId="506E7C42">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84.0</w:t>
                  </w:r>
                </w:p>
              </w:tc>
              <w:tc>
                <w:tcPr>
                  <w:tcW w:w="938" w:type="dxa"/>
                  <w:vAlign w:val="center"/>
                </w:tcPr>
                <w:p w14:paraId="161CC791">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78.0</w:t>
                  </w:r>
                </w:p>
              </w:tc>
              <w:tc>
                <w:tcPr>
                  <w:tcW w:w="952" w:type="dxa"/>
                  <w:vAlign w:val="center"/>
                </w:tcPr>
                <w:p w14:paraId="32756ABA">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72.0</w:t>
                  </w:r>
                </w:p>
              </w:tc>
              <w:tc>
                <w:tcPr>
                  <w:tcW w:w="929" w:type="dxa"/>
                  <w:vAlign w:val="center"/>
                </w:tcPr>
                <w:p w14:paraId="6D4AC227">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70.0</w:t>
                  </w:r>
                </w:p>
              </w:tc>
              <w:tc>
                <w:tcPr>
                  <w:tcW w:w="957" w:type="dxa"/>
                  <w:vAlign w:val="center"/>
                </w:tcPr>
                <w:p w14:paraId="694ACC2C">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67.5</w:t>
                  </w:r>
                </w:p>
              </w:tc>
              <w:tc>
                <w:tcPr>
                  <w:tcW w:w="987" w:type="dxa"/>
                  <w:vAlign w:val="center"/>
                </w:tcPr>
                <w:p w14:paraId="689DBD67">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64.0</w:t>
                  </w:r>
                </w:p>
              </w:tc>
              <w:tc>
                <w:tcPr>
                  <w:tcW w:w="976" w:type="dxa"/>
                  <w:vAlign w:val="center"/>
                </w:tcPr>
                <w:p w14:paraId="1859233D">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60.5</w:t>
                  </w:r>
                </w:p>
              </w:tc>
              <w:tc>
                <w:tcPr>
                  <w:tcW w:w="987" w:type="dxa"/>
                  <w:vAlign w:val="center"/>
                </w:tcPr>
                <w:p w14:paraId="0A4A2B21">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58.0</w:t>
                  </w:r>
                </w:p>
              </w:tc>
              <w:tc>
                <w:tcPr>
                  <w:tcW w:w="956" w:type="dxa"/>
                  <w:vAlign w:val="center"/>
                </w:tcPr>
                <w:p w14:paraId="1D29279E">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52.0</w:t>
                  </w:r>
                </w:p>
              </w:tc>
              <w:tc>
                <w:tcPr>
                  <w:tcW w:w="734" w:type="dxa"/>
                  <w:vMerge w:val="continue"/>
                  <w:vAlign w:val="center"/>
                </w:tcPr>
                <w:p w14:paraId="185EFFF8">
                  <w:pPr>
                    <w:pStyle w:val="54"/>
                    <w:spacing w:line="240" w:lineRule="auto"/>
                    <w:ind w:firstLine="0" w:firstLineChars="0"/>
                    <w:jc w:val="center"/>
                    <w:rPr>
                      <w:rFonts w:hint="default" w:ascii="Times New Roman" w:hAnsi="Times New Roman" w:cs="Times New Roman"/>
                      <w:color w:val="auto"/>
                      <w:sz w:val="21"/>
                      <w:szCs w:val="21"/>
                    </w:rPr>
                  </w:pPr>
                </w:p>
              </w:tc>
              <w:tc>
                <w:tcPr>
                  <w:tcW w:w="734" w:type="dxa"/>
                  <w:vMerge w:val="continue"/>
                  <w:vAlign w:val="center"/>
                </w:tcPr>
                <w:p w14:paraId="5E16AF3B">
                  <w:pPr>
                    <w:pStyle w:val="54"/>
                    <w:spacing w:line="240" w:lineRule="auto"/>
                    <w:ind w:firstLine="0" w:firstLineChars="0"/>
                    <w:jc w:val="center"/>
                    <w:rPr>
                      <w:rFonts w:hint="default" w:ascii="Times New Roman" w:hAnsi="Times New Roman" w:cs="Times New Roman"/>
                      <w:color w:val="auto"/>
                      <w:sz w:val="21"/>
                      <w:szCs w:val="21"/>
                    </w:rPr>
                  </w:pPr>
                </w:p>
              </w:tc>
              <w:tc>
                <w:tcPr>
                  <w:tcW w:w="849" w:type="dxa"/>
                  <w:vAlign w:val="center"/>
                </w:tcPr>
                <w:p w14:paraId="3D400741">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50</w:t>
                  </w:r>
                </w:p>
              </w:tc>
              <w:tc>
                <w:tcPr>
                  <w:tcW w:w="850" w:type="dxa"/>
                  <w:vAlign w:val="center"/>
                </w:tcPr>
                <w:p w14:paraId="7396950C">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260</w:t>
                  </w:r>
                </w:p>
              </w:tc>
            </w:tr>
            <w:tr w14:paraId="2871B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04" w:type="dxa"/>
                  <w:vAlign w:val="center"/>
                </w:tcPr>
                <w:p w14:paraId="63B1DEB3">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3</w:t>
                  </w:r>
                </w:p>
              </w:tc>
              <w:tc>
                <w:tcPr>
                  <w:tcW w:w="881" w:type="dxa"/>
                  <w:vAlign w:val="center"/>
                </w:tcPr>
                <w:p w14:paraId="308B42F6">
                  <w:pPr>
                    <w:pStyle w:val="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推土机</w:t>
                  </w:r>
                </w:p>
              </w:tc>
              <w:tc>
                <w:tcPr>
                  <w:tcW w:w="938" w:type="dxa"/>
                  <w:vAlign w:val="center"/>
                </w:tcPr>
                <w:p w14:paraId="3B633CC3">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82.0</w:t>
                  </w:r>
                </w:p>
              </w:tc>
              <w:tc>
                <w:tcPr>
                  <w:tcW w:w="938" w:type="dxa"/>
                  <w:vAlign w:val="center"/>
                </w:tcPr>
                <w:p w14:paraId="105F346B">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76.0</w:t>
                  </w:r>
                </w:p>
              </w:tc>
              <w:tc>
                <w:tcPr>
                  <w:tcW w:w="952" w:type="dxa"/>
                  <w:vAlign w:val="center"/>
                </w:tcPr>
                <w:p w14:paraId="777CABAC">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70.0</w:t>
                  </w:r>
                </w:p>
              </w:tc>
              <w:tc>
                <w:tcPr>
                  <w:tcW w:w="929" w:type="dxa"/>
                  <w:vAlign w:val="center"/>
                </w:tcPr>
                <w:p w14:paraId="550D9EF7">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68.0</w:t>
                  </w:r>
                </w:p>
              </w:tc>
              <w:tc>
                <w:tcPr>
                  <w:tcW w:w="957" w:type="dxa"/>
                  <w:vAlign w:val="center"/>
                </w:tcPr>
                <w:p w14:paraId="707BFC51">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65.5</w:t>
                  </w:r>
                </w:p>
              </w:tc>
              <w:tc>
                <w:tcPr>
                  <w:tcW w:w="987" w:type="dxa"/>
                  <w:vAlign w:val="center"/>
                </w:tcPr>
                <w:p w14:paraId="53A447E3">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62.0</w:t>
                  </w:r>
                </w:p>
              </w:tc>
              <w:tc>
                <w:tcPr>
                  <w:tcW w:w="976" w:type="dxa"/>
                  <w:vAlign w:val="center"/>
                </w:tcPr>
                <w:p w14:paraId="33E663EE">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58.5</w:t>
                  </w:r>
                </w:p>
              </w:tc>
              <w:tc>
                <w:tcPr>
                  <w:tcW w:w="987" w:type="dxa"/>
                  <w:vAlign w:val="center"/>
                </w:tcPr>
                <w:p w14:paraId="795FF874">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56.0</w:t>
                  </w:r>
                </w:p>
              </w:tc>
              <w:tc>
                <w:tcPr>
                  <w:tcW w:w="956" w:type="dxa"/>
                  <w:vAlign w:val="center"/>
                </w:tcPr>
                <w:p w14:paraId="2F56933D">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50.0</w:t>
                  </w:r>
                </w:p>
              </w:tc>
              <w:tc>
                <w:tcPr>
                  <w:tcW w:w="734" w:type="dxa"/>
                  <w:vMerge w:val="continue"/>
                  <w:vAlign w:val="center"/>
                </w:tcPr>
                <w:p w14:paraId="25A0F9ED">
                  <w:pPr>
                    <w:pStyle w:val="54"/>
                    <w:spacing w:line="240" w:lineRule="auto"/>
                    <w:ind w:firstLine="0" w:firstLineChars="0"/>
                    <w:jc w:val="center"/>
                    <w:rPr>
                      <w:rFonts w:hint="default" w:ascii="Times New Roman" w:hAnsi="Times New Roman" w:cs="Times New Roman"/>
                      <w:color w:val="auto"/>
                      <w:sz w:val="21"/>
                      <w:szCs w:val="21"/>
                    </w:rPr>
                  </w:pPr>
                </w:p>
              </w:tc>
              <w:tc>
                <w:tcPr>
                  <w:tcW w:w="734" w:type="dxa"/>
                  <w:vMerge w:val="continue"/>
                  <w:vAlign w:val="center"/>
                </w:tcPr>
                <w:p w14:paraId="65277A63">
                  <w:pPr>
                    <w:pStyle w:val="54"/>
                    <w:spacing w:line="240" w:lineRule="auto"/>
                    <w:ind w:firstLine="0" w:firstLineChars="0"/>
                    <w:jc w:val="center"/>
                    <w:rPr>
                      <w:rFonts w:hint="default" w:ascii="Times New Roman" w:hAnsi="Times New Roman" w:cs="Times New Roman"/>
                      <w:color w:val="auto"/>
                      <w:sz w:val="21"/>
                      <w:szCs w:val="21"/>
                    </w:rPr>
                  </w:pPr>
                </w:p>
              </w:tc>
              <w:tc>
                <w:tcPr>
                  <w:tcW w:w="849" w:type="dxa"/>
                  <w:vAlign w:val="center"/>
                </w:tcPr>
                <w:p w14:paraId="73604E5F">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40</w:t>
                  </w:r>
                </w:p>
              </w:tc>
              <w:tc>
                <w:tcPr>
                  <w:tcW w:w="850" w:type="dxa"/>
                  <w:vAlign w:val="center"/>
                </w:tcPr>
                <w:p w14:paraId="477D9CE5">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220</w:t>
                  </w:r>
                </w:p>
              </w:tc>
            </w:tr>
            <w:tr w14:paraId="4BD0B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04" w:type="dxa"/>
                  <w:vAlign w:val="center"/>
                </w:tcPr>
                <w:p w14:paraId="362501FB">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4</w:t>
                  </w:r>
                </w:p>
              </w:tc>
              <w:tc>
                <w:tcPr>
                  <w:tcW w:w="881" w:type="dxa"/>
                  <w:vAlign w:val="center"/>
                </w:tcPr>
                <w:p w14:paraId="476CA6B3">
                  <w:pPr>
                    <w:pStyle w:val="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液压挖掘机</w:t>
                  </w:r>
                </w:p>
              </w:tc>
              <w:tc>
                <w:tcPr>
                  <w:tcW w:w="938" w:type="dxa"/>
                  <w:vAlign w:val="center"/>
                </w:tcPr>
                <w:p w14:paraId="1E82F933">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84.0</w:t>
                  </w:r>
                </w:p>
              </w:tc>
              <w:tc>
                <w:tcPr>
                  <w:tcW w:w="938" w:type="dxa"/>
                  <w:vAlign w:val="center"/>
                </w:tcPr>
                <w:p w14:paraId="405047F8">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78.0</w:t>
                  </w:r>
                </w:p>
              </w:tc>
              <w:tc>
                <w:tcPr>
                  <w:tcW w:w="952" w:type="dxa"/>
                  <w:vAlign w:val="center"/>
                </w:tcPr>
                <w:p w14:paraId="4B1FDEF9">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72.0</w:t>
                  </w:r>
                </w:p>
              </w:tc>
              <w:tc>
                <w:tcPr>
                  <w:tcW w:w="929" w:type="dxa"/>
                  <w:vAlign w:val="center"/>
                </w:tcPr>
                <w:p w14:paraId="1B027E36">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70.0</w:t>
                  </w:r>
                </w:p>
              </w:tc>
              <w:tc>
                <w:tcPr>
                  <w:tcW w:w="957" w:type="dxa"/>
                  <w:vAlign w:val="center"/>
                </w:tcPr>
                <w:p w14:paraId="21C6877D">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67.5</w:t>
                  </w:r>
                </w:p>
              </w:tc>
              <w:tc>
                <w:tcPr>
                  <w:tcW w:w="987" w:type="dxa"/>
                  <w:vAlign w:val="center"/>
                </w:tcPr>
                <w:p w14:paraId="05C320CC">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64.0</w:t>
                  </w:r>
                </w:p>
              </w:tc>
              <w:tc>
                <w:tcPr>
                  <w:tcW w:w="976" w:type="dxa"/>
                  <w:vAlign w:val="center"/>
                </w:tcPr>
                <w:p w14:paraId="1F1318F8">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60.5</w:t>
                  </w:r>
                </w:p>
              </w:tc>
              <w:tc>
                <w:tcPr>
                  <w:tcW w:w="987" w:type="dxa"/>
                  <w:vAlign w:val="center"/>
                </w:tcPr>
                <w:p w14:paraId="2B28369F">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58.0</w:t>
                  </w:r>
                </w:p>
              </w:tc>
              <w:tc>
                <w:tcPr>
                  <w:tcW w:w="956" w:type="dxa"/>
                  <w:vAlign w:val="center"/>
                </w:tcPr>
                <w:p w14:paraId="44E0A91B">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52.0</w:t>
                  </w:r>
                </w:p>
              </w:tc>
              <w:tc>
                <w:tcPr>
                  <w:tcW w:w="734" w:type="dxa"/>
                  <w:vMerge w:val="continue"/>
                  <w:vAlign w:val="center"/>
                </w:tcPr>
                <w:p w14:paraId="64ED6F11">
                  <w:pPr>
                    <w:pStyle w:val="54"/>
                    <w:spacing w:line="240" w:lineRule="auto"/>
                    <w:ind w:firstLine="0" w:firstLineChars="0"/>
                    <w:jc w:val="center"/>
                    <w:rPr>
                      <w:rFonts w:hint="default" w:ascii="Times New Roman" w:hAnsi="Times New Roman" w:cs="Times New Roman"/>
                      <w:color w:val="auto"/>
                      <w:sz w:val="21"/>
                      <w:szCs w:val="21"/>
                    </w:rPr>
                  </w:pPr>
                </w:p>
              </w:tc>
              <w:tc>
                <w:tcPr>
                  <w:tcW w:w="734" w:type="dxa"/>
                  <w:vMerge w:val="continue"/>
                  <w:vAlign w:val="center"/>
                </w:tcPr>
                <w:p w14:paraId="46949CEB">
                  <w:pPr>
                    <w:pStyle w:val="54"/>
                    <w:spacing w:line="240" w:lineRule="auto"/>
                    <w:ind w:firstLine="0" w:firstLineChars="0"/>
                    <w:jc w:val="center"/>
                    <w:rPr>
                      <w:rFonts w:hint="default" w:ascii="Times New Roman" w:hAnsi="Times New Roman" w:cs="Times New Roman"/>
                      <w:color w:val="auto"/>
                      <w:sz w:val="21"/>
                      <w:szCs w:val="21"/>
                    </w:rPr>
                  </w:pPr>
                </w:p>
              </w:tc>
              <w:tc>
                <w:tcPr>
                  <w:tcW w:w="849" w:type="dxa"/>
                  <w:vAlign w:val="center"/>
                </w:tcPr>
                <w:p w14:paraId="02E543F2">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50</w:t>
                  </w:r>
                </w:p>
              </w:tc>
              <w:tc>
                <w:tcPr>
                  <w:tcW w:w="850" w:type="dxa"/>
                  <w:vAlign w:val="center"/>
                </w:tcPr>
                <w:p w14:paraId="7BE4F372">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260</w:t>
                  </w:r>
                </w:p>
              </w:tc>
            </w:tr>
            <w:tr w14:paraId="11306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704" w:type="dxa"/>
                  <w:vAlign w:val="center"/>
                </w:tcPr>
                <w:p w14:paraId="4032E9C8">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5</w:t>
                  </w:r>
                </w:p>
              </w:tc>
              <w:tc>
                <w:tcPr>
                  <w:tcW w:w="881" w:type="dxa"/>
                  <w:vAlign w:val="center"/>
                </w:tcPr>
                <w:p w14:paraId="06E1805E">
                  <w:pPr>
                    <w:pStyle w:val="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摊铺机</w:t>
                  </w:r>
                </w:p>
              </w:tc>
              <w:tc>
                <w:tcPr>
                  <w:tcW w:w="938" w:type="dxa"/>
                  <w:vAlign w:val="center"/>
                </w:tcPr>
                <w:p w14:paraId="1596FEFB">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79.0</w:t>
                  </w:r>
                </w:p>
              </w:tc>
              <w:tc>
                <w:tcPr>
                  <w:tcW w:w="938" w:type="dxa"/>
                  <w:vAlign w:val="center"/>
                </w:tcPr>
                <w:p w14:paraId="0086C604">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73.0</w:t>
                  </w:r>
                </w:p>
              </w:tc>
              <w:tc>
                <w:tcPr>
                  <w:tcW w:w="952" w:type="dxa"/>
                  <w:vAlign w:val="center"/>
                </w:tcPr>
                <w:p w14:paraId="426A0AFD">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67.0</w:t>
                  </w:r>
                </w:p>
              </w:tc>
              <w:tc>
                <w:tcPr>
                  <w:tcW w:w="929" w:type="dxa"/>
                  <w:vAlign w:val="center"/>
                </w:tcPr>
                <w:p w14:paraId="044DFE71">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65.0</w:t>
                  </w:r>
                </w:p>
              </w:tc>
              <w:tc>
                <w:tcPr>
                  <w:tcW w:w="957" w:type="dxa"/>
                  <w:vAlign w:val="center"/>
                </w:tcPr>
                <w:p w14:paraId="4DA503EA">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62.5</w:t>
                  </w:r>
                </w:p>
              </w:tc>
              <w:tc>
                <w:tcPr>
                  <w:tcW w:w="987" w:type="dxa"/>
                  <w:vAlign w:val="center"/>
                </w:tcPr>
                <w:p w14:paraId="2FAA74D0">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59.0</w:t>
                  </w:r>
                </w:p>
              </w:tc>
              <w:tc>
                <w:tcPr>
                  <w:tcW w:w="976" w:type="dxa"/>
                  <w:vAlign w:val="center"/>
                </w:tcPr>
                <w:p w14:paraId="0A1EEF35">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55.5</w:t>
                  </w:r>
                </w:p>
              </w:tc>
              <w:tc>
                <w:tcPr>
                  <w:tcW w:w="987" w:type="dxa"/>
                  <w:vAlign w:val="center"/>
                </w:tcPr>
                <w:p w14:paraId="10B880CD">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53.0</w:t>
                  </w:r>
                </w:p>
              </w:tc>
              <w:tc>
                <w:tcPr>
                  <w:tcW w:w="956" w:type="dxa"/>
                  <w:vAlign w:val="center"/>
                </w:tcPr>
                <w:p w14:paraId="1A89A45E">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47.0</w:t>
                  </w:r>
                </w:p>
              </w:tc>
              <w:tc>
                <w:tcPr>
                  <w:tcW w:w="734" w:type="dxa"/>
                  <w:vMerge w:val="continue"/>
                  <w:vAlign w:val="center"/>
                </w:tcPr>
                <w:p w14:paraId="740E4186">
                  <w:pPr>
                    <w:pStyle w:val="54"/>
                    <w:spacing w:line="240" w:lineRule="auto"/>
                    <w:ind w:firstLine="0" w:firstLineChars="0"/>
                    <w:jc w:val="center"/>
                    <w:rPr>
                      <w:rFonts w:hint="default" w:ascii="Times New Roman" w:hAnsi="Times New Roman" w:cs="Times New Roman"/>
                      <w:color w:val="auto"/>
                      <w:sz w:val="21"/>
                      <w:szCs w:val="21"/>
                    </w:rPr>
                  </w:pPr>
                </w:p>
              </w:tc>
              <w:tc>
                <w:tcPr>
                  <w:tcW w:w="734" w:type="dxa"/>
                  <w:vMerge w:val="continue"/>
                  <w:vAlign w:val="center"/>
                </w:tcPr>
                <w:p w14:paraId="4B1B14EC">
                  <w:pPr>
                    <w:pStyle w:val="54"/>
                    <w:spacing w:line="240" w:lineRule="auto"/>
                    <w:ind w:firstLine="0" w:firstLineChars="0"/>
                    <w:jc w:val="center"/>
                    <w:rPr>
                      <w:rFonts w:hint="default" w:ascii="Times New Roman" w:hAnsi="Times New Roman" w:cs="Times New Roman"/>
                      <w:color w:val="auto"/>
                      <w:sz w:val="21"/>
                      <w:szCs w:val="21"/>
                    </w:rPr>
                  </w:pPr>
                </w:p>
              </w:tc>
              <w:tc>
                <w:tcPr>
                  <w:tcW w:w="849" w:type="dxa"/>
                  <w:vAlign w:val="center"/>
                </w:tcPr>
                <w:p w14:paraId="0E9F1810">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30</w:t>
                  </w:r>
                </w:p>
              </w:tc>
              <w:tc>
                <w:tcPr>
                  <w:tcW w:w="850" w:type="dxa"/>
                  <w:vAlign w:val="center"/>
                </w:tcPr>
                <w:p w14:paraId="601A6103">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180</w:t>
                  </w:r>
                </w:p>
              </w:tc>
            </w:tr>
            <w:tr w14:paraId="2B1E6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14:paraId="57DE450B">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6</w:t>
                  </w:r>
                </w:p>
              </w:tc>
              <w:tc>
                <w:tcPr>
                  <w:tcW w:w="881" w:type="dxa"/>
                  <w:vAlign w:val="center"/>
                </w:tcPr>
                <w:p w14:paraId="1F72DE3A">
                  <w:pPr>
                    <w:keepNext w:val="0"/>
                    <w:keepLines w:val="0"/>
                    <w:widowControl/>
                    <w:suppressLineNumbers w:val="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破碎机</w:t>
                  </w:r>
                </w:p>
              </w:tc>
              <w:tc>
                <w:tcPr>
                  <w:tcW w:w="938" w:type="dxa"/>
                  <w:vAlign w:val="center"/>
                </w:tcPr>
                <w:p w14:paraId="1B202E76">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94.0</w:t>
                  </w:r>
                </w:p>
              </w:tc>
              <w:tc>
                <w:tcPr>
                  <w:tcW w:w="938" w:type="dxa"/>
                  <w:vAlign w:val="center"/>
                </w:tcPr>
                <w:p w14:paraId="7143FEED">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88.0</w:t>
                  </w:r>
                </w:p>
              </w:tc>
              <w:tc>
                <w:tcPr>
                  <w:tcW w:w="952" w:type="dxa"/>
                  <w:vAlign w:val="center"/>
                </w:tcPr>
                <w:p w14:paraId="628E5C1D">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82.0</w:t>
                  </w:r>
                </w:p>
              </w:tc>
              <w:tc>
                <w:tcPr>
                  <w:tcW w:w="929" w:type="dxa"/>
                  <w:vAlign w:val="center"/>
                </w:tcPr>
                <w:p w14:paraId="7D5B2630">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80.0</w:t>
                  </w:r>
                </w:p>
              </w:tc>
              <w:tc>
                <w:tcPr>
                  <w:tcW w:w="957" w:type="dxa"/>
                  <w:vAlign w:val="center"/>
                </w:tcPr>
                <w:p w14:paraId="772B2FCF">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77.5</w:t>
                  </w:r>
                </w:p>
              </w:tc>
              <w:tc>
                <w:tcPr>
                  <w:tcW w:w="987" w:type="dxa"/>
                  <w:vAlign w:val="center"/>
                </w:tcPr>
                <w:p w14:paraId="4126EA16">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74.0</w:t>
                  </w:r>
                </w:p>
              </w:tc>
              <w:tc>
                <w:tcPr>
                  <w:tcW w:w="976" w:type="dxa"/>
                  <w:vAlign w:val="center"/>
                </w:tcPr>
                <w:p w14:paraId="6982BA8F">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70.5</w:t>
                  </w:r>
                </w:p>
              </w:tc>
              <w:tc>
                <w:tcPr>
                  <w:tcW w:w="987" w:type="dxa"/>
                  <w:vAlign w:val="center"/>
                </w:tcPr>
                <w:p w14:paraId="024A2CEA">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68.0</w:t>
                  </w:r>
                </w:p>
              </w:tc>
              <w:tc>
                <w:tcPr>
                  <w:tcW w:w="956" w:type="dxa"/>
                  <w:vAlign w:val="center"/>
                </w:tcPr>
                <w:p w14:paraId="172C17C9">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62.0</w:t>
                  </w:r>
                </w:p>
              </w:tc>
              <w:tc>
                <w:tcPr>
                  <w:tcW w:w="734" w:type="dxa"/>
                  <w:vMerge w:val="continue"/>
                  <w:vAlign w:val="center"/>
                </w:tcPr>
                <w:p w14:paraId="09245BDA">
                  <w:pPr>
                    <w:pStyle w:val="54"/>
                    <w:spacing w:line="240" w:lineRule="auto"/>
                    <w:ind w:firstLine="0" w:firstLineChars="0"/>
                    <w:jc w:val="center"/>
                    <w:rPr>
                      <w:rFonts w:hint="default" w:ascii="Times New Roman" w:hAnsi="Times New Roman" w:cs="Times New Roman"/>
                      <w:color w:val="auto"/>
                      <w:sz w:val="21"/>
                      <w:szCs w:val="21"/>
                    </w:rPr>
                  </w:pPr>
                </w:p>
              </w:tc>
              <w:tc>
                <w:tcPr>
                  <w:tcW w:w="734" w:type="dxa"/>
                  <w:vMerge w:val="continue"/>
                  <w:vAlign w:val="center"/>
                </w:tcPr>
                <w:p w14:paraId="2336AE65">
                  <w:pPr>
                    <w:pStyle w:val="54"/>
                    <w:spacing w:line="240" w:lineRule="auto"/>
                    <w:ind w:firstLine="0" w:firstLineChars="0"/>
                    <w:jc w:val="center"/>
                    <w:rPr>
                      <w:rFonts w:hint="default" w:ascii="Times New Roman" w:hAnsi="Times New Roman" w:cs="Times New Roman"/>
                      <w:color w:val="auto"/>
                      <w:sz w:val="21"/>
                      <w:szCs w:val="21"/>
                    </w:rPr>
                  </w:pPr>
                </w:p>
              </w:tc>
              <w:tc>
                <w:tcPr>
                  <w:tcW w:w="849" w:type="dxa"/>
                  <w:vAlign w:val="center"/>
                </w:tcPr>
                <w:p w14:paraId="42E84C39">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160</w:t>
                  </w:r>
                </w:p>
              </w:tc>
              <w:tc>
                <w:tcPr>
                  <w:tcW w:w="850" w:type="dxa"/>
                  <w:vAlign w:val="center"/>
                </w:tcPr>
                <w:p w14:paraId="2F092C6D">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600</w:t>
                  </w:r>
                </w:p>
              </w:tc>
            </w:tr>
            <w:tr w14:paraId="0D404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14:paraId="160208BC">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7</w:t>
                  </w:r>
                </w:p>
              </w:tc>
              <w:tc>
                <w:tcPr>
                  <w:tcW w:w="881" w:type="dxa"/>
                  <w:vAlign w:val="center"/>
                </w:tcPr>
                <w:p w14:paraId="342ABFAC">
                  <w:pPr>
                    <w:pStyle w:val="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吊装机</w:t>
                  </w:r>
                </w:p>
              </w:tc>
              <w:tc>
                <w:tcPr>
                  <w:tcW w:w="938" w:type="dxa"/>
                  <w:vAlign w:val="center"/>
                </w:tcPr>
                <w:p w14:paraId="7B884197">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84.0</w:t>
                  </w:r>
                </w:p>
              </w:tc>
              <w:tc>
                <w:tcPr>
                  <w:tcW w:w="938" w:type="dxa"/>
                  <w:vAlign w:val="center"/>
                </w:tcPr>
                <w:p w14:paraId="2D6161E5">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78.0</w:t>
                  </w:r>
                </w:p>
              </w:tc>
              <w:tc>
                <w:tcPr>
                  <w:tcW w:w="952" w:type="dxa"/>
                  <w:vAlign w:val="center"/>
                </w:tcPr>
                <w:p w14:paraId="38C89CE7">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72.0</w:t>
                  </w:r>
                </w:p>
              </w:tc>
              <w:tc>
                <w:tcPr>
                  <w:tcW w:w="929" w:type="dxa"/>
                  <w:vAlign w:val="center"/>
                </w:tcPr>
                <w:p w14:paraId="07F5DD97">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70.0</w:t>
                  </w:r>
                </w:p>
              </w:tc>
              <w:tc>
                <w:tcPr>
                  <w:tcW w:w="957" w:type="dxa"/>
                  <w:vAlign w:val="center"/>
                </w:tcPr>
                <w:p w14:paraId="510FB295">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67.5</w:t>
                  </w:r>
                </w:p>
              </w:tc>
              <w:tc>
                <w:tcPr>
                  <w:tcW w:w="987" w:type="dxa"/>
                  <w:vAlign w:val="center"/>
                </w:tcPr>
                <w:p w14:paraId="2B943325">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64.0</w:t>
                  </w:r>
                </w:p>
              </w:tc>
              <w:tc>
                <w:tcPr>
                  <w:tcW w:w="976" w:type="dxa"/>
                  <w:vAlign w:val="center"/>
                </w:tcPr>
                <w:p w14:paraId="6B23D534">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60.5</w:t>
                  </w:r>
                </w:p>
              </w:tc>
              <w:tc>
                <w:tcPr>
                  <w:tcW w:w="987" w:type="dxa"/>
                  <w:vAlign w:val="center"/>
                </w:tcPr>
                <w:p w14:paraId="72EB1BBC">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58.0</w:t>
                  </w:r>
                </w:p>
              </w:tc>
              <w:tc>
                <w:tcPr>
                  <w:tcW w:w="956" w:type="dxa"/>
                  <w:vAlign w:val="center"/>
                </w:tcPr>
                <w:p w14:paraId="6B58F533">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52.0</w:t>
                  </w:r>
                </w:p>
              </w:tc>
              <w:tc>
                <w:tcPr>
                  <w:tcW w:w="734" w:type="dxa"/>
                  <w:vMerge w:val="continue"/>
                  <w:vAlign w:val="center"/>
                </w:tcPr>
                <w:p w14:paraId="5EF44387">
                  <w:pPr>
                    <w:pStyle w:val="54"/>
                    <w:spacing w:line="240" w:lineRule="auto"/>
                    <w:ind w:firstLine="0" w:firstLineChars="0"/>
                    <w:jc w:val="center"/>
                    <w:rPr>
                      <w:rFonts w:hint="default" w:ascii="Times New Roman" w:hAnsi="Times New Roman" w:cs="Times New Roman"/>
                      <w:color w:val="auto"/>
                      <w:sz w:val="21"/>
                      <w:szCs w:val="21"/>
                    </w:rPr>
                  </w:pPr>
                </w:p>
              </w:tc>
              <w:tc>
                <w:tcPr>
                  <w:tcW w:w="734" w:type="dxa"/>
                  <w:vMerge w:val="continue"/>
                  <w:vAlign w:val="center"/>
                </w:tcPr>
                <w:p w14:paraId="1EFBBB58">
                  <w:pPr>
                    <w:pStyle w:val="54"/>
                    <w:spacing w:line="240" w:lineRule="auto"/>
                    <w:ind w:firstLine="0" w:firstLineChars="0"/>
                    <w:jc w:val="center"/>
                    <w:rPr>
                      <w:rFonts w:hint="default" w:ascii="Times New Roman" w:hAnsi="Times New Roman" w:cs="Times New Roman"/>
                      <w:color w:val="auto"/>
                      <w:sz w:val="21"/>
                      <w:szCs w:val="21"/>
                    </w:rPr>
                  </w:pPr>
                </w:p>
              </w:tc>
              <w:tc>
                <w:tcPr>
                  <w:tcW w:w="849" w:type="dxa"/>
                  <w:vAlign w:val="center"/>
                </w:tcPr>
                <w:p w14:paraId="4BB105FD">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50</w:t>
                  </w:r>
                </w:p>
              </w:tc>
              <w:tc>
                <w:tcPr>
                  <w:tcW w:w="850" w:type="dxa"/>
                  <w:vAlign w:val="center"/>
                </w:tcPr>
                <w:p w14:paraId="2C619691">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260</w:t>
                  </w:r>
                </w:p>
              </w:tc>
            </w:tr>
            <w:tr w14:paraId="48D1E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14:paraId="1DACB11D">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8</w:t>
                  </w:r>
                </w:p>
              </w:tc>
              <w:tc>
                <w:tcPr>
                  <w:tcW w:w="881" w:type="dxa"/>
                  <w:vAlign w:val="center"/>
                </w:tcPr>
                <w:p w14:paraId="29314F23">
                  <w:pPr>
                    <w:pStyle w:val="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重型车</w:t>
                  </w:r>
                </w:p>
              </w:tc>
              <w:tc>
                <w:tcPr>
                  <w:tcW w:w="938" w:type="dxa"/>
                  <w:vAlign w:val="center"/>
                </w:tcPr>
                <w:p w14:paraId="4348A67E">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84.0</w:t>
                  </w:r>
                </w:p>
              </w:tc>
              <w:tc>
                <w:tcPr>
                  <w:tcW w:w="938" w:type="dxa"/>
                  <w:vAlign w:val="center"/>
                </w:tcPr>
                <w:p w14:paraId="1DBD768F">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78.0</w:t>
                  </w:r>
                </w:p>
              </w:tc>
              <w:tc>
                <w:tcPr>
                  <w:tcW w:w="952" w:type="dxa"/>
                  <w:vAlign w:val="center"/>
                </w:tcPr>
                <w:p w14:paraId="0C798099">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72.0</w:t>
                  </w:r>
                </w:p>
              </w:tc>
              <w:tc>
                <w:tcPr>
                  <w:tcW w:w="929" w:type="dxa"/>
                  <w:vAlign w:val="center"/>
                </w:tcPr>
                <w:p w14:paraId="42DB3F45">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70.0</w:t>
                  </w:r>
                </w:p>
              </w:tc>
              <w:tc>
                <w:tcPr>
                  <w:tcW w:w="957" w:type="dxa"/>
                  <w:vAlign w:val="center"/>
                </w:tcPr>
                <w:p w14:paraId="5B12A016">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67.5</w:t>
                  </w:r>
                </w:p>
              </w:tc>
              <w:tc>
                <w:tcPr>
                  <w:tcW w:w="987" w:type="dxa"/>
                  <w:vAlign w:val="center"/>
                </w:tcPr>
                <w:p w14:paraId="3818C9BC">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64.0</w:t>
                  </w:r>
                </w:p>
              </w:tc>
              <w:tc>
                <w:tcPr>
                  <w:tcW w:w="976" w:type="dxa"/>
                  <w:vAlign w:val="center"/>
                </w:tcPr>
                <w:p w14:paraId="75BF1AB2">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60.5</w:t>
                  </w:r>
                </w:p>
              </w:tc>
              <w:tc>
                <w:tcPr>
                  <w:tcW w:w="987" w:type="dxa"/>
                  <w:vAlign w:val="center"/>
                </w:tcPr>
                <w:p w14:paraId="0076CA6D">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58.0</w:t>
                  </w:r>
                </w:p>
              </w:tc>
              <w:tc>
                <w:tcPr>
                  <w:tcW w:w="956" w:type="dxa"/>
                  <w:vAlign w:val="center"/>
                </w:tcPr>
                <w:p w14:paraId="70154B5A">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52.0</w:t>
                  </w:r>
                </w:p>
              </w:tc>
              <w:tc>
                <w:tcPr>
                  <w:tcW w:w="734" w:type="dxa"/>
                  <w:vMerge w:val="continue"/>
                  <w:vAlign w:val="center"/>
                </w:tcPr>
                <w:p w14:paraId="185DA463">
                  <w:pPr>
                    <w:pStyle w:val="54"/>
                    <w:spacing w:line="240" w:lineRule="auto"/>
                    <w:ind w:firstLine="0" w:firstLineChars="0"/>
                    <w:jc w:val="center"/>
                    <w:rPr>
                      <w:rFonts w:hint="default" w:ascii="Times New Roman" w:hAnsi="Times New Roman" w:cs="Times New Roman"/>
                      <w:color w:val="auto"/>
                      <w:sz w:val="21"/>
                      <w:szCs w:val="21"/>
                    </w:rPr>
                  </w:pPr>
                </w:p>
              </w:tc>
              <w:tc>
                <w:tcPr>
                  <w:tcW w:w="734" w:type="dxa"/>
                  <w:vMerge w:val="continue"/>
                  <w:vAlign w:val="center"/>
                </w:tcPr>
                <w:p w14:paraId="5ED07AF5">
                  <w:pPr>
                    <w:pStyle w:val="54"/>
                    <w:spacing w:line="240" w:lineRule="auto"/>
                    <w:ind w:firstLine="0" w:firstLineChars="0"/>
                    <w:jc w:val="center"/>
                    <w:rPr>
                      <w:rFonts w:hint="default" w:ascii="Times New Roman" w:hAnsi="Times New Roman" w:cs="Times New Roman"/>
                      <w:color w:val="auto"/>
                      <w:sz w:val="21"/>
                      <w:szCs w:val="21"/>
                    </w:rPr>
                  </w:pPr>
                </w:p>
              </w:tc>
              <w:tc>
                <w:tcPr>
                  <w:tcW w:w="849" w:type="dxa"/>
                  <w:vAlign w:val="center"/>
                </w:tcPr>
                <w:p w14:paraId="1DB72D40">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50</w:t>
                  </w:r>
                </w:p>
              </w:tc>
              <w:tc>
                <w:tcPr>
                  <w:tcW w:w="850" w:type="dxa"/>
                  <w:vAlign w:val="center"/>
                </w:tcPr>
                <w:p w14:paraId="413C8343">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260</w:t>
                  </w:r>
                </w:p>
              </w:tc>
            </w:tr>
            <w:tr w14:paraId="0F3AA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14:paraId="1A09960D">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9</w:t>
                  </w:r>
                </w:p>
              </w:tc>
              <w:tc>
                <w:tcPr>
                  <w:tcW w:w="881" w:type="dxa"/>
                  <w:vAlign w:val="center"/>
                </w:tcPr>
                <w:p w14:paraId="2DA95FB9">
                  <w:pPr>
                    <w:pStyle w:val="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商砼车搅拌</w:t>
                  </w:r>
                </w:p>
              </w:tc>
              <w:tc>
                <w:tcPr>
                  <w:tcW w:w="938" w:type="dxa"/>
                  <w:vAlign w:val="center"/>
                </w:tcPr>
                <w:p w14:paraId="3DBAC74A">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84.0</w:t>
                  </w:r>
                </w:p>
              </w:tc>
              <w:tc>
                <w:tcPr>
                  <w:tcW w:w="938" w:type="dxa"/>
                  <w:vAlign w:val="center"/>
                </w:tcPr>
                <w:p w14:paraId="4E68249C">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78.0</w:t>
                  </w:r>
                </w:p>
              </w:tc>
              <w:tc>
                <w:tcPr>
                  <w:tcW w:w="952" w:type="dxa"/>
                  <w:vAlign w:val="center"/>
                </w:tcPr>
                <w:p w14:paraId="7919936E">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72.0</w:t>
                  </w:r>
                </w:p>
              </w:tc>
              <w:tc>
                <w:tcPr>
                  <w:tcW w:w="929" w:type="dxa"/>
                  <w:vAlign w:val="center"/>
                </w:tcPr>
                <w:p w14:paraId="31634C35">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70.0</w:t>
                  </w:r>
                </w:p>
              </w:tc>
              <w:tc>
                <w:tcPr>
                  <w:tcW w:w="957" w:type="dxa"/>
                  <w:vAlign w:val="center"/>
                </w:tcPr>
                <w:p w14:paraId="469F43E2">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67.5</w:t>
                  </w:r>
                </w:p>
              </w:tc>
              <w:tc>
                <w:tcPr>
                  <w:tcW w:w="987" w:type="dxa"/>
                  <w:vAlign w:val="center"/>
                </w:tcPr>
                <w:p w14:paraId="6B673463">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64.0</w:t>
                  </w:r>
                </w:p>
              </w:tc>
              <w:tc>
                <w:tcPr>
                  <w:tcW w:w="976" w:type="dxa"/>
                  <w:vAlign w:val="center"/>
                </w:tcPr>
                <w:p w14:paraId="554B7B18">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60.5</w:t>
                  </w:r>
                </w:p>
              </w:tc>
              <w:tc>
                <w:tcPr>
                  <w:tcW w:w="987" w:type="dxa"/>
                  <w:vAlign w:val="center"/>
                </w:tcPr>
                <w:p w14:paraId="4F35BDA1">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58.0</w:t>
                  </w:r>
                </w:p>
              </w:tc>
              <w:tc>
                <w:tcPr>
                  <w:tcW w:w="956" w:type="dxa"/>
                  <w:vAlign w:val="center"/>
                </w:tcPr>
                <w:p w14:paraId="12F50704">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52.0</w:t>
                  </w:r>
                </w:p>
              </w:tc>
              <w:tc>
                <w:tcPr>
                  <w:tcW w:w="734" w:type="dxa"/>
                  <w:vMerge w:val="continue"/>
                  <w:vAlign w:val="center"/>
                </w:tcPr>
                <w:p w14:paraId="3812BC11">
                  <w:pPr>
                    <w:pStyle w:val="54"/>
                    <w:spacing w:line="240" w:lineRule="auto"/>
                    <w:ind w:firstLine="0" w:firstLineChars="0"/>
                    <w:jc w:val="center"/>
                    <w:rPr>
                      <w:rFonts w:hint="default" w:ascii="Times New Roman" w:hAnsi="Times New Roman" w:cs="Times New Roman"/>
                      <w:color w:val="auto"/>
                      <w:sz w:val="21"/>
                      <w:szCs w:val="21"/>
                    </w:rPr>
                  </w:pPr>
                </w:p>
              </w:tc>
              <w:tc>
                <w:tcPr>
                  <w:tcW w:w="734" w:type="dxa"/>
                  <w:vMerge w:val="continue"/>
                  <w:vAlign w:val="center"/>
                </w:tcPr>
                <w:p w14:paraId="14C60D2E">
                  <w:pPr>
                    <w:pStyle w:val="54"/>
                    <w:spacing w:line="240" w:lineRule="auto"/>
                    <w:ind w:firstLine="0" w:firstLineChars="0"/>
                    <w:jc w:val="center"/>
                    <w:rPr>
                      <w:rFonts w:hint="default" w:ascii="Times New Roman" w:hAnsi="Times New Roman" w:cs="Times New Roman"/>
                      <w:color w:val="auto"/>
                      <w:sz w:val="21"/>
                      <w:szCs w:val="21"/>
                    </w:rPr>
                  </w:pPr>
                </w:p>
              </w:tc>
              <w:tc>
                <w:tcPr>
                  <w:tcW w:w="849" w:type="dxa"/>
                  <w:vAlign w:val="center"/>
                </w:tcPr>
                <w:p w14:paraId="43259FF1">
                  <w:pPr>
                    <w:pStyle w:val="54"/>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50</w:t>
                  </w:r>
                </w:p>
              </w:tc>
              <w:tc>
                <w:tcPr>
                  <w:tcW w:w="850" w:type="dxa"/>
                  <w:vAlign w:val="center"/>
                </w:tcPr>
                <w:p w14:paraId="250E2191">
                  <w:pPr>
                    <w:pStyle w:val="54"/>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260</w:t>
                  </w:r>
                </w:p>
              </w:tc>
            </w:tr>
            <w:tr w14:paraId="2725B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14:paraId="041DBA61">
                  <w:pPr>
                    <w:pStyle w:val="54"/>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10</w:t>
                  </w:r>
                </w:p>
              </w:tc>
              <w:tc>
                <w:tcPr>
                  <w:tcW w:w="881" w:type="dxa"/>
                  <w:vAlign w:val="center"/>
                </w:tcPr>
                <w:p w14:paraId="3605203B">
                  <w:pPr>
                    <w:pStyle w:val="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平地机</w:t>
                  </w:r>
                </w:p>
              </w:tc>
              <w:tc>
                <w:tcPr>
                  <w:tcW w:w="938" w:type="dxa"/>
                  <w:vAlign w:val="center"/>
                </w:tcPr>
                <w:p w14:paraId="783781CD">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82.0</w:t>
                  </w:r>
                </w:p>
              </w:tc>
              <w:tc>
                <w:tcPr>
                  <w:tcW w:w="938" w:type="dxa"/>
                  <w:vAlign w:val="center"/>
                </w:tcPr>
                <w:p w14:paraId="43CB215C">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76.0</w:t>
                  </w:r>
                </w:p>
              </w:tc>
              <w:tc>
                <w:tcPr>
                  <w:tcW w:w="952" w:type="dxa"/>
                  <w:vAlign w:val="center"/>
                </w:tcPr>
                <w:p w14:paraId="7EDBB0CC">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70.0</w:t>
                  </w:r>
                </w:p>
              </w:tc>
              <w:tc>
                <w:tcPr>
                  <w:tcW w:w="929" w:type="dxa"/>
                  <w:vAlign w:val="center"/>
                </w:tcPr>
                <w:p w14:paraId="31FFA6FB">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68.0</w:t>
                  </w:r>
                </w:p>
              </w:tc>
              <w:tc>
                <w:tcPr>
                  <w:tcW w:w="957" w:type="dxa"/>
                  <w:vAlign w:val="center"/>
                </w:tcPr>
                <w:p w14:paraId="0763B65B">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65.5</w:t>
                  </w:r>
                </w:p>
              </w:tc>
              <w:tc>
                <w:tcPr>
                  <w:tcW w:w="987" w:type="dxa"/>
                  <w:vAlign w:val="center"/>
                </w:tcPr>
                <w:p w14:paraId="50B7B807">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62.0</w:t>
                  </w:r>
                </w:p>
              </w:tc>
              <w:tc>
                <w:tcPr>
                  <w:tcW w:w="976" w:type="dxa"/>
                  <w:vAlign w:val="center"/>
                </w:tcPr>
                <w:p w14:paraId="0CC6CD30">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58.5</w:t>
                  </w:r>
                </w:p>
              </w:tc>
              <w:tc>
                <w:tcPr>
                  <w:tcW w:w="987" w:type="dxa"/>
                  <w:vAlign w:val="center"/>
                </w:tcPr>
                <w:p w14:paraId="0436CCC1">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56.0</w:t>
                  </w:r>
                </w:p>
              </w:tc>
              <w:tc>
                <w:tcPr>
                  <w:tcW w:w="956" w:type="dxa"/>
                  <w:vAlign w:val="center"/>
                </w:tcPr>
                <w:p w14:paraId="7B6AA60B">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50.0</w:t>
                  </w:r>
                </w:p>
              </w:tc>
              <w:tc>
                <w:tcPr>
                  <w:tcW w:w="734" w:type="dxa"/>
                  <w:vMerge w:val="continue"/>
                  <w:vAlign w:val="center"/>
                </w:tcPr>
                <w:p w14:paraId="4ECD8B50">
                  <w:pPr>
                    <w:pStyle w:val="54"/>
                    <w:spacing w:line="240" w:lineRule="auto"/>
                    <w:ind w:firstLine="0" w:firstLineChars="0"/>
                    <w:jc w:val="center"/>
                    <w:rPr>
                      <w:rFonts w:hint="default" w:ascii="Times New Roman" w:hAnsi="Times New Roman" w:cs="Times New Roman"/>
                      <w:color w:val="auto"/>
                      <w:sz w:val="21"/>
                      <w:szCs w:val="21"/>
                    </w:rPr>
                  </w:pPr>
                </w:p>
              </w:tc>
              <w:tc>
                <w:tcPr>
                  <w:tcW w:w="734" w:type="dxa"/>
                  <w:vMerge w:val="continue"/>
                  <w:vAlign w:val="center"/>
                </w:tcPr>
                <w:p w14:paraId="14EF0093">
                  <w:pPr>
                    <w:pStyle w:val="54"/>
                    <w:spacing w:line="240" w:lineRule="auto"/>
                    <w:ind w:firstLine="0" w:firstLineChars="0"/>
                    <w:jc w:val="center"/>
                    <w:rPr>
                      <w:rFonts w:hint="default" w:ascii="Times New Roman" w:hAnsi="Times New Roman" w:cs="Times New Roman"/>
                      <w:color w:val="auto"/>
                      <w:sz w:val="21"/>
                      <w:szCs w:val="21"/>
                    </w:rPr>
                  </w:pPr>
                </w:p>
              </w:tc>
              <w:tc>
                <w:tcPr>
                  <w:tcW w:w="849" w:type="dxa"/>
                  <w:vAlign w:val="center"/>
                </w:tcPr>
                <w:p w14:paraId="2058F0A3">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40</w:t>
                  </w:r>
                </w:p>
              </w:tc>
              <w:tc>
                <w:tcPr>
                  <w:tcW w:w="850" w:type="dxa"/>
                  <w:vAlign w:val="center"/>
                </w:tcPr>
                <w:p w14:paraId="41056FC1">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220</w:t>
                  </w:r>
                </w:p>
              </w:tc>
            </w:tr>
            <w:tr w14:paraId="1A4C0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14:paraId="792480D6">
                  <w:pPr>
                    <w:pStyle w:val="54"/>
                    <w:spacing w:line="240" w:lineRule="auto"/>
                    <w:ind w:firstLine="0" w:firstLineChars="0"/>
                    <w:jc w:val="center"/>
                    <w:rPr>
                      <w:rFonts w:hint="default"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11</w:t>
                  </w:r>
                </w:p>
              </w:tc>
              <w:tc>
                <w:tcPr>
                  <w:tcW w:w="881" w:type="dxa"/>
                  <w:vAlign w:val="center"/>
                </w:tcPr>
                <w:p w14:paraId="061807FD">
                  <w:pPr>
                    <w:pStyle w:val="54"/>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钻孔机</w:t>
                  </w:r>
                </w:p>
              </w:tc>
              <w:tc>
                <w:tcPr>
                  <w:tcW w:w="938" w:type="dxa"/>
                  <w:vAlign w:val="center"/>
                </w:tcPr>
                <w:p w14:paraId="6B4FD3E2">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b w:val="0"/>
                      <w:kern w:val="0"/>
                      <w:sz w:val="21"/>
                      <w:szCs w:val="21"/>
                      <w:lang w:val="en-US" w:eastAsia="zh-CN" w:bidi="ar-SA"/>
                    </w:rPr>
                    <w:t>79.0</w:t>
                  </w:r>
                </w:p>
              </w:tc>
              <w:tc>
                <w:tcPr>
                  <w:tcW w:w="938" w:type="dxa"/>
                  <w:vAlign w:val="center"/>
                </w:tcPr>
                <w:p w14:paraId="168C9943">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b w:val="0"/>
                      <w:kern w:val="0"/>
                      <w:sz w:val="21"/>
                      <w:szCs w:val="21"/>
                      <w:lang w:val="en-US" w:eastAsia="zh-CN" w:bidi="ar-SA"/>
                    </w:rPr>
                    <w:t>73.0</w:t>
                  </w:r>
                </w:p>
              </w:tc>
              <w:tc>
                <w:tcPr>
                  <w:tcW w:w="952" w:type="dxa"/>
                  <w:vAlign w:val="center"/>
                </w:tcPr>
                <w:p w14:paraId="1F7FA13B">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b w:val="0"/>
                      <w:kern w:val="0"/>
                      <w:sz w:val="21"/>
                      <w:szCs w:val="21"/>
                      <w:lang w:val="en-US" w:eastAsia="zh-CN" w:bidi="ar-SA"/>
                    </w:rPr>
                    <w:t>66.9</w:t>
                  </w:r>
                </w:p>
              </w:tc>
              <w:tc>
                <w:tcPr>
                  <w:tcW w:w="929" w:type="dxa"/>
                  <w:vAlign w:val="center"/>
                </w:tcPr>
                <w:p w14:paraId="40B63422">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b w:val="0"/>
                      <w:kern w:val="0"/>
                      <w:sz w:val="21"/>
                      <w:szCs w:val="21"/>
                      <w:lang w:val="en-US" w:eastAsia="zh-CN" w:bidi="ar-SA"/>
                    </w:rPr>
                    <w:t>63.4</w:t>
                  </w:r>
                </w:p>
              </w:tc>
              <w:tc>
                <w:tcPr>
                  <w:tcW w:w="957" w:type="dxa"/>
                  <w:vAlign w:val="center"/>
                </w:tcPr>
                <w:p w14:paraId="3638598C">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b w:val="0"/>
                      <w:kern w:val="0"/>
                      <w:sz w:val="21"/>
                      <w:szCs w:val="21"/>
                      <w:lang w:val="en-US" w:eastAsia="zh-CN" w:bidi="ar-SA"/>
                    </w:rPr>
                    <w:t>60.9</w:t>
                  </w:r>
                </w:p>
              </w:tc>
              <w:tc>
                <w:tcPr>
                  <w:tcW w:w="987" w:type="dxa"/>
                  <w:vAlign w:val="center"/>
                </w:tcPr>
                <w:p w14:paraId="437F916E">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b w:val="0"/>
                      <w:kern w:val="0"/>
                      <w:sz w:val="21"/>
                      <w:szCs w:val="21"/>
                      <w:lang w:val="en-US" w:eastAsia="zh-CN" w:bidi="ar-SA"/>
                    </w:rPr>
                    <w:t>59.0</w:t>
                  </w:r>
                </w:p>
              </w:tc>
              <w:tc>
                <w:tcPr>
                  <w:tcW w:w="976" w:type="dxa"/>
                  <w:vAlign w:val="center"/>
                </w:tcPr>
                <w:p w14:paraId="5590943A">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b w:val="0"/>
                      <w:kern w:val="0"/>
                      <w:sz w:val="21"/>
                      <w:szCs w:val="21"/>
                      <w:lang w:val="en-US" w:eastAsia="zh-CN" w:bidi="ar-SA"/>
                    </w:rPr>
                    <w:t>55.5</w:t>
                  </w:r>
                </w:p>
              </w:tc>
              <w:tc>
                <w:tcPr>
                  <w:tcW w:w="987" w:type="dxa"/>
                  <w:vAlign w:val="center"/>
                </w:tcPr>
                <w:p w14:paraId="74F8F035">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b w:val="0"/>
                      <w:kern w:val="0"/>
                      <w:sz w:val="21"/>
                      <w:szCs w:val="21"/>
                      <w:lang w:val="en-US" w:eastAsia="zh-CN" w:bidi="ar-SA"/>
                    </w:rPr>
                    <w:t>53.0</w:t>
                  </w:r>
                </w:p>
              </w:tc>
              <w:tc>
                <w:tcPr>
                  <w:tcW w:w="956" w:type="dxa"/>
                  <w:vAlign w:val="center"/>
                </w:tcPr>
                <w:p w14:paraId="20900152">
                  <w:pPr>
                    <w:keepNext w:val="0"/>
                    <w:keepLines w:val="0"/>
                    <w:widowControl w:val="0"/>
                    <w:suppressLineNumbers w:val="0"/>
                    <w:bidi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b w:val="0"/>
                      <w:kern w:val="0"/>
                      <w:sz w:val="21"/>
                      <w:szCs w:val="21"/>
                      <w:lang w:val="en-US" w:eastAsia="zh-CN" w:bidi="ar-SA"/>
                    </w:rPr>
                    <w:t>49.4</w:t>
                  </w:r>
                </w:p>
              </w:tc>
              <w:tc>
                <w:tcPr>
                  <w:tcW w:w="734" w:type="dxa"/>
                  <w:vMerge w:val="continue"/>
                  <w:vAlign w:val="center"/>
                </w:tcPr>
                <w:p w14:paraId="4BE02B4D">
                  <w:pPr>
                    <w:pStyle w:val="54"/>
                    <w:spacing w:line="240" w:lineRule="auto"/>
                    <w:ind w:firstLine="0" w:firstLineChars="0"/>
                    <w:jc w:val="center"/>
                    <w:rPr>
                      <w:rFonts w:hint="default" w:ascii="Times New Roman" w:hAnsi="Times New Roman" w:cs="Times New Roman"/>
                      <w:color w:val="auto"/>
                      <w:sz w:val="21"/>
                      <w:szCs w:val="21"/>
                    </w:rPr>
                  </w:pPr>
                </w:p>
              </w:tc>
              <w:tc>
                <w:tcPr>
                  <w:tcW w:w="734" w:type="dxa"/>
                  <w:vMerge w:val="continue"/>
                  <w:vAlign w:val="center"/>
                </w:tcPr>
                <w:p w14:paraId="463ED647">
                  <w:pPr>
                    <w:pStyle w:val="54"/>
                    <w:spacing w:line="240" w:lineRule="auto"/>
                    <w:ind w:firstLine="0" w:firstLineChars="0"/>
                    <w:jc w:val="center"/>
                    <w:rPr>
                      <w:rFonts w:hint="default" w:ascii="Times New Roman" w:hAnsi="Times New Roman" w:cs="Times New Roman"/>
                      <w:color w:val="auto"/>
                      <w:sz w:val="21"/>
                      <w:szCs w:val="21"/>
                    </w:rPr>
                  </w:pPr>
                </w:p>
              </w:tc>
              <w:tc>
                <w:tcPr>
                  <w:tcW w:w="849" w:type="dxa"/>
                  <w:vAlign w:val="center"/>
                </w:tcPr>
                <w:p w14:paraId="06F88821">
                  <w:pPr>
                    <w:pStyle w:val="54"/>
                    <w:spacing w:line="240" w:lineRule="auto"/>
                    <w:ind w:firstLine="0" w:firstLineChars="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40</w:t>
                  </w:r>
                </w:p>
              </w:tc>
              <w:tc>
                <w:tcPr>
                  <w:tcW w:w="850" w:type="dxa"/>
                  <w:vAlign w:val="center"/>
                </w:tcPr>
                <w:p w14:paraId="78BB5A06">
                  <w:pPr>
                    <w:pStyle w:val="54"/>
                    <w:spacing w:line="240" w:lineRule="auto"/>
                    <w:ind w:firstLine="0" w:firstLineChars="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200</w:t>
                  </w:r>
                </w:p>
              </w:tc>
            </w:tr>
          </w:tbl>
          <w:p w14:paraId="630CBBC8">
            <w:pPr>
              <w:pStyle w:val="51"/>
              <w:numPr>
                <w:ilvl w:val="0"/>
                <w:numId w:val="0"/>
              </w:numPr>
              <w:spacing w:before="0" w:beforeLines="0"/>
              <w:ind w:firstLine="480" w:firstLineChars="200"/>
              <w:rPr>
                <w:rFonts w:hint="default" w:ascii="Times New Roman" w:hAnsi="Times New Roman" w:cs="Times New Roman"/>
                <w:color w:val="auto"/>
                <w:sz w:val="24"/>
                <w:szCs w:val="20"/>
                <w:lang w:val="en-US" w:eastAsia="zh-CN"/>
              </w:rPr>
            </w:pPr>
            <w:r>
              <w:rPr>
                <w:rFonts w:hint="default" w:ascii="Times New Roman" w:hAnsi="Times New Roman" w:cs="Times New Roman"/>
                <w:color w:val="auto"/>
                <w:sz w:val="24"/>
                <w:szCs w:val="20"/>
                <w:lang w:val="en-US" w:eastAsia="zh-CN"/>
              </w:rPr>
              <w:t>但在施工现场，往往是多种施工机械共同作业，因此施工现场噪声是各种不同施工机械辐射噪声以及进出施工现场的各种车辆辐射噪声共同作用的结果。</w:t>
            </w:r>
          </w:p>
          <w:p w14:paraId="42CD738A">
            <w:pPr>
              <w:pStyle w:val="51"/>
              <w:numPr>
                <w:ilvl w:val="0"/>
                <w:numId w:val="0"/>
              </w:numPr>
              <w:spacing w:before="0" w:beforeLines="0"/>
              <w:ind w:firstLine="480" w:firstLineChars="200"/>
              <w:rPr>
                <w:rFonts w:hint="default" w:ascii="Times New Roman" w:hAnsi="Times New Roman" w:cs="Times New Roman"/>
                <w:color w:val="auto"/>
                <w:sz w:val="24"/>
                <w:szCs w:val="20"/>
                <w:lang w:val="en-US" w:eastAsia="zh-CN"/>
              </w:rPr>
            </w:pPr>
          </w:p>
          <w:p w14:paraId="331B9F69">
            <w:pPr>
              <w:pStyle w:val="51"/>
              <w:numPr>
                <w:ilvl w:val="0"/>
                <w:numId w:val="0"/>
              </w:numPr>
              <w:spacing w:before="0" w:beforeLines="0"/>
              <w:ind w:firstLine="480" w:firstLineChars="200"/>
              <w:rPr>
                <w:rFonts w:hint="default" w:ascii="Times New Roman" w:hAnsi="Times New Roman" w:cs="Times New Roman"/>
                <w:color w:val="auto"/>
                <w:sz w:val="24"/>
                <w:szCs w:val="20"/>
                <w:lang w:val="en-US" w:eastAsia="zh-CN"/>
              </w:rPr>
            </w:pPr>
          </w:p>
          <w:p w14:paraId="0E9E90B0">
            <w:pPr>
              <w:pStyle w:val="51"/>
              <w:numPr>
                <w:ilvl w:val="0"/>
                <w:numId w:val="0"/>
              </w:numPr>
              <w:spacing w:before="0" w:beforeLines="0"/>
              <w:ind w:firstLine="480" w:firstLineChars="200"/>
              <w:rPr>
                <w:rFonts w:hint="default" w:ascii="Times New Roman" w:hAnsi="Times New Roman" w:cs="Times New Roman"/>
                <w:color w:val="auto"/>
                <w:sz w:val="24"/>
                <w:szCs w:val="20"/>
                <w:lang w:val="en-US" w:eastAsia="zh-CN"/>
              </w:rPr>
            </w:pPr>
          </w:p>
          <w:p w14:paraId="36DB7A10">
            <w:pPr>
              <w:pStyle w:val="51"/>
              <w:numPr>
                <w:ilvl w:val="0"/>
                <w:numId w:val="0"/>
              </w:numPr>
              <w:spacing w:before="0" w:beforeLines="0"/>
              <w:ind w:firstLine="480" w:firstLineChars="200"/>
              <w:rPr>
                <w:rFonts w:hint="default" w:ascii="Times New Roman" w:hAnsi="Times New Roman" w:cs="Times New Roman"/>
                <w:color w:val="auto"/>
                <w:sz w:val="24"/>
                <w:szCs w:val="20"/>
                <w:lang w:val="en-US" w:eastAsia="zh-CN"/>
              </w:rPr>
            </w:pPr>
          </w:p>
          <w:p w14:paraId="05F3102B">
            <w:pPr>
              <w:pStyle w:val="51"/>
              <w:numPr>
                <w:ilvl w:val="0"/>
                <w:numId w:val="0"/>
              </w:numPr>
              <w:spacing w:before="0" w:beforeLines="0"/>
              <w:ind w:firstLine="480" w:firstLineChars="200"/>
              <w:rPr>
                <w:rFonts w:hint="default" w:ascii="Times New Roman" w:hAnsi="Times New Roman" w:cs="Times New Roman"/>
                <w:color w:val="auto"/>
                <w:sz w:val="24"/>
                <w:szCs w:val="20"/>
                <w:lang w:val="en-US" w:eastAsia="zh-CN"/>
              </w:rPr>
            </w:pPr>
          </w:p>
          <w:p w14:paraId="3ACF297F">
            <w:pPr>
              <w:pStyle w:val="51"/>
              <w:numPr>
                <w:ilvl w:val="0"/>
                <w:numId w:val="0"/>
              </w:numPr>
              <w:spacing w:before="0" w:beforeLines="0"/>
              <w:ind w:firstLine="480" w:firstLineChars="200"/>
              <w:rPr>
                <w:rFonts w:hint="default" w:ascii="Times New Roman" w:hAnsi="Times New Roman" w:cs="Times New Roman"/>
                <w:color w:val="auto"/>
                <w:sz w:val="24"/>
                <w:szCs w:val="20"/>
                <w:lang w:val="en-US" w:eastAsia="zh-CN"/>
              </w:rPr>
            </w:pPr>
          </w:p>
          <w:p w14:paraId="2DFC3ACB">
            <w:pPr>
              <w:pStyle w:val="51"/>
              <w:numPr>
                <w:ilvl w:val="0"/>
                <w:numId w:val="0"/>
              </w:numPr>
              <w:spacing w:before="0" w:beforeLines="0"/>
              <w:ind w:firstLine="480" w:firstLineChars="200"/>
              <w:rPr>
                <w:rFonts w:hint="default" w:ascii="Times New Roman" w:hAnsi="Times New Roman" w:cs="Times New Roman"/>
                <w:color w:val="auto"/>
                <w:sz w:val="24"/>
                <w:szCs w:val="20"/>
                <w:lang w:val="en-US" w:eastAsia="zh-CN"/>
              </w:rPr>
            </w:pPr>
          </w:p>
        </w:tc>
      </w:tr>
    </w:tbl>
    <w:p w14:paraId="7595E8BF">
      <w:pPr>
        <w:pStyle w:val="27"/>
        <w:adjustRightInd w:val="0"/>
        <w:snapToGrid w:val="0"/>
        <w:spacing w:before="0" w:beforeAutospacing="0" w:after="0" w:afterAutospacing="0"/>
        <w:jc w:val="center"/>
        <w:rPr>
          <w:rFonts w:hint="default" w:ascii="Times New Roman" w:hAnsi="Times New Roman" w:cs="Times New Roman"/>
          <w:b/>
          <w:bCs w:val="0"/>
          <w:color w:val="auto"/>
          <w:spacing w:val="10"/>
          <w:kern w:val="2"/>
        </w:rPr>
        <w:sectPr>
          <w:type w:val="continuous"/>
          <w:pgSz w:w="16838" w:h="11906" w:orient="landscape"/>
          <w:pgMar w:top="1531" w:right="1440" w:bottom="1531" w:left="1440"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29"/>
        <w:tblW w:w="898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14"/>
        <w:gridCol w:w="8666"/>
      </w:tblGrid>
      <w:tr w14:paraId="49D76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760" w:hRule="atLeast"/>
          <w:jc w:val="center"/>
        </w:trPr>
        <w:tc>
          <w:tcPr>
            <w:tcW w:w="314" w:type="dxa"/>
            <w:noWrap w:val="0"/>
            <w:tcMar>
              <w:left w:w="28" w:type="dxa"/>
              <w:right w:w="28" w:type="dxa"/>
            </w:tcMar>
            <w:vAlign w:val="center"/>
          </w:tcPr>
          <w:p w14:paraId="3ED235A0">
            <w:pPr>
              <w:pStyle w:val="27"/>
              <w:adjustRightInd w:val="0"/>
              <w:snapToGrid w:val="0"/>
              <w:spacing w:before="0" w:beforeAutospacing="0" w:after="0" w:afterAutospacing="0"/>
              <w:jc w:val="center"/>
              <w:rPr>
                <w:rFonts w:hint="default" w:ascii="Times New Roman" w:hAnsi="Times New Roman" w:cs="Times New Roman"/>
                <w:b/>
                <w:bCs w:val="0"/>
                <w:color w:val="auto"/>
                <w:spacing w:val="10"/>
                <w:kern w:val="2"/>
              </w:rPr>
            </w:pPr>
            <w:r>
              <w:rPr>
                <w:rFonts w:hint="default" w:ascii="Times New Roman" w:hAnsi="Times New Roman" w:cs="Times New Roman"/>
                <w:b/>
                <w:bCs w:val="0"/>
                <w:color w:val="auto"/>
                <w:spacing w:val="10"/>
                <w:kern w:val="2"/>
              </w:rPr>
              <w:t>施工期生态环境影响分析</w:t>
            </w:r>
          </w:p>
        </w:tc>
        <w:tc>
          <w:tcPr>
            <w:tcW w:w="8666" w:type="dxa"/>
            <w:noWrap w:val="0"/>
            <w:vAlign w:val="top"/>
          </w:tcPr>
          <w:p w14:paraId="08A0301A">
            <w:pPr>
              <w:widowControl w:val="0"/>
              <w:numPr>
                <w:ilvl w:val="0"/>
                <w:numId w:val="0"/>
              </w:numPr>
              <w:autoSpaceDE w:val="0"/>
              <w:autoSpaceDN w:val="0"/>
              <w:adjustRightInd w:val="0"/>
              <w:snapToGrid w:val="0"/>
              <w:spacing w:before="0" w:beforeLines="0" w:after="0" w:afterLines="0" w:line="360" w:lineRule="auto"/>
              <w:ind w:left="420" w:leftChars="0"/>
              <w:jc w:val="left"/>
              <w:outlineLvl w:val="2"/>
              <w:rPr>
                <w:rFonts w:hint="default" w:ascii="Times New Roman" w:hAnsi="Times New Roman" w:eastAsia="宋体" w:cs="Times New Roman"/>
                <w:b/>
                <w:bCs/>
                <w:color w:val="auto"/>
                <w:kern w:val="0"/>
                <w:sz w:val="24"/>
                <w:szCs w:val="18"/>
                <w:lang w:val="en-US" w:eastAsia="zh-CN" w:bidi="ar-SA"/>
              </w:rPr>
            </w:pPr>
            <w:r>
              <w:rPr>
                <w:rFonts w:hint="eastAsia" w:ascii="Times New Roman" w:hAnsi="Times New Roman" w:eastAsia="宋体" w:cs="Times New Roman"/>
                <w:b/>
                <w:bCs/>
                <w:color w:val="auto"/>
                <w:kern w:val="0"/>
                <w:sz w:val="24"/>
                <w:szCs w:val="18"/>
                <w:lang w:val="en-US" w:eastAsia="zh-CN" w:bidi="ar-SA"/>
              </w:rPr>
              <w:t>（5）</w:t>
            </w:r>
            <w:r>
              <w:rPr>
                <w:rFonts w:hint="default" w:ascii="Times New Roman" w:hAnsi="Times New Roman" w:eastAsia="宋体" w:cs="Times New Roman"/>
                <w:b/>
                <w:bCs/>
                <w:color w:val="auto"/>
                <w:kern w:val="0"/>
                <w:sz w:val="24"/>
                <w:szCs w:val="18"/>
                <w:lang w:val="en-US" w:eastAsia="zh-CN" w:bidi="ar-SA"/>
              </w:rPr>
              <w:t>施工噪声影响分析</w:t>
            </w:r>
          </w:p>
          <w:p w14:paraId="3F96FEB2">
            <w:pPr>
              <w:pStyle w:val="54"/>
              <w:ind w:firstLine="480"/>
              <w:rPr>
                <w:rFonts w:hint="default" w:ascii="Times New Roman" w:hAnsi="Times New Roman" w:cs="Times New Roman"/>
                <w:color w:val="auto"/>
                <w:sz w:val="24"/>
                <w:szCs w:val="20"/>
                <w:lang w:val="en-US" w:eastAsia="zh-CN"/>
              </w:rPr>
            </w:pPr>
            <w:r>
              <w:rPr>
                <w:rFonts w:hint="default" w:ascii="Times New Roman" w:hAnsi="Times New Roman" w:cs="Times New Roman"/>
                <w:color w:val="auto"/>
                <w:sz w:val="24"/>
                <w:szCs w:val="20"/>
                <w:lang w:val="en-US" w:eastAsia="zh-CN"/>
              </w:rPr>
              <w:t>根据预测结果，道路工程施工中，路面摊铺作业的施工噪声影响相对较小，路基、路面工程施工边界处昼间、夜间声级均不满足《建筑施工场界环境噪声排放标准》（GB12523-2011）限值</w:t>
            </w:r>
            <w:r>
              <w:rPr>
                <w:rFonts w:hint="eastAsia" w:cs="Times New Roman"/>
                <w:color w:val="auto"/>
                <w:sz w:val="24"/>
                <w:szCs w:val="20"/>
                <w:lang w:val="en-US" w:eastAsia="zh-CN"/>
              </w:rPr>
              <w:t>。</w:t>
            </w:r>
          </w:p>
          <w:p w14:paraId="4AA8C95A">
            <w:pPr>
              <w:pStyle w:val="51"/>
              <w:numPr>
                <w:ilvl w:val="0"/>
                <w:numId w:val="0"/>
              </w:numPr>
              <w:spacing w:before="0" w:beforeLines="0"/>
              <w:ind w:firstLine="482" w:firstLineChars="200"/>
              <w:rPr>
                <w:rFonts w:hint="default" w:ascii="Times New Roman" w:hAnsi="Times New Roman" w:cs="Times New Roman"/>
                <w:b/>
                <w:bCs/>
                <w:color w:val="auto"/>
                <w:sz w:val="24"/>
                <w:szCs w:val="18"/>
              </w:rPr>
            </w:pPr>
            <w:bookmarkStart w:id="304" w:name="_Toc4697"/>
            <w:bookmarkStart w:id="305" w:name="_Toc30335"/>
            <w:bookmarkStart w:id="306" w:name="_Toc23620"/>
            <w:bookmarkStart w:id="307" w:name="_Toc12096"/>
            <w:r>
              <w:rPr>
                <w:rFonts w:hint="default" w:ascii="Times New Roman" w:hAnsi="Times New Roman" w:cs="Times New Roman"/>
                <w:b/>
                <w:bCs/>
                <w:color w:val="auto"/>
                <w:sz w:val="24"/>
                <w:szCs w:val="18"/>
                <w:lang w:val="en-US" w:eastAsia="zh-CN"/>
              </w:rPr>
              <w:t>1.</w:t>
            </w:r>
            <w:r>
              <w:rPr>
                <w:rFonts w:hint="eastAsia" w:cs="Times New Roman"/>
                <w:b/>
                <w:bCs/>
                <w:color w:val="auto"/>
                <w:sz w:val="24"/>
                <w:szCs w:val="18"/>
                <w:lang w:val="en-US" w:eastAsia="zh-CN"/>
              </w:rPr>
              <w:t>6</w:t>
            </w:r>
            <w:r>
              <w:rPr>
                <w:rFonts w:hint="default" w:ascii="Times New Roman" w:hAnsi="Times New Roman" w:cs="Times New Roman"/>
                <w:b/>
                <w:bCs/>
                <w:color w:val="auto"/>
                <w:sz w:val="24"/>
                <w:szCs w:val="18"/>
                <w:lang w:val="en-US" w:eastAsia="zh-CN"/>
              </w:rPr>
              <w:t>、</w:t>
            </w:r>
            <w:r>
              <w:rPr>
                <w:rFonts w:hint="default" w:ascii="Times New Roman" w:hAnsi="Times New Roman" w:cs="Times New Roman"/>
                <w:b/>
                <w:bCs/>
                <w:color w:val="auto"/>
                <w:sz w:val="24"/>
                <w:szCs w:val="18"/>
              </w:rPr>
              <w:t>固体废物</w:t>
            </w:r>
            <w:bookmarkEnd w:id="304"/>
            <w:bookmarkEnd w:id="305"/>
            <w:bookmarkEnd w:id="306"/>
            <w:bookmarkEnd w:id="307"/>
          </w:p>
          <w:p w14:paraId="089E22BB">
            <w:pPr>
              <w:pStyle w:val="51"/>
              <w:numPr>
                <w:ilvl w:val="0"/>
                <w:numId w:val="0"/>
              </w:numPr>
              <w:spacing w:before="0" w:beforeLines="0"/>
              <w:ind w:firstLine="480" w:firstLineChars="200"/>
              <w:rPr>
                <w:rFonts w:hint="default" w:ascii="Times New Roman" w:hAnsi="Times New Roman" w:cs="Times New Roman"/>
                <w:color w:val="auto"/>
                <w:sz w:val="24"/>
                <w:szCs w:val="18"/>
              </w:rPr>
            </w:pPr>
            <w:bookmarkStart w:id="308" w:name="_Toc15282"/>
            <w:bookmarkStart w:id="309" w:name="_Toc14449"/>
            <w:bookmarkStart w:id="310" w:name="_Toc15381"/>
            <w:bookmarkStart w:id="311" w:name="_Toc27857"/>
            <w:r>
              <w:rPr>
                <w:rFonts w:hint="default" w:ascii="Times New Roman" w:hAnsi="Times New Roman" w:cs="Times New Roman"/>
                <w:color w:val="auto"/>
                <w:sz w:val="24"/>
                <w:szCs w:val="18"/>
              </w:rPr>
              <w:t>项目施工期固体废弃物主要为施工</w:t>
            </w:r>
            <w:r>
              <w:rPr>
                <w:rFonts w:hint="default" w:ascii="Times New Roman" w:hAnsi="Times New Roman" w:cs="Times New Roman"/>
                <w:color w:val="auto"/>
                <w:sz w:val="24"/>
                <w:szCs w:val="18"/>
                <w:lang w:val="en-US" w:eastAsia="zh-CN"/>
              </w:rPr>
              <w:t>及拆除</w:t>
            </w:r>
            <w:r>
              <w:rPr>
                <w:rFonts w:hint="default" w:ascii="Times New Roman" w:hAnsi="Times New Roman" w:cs="Times New Roman"/>
                <w:color w:val="auto"/>
                <w:sz w:val="24"/>
                <w:szCs w:val="18"/>
              </w:rPr>
              <w:t>建筑垃圾、</w:t>
            </w:r>
            <w:r>
              <w:rPr>
                <w:rFonts w:hint="default" w:ascii="Times New Roman" w:hAnsi="Times New Roman" w:cs="Times New Roman"/>
                <w:color w:val="auto"/>
                <w:sz w:val="24"/>
                <w:szCs w:val="18"/>
                <w:lang w:eastAsia="zh-CN"/>
              </w:rPr>
              <w:t>弃土</w:t>
            </w:r>
            <w:r>
              <w:rPr>
                <w:rFonts w:hint="default" w:ascii="Times New Roman" w:hAnsi="Times New Roman" w:cs="Times New Roman"/>
                <w:color w:val="auto"/>
                <w:sz w:val="24"/>
                <w:szCs w:val="18"/>
              </w:rPr>
              <w:t>和生活垃圾</w:t>
            </w:r>
            <w:r>
              <w:rPr>
                <w:rFonts w:hint="default" w:ascii="Times New Roman" w:hAnsi="Times New Roman" w:cs="Times New Roman"/>
                <w:color w:val="auto"/>
                <w:sz w:val="24"/>
                <w:szCs w:val="18"/>
                <w:lang w:val="en-US" w:eastAsia="zh-CN"/>
              </w:rPr>
              <w:t>等</w:t>
            </w:r>
            <w:r>
              <w:rPr>
                <w:rFonts w:hint="default" w:ascii="Times New Roman" w:hAnsi="Times New Roman" w:cs="Times New Roman"/>
                <w:color w:val="auto"/>
                <w:sz w:val="24"/>
                <w:szCs w:val="18"/>
              </w:rPr>
              <w:t>。</w:t>
            </w:r>
            <w:bookmarkEnd w:id="308"/>
            <w:bookmarkEnd w:id="309"/>
            <w:bookmarkEnd w:id="310"/>
            <w:bookmarkEnd w:id="311"/>
          </w:p>
          <w:p w14:paraId="21F953EA">
            <w:pPr>
              <w:pStyle w:val="51"/>
              <w:numPr>
                <w:ilvl w:val="0"/>
                <w:numId w:val="0"/>
              </w:numPr>
              <w:spacing w:before="0" w:beforeLines="0"/>
              <w:ind w:firstLine="482" w:firstLineChars="200"/>
              <w:rPr>
                <w:rFonts w:hint="default" w:ascii="Times New Roman" w:hAnsi="Times New Roman" w:cs="Times New Roman"/>
                <w:b/>
                <w:bCs/>
                <w:color w:val="auto"/>
                <w:sz w:val="24"/>
                <w:szCs w:val="18"/>
              </w:rPr>
            </w:pPr>
            <w:bookmarkStart w:id="312" w:name="_Toc32313"/>
            <w:bookmarkStart w:id="313" w:name="_Toc6693"/>
            <w:bookmarkStart w:id="314" w:name="_Toc22611"/>
            <w:bookmarkStart w:id="315" w:name="_Toc8601"/>
            <w:r>
              <w:rPr>
                <w:rFonts w:hint="default" w:ascii="Times New Roman" w:hAnsi="Times New Roman" w:cs="Times New Roman"/>
                <w:b/>
                <w:bCs/>
                <w:color w:val="auto"/>
                <w:sz w:val="24"/>
                <w:szCs w:val="18"/>
                <w:lang w:val="en-US" w:eastAsia="zh-CN"/>
              </w:rPr>
              <w:t>（1）</w:t>
            </w:r>
            <w:r>
              <w:rPr>
                <w:rFonts w:hint="default" w:ascii="Times New Roman" w:hAnsi="Times New Roman" w:cs="Times New Roman"/>
                <w:b/>
                <w:bCs/>
                <w:color w:val="auto"/>
                <w:sz w:val="24"/>
                <w:szCs w:val="18"/>
              </w:rPr>
              <w:t>建筑垃圾</w:t>
            </w:r>
            <w:bookmarkEnd w:id="312"/>
            <w:bookmarkEnd w:id="313"/>
            <w:bookmarkEnd w:id="314"/>
            <w:bookmarkEnd w:id="315"/>
          </w:p>
          <w:p w14:paraId="3FD4ACE5">
            <w:pPr>
              <w:pStyle w:val="51"/>
              <w:numPr>
                <w:ilvl w:val="0"/>
                <w:numId w:val="0"/>
              </w:numPr>
              <w:spacing w:before="0" w:beforeLines="0"/>
              <w:ind w:firstLine="480" w:firstLineChars="200"/>
              <w:rPr>
                <w:rFonts w:hint="default" w:ascii="Times New Roman" w:hAnsi="Times New Roman" w:cs="Times New Roman"/>
                <w:color w:val="auto"/>
                <w:sz w:val="24"/>
                <w:szCs w:val="18"/>
                <w:highlight w:val="none"/>
              </w:rPr>
            </w:pPr>
            <w:bookmarkStart w:id="316" w:name="_Toc26265"/>
            <w:bookmarkStart w:id="317" w:name="_Toc7099"/>
            <w:bookmarkStart w:id="318" w:name="_Toc15133"/>
            <w:bookmarkStart w:id="319" w:name="_Toc378"/>
            <w:r>
              <w:rPr>
                <w:rFonts w:hint="default" w:ascii="Times New Roman" w:hAnsi="Times New Roman" w:cs="Times New Roman"/>
                <w:color w:val="auto"/>
                <w:sz w:val="24"/>
                <w:szCs w:val="18"/>
                <w:lang w:val="en-US" w:eastAsia="zh-CN"/>
              </w:rPr>
              <w:t>施工过程产生的建筑垃圾成分主要是施工材料包装物筑废模板、建筑材料下脚料、包装袋以及碎砂石、砖、混凝土及少量旧路面改造拆除产生的水泥块等。</w:t>
            </w:r>
            <w:r>
              <w:rPr>
                <w:rFonts w:hint="default" w:ascii="Times New Roman" w:hAnsi="Times New Roman" w:eastAsia="宋体" w:cs="Times New Roman"/>
                <w:b w:val="0"/>
                <w:bCs w:val="0"/>
                <w:color w:val="auto"/>
                <w:sz w:val="24"/>
                <w:szCs w:val="18"/>
                <w:highlight w:val="none"/>
                <w:lang w:val="en-US" w:eastAsia="zh-CN"/>
              </w:rPr>
              <w:t>产生量约为</w:t>
            </w:r>
            <w:r>
              <w:rPr>
                <w:rFonts w:hint="default" w:ascii="Times New Roman" w:hAnsi="Times New Roman" w:cs="Times New Roman"/>
                <w:color w:val="auto"/>
                <w:sz w:val="24"/>
                <w:szCs w:val="18"/>
                <w:lang w:val="en-US" w:eastAsia="zh-CN"/>
              </w:rPr>
              <w:t>0.</w:t>
            </w:r>
            <w:r>
              <w:rPr>
                <w:rFonts w:hint="eastAsia" w:cs="Times New Roman"/>
                <w:color w:val="auto"/>
                <w:sz w:val="24"/>
                <w:szCs w:val="18"/>
                <w:lang w:val="en-US" w:eastAsia="zh-CN"/>
              </w:rPr>
              <w:t>08</w:t>
            </w:r>
            <w:r>
              <w:rPr>
                <w:rFonts w:hint="default" w:ascii="Times New Roman" w:hAnsi="Times New Roman" w:cs="Times New Roman"/>
                <w:color w:val="auto"/>
                <w:sz w:val="24"/>
                <w:szCs w:val="18"/>
                <w:lang w:val="en-US" w:eastAsia="zh-CN"/>
              </w:rPr>
              <w:t>万立方米。应优先资源化回收利用和出售，不能利用的外运至同期实施项目进行综合利用，不得</w:t>
            </w:r>
            <w:r>
              <w:rPr>
                <w:rFonts w:hint="default" w:ascii="Times New Roman" w:hAnsi="Times New Roman" w:cs="Times New Roman"/>
                <w:color w:val="auto"/>
                <w:sz w:val="24"/>
                <w:szCs w:val="18"/>
                <w:highlight w:val="none"/>
                <w:lang w:val="en-US" w:eastAsia="zh-CN"/>
              </w:rPr>
              <w:t>随意外弃</w:t>
            </w:r>
            <w:r>
              <w:rPr>
                <w:rFonts w:hint="default" w:ascii="Times New Roman" w:hAnsi="Times New Roman" w:cs="Times New Roman"/>
                <w:color w:val="auto"/>
                <w:sz w:val="24"/>
                <w:szCs w:val="18"/>
                <w:highlight w:val="none"/>
              </w:rPr>
              <w:t>。</w:t>
            </w:r>
            <w:bookmarkEnd w:id="316"/>
            <w:bookmarkEnd w:id="317"/>
            <w:bookmarkEnd w:id="318"/>
            <w:bookmarkEnd w:id="319"/>
          </w:p>
          <w:p w14:paraId="0FD9ABFB">
            <w:pPr>
              <w:pStyle w:val="51"/>
              <w:numPr>
                <w:ilvl w:val="0"/>
                <w:numId w:val="0"/>
              </w:numPr>
              <w:spacing w:before="0" w:beforeLines="0"/>
              <w:ind w:firstLine="482" w:firstLineChars="200"/>
              <w:jc w:val="both"/>
              <w:rPr>
                <w:rFonts w:hint="default" w:ascii="Times New Roman" w:hAnsi="Times New Roman" w:cs="Times New Roman"/>
                <w:b/>
                <w:bCs/>
                <w:color w:val="auto"/>
                <w:sz w:val="24"/>
                <w:szCs w:val="18"/>
                <w:highlight w:val="none"/>
                <w:lang w:eastAsia="zh-CN"/>
              </w:rPr>
            </w:pPr>
            <w:bookmarkStart w:id="320" w:name="_Toc30327"/>
            <w:bookmarkStart w:id="321" w:name="_Toc10252"/>
            <w:bookmarkStart w:id="322" w:name="_Toc23800"/>
            <w:bookmarkStart w:id="323" w:name="_Toc27042"/>
            <w:r>
              <w:rPr>
                <w:rFonts w:hint="default" w:ascii="Times New Roman" w:hAnsi="Times New Roman" w:cs="Times New Roman"/>
                <w:b/>
                <w:bCs/>
                <w:color w:val="auto"/>
                <w:sz w:val="24"/>
                <w:szCs w:val="18"/>
                <w:highlight w:val="none"/>
                <w:lang w:val="en-US" w:eastAsia="zh-CN"/>
              </w:rPr>
              <w:t>（2）</w:t>
            </w:r>
            <w:r>
              <w:rPr>
                <w:rFonts w:hint="default" w:ascii="Times New Roman" w:hAnsi="Times New Roman" w:cs="Times New Roman"/>
                <w:b/>
                <w:bCs/>
                <w:color w:val="auto"/>
                <w:sz w:val="24"/>
                <w:szCs w:val="18"/>
                <w:highlight w:val="none"/>
                <w:lang w:eastAsia="zh-CN"/>
              </w:rPr>
              <w:t>弃土</w:t>
            </w:r>
            <w:bookmarkEnd w:id="320"/>
            <w:bookmarkEnd w:id="321"/>
            <w:bookmarkEnd w:id="322"/>
            <w:bookmarkEnd w:id="323"/>
          </w:p>
          <w:p w14:paraId="03097139">
            <w:pPr>
              <w:pStyle w:val="51"/>
              <w:numPr>
                <w:ilvl w:val="0"/>
                <w:numId w:val="0"/>
              </w:numPr>
              <w:spacing w:before="0" w:beforeLines="0"/>
              <w:ind w:firstLine="480" w:firstLineChars="200"/>
              <w:jc w:val="both"/>
              <w:rPr>
                <w:rFonts w:hint="default" w:ascii="Times New Roman" w:hAnsi="Times New Roman" w:cs="Times New Roman"/>
                <w:b w:val="0"/>
                <w:bCs w:val="0"/>
                <w:color w:val="auto"/>
                <w:sz w:val="24"/>
                <w:szCs w:val="18"/>
                <w:highlight w:val="none"/>
                <w:lang w:eastAsia="zh-CN"/>
              </w:rPr>
            </w:pPr>
            <w:bookmarkStart w:id="324" w:name="_Toc14265"/>
            <w:bookmarkStart w:id="325" w:name="_Toc103"/>
            <w:bookmarkStart w:id="326" w:name="_Toc4699"/>
            <w:bookmarkStart w:id="327" w:name="_Toc12298"/>
            <w:r>
              <w:rPr>
                <w:rFonts w:hint="default" w:ascii="Times New Roman" w:hAnsi="Times New Roman" w:cs="Times New Roman"/>
                <w:b w:val="0"/>
                <w:color w:val="auto"/>
                <w:sz w:val="24"/>
                <w:szCs w:val="18"/>
                <w:highlight w:val="none"/>
                <w:lang w:val="en-US" w:eastAsia="zh-CN"/>
              </w:rPr>
              <w:t>根据</w:t>
            </w:r>
            <w:r>
              <w:rPr>
                <w:rFonts w:hint="eastAsia" w:cs="Times New Roman"/>
                <w:b w:val="0"/>
                <w:color w:val="auto"/>
                <w:sz w:val="24"/>
                <w:szCs w:val="18"/>
                <w:highlight w:val="none"/>
                <w:lang w:val="en-US" w:eastAsia="zh-CN"/>
              </w:rPr>
              <w:t>初设资料，项目挖方量为12.05</w:t>
            </w:r>
            <w:r>
              <w:rPr>
                <w:rFonts w:hint="default" w:ascii="Times New Roman" w:hAnsi="Times New Roman" w:cs="Times New Roman"/>
                <w:b w:val="0"/>
                <w:bCs w:val="0"/>
                <w:color w:val="auto"/>
                <w:sz w:val="24"/>
                <w:szCs w:val="18"/>
                <w:highlight w:val="none"/>
                <w:lang w:val="en-US" w:eastAsia="zh-CN"/>
              </w:rPr>
              <w:t>万</w:t>
            </w:r>
            <w:r>
              <w:rPr>
                <w:rFonts w:hint="default" w:ascii="Times New Roman" w:hAnsi="Times New Roman" w:eastAsia="宋体" w:cs="Times New Roman"/>
                <w:b w:val="0"/>
                <w:bCs w:val="0"/>
                <w:color w:val="auto"/>
                <w:sz w:val="24"/>
                <w:szCs w:val="18"/>
                <w:highlight w:val="none"/>
                <w:lang w:val="en-US" w:eastAsia="zh-CN"/>
              </w:rPr>
              <w:t>m</w:t>
            </w:r>
            <w:r>
              <w:rPr>
                <w:rFonts w:hint="default" w:ascii="Times New Roman" w:hAnsi="Times New Roman" w:eastAsia="宋体" w:cs="Times New Roman"/>
                <w:b w:val="0"/>
                <w:bCs w:val="0"/>
                <w:color w:val="auto"/>
                <w:sz w:val="24"/>
                <w:szCs w:val="18"/>
                <w:highlight w:val="none"/>
                <w:vertAlign w:val="superscript"/>
                <w:lang w:val="en-US" w:eastAsia="zh-CN"/>
              </w:rPr>
              <w:t>3</w:t>
            </w:r>
            <w:r>
              <w:rPr>
                <w:rFonts w:hint="eastAsia" w:ascii="Times New Roman" w:hAnsi="Times New Roman" w:eastAsia="宋体" w:cs="Times New Roman"/>
                <w:b w:val="0"/>
                <w:bCs w:val="0"/>
                <w:color w:val="auto"/>
                <w:sz w:val="24"/>
                <w:szCs w:val="18"/>
                <w:highlight w:val="none"/>
                <w:vertAlign w:val="baseline"/>
                <w:lang w:val="en-US" w:eastAsia="zh-CN"/>
              </w:rPr>
              <w:t>，填方量为17.12</w:t>
            </w:r>
            <w:r>
              <w:rPr>
                <w:rFonts w:hint="default" w:ascii="Times New Roman" w:hAnsi="Times New Roman" w:cs="Times New Roman"/>
                <w:b w:val="0"/>
                <w:bCs w:val="0"/>
                <w:color w:val="auto"/>
                <w:sz w:val="24"/>
                <w:szCs w:val="18"/>
                <w:highlight w:val="none"/>
                <w:lang w:val="en-US" w:eastAsia="zh-CN"/>
              </w:rPr>
              <w:t>万</w:t>
            </w:r>
            <w:r>
              <w:rPr>
                <w:rFonts w:hint="default" w:ascii="Times New Roman" w:hAnsi="Times New Roman" w:eastAsia="宋体" w:cs="Times New Roman"/>
                <w:b w:val="0"/>
                <w:bCs w:val="0"/>
                <w:color w:val="auto"/>
                <w:sz w:val="24"/>
                <w:szCs w:val="18"/>
                <w:highlight w:val="none"/>
                <w:lang w:val="en-US" w:eastAsia="zh-CN"/>
              </w:rPr>
              <w:t>m</w:t>
            </w:r>
            <w:r>
              <w:rPr>
                <w:rFonts w:hint="default" w:ascii="Times New Roman" w:hAnsi="Times New Roman" w:eastAsia="宋体" w:cs="Times New Roman"/>
                <w:b w:val="0"/>
                <w:bCs w:val="0"/>
                <w:color w:val="auto"/>
                <w:sz w:val="24"/>
                <w:szCs w:val="18"/>
                <w:highlight w:val="none"/>
                <w:vertAlign w:val="superscript"/>
                <w:lang w:val="en-US" w:eastAsia="zh-CN"/>
              </w:rPr>
              <w:t>3</w:t>
            </w:r>
            <w:r>
              <w:rPr>
                <w:rFonts w:hint="eastAsia" w:ascii="Times New Roman" w:hAnsi="Times New Roman" w:eastAsia="宋体" w:cs="Times New Roman"/>
                <w:b w:val="0"/>
                <w:bCs w:val="0"/>
                <w:color w:val="auto"/>
                <w:sz w:val="24"/>
                <w:szCs w:val="18"/>
                <w:highlight w:val="none"/>
                <w:vertAlign w:val="baseline"/>
                <w:lang w:val="en-US" w:eastAsia="zh-CN"/>
              </w:rPr>
              <w:t>，</w:t>
            </w:r>
            <w:r>
              <w:rPr>
                <w:rFonts w:hint="default" w:ascii="Times New Roman" w:hAnsi="Times New Roman" w:cs="Times New Roman"/>
                <w:b w:val="0"/>
                <w:color w:val="auto"/>
                <w:sz w:val="24"/>
                <w:szCs w:val="18"/>
                <w:highlight w:val="none"/>
                <w:lang w:val="en-US" w:eastAsia="zh-CN"/>
              </w:rPr>
              <w:t>项目</w:t>
            </w:r>
            <w:r>
              <w:rPr>
                <w:rFonts w:hint="default" w:ascii="Times New Roman" w:hAnsi="Times New Roman" w:eastAsia="宋体" w:cs="Times New Roman"/>
                <w:b w:val="0"/>
                <w:color w:val="auto"/>
                <w:sz w:val="24"/>
                <w:szCs w:val="18"/>
                <w:highlight w:val="none"/>
                <w:lang w:val="en-US" w:eastAsia="zh-CN"/>
              </w:rPr>
              <w:t>弃</w:t>
            </w:r>
            <w:r>
              <w:rPr>
                <w:rFonts w:hint="default" w:ascii="Times New Roman" w:hAnsi="Times New Roman" w:eastAsia="宋体" w:cs="Times New Roman"/>
                <w:b w:val="0"/>
                <w:bCs w:val="0"/>
                <w:color w:val="auto"/>
                <w:sz w:val="24"/>
                <w:szCs w:val="18"/>
                <w:highlight w:val="none"/>
                <w:lang w:val="en-US" w:eastAsia="zh-CN"/>
              </w:rPr>
              <w:t>土</w:t>
            </w:r>
            <w:r>
              <w:rPr>
                <w:rFonts w:hint="default" w:ascii="Times New Roman" w:hAnsi="Times New Roman" w:cs="Times New Roman"/>
                <w:b w:val="0"/>
                <w:bCs w:val="0"/>
                <w:color w:val="auto"/>
                <w:sz w:val="24"/>
                <w:szCs w:val="18"/>
                <w:highlight w:val="none"/>
                <w:lang w:val="en-US" w:eastAsia="zh-CN"/>
              </w:rPr>
              <w:t>产生量</w:t>
            </w:r>
            <w:r>
              <w:rPr>
                <w:rFonts w:hint="default" w:ascii="Times New Roman" w:hAnsi="Times New Roman" w:eastAsia="宋体" w:cs="Times New Roman"/>
                <w:b w:val="0"/>
                <w:bCs w:val="0"/>
                <w:color w:val="auto"/>
                <w:sz w:val="24"/>
                <w:szCs w:val="18"/>
                <w:highlight w:val="none"/>
                <w:lang w:val="en-US" w:eastAsia="zh-CN"/>
              </w:rPr>
              <w:t>约</w:t>
            </w:r>
            <w:r>
              <w:rPr>
                <w:rFonts w:hint="eastAsia" w:cs="Times New Roman"/>
                <w:b w:val="0"/>
                <w:bCs w:val="0"/>
                <w:color w:val="auto"/>
                <w:sz w:val="24"/>
                <w:szCs w:val="18"/>
                <w:highlight w:val="none"/>
                <w:lang w:val="en-US" w:eastAsia="zh-CN"/>
              </w:rPr>
              <w:t>5.07</w:t>
            </w:r>
            <w:r>
              <w:rPr>
                <w:rFonts w:hint="default" w:ascii="Times New Roman" w:hAnsi="Times New Roman" w:cs="Times New Roman"/>
                <w:b w:val="0"/>
                <w:bCs w:val="0"/>
                <w:color w:val="auto"/>
                <w:sz w:val="24"/>
                <w:szCs w:val="18"/>
                <w:highlight w:val="none"/>
                <w:lang w:val="en-US" w:eastAsia="zh-CN"/>
              </w:rPr>
              <w:t>万</w:t>
            </w:r>
            <w:r>
              <w:rPr>
                <w:rFonts w:hint="default" w:ascii="Times New Roman" w:hAnsi="Times New Roman" w:eastAsia="宋体" w:cs="Times New Roman"/>
                <w:b w:val="0"/>
                <w:bCs w:val="0"/>
                <w:color w:val="auto"/>
                <w:sz w:val="24"/>
                <w:szCs w:val="18"/>
                <w:highlight w:val="none"/>
                <w:lang w:val="en-US" w:eastAsia="zh-CN"/>
              </w:rPr>
              <w:t>m</w:t>
            </w:r>
            <w:r>
              <w:rPr>
                <w:rFonts w:hint="default" w:ascii="Times New Roman" w:hAnsi="Times New Roman" w:eastAsia="宋体" w:cs="Times New Roman"/>
                <w:b w:val="0"/>
                <w:bCs w:val="0"/>
                <w:color w:val="auto"/>
                <w:sz w:val="24"/>
                <w:szCs w:val="18"/>
                <w:highlight w:val="none"/>
                <w:vertAlign w:val="superscript"/>
                <w:lang w:val="en-US" w:eastAsia="zh-CN"/>
              </w:rPr>
              <w:t>3</w:t>
            </w:r>
            <w:r>
              <w:rPr>
                <w:rFonts w:hint="default" w:ascii="Times New Roman" w:hAnsi="Times New Roman" w:eastAsia="宋体" w:cs="Times New Roman"/>
                <w:b w:val="0"/>
                <w:bCs w:val="0"/>
                <w:color w:val="auto"/>
                <w:sz w:val="24"/>
                <w:szCs w:val="18"/>
                <w:highlight w:val="none"/>
                <w:lang w:val="en-US" w:eastAsia="zh-CN"/>
              </w:rPr>
              <w:t>，项目不设取（弃）土场，</w:t>
            </w:r>
            <w:r>
              <w:rPr>
                <w:rFonts w:hint="eastAsia" w:cs="Times New Roman"/>
                <w:b w:val="0"/>
                <w:bCs w:val="0"/>
                <w:color w:val="auto"/>
                <w:sz w:val="24"/>
                <w:szCs w:val="18"/>
                <w:highlight w:val="none"/>
                <w:lang w:val="en-US" w:eastAsia="zh-CN"/>
              </w:rPr>
              <w:t>方案要求</w:t>
            </w:r>
            <w:r>
              <w:rPr>
                <w:rFonts w:hint="default" w:ascii="Times New Roman" w:hAnsi="Times New Roman" w:eastAsia="宋体" w:cs="Times New Roman"/>
                <w:b w:val="0"/>
                <w:bCs w:val="0"/>
                <w:color w:val="auto"/>
                <w:sz w:val="24"/>
                <w:szCs w:val="18"/>
                <w:highlight w:val="none"/>
                <w:lang w:val="en-US" w:eastAsia="zh-CN"/>
              </w:rPr>
              <w:t>弃方外运至同期实施项目进行综合利用，不得随意外弃</w:t>
            </w:r>
            <w:r>
              <w:rPr>
                <w:rFonts w:hint="default" w:ascii="Times New Roman" w:hAnsi="Times New Roman" w:cs="Times New Roman"/>
                <w:b w:val="0"/>
                <w:bCs w:val="0"/>
                <w:color w:val="auto"/>
                <w:sz w:val="24"/>
                <w:szCs w:val="18"/>
                <w:highlight w:val="none"/>
                <w:lang w:eastAsia="zh-CN"/>
              </w:rPr>
              <w:t>。</w:t>
            </w:r>
            <w:bookmarkEnd w:id="324"/>
            <w:bookmarkEnd w:id="325"/>
            <w:bookmarkEnd w:id="326"/>
            <w:bookmarkEnd w:id="327"/>
          </w:p>
          <w:p w14:paraId="12242D79">
            <w:pPr>
              <w:pStyle w:val="51"/>
              <w:numPr>
                <w:ilvl w:val="0"/>
                <w:numId w:val="0"/>
              </w:numPr>
              <w:spacing w:before="0" w:beforeLines="0"/>
              <w:ind w:firstLine="482" w:firstLineChars="200"/>
              <w:jc w:val="both"/>
              <w:rPr>
                <w:rFonts w:hint="default" w:ascii="Times New Roman" w:hAnsi="Times New Roman" w:cs="Times New Roman"/>
                <w:b/>
                <w:bCs/>
                <w:color w:val="auto"/>
                <w:sz w:val="24"/>
                <w:szCs w:val="18"/>
                <w:highlight w:val="none"/>
              </w:rPr>
            </w:pPr>
            <w:bookmarkStart w:id="328" w:name="_Toc15519"/>
            <w:bookmarkStart w:id="329" w:name="_Toc19170"/>
            <w:bookmarkStart w:id="330" w:name="_Toc15194"/>
            <w:bookmarkStart w:id="331" w:name="_Toc15032"/>
            <w:r>
              <w:rPr>
                <w:rFonts w:hint="default" w:ascii="Times New Roman" w:hAnsi="Times New Roman" w:cs="Times New Roman"/>
                <w:b/>
                <w:bCs/>
                <w:color w:val="auto"/>
                <w:sz w:val="24"/>
                <w:szCs w:val="18"/>
                <w:highlight w:val="none"/>
                <w:lang w:eastAsia="zh-CN"/>
              </w:rPr>
              <w:t>（</w:t>
            </w:r>
            <w:r>
              <w:rPr>
                <w:rFonts w:hint="default" w:ascii="Times New Roman" w:hAnsi="Times New Roman" w:cs="Times New Roman"/>
                <w:b/>
                <w:bCs/>
                <w:color w:val="auto"/>
                <w:sz w:val="24"/>
                <w:szCs w:val="18"/>
                <w:highlight w:val="none"/>
                <w:lang w:val="en-US" w:eastAsia="zh-CN"/>
              </w:rPr>
              <w:t>3</w:t>
            </w:r>
            <w:r>
              <w:rPr>
                <w:rFonts w:hint="default" w:ascii="Times New Roman" w:hAnsi="Times New Roman" w:cs="Times New Roman"/>
                <w:b/>
                <w:bCs/>
                <w:color w:val="auto"/>
                <w:sz w:val="24"/>
                <w:szCs w:val="18"/>
                <w:highlight w:val="none"/>
                <w:lang w:eastAsia="zh-CN"/>
              </w:rPr>
              <w:t>）</w:t>
            </w:r>
            <w:bookmarkEnd w:id="328"/>
            <w:bookmarkEnd w:id="329"/>
            <w:bookmarkEnd w:id="330"/>
            <w:bookmarkEnd w:id="331"/>
            <w:bookmarkStart w:id="332" w:name="_Toc6921"/>
            <w:bookmarkStart w:id="333" w:name="_Toc3662"/>
            <w:bookmarkStart w:id="334" w:name="_Toc12699"/>
            <w:bookmarkStart w:id="335" w:name="_Toc13330"/>
            <w:r>
              <w:rPr>
                <w:rFonts w:hint="default" w:ascii="Times New Roman" w:hAnsi="Times New Roman" w:cs="Times New Roman"/>
                <w:b/>
                <w:bCs/>
                <w:color w:val="auto"/>
                <w:sz w:val="24"/>
                <w:szCs w:val="18"/>
                <w:highlight w:val="none"/>
              </w:rPr>
              <w:t>生活垃圾</w:t>
            </w:r>
            <w:bookmarkEnd w:id="332"/>
            <w:bookmarkEnd w:id="333"/>
            <w:bookmarkEnd w:id="334"/>
            <w:bookmarkEnd w:id="335"/>
          </w:p>
          <w:p w14:paraId="01E8629D">
            <w:pPr>
              <w:pStyle w:val="51"/>
              <w:numPr>
                <w:ilvl w:val="0"/>
                <w:numId w:val="0"/>
              </w:numPr>
              <w:spacing w:before="0" w:beforeLines="0"/>
              <w:ind w:firstLine="480" w:firstLineChars="200"/>
              <w:jc w:val="both"/>
              <w:rPr>
                <w:rFonts w:hint="default" w:ascii="Times New Roman" w:hAnsi="Times New Roman" w:cs="Times New Roman"/>
                <w:color w:val="auto"/>
                <w:sz w:val="24"/>
                <w:szCs w:val="18"/>
                <w:highlight w:val="none"/>
              </w:rPr>
            </w:pPr>
            <w:bookmarkStart w:id="336" w:name="_Toc27593"/>
            <w:bookmarkStart w:id="337" w:name="_Toc21981"/>
            <w:bookmarkStart w:id="338" w:name="_Toc13256"/>
            <w:bookmarkStart w:id="339" w:name="_Toc16226"/>
            <w:r>
              <w:rPr>
                <w:rFonts w:hint="eastAsia" w:cs="Times New Roman"/>
                <w:color w:val="auto"/>
                <w:sz w:val="24"/>
                <w:szCs w:val="18"/>
                <w:highlight w:val="none"/>
                <w:lang w:eastAsia="zh-CN"/>
              </w:rPr>
              <w:t>施工</w:t>
            </w:r>
            <w:r>
              <w:rPr>
                <w:rFonts w:hint="default" w:ascii="Times New Roman" w:hAnsi="Times New Roman" w:cs="Times New Roman"/>
                <w:color w:val="auto"/>
                <w:sz w:val="24"/>
                <w:szCs w:val="18"/>
                <w:highlight w:val="none"/>
              </w:rPr>
              <w:t>人员</w:t>
            </w:r>
            <w:r>
              <w:rPr>
                <w:rFonts w:hint="default" w:ascii="Times New Roman" w:hAnsi="Times New Roman" w:cs="Times New Roman"/>
                <w:color w:val="auto"/>
                <w:sz w:val="24"/>
                <w:szCs w:val="18"/>
                <w:highlight w:val="none"/>
                <w:lang w:val="en-US" w:eastAsia="zh-CN"/>
              </w:rPr>
              <w:t>约</w:t>
            </w:r>
            <w:r>
              <w:rPr>
                <w:rFonts w:hint="default" w:ascii="Times New Roman" w:hAnsi="Times New Roman" w:cs="Times New Roman"/>
                <w:color w:val="auto"/>
                <w:sz w:val="24"/>
                <w:szCs w:val="18"/>
                <w:highlight w:val="none"/>
              </w:rPr>
              <w:t>为</w:t>
            </w:r>
            <w:r>
              <w:rPr>
                <w:rFonts w:hint="eastAsia" w:cs="Times New Roman"/>
                <w:color w:val="auto"/>
                <w:sz w:val="24"/>
                <w:szCs w:val="18"/>
                <w:highlight w:val="none"/>
                <w:lang w:val="en-US" w:eastAsia="zh-CN"/>
              </w:rPr>
              <w:t>60</w:t>
            </w:r>
            <w:r>
              <w:rPr>
                <w:rFonts w:hint="default" w:ascii="Times New Roman" w:hAnsi="Times New Roman" w:cs="Times New Roman"/>
                <w:color w:val="auto"/>
                <w:sz w:val="24"/>
                <w:szCs w:val="18"/>
                <w:highlight w:val="none"/>
              </w:rPr>
              <w:t>人，每人每天按0.5kg计，预计产生量为0.0</w:t>
            </w:r>
            <w:r>
              <w:rPr>
                <w:rFonts w:hint="eastAsia" w:cs="Times New Roman"/>
                <w:color w:val="auto"/>
                <w:sz w:val="24"/>
                <w:szCs w:val="18"/>
                <w:highlight w:val="none"/>
                <w:lang w:val="en-US" w:eastAsia="zh-CN"/>
              </w:rPr>
              <w:t>3</w:t>
            </w:r>
            <w:r>
              <w:rPr>
                <w:rFonts w:hint="default" w:ascii="Times New Roman" w:hAnsi="Times New Roman" w:cs="Times New Roman"/>
                <w:color w:val="auto"/>
                <w:sz w:val="24"/>
                <w:szCs w:val="18"/>
                <w:highlight w:val="none"/>
              </w:rPr>
              <w:t>t/d，收集后委托环卫部门处置。</w:t>
            </w:r>
            <w:bookmarkEnd w:id="336"/>
            <w:bookmarkEnd w:id="337"/>
            <w:bookmarkEnd w:id="338"/>
            <w:bookmarkEnd w:id="339"/>
          </w:p>
          <w:p w14:paraId="5296AA07">
            <w:pPr>
              <w:pStyle w:val="51"/>
              <w:numPr>
                <w:ilvl w:val="0"/>
                <w:numId w:val="0"/>
              </w:numPr>
              <w:spacing w:before="0" w:beforeLines="0"/>
              <w:ind w:firstLine="482" w:firstLineChars="200"/>
              <w:rPr>
                <w:rFonts w:hint="default" w:ascii="Times New Roman" w:hAnsi="Times New Roman" w:eastAsia="宋体" w:cs="Times New Roman"/>
                <w:b/>
                <w:bCs/>
                <w:color w:val="auto"/>
                <w:sz w:val="24"/>
                <w:szCs w:val="18"/>
                <w:highlight w:val="none"/>
              </w:rPr>
            </w:pPr>
            <w:bookmarkStart w:id="340" w:name="_Toc19738"/>
            <w:bookmarkStart w:id="341" w:name="_Toc21021"/>
            <w:bookmarkStart w:id="342" w:name="_Toc2452"/>
            <w:bookmarkStart w:id="343" w:name="_Toc24821"/>
            <w:r>
              <w:rPr>
                <w:rFonts w:hint="default" w:ascii="Times New Roman" w:hAnsi="Times New Roman" w:eastAsia="宋体" w:cs="Times New Roman"/>
                <w:b/>
                <w:bCs/>
                <w:color w:val="auto"/>
                <w:sz w:val="24"/>
                <w:szCs w:val="18"/>
                <w:highlight w:val="none"/>
                <w:lang w:val="en-US" w:eastAsia="zh-CN"/>
              </w:rPr>
              <w:t>1</w:t>
            </w:r>
            <w:r>
              <w:rPr>
                <w:rFonts w:hint="default" w:ascii="Times New Roman" w:hAnsi="Times New Roman" w:cs="Times New Roman"/>
                <w:b/>
                <w:bCs/>
                <w:color w:val="auto"/>
                <w:sz w:val="24"/>
                <w:szCs w:val="18"/>
                <w:highlight w:val="none"/>
                <w:lang w:val="en-US" w:eastAsia="zh-CN"/>
              </w:rPr>
              <w:t>.</w:t>
            </w:r>
            <w:r>
              <w:rPr>
                <w:rFonts w:hint="eastAsia" w:cs="Times New Roman"/>
                <w:b/>
                <w:bCs/>
                <w:color w:val="auto"/>
                <w:sz w:val="24"/>
                <w:szCs w:val="18"/>
                <w:highlight w:val="none"/>
                <w:lang w:val="en-US" w:eastAsia="zh-CN"/>
              </w:rPr>
              <w:t>7</w:t>
            </w:r>
            <w:r>
              <w:rPr>
                <w:rFonts w:hint="default" w:ascii="Times New Roman" w:hAnsi="Times New Roman" w:eastAsia="宋体" w:cs="Times New Roman"/>
                <w:b/>
                <w:bCs/>
                <w:color w:val="auto"/>
                <w:sz w:val="24"/>
                <w:szCs w:val="18"/>
                <w:highlight w:val="none"/>
                <w:lang w:val="en-US" w:eastAsia="zh-CN"/>
              </w:rPr>
              <w:t>、</w:t>
            </w:r>
            <w:r>
              <w:rPr>
                <w:rFonts w:hint="default" w:ascii="Times New Roman" w:hAnsi="Times New Roman" w:eastAsia="宋体" w:cs="Times New Roman"/>
                <w:b/>
                <w:bCs/>
                <w:color w:val="auto"/>
                <w:sz w:val="24"/>
                <w:szCs w:val="18"/>
                <w:highlight w:val="none"/>
              </w:rPr>
              <w:t>社会环境</w:t>
            </w:r>
            <w:bookmarkEnd w:id="340"/>
            <w:bookmarkEnd w:id="341"/>
            <w:bookmarkEnd w:id="342"/>
            <w:bookmarkEnd w:id="343"/>
          </w:p>
          <w:p w14:paraId="3DA0079A">
            <w:pPr>
              <w:pStyle w:val="51"/>
              <w:numPr>
                <w:ilvl w:val="0"/>
                <w:numId w:val="0"/>
              </w:numPr>
              <w:spacing w:before="0" w:beforeLines="0"/>
              <w:ind w:firstLine="480" w:firstLineChars="200"/>
              <w:rPr>
                <w:rFonts w:hint="default" w:ascii="Times New Roman" w:hAnsi="Times New Roman" w:cs="Times New Roman"/>
                <w:b w:val="0"/>
                <w:bCs w:val="0"/>
                <w:color w:val="auto"/>
                <w:sz w:val="24"/>
                <w:szCs w:val="18"/>
                <w:highlight w:val="none"/>
              </w:rPr>
            </w:pPr>
            <w:bookmarkStart w:id="344" w:name="_Toc816"/>
            <w:bookmarkStart w:id="345" w:name="_Toc7844"/>
            <w:bookmarkStart w:id="346" w:name="_Toc29381"/>
            <w:bookmarkStart w:id="347" w:name="_Toc1436"/>
            <w:r>
              <w:rPr>
                <w:rFonts w:hint="default" w:ascii="Times New Roman" w:hAnsi="Times New Roman" w:cs="Times New Roman"/>
                <w:color w:val="auto"/>
                <w:sz w:val="24"/>
                <w:szCs w:val="18"/>
                <w:highlight w:val="none"/>
              </w:rPr>
              <w:t>本项目施工噪声、施工扬尘对周边居民的生活产生一定影响。道路施工所需建材由运输车辆运至工地，可能造成交通拥挤；施工运输沙土若散落，施工废水、施</w:t>
            </w:r>
            <w:r>
              <w:rPr>
                <w:rFonts w:hint="default" w:ascii="Times New Roman" w:hAnsi="Times New Roman" w:cs="Times New Roman"/>
                <w:b w:val="0"/>
                <w:bCs w:val="0"/>
                <w:color w:val="auto"/>
                <w:sz w:val="24"/>
                <w:szCs w:val="18"/>
                <w:highlight w:val="none"/>
              </w:rPr>
              <w:t>工固体废物都会造成环境脏乱，影响公共卫生。施工期间，建筑材料的运输对附近交通会产生一定影响。</w:t>
            </w:r>
            <w:bookmarkEnd w:id="344"/>
            <w:bookmarkEnd w:id="345"/>
            <w:bookmarkEnd w:id="346"/>
            <w:bookmarkEnd w:id="347"/>
          </w:p>
          <w:p w14:paraId="51BAF018">
            <w:pPr>
              <w:pStyle w:val="51"/>
              <w:numPr>
                <w:ilvl w:val="0"/>
                <w:numId w:val="0"/>
              </w:numPr>
              <w:spacing w:before="0" w:beforeLines="0"/>
              <w:ind w:firstLine="482" w:firstLineChars="200"/>
              <w:rPr>
                <w:rFonts w:hint="default" w:ascii="Times New Roman" w:hAnsi="Times New Roman" w:eastAsia="宋体" w:cs="Times New Roman"/>
                <w:b/>
                <w:bCs/>
                <w:color w:val="auto"/>
                <w:sz w:val="24"/>
                <w:szCs w:val="18"/>
                <w:highlight w:val="none"/>
              </w:rPr>
            </w:pPr>
            <w:bookmarkStart w:id="348" w:name="_Toc22985"/>
            <w:bookmarkStart w:id="349" w:name="_Toc14498"/>
            <w:bookmarkStart w:id="350" w:name="_Toc26121"/>
            <w:bookmarkStart w:id="351" w:name="_Toc7121"/>
            <w:r>
              <w:rPr>
                <w:rFonts w:hint="default" w:ascii="Times New Roman" w:hAnsi="Times New Roman" w:eastAsia="宋体" w:cs="Times New Roman"/>
                <w:b/>
                <w:bCs/>
                <w:color w:val="auto"/>
                <w:sz w:val="24"/>
                <w:szCs w:val="18"/>
                <w:highlight w:val="none"/>
                <w:lang w:val="en-US" w:eastAsia="zh-CN"/>
              </w:rPr>
              <w:t>1.</w:t>
            </w:r>
            <w:r>
              <w:rPr>
                <w:rFonts w:hint="eastAsia" w:cs="Times New Roman"/>
                <w:b/>
                <w:bCs/>
                <w:color w:val="auto"/>
                <w:sz w:val="24"/>
                <w:szCs w:val="18"/>
                <w:highlight w:val="none"/>
                <w:lang w:val="en-US" w:eastAsia="zh-CN"/>
              </w:rPr>
              <w:t>8</w:t>
            </w:r>
            <w:r>
              <w:rPr>
                <w:rFonts w:hint="default" w:ascii="Times New Roman" w:hAnsi="Times New Roman" w:eastAsia="宋体" w:cs="Times New Roman"/>
                <w:b/>
                <w:bCs/>
                <w:color w:val="auto"/>
                <w:sz w:val="24"/>
                <w:szCs w:val="18"/>
                <w:highlight w:val="none"/>
                <w:lang w:val="en-US" w:eastAsia="zh-CN"/>
              </w:rPr>
              <w:t>、取弃土运输影响分析</w:t>
            </w:r>
            <w:bookmarkEnd w:id="348"/>
            <w:bookmarkEnd w:id="349"/>
            <w:bookmarkEnd w:id="350"/>
            <w:bookmarkEnd w:id="351"/>
          </w:p>
          <w:p w14:paraId="510DCB93">
            <w:pPr>
              <w:pStyle w:val="51"/>
              <w:numPr>
                <w:ilvl w:val="0"/>
                <w:numId w:val="0"/>
              </w:numPr>
              <w:spacing w:before="0" w:beforeLines="0"/>
              <w:ind w:firstLine="480" w:firstLineChars="200"/>
              <w:rPr>
                <w:rFonts w:hint="default" w:ascii="Times New Roman" w:hAnsi="Times New Roman" w:eastAsia="宋体" w:cs="Times New Roman"/>
                <w:b w:val="0"/>
                <w:bCs w:val="0"/>
                <w:color w:val="auto"/>
                <w:sz w:val="24"/>
                <w:szCs w:val="18"/>
                <w:lang w:val="en-US" w:eastAsia="zh-CN"/>
              </w:rPr>
            </w:pPr>
            <w:bookmarkStart w:id="352" w:name="_Toc16461"/>
            <w:bookmarkStart w:id="353" w:name="_Toc23202"/>
            <w:bookmarkStart w:id="354" w:name="_Toc28896"/>
            <w:bookmarkStart w:id="355" w:name="_Toc3127"/>
            <w:r>
              <w:rPr>
                <w:rFonts w:hint="default" w:ascii="Times New Roman" w:hAnsi="Times New Roman" w:eastAsia="宋体" w:cs="Times New Roman"/>
                <w:b w:val="0"/>
                <w:bCs w:val="0"/>
                <w:color w:val="auto"/>
                <w:sz w:val="24"/>
                <w:szCs w:val="18"/>
                <w:highlight w:val="none"/>
                <w:lang w:val="en-US" w:eastAsia="zh-CN"/>
              </w:rPr>
              <w:t>根据设计本项目无取土，弃土约</w:t>
            </w:r>
            <w:r>
              <w:rPr>
                <w:rFonts w:hint="eastAsia" w:cs="Times New Roman"/>
                <w:b w:val="0"/>
                <w:bCs w:val="0"/>
                <w:color w:val="auto"/>
                <w:sz w:val="24"/>
                <w:szCs w:val="18"/>
                <w:highlight w:val="none"/>
                <w:lang w:val="en-US" w:eastAsia="zh-CN"/>
              </w:rPr>
              <w:t>5.07</w:t>
            </w:r>
            <w:r>
              <w:rPr>
                <w:rFonts w:hint="default" w:ascii="Times New Roman" w:hAnsi="Times New Roman" w:cs="Times New Roman"/>
                <w:b w:val="0"/>
                <w:bCs w:val="0"/>
                <w:color w:val="auto"/>
                <w:sz w:val="24"/>
                <w:szCs w:val="18"/>
                <w:highlight w:val="none"/>
                <w:lang w:val="en-US" w:eastAsia="zh-CN"/>
              </w:rPr>
              <w:t>万</w:t>
            </w:r>
            <w:r>
              <w:rPr>
                <w:rFonts w:hint="default" w:ascii="Times New Roman" w:hAnsi="Times New Roman" w:eastAsia="宋体" w:cs="Times New Roman"/>
                <w:b w:val="0"/>
                <w:bCs w:val="0"/>
                <w:color w:val="auto"/>
                <w:sz w:val="24"/>
                <w:szCs w:val="18"/>
                <w:highlight w:val="none"/>
                <w:lang w:val="en-US" w:eastAsia="zh-CN"/>
              </w:rPr>
              <w:t>m</w:t>
            </w:r>
            <w:r>
              <w:rPr>
                <w:rFonts w:hint="default" w:ascii="Times New Roman" w:hAnsi="Times New Roman" w:eastAsia="宋体" w:cs="Times New Roman"/>
                <w:b w:val="0"/>
                <w:bCs w:val="0"/>
                <w:color w:val="auto"/>
                <w:sz w:val="24"/>
                <w:szCs w:val="18"/>
                <w:highlight w:val="none"/>
                <w:vertAlign w:val="superscript"/>
                <w:lang w:val="en-US" w:eastAsia="zh-CN"/>
              </w:rPr>
              <w:t>3</w:t>
            </w:r>
            <w:r>
              <w:rPr>
                <w:rFonts w:hint="default" w:ascii="Times New Roman" w:hAnsi="Times New Roman" w:eastAsia="宋体" w:cs="Times New Roman"/>
                <w:b w:val="0"/>
                <w:bCs w:val="0"/>
                <w:color w:val="auto"/>
                <w:sz w:val="24"/>
                <w:szCs w:val="18"/>
                <w:highlight w:val="none"/>
                <w:lang w:val="en-US" w:eastAsia="zh-CN"/>
              </w:rPr>
              <w:t>，</w:t>
            </w:r>
            <w:r>
              <w:rPr>
                <w:rFonts w:hint="default" w:ascii="Times New Roman" w:hAnsi="Times New Roman" w:cs="Times New Roman"/>
                <w:b w:val="0"/>
                <w:bCs w:val="0"/>
                <w:color w:val="auto"/>
                <w:sz w:val="24"/>
                <w:szCs w:val="18"/>
                <w:highlight w:val="none"/>
                <w:lang w:eastAsia="zh-CN"/>
              </w:rPr>
              <w:t>本项目施工过程中产生的弃土方全部外运至同期实施项目进行综合利用，不得随意外弃，</w:t>
            </w:r>
            <w:r>
              <w:rPr>
                <w:rFonts w:hint="default" w:ascii="Times New Roman" w:hAnsi="Times New Roman" w:eastAsia="宋体" w:cs="Times New Roman"/>
                <w:b w:val="0"/>
                <w:bCs w:val="0"/>
                <w:color w:val="auto"/>
                <w:sz w:val="24"/>
                <w:szCs w:val="18"/>
                <w:highlight w:val="none"/>
                <w:lang w:eastAsia="zh-CN"/>
              </w:rPr>
              <w:t>不单独设置弃土</w:t>
            </w:r>
            <w:r>
              <w:rPr>
                <w:rFonts w:hint="default" w:ascii="Times New Roman" w:hAnsi="Times New Roman" w:eastAsia="宋体" w:cs="Times New Roman"/>
                <w:b w:val="0"/>
                <w:bCs w:val="0"/>
                <w:color w:val="auto"/>
                <w:sz w:val="24"/>
                <w:szCs w:val="18"/>
                <w:lang w:eastAsia="zh-CN"/>
              </w:rPr>
              <w:t>场，不在施工场地堆存。</w:t>
            </w:r>
            <w:r>
              <w:rPr>
                <w:rFonts w:hint="default" w:ascii="Times New Roman" w:hAnsi="Times New Roman" w:cs="Times New Roman"/>
                <w:b w:val="0"/>
                <w:bCs w:val="0"/>
                <w:color w:val="auto"/>
                <w:sz w:val="24"/>
                <w:szCs w:val="18"/>
                <w:lang w:val="en-US" w:eastAsia="zh-CN"/>
              </w:rPr>
              <w:t>为</w:t>
            </w:r>
            <w:r>
              <w:rPr>
                <w:rFonts w:hint="default" w:ascii="Times New Roman" w:hAnsi="Times New Roman" w:eastAsia="宋体" w:cs="Times New Roman"/>
                <w:b w:val="0"/>
                <w:bCs w:val="0"/>
                <w:color w:val="auto"/>
                <w:sz w:val="24"/>
                <w:szCs w:val="18"/>
                <w:lang w:val="en-US" w:eastAsia="zh-CN"/>
              </w:rPr>
              <w:t>降低</w:t>
            </w:r>
            <w:r>
              <w:rPr>
                <w:rFonts w:hint="default" w:ascii="Times New Roman" w:hAnsi="Times New Roman" w:cs="Times New Roman"/>
                <w:b w:val="0"/>
                <w:bCs w:val="0"/>
                <w:color w:val="auto"/>
                <w:sz w:val="24"/>
                <w:szCs w:val="18"/>
                <w:lang w:val="en-US" w:eastAsia="zh-CN"/>
              </w:rPr>
              <w:t>运输</w:t>
            </w:r>
            <w:r>
              <w:rPr>
                <w:rFonts w:hint="default" w:ascii="Times New Roman" w:hAnsi="Times New Roman" w:eastAsia="宋体" w:cs="Times New Roman"/>
                <w:b w:val="0"/>
                <w:bCs w:val="0"/>
                <w:color w:val="auto"/>
                <w:sz w:val="24"/>
                <w:szCs w:val="18"/>
                <w:lang w:val="en-US" w:eastAsia="zh-CN"/>
              </w:rPr>
              <w:t>噪声对</w:t>
            </w:r>
            <w:r>
              <w:rPr>
                <w:rFonts w:hint="default" w:ascii="Times New Roman" w:hAnsi="Times New Roman" w:cs="Times New Roman"/>
                <w:b w:val="0"/>
                <w:bCs w:val="0"/>
                <w:color w:val="auto"/>
                <w:sz w:val="24"/>
                <w:szCs w:val="18"/>
                <w:lang w:val="en-US" w:eastAsia="zh-CN"/>
              </w:rPr>
              <w:t>沿线</w:t>
            </w:r>
            <w:r>
              <w:rPr>
                <w:rFonts w:hint="default" w:ascii="Times New Roman" w:hAnsi="Times New Roman" w:eastAsia="宋体" w:cs="Times New Roman"/>
                <w:b w:val="0"/>
                <w:bCs w:val="0"/>
                <w:color w:val="auto"/>
                <w:sz w:val="24"/>
                <w:szCs w:val="18"/>
                <w:lang w:val="en-US" w:eastAsia="zh-CN"/>
              </w:rPr>
              <w:t>居民生活影响，施工车辆在经过声环境敏</w:t>
            </w:r>
            <w:r>
              <w:rPr>
                <w:rFonts w:hint="default" w:ascii="Times New Roman" w:hAnsi="Times New Roman" w:eastAsia="宋体" w:cs="Times New Roman"/>
                <w:b w:val="0"/>
                <w:bCs w:val="0"/>
                <w:color w:val="auto"/>
                <w:sz w:val="24"/>
                <w:szCs w:val="18"/>
                <w:highlight w:val="none"/>
                <w:lang w:val="en-US" w:eastAsia="zh-CN"/>
              </w:rPr>
              <w:t>感区域</w:t>
            </w:r>
            <w:r>
              <w:rPr>
                <w:rFonts w:hint="eastAsia" w:ascii="Times New Roman" w:hAnsi="Times New Roman" w:eastAsia="宋体" w:cs="Times New Roman"/>
                <w:b w:val="0"/>
                <w:bCs w:val="0"/>
                <w:color w:val="auto"/>
                <w:sz w:val="24"/>
                <w:szCs w:val="18"/>
                <w:highlight w:val="none"/>
                <w:lang w:val="en-US" w:eastAsia="zh-CN"/>
              </w:rPr>
              <w:t>（道路周边有居民点处）</w:t>
            </w:r>
            <w:r>
              <w:rPr>
                <w:rFonts w:hint="default" w:ascii="Times New Roman" w:hAnsi="Times New Roman" w:eastAsia="宋体" w:cs="Times New Roman"/>
                <w:b w:val="0"/>
                <w:bCs w:val="0"/>
                <w:color w:val="auto"/>
                <w:sz w:val="24"/>
                <w:szCs w:val="18"/>
                <w:highlight w:val="none"/>
                <w:lang w:val="en-US" w:eastAsia="zh-CN"/>
              </w:rPr>
              <w:t>时，应</w:t>
            </w:r>
            <w:r>
              <w:rPr>
                <w:rFonts w:hint="default" w:ascii="Times New Roman" w:hAnsi="Times New Roman" w:eastAsia="宋体" w:cs="Times New Roman"/>
                <w:b w:val="0"/>
                <w:bCs w:val="0"/>
                <w:color w:val="auto"/>
                <w:sz w:val="24"/>
                <w:szCs w:val="18"/>
                <w:lang w:val="en-US" w:eastAsia="zh-CN"/>
              </w:rPr>
              <w:t>限速行驶，禁止鸣笛。</w:t>
            </w:r>
            <w:bookmarkEnd w:id="352"/>
            <w:bookmarkEnd w:id="353"/>
            <w:bookmarkEnd w:id="354"/>
            <w:bookmarkEnd w:id="355"/>
          </w:p>
          <w:p w14:paraId="5552122E">
            <w:pPr>
              <w:pStyle w:val="51"/>
              <w:numPr>
                <w:ilvl w:val="0"/>
                <w:numId w:val="0"/>
              </w:numPr>
              <w:spacing w:before="0" w:beforeLines="0"/>
              <w:ind w:firstLine="480" w:firstLineChars="200"/>
              <w:rPr>
                <w:rFonts w:hint="default" w:ascii="Times New Roman" w:hAnsi="Times New Roman" w:cs="Times New Roman"/>
                <w:color w:val="auto"/>
                <w:sz w:val="24"/>
                <w:szCs w:val="20"/>
                <w:lang w:val="en-US" w:eastAsia="zh-CN"/>
              </w:rPr>
            </w:pPr>
            <w:bookmarkStart w:id="356" w:name="_Toc28701"/>
            <w:bookmarkStart w:id="357" w:name="_Toc24410"/>
            <w:bookmarkStart w:id="358" w:name="_Toc12305"/>
            <w:bookmarkStart w:id="359" w:name="_Toc23210"/>
            <w:r>
              <w:rPr>
                <w:rFonts w:hint="default" w:ascii="Times New Roman" w:hAnsi="Times New Roman" w:eastAsia="宋体" w:cs="Times New Roman"/>
                <w:b w:val="0"/>
                <w:color w:val="auto"/>
                <w:sz w:val="24"/>
                <w:szCs w:val="18"/>
                <w:lang w:val="en-US" w:eastAsia="zh-CN"/>
              </w:rPr>
              <w:t>项目</w:t>
            </w:r>
            <w:r>
              <w:rPr>
                <w:rFonts w:hint="default" w:ascii="Times New Roman" w:hAnsi="Times New Roman" w:eastAsia="宋体" w:cs="Times New Roman"/>
                <w:b w:val="0"/>
                <w:color w:val="auto"/>
                <w:sz w:val="24"/>
                <w:szCs w:val="18"/>
                <w:lang w:eastAsia="zh-CN"/>
              </w:rPr>
              <w:t>施工作业和车辆运输做好防尘措施和噪声控制措施，交通影响是短暂的、临时的，随着施工的结束而消失，不会对影响区产生</w:t>
            </w:r>
            <w:r>
              <w:rPr>
                <w:rFonts w:hint="default" w:ascii="Times New Roman" w:hAnsi="Times New Roman" w:eastAsia="宋体" w:cs="Times New Roman"/>
                <w:b w:val="0"/>
                <w:color w:val="auto"/>
                <w:sz w:val="24"/>
                <w:szCs w:val="18"/>
                <w:lang w:val="en-US" w:eastAsia="zh-CN"/>
              </w:rPr>
              <w:t>较大影响。</w:t>
            </w:r>
            <w:bookmarkEnd w:id="356"/>
            <w:bookmarkEnd w:id="357"/>
            <w:bookmarkEnd w:id="358"/>
            <w:bookmarkEnd w:id="359"/>
          </w:p>
        </w:tc>
      </w:tr>
      <w:tr w14:paraId="1C094E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25" w:hRule="atLeast"/>
          <w:jc w:val="center"/>
        </w:trPr>
        <w:tc>
          <w:tcPr>
            <w:tcW w:w="314" w:type="dxa"/>
            <w:noWrap w:val="0"/>
            <w:tcMar>
              <w:left w:w="28" w:type="dxa"/>
              <w:right w:w="28" w:type="dxa"/>
            </w:tcMar>
            <w:vAlign w:val="center"/>
          </w:tcPr>
          <w:p w14:paraId="76F8E0EB">
            <w:pPr>
              <w:pStyle w:val="27"/>
              <w:adjustRightInd w:val="0"/>
              <w:snapToGrid w:val="0"/>
              <w:spacing w:before="0" w:beforeAutospacing="0" w:after="0" w:afterAutospacing="0"/>
              <w:jc w:val="center"/>
              <w:rPr>
                <w:rFonts w:hint="default" w:ascii="Times New Roman" w:hAnsi="Times New Roman" w:cs="Times New Roman"/>
                <w:bCs/>
                <w:color w:val="auto"/>
                <w:kern w:val="2"/>
                <w:sz w:val="21"/>
                <w:szCs w:val="21"/>
              </w:rPr>
            </w:pPr>
            <w:r>
              <w:rPr>
                <w:rFonts w:hint="default" w:ascii="Times New Roman" w:hAnsi="Times New Roman" w:cs="Times New Roman"/>
                <w:b/>
                <w:bCs w:val="0"/>
                <w:color w:val="auto"/>
                <w:spacing w:val="10"/>
                <w:kern w:val="2"/>
              </w:rPr>
              <w:t>运营期生态环境影响分析</w:t>
            </w:r>
          </w:p>
        </w:tc>
        <w:tc>
          <w:tcPr>
            <w:tcW w:w="8666" w:type="dxa"/>
            <w:noWrap w:val="0"/>
            <w:vAlign w:val="top"/>
          </w:tcPr>
          <w:p w14:paraId="00EAA52A">
            <w:pPr>
              <w:adjustRightInd w:val="0"/>
              <w:snapToGrid w:val="0"/>
              <w:spacing w:line="360" w:lineRule="auto"/>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lang w:val="en-US" w:eastAsia="zh-CN"/>
              </w:rPr>
              <w:t>工程建设完成后，由于交通量发生变化，新建工程营运期对环境的影响也会发生变化，具体见下表。</w:t>
            </w:r>
          </w:p>
          <w:p w14:paraId="6730E224">
            <w:pPr>
              <w:keepNext w:val="0"/>
              <w:keepLines w:val="0"/>
              <w:widowControl/>
              <w:suppressLineNumbers w:val="0"/>
              <w:spacing w:line="240" w:lineRule="auto"/>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21"/>
                <w:szCs w:val="21"/>
                <w:lang w:val="en-US" w:eastAsia="zh-CN" w:bidi="ar"/>
              </w:rPr>
              <w:t>表4-</w:t>
            </w:r>
            <w:r>
              <w:rPr>
                <w:rFonts w:hint="eastAsia" w:ascii="Times New Roman" w:hAnsi="Times New Roman" w:eastAsia="宋体" w:cs="Times New Roman"/>
                <w:b/>
                <w:bCs/>
                <w:color w:val="auto"/>
                <w:kern w:val="0"/>
                <w:sz w:val="21"/>
                <w:szCs w:val="21"/>
                <w:lang w:val="en-US" w:eastAsia="zh-CN" w:bidi="ar"/>
              </w:rPr>
              <w:t>5</w:t>
            </w:r>
            <w:r>
              <w:rPr>
                <w:rFonts w:hint="default" w:ascii="Times New Roman" w:hAnsi="Times New Roman" w:eastAsia="宋体" w:cs="Times New Roman"/>
                <w:b/>
                <w:bCs/>
                <w:color w:val="auto"/>
                <w:kern w:val="0"/>
                <w:sz w:val="21"/>
                <w:szCs w:val="21"/>
                <w:lang w:val="en-US" w:eastAsia="zh-CN" w:bidi="ar"/>
              </w:rPr>
              <w:t xml:space="preserve">  运营期环境影响因素一览表</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6"/>
              <w:gridCol w:w="1556"/>
              <w:gridCol w:w="1305"/>
              <w:gridCol w:w="4378"/>
            </w:tblGrid>
            <w:tr w14:paraId="3D8DB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noWrap w:val="0"/>
                  <w:vAlign w:val="center"/>
                </w:tcPr>
                <w:p w14:paraId="40552DEE">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eastAsia="zh-CN"/>
                    </w:rPr>
                  </w:pPr>
                  <w:bookmarkStart w:id="360" w:name="_Toc10632"/>
                  <w:bookmarkStart w:id="361" w:name="_Toc29957"/>
                  <w:bookmarkStart w:id="362" w:name="_Toc30609"/>
                  <w:bookmarkStart w:id="363" w:name="_Toc11130"/>
                  <w:r>
                    <w:rPr>
                      <w:rFonts w:hint="default" w:ascii="Times New Roman" w:hAnsi="Times New Roman" w:eastAsia="宋体" w:cs="Times New Roman"/>
                      <w:b/>
                      <w:bCs/>
                      <w:color w:val="auto"/>
                      <w:sz w:val="21"/>
                      <w:szCs w:val="21"/>
                      <w:vertAlign w:val="baseline"/>
                      <w:lang w:eastAsia="zh-CN"/>
                    </w:rPr>
                    <w:t>环境因素</w:t>
                  </w:r>
                  <w:bookmarkEnd w:id="360"/>
                  <w:bookmarkEnd w:id="361"/>
                  <w:bookmarkEnd w:id="362"/>
                  <w:bookmarkEnd w:id="363"/>
                </w:p>
              </w:tc>
              <w:tc>
                <w:tcPr>
                  <w:tcW w:w="1556" w:type="dxa"/>
                  <w:noWrap w:val="0"/>
                  <w:vAlign w:val="center"/>
                </w:tcPr>
                <w:p w14:paraId="31DBFEAF">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eastAsia="zh-CN"/>
                    </w:rPr>
                  </w:pPr>
                  <w:bookmarkStart w:id="364" w:name="_Toc4439"/>
                  <w:bookmarkStart w:id="365" w:name="_Toc22200"/>
                  <w:bookmarkStart w:id="366" w:name="_Toc10461"/>
                  <w:bookmarkStart w:id="367" w:name="_Toc11762"/>
                  <w:r>
                    <w:rPr>
                      <w:rFonts w:hint="default" w:ascii="Times New Roman" w:hAnsi="Times New Roman" w:eastAsia="宋体" w:cs="Times New Roman"/>
                      <w:b/>
                      <w:bCs/>
                      <w:color w:val="auto"/>
                      <w:sz w:val="21"/>
                      <w:szCs w:val="21"/>
                      <w:vertAlign w:val="baseline"/>
                      <w:lang w:eastAsia="zh-CN"/>
                    </w:rPr>
                    <w:t>主要影响因素</w:t>
                  </w:r>
                  <w:bookmarkEnd w:id="364"/>
                  <w:bookmarkEnd w:id="365"/>
                  <w:bookmarkEnd w:id="366"/>
                  <w:bookmarkEnd w:id="367"/>
                </w:p>
              </w:tc>
              <w:tc>
                <w:tcPr>
                  <w:tcW w:w="1305" w:type="dxa"/>
                  <w:noWrap w:val="0"/>
                  <w:vAlign w:val="center"/>
                </w:tcPr>
                <w:p w14:paraId="5AF752F0">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eastAsia="zh-CN"/>
                    </w:rPr>
                  </w:pPr>
                  <w:bookmarkStart w:id="368" w:name="_Toc21023"/>
                  <w:bookmarkStart w:id="369" w:name="_Toc24113"/>
                  <w:bookmarkStart w:id="370" w:name="_Toc26748"/>
                  <w:bookmarkStart w:id="371" w:name="_Toc23590"/>
                  <w:r>
                    <w:rPr>
                      <w:rFonts w:hint="default" w:ascii="Times New Roman" w:hAnsi="Times New Roman" w:eastAsia="宋体" w:cs="Times New Roman"/>
                      <w:b/>
                      <w:bCs/>
                      <w:color w:val="auto"/>
                      <w:sz w:val="21"/>
                      <w:szCs w:val="21"/>
                      <w:vertAlign w:val="baseline"/>
                      <w:lang w:eastAsia="zh-CN"/>
                    </w:rPr>
                    <w:t>影响的性质</w:t>
                  </w:r>
                  <w:bookmarkEnd w:id="368"/>
                  <w:bookmarkEnd w:id="369"/>
                  <w:bookmarkEnd w:id="370"/>
                  <w:bookmarkEnd w:id="371"/>
                </w:p>
              </w:tc>
              <w:tc>
                <w:tcPr>
                  <w:tcW w:w="4378" w:type="dxa"/>
                  <w:noWrap w:val="0"/>
                  <w:vAlign w:val="center"/>
                </w:tcPr>
                <w:p w14:paraId="12BD031A">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eastAsia="zh-CN"/>
                    </w:rPr>
                  </w:pPr>
                  <w:bookmarkStart w:id="372" w:name="_Toc26261"/>
                  <w:bookmarkStart w:id="373" w:name="_Toc24072"/>
                  <w:bookmarkStart w:id="374" w:name="_Toc29481"/>
                  <w:bookmarkStart w:id="375" w:name="_Toc14474"/>
                  <w:r>
                    <w:rPr>
                      <w:rFonts w:hint="default" w:ascii="Times New Roman" w:hAnsi="Times New Roman" w:eastAsia="宋体" w:cs="Times New Roman"/>
                      <w:b/>
                      <w:bCs/>
                      <w:color w:val="auto"/>
                      <w:sz w:val="21"/>
                      <w:szCs w:val="21"/>
                      <w:vertAlign w:val="baseline"/>
                      <w:lang w:eastAsia="zh-CN"/>
                    </w:rPr>
                    <w:t>影响分析</w:t>
                  </w:r>
                  <w:bookmarkEnd w:id="372"/>
                  <w:bookmarkEnd w:id="373"/>
                  <w:bookmarkEnd w:id="374"/>
                  <w:bookmarkEnd w:id="375"/>
                </w:p>
              </w:tc>
            </w:tr>
            <w:tr w14:paraId="4C205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noWrap w:val="0"/>
                  <w:vAlign w:val="center"/>
                </w:tcPr>
                <w:p w14:paraId="50887B07">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eastAsia="zh-CN"/>
                    </w:rPr>
                  </w:pPr>
                  <w:bookmarkStart w:id="376" w:name="_Toc8042"/>
                  <w:bookmarkStart w:id="377" w:name="_Toc17268"/>
                  <w:bookmarkStart w:id="378" w:name="_Toc7512"/>
                  <w:bookmarkStart w:id="379" w:name="_Toc12135"/>
                  <w:r>
                    <w:rPr>
                      <w:rFonts w:hint="default" w:ascii="Times New Roman" w:hAnsi="Times New Roman" w:eastAsia="宋体" w:cs="Times New Roman"/>
                      <w:b/>
                      <w:bCs/>
                      <w:color w:val="auto"/>
                      <w:sz w:val="21"/>
                      <w:szCs w:val="21"/>
                      <w:vertAlign w:val="baseline"/>
                      <w:lang w:eastAsia="zh-CN"/>
                    </w:rPr>
                    <w:t>环境空气</w:t>
                  </w:r>
                  <w:bookmarkEnd w:id="376"/>
                  <w:bookmarkEnd w:id="377"/>
                  <w:bookmarkEnd w:id="378"/>
                  <w:bookmarkEnd w:id="379"/>
                </w:p>
              </w:tc>
              <w:tc>
                <w:tcPr>
                  <w:tcW w:w="1556" w:type="dxa"/>
                  <w:noWrap w:val="0"/>
                  <w:vAlign w:val="center"/>
                </w:tcPr>
                <w:p w14:paraId="020B5083">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lang w:eastAsia="zh-CN"/>
                    </w:rPr>
                  </w:pPr>
                  <w:bookmarkStart w:id="380" w:name="_Toc18020"/>
                  <w:bookmarkStart w:id="381" w:name="_Toc30562"/>
                  <w:bookmarkStart w:id="382" w:name="_Toc12202"/>
                  <w:bookmarkStart w:id="383" w:name="_Toc20816"/>
                  <w:r>
                    <w:rPr>
                      <w:rFonts w:hint="default" w:ascii="Times New Roman" w:hAnsi="Times New Roman" w:eastAsia="宋体" w:cs="Times New Roman"/>
                      <w:b w:val="0"/>
                      <w:bCs w:val="0"/>
                      <w:color w:val="auto"/>
                      <w:sz w:val="21"/>
                      <w:szCs w:val="21"/>
                      <w:vertAlign w:val="baseline"/>
                      <w:lang w:eastAsia="zh-CN"/>
                    </w:rPr>
                    <w:t>汽车尾气</w:t>
                  </w:r>
                  <w:bookmarkEnd w:id="380"/>
                  <w:bookmarkEnd w:id="381"/>
                  <w:bookmarkEnd w:id="382"/>
                  <w:bookmarkEnd w:id="383"/>
                </w:p>
              </w:tc>
              <w:tc>
                <w:tcPr>
                  <w:tcW w:w="1305" w:type="dxa"/>
                  <w:noWrap w:val="0"/>
                  <w:vAlign w:val="center"/>
                </w:tcPr>
                <w:p w14:paraId="7F0C7748">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rPr>
                  </w:pPr>
                  <w:bookmarkStart w:id="384" w:name="_Toc30934"/>
                  <w:bookmarkStart w:id="385" w:name="_Toc25945"/>
                  <w:bookmarkStart w:id="386" w:name="_Toc15834"/>
                  <w:bookmarkStart w:id="387" w:name="_Toc27248"/>
                  <w:r>
                    <w:rPr>
                      <w:rFonts w:hint="default" w:ascii="Times New Roman" w:hAnsi="Times New Roman" w:eastAsia="宋体" w:cs="Times New Roman"/>
                      <w:b w:val="0"/>
                      <w:bCs w:val="0"/>
                      <w:color w:val="auto"/>
                      <w:sz w:val="21"/>
                      <w:szCs w:val="21"/>
                      <w:vertAlign w:val="baseline"/>
                    </w:rPr>
                    <w:t>长期、不可逆、不利</w:t>
                  </w:r>
                  <w:bookmarkEnd w:id="384"/>
                  <w:bookmarkEnd w:id="385"/>
                  <w:bookmarkEnd w:id="386"/>
                  <w:bookmarkEnd w:id="387"/>
                </w:p>
              </w:tc>
              <w:tc>
                <w:tcPr>
                  <w:tcW w:w="4378" w:type="dxa"/>
                  <w:noWrap w:val="0"/>
                  <w:vAlign w:val="center"/>
                </w:tcPr>
                <w:p w14:paraId="53E437EB">
                  <w:pPr>
                    <w:pStyle w:val="51"/>
                    <w:numPr>
                      <w:ilvl w:val="0"/>
                      <w:numId w:val="0"/>
                    </w:numPr>
                    <w:spacing w:before="0" w:beforeLines="0" w:line="240" w:lineRule="auto"/>
                    <w:jc w:val="left"/>
                    <w:rPr>
                      <w:rFonts w:hint="default" w:ascii="Times New Roman" w:hAnsi="Times New Roman" w:eastAsia="宋体" w:cs="Times New Roman"/>
                      <w:b w:val="0"/>
                      <w:bCs w:val="0"/>
                      <w:color w:val="auto"/>
                      <w:sz w:val="21"/>
                      <w:szCs w:val="21"/>
                      <w:vertAlign w:val="baseline"/>
                    </w:rPr>
                  </w:pPr>
                  <w:bookmarkStart w:id="388" w:name="_Toc12249"/>
                  <w:bookmarkStart w:id="389" w:name="_Toc735"/>
                  <w:bookmarkStart w:id="390" w:name="_Toc2332"/>
                  <w:bookmarkStart w:id="391" w:name="_Toc32595"/>
                  <w:r>
                    <w:rPr>
                      <w:rFonts w:hint="default" w:ascii="Times New Roman" w:hAnsi="Times New Roman" w:eastAsia="宋体" w:cs="Times New Roman"/>
                      <w:b w:val="0"/>
                      <w:bCs w:val="0"/>
                      <w:color w:val="auto"/>
                      <w:sz w:val="21"/>
                      <w:szCs w:val="21"/>
                      <w:vertAlign w:val="baseline"/>
                    </w:rPr>
                    <w:t>道路车辆行驶排放的尾气，含CO、HC、NOx、颗粒物等污染物。</w:t>
                  </w:r>
                  <w:bookmarkEnd w:id="388"/>
                  <w:bookmarkEnd w:id="389"/>
                  <w:bookmarkEnd w:id="390"/>
                  <w:bookmarkEnd w:id="391"/>
                </w:p>
              </w:tc>
            </w:tr>
            <w:tr w14:paraId="2BACC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noWrap w:val="0"/>
                  <w:vAlign w:val="center"/>
                </w:tcPr>
                <w:p w14:paraId="63FDB137">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eastAsia="zh-CN"/>
                    </w:rPr>
                  </w:pPr>
                  <w:bookmarkStart w:id="392" w:name="_Toc1318"/>
                  <w:bookmarkStart w:id="393" w:name="_Toc2202"/>
                  <w:bookmarkStart w:id="394" w:name="_Toc5006"/>
                  <w:bookmarkStart w:id="395" w:name="_Toc5760"/>
                  <w:r>
                    <w:rPr>
                      <w:rFonts w:hint="default" w:ascii="Times New Roman" w:hAnsi="Times New Roman" w:eastAsia="宋体" w:cs="Times New Roman"/>
                      <w:b/>
                      <w:bCs/>
                      <w:color w:val="auto"/>
                      <w:sz w:val="21"/>
                      <w:szCs w:val="21"/>
                      <w:vertAlign w:val="baseline"/>
                      <w:lang w:eastAsia="zh-CN"/>
                    </w:rPr>
                    <w:t>地表水</w:t>
                  </w:r>
                  <w:bookmarkEnd w:id="392"/>
                  <w:bookmarkEnd w:id="393"/>
                  <w:bookmarkEnd w:id="394"/>
                  <w:bookmarkEnd w:id="395"/>
                </w:p>
                <w:p w14:paraId="7FA495FF">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eastAsia="zh-CN"/>
                    </w:rPr>
                  </w:pPr>
                  <w:bookmarkStart w:id="396" w:name="_Toc1671"/>
                  <w:bookmarkStart w:id="397" w:name="_Toc12155"/>
                  <w:bookmarkStart w:id="398" w:name="_Toc9747"/>
                  <w:bookmarkStart w:id="399" w:name="_Toc23283"/>
                  <w:r>
                    <w:rPr>
                      <w:rFonts w:hint="default" w:ascii="Times New Roman" w:hAnsi="Times New Roman" w:eastAsia="宋体" w:cs="Times New Roman"/>
                      <w:b/>
                      <w:bCs/>
                      <w:color w:val="auto"/>
                      <w:sz w:val="21"/>
                      <w:szCs w:val="21"/>
                      <w:vertAlign w:val="baseline"/>
                      <w:lang w:eastAsia="zh-CN"/>
                    </w:rPr>
                    <w:t>环境</w:t>
                  </w:r>
                  <w:bookmarkEnd w:id="396"/>
                  <w:bookmarkEnd w:id="397"/>
                  <w:bookmarkEnd w:id="398"/>
                  <w:bookmarkEnd w:id="399"/>
                </w:p>
              </w:tc>
              <w:tc>
                <w:tcPr>
                  <w:tcW w:w="1556" w:type="dxa"/>
                  <w:noWrap w:val="0"/>
                  <w:vAlign w:val="center"/>
                </w:tcPr>
                <w:p w14:paraId="209EEBED">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rPr>
                  </w:pPr>
                  <w:bookmarkStart w:id="400" w:name="_Toc26015"/>
                  <w:bookmarkStart w:id="401" w:name="_Toc28087"/>
                  <w:bookmarkStart w:id="402" w:name="_Toc32250"/>
                  <w:bookmarkStart w:id="403" w:name="_Toc14524"/>
                  <w:r>
                    <w:rPr>
                      <w:rFonts w:hint="default" w:ascii="Times New Roman" w:hAnsi="Times New Roman" w:eastAsia="宋体" w:cs="Times New Roman"/>
                      <w:b w:val="0"/>
                      <w:bCs w:val="0"/>
                      <w:color w:val="auto"/>
                      <w:sz w:val="21"/>
                      <w:szCs w:val="21"/>
                      <w:vertAlign w:val="baseline"/>
                      <w:lang w:eastAsia="zh-CN"/>
                    </w:rPr>
                    <w:t>路面径流</w:t>
                  </w:r>
                  <w:bookmarkEnd w:id="400"/>
                  <w:bookmarkEnd w:id="401"/>
                  <w:bookmarkEnd w:id="402"/>
                  <w:bookmarkEnd w:id="403"/>
                </w:p>
              </w:tc>
              <w:tc>
                <w:tcPr>
                  <w:tcW w:w="1305" w:type="dxa"/>
                  <w:noWrap w:val="0"/>
                  <w:vAlign w:val="center"/>
                </w:tcPr>
                <w:p w14:paraId="487AF50D">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rPr>
                  </w:pPr>
                  <w:bookmarkStart w:id="404" w:name="_Toc4991"/>
                  <w:bookmarkStart w:id="405" w:name="_Toc26991"/>
                  <w:bookmarkStart w:id="406" w:name="_Toc14490"/>
                  <w:bookmarkStart w:id="407" w:name="_Toc22689"/>
                  <w:r>
                    <w:rPr>
                      <w:rFonts w:hint="default" w:ascii="Times New Roman" w:hAnsi="Times New Roman" w:eastAsia="宋体" w:cs="Times New Roman"/>
                      <w:b w:val="0"/>
                      <w:bCs w:val="0"/>
                      <w:color w:val="auto"/>
                      <w:sz w:val="21"/>
                      <w:szCs w:val="21"/>
                      <w:vertAlign w:val="baseline"/>
                    </w:rPr>
                    <w:t>长期、不可逆、不利</w:t>
                  </w:r>
                  <w:bookmarkEnd w:id="404"/>
                  <w:bookmarkEnd w:id="405"/>
                  <w:bookmarkEnd w:id="406"/>
                  <w:bookmarkEnd w:id="407"/>
                </w:p>
              </w:tc>
              <w:tc>
                <w:tcPr>
                  <w:tcW w:w="4378" w:type="dxa"/>
                  <w:noWrap w:val="0"/>
                  <w:vAlign w:val="center"/>
                </w:tcPr>
                <w:p w14:paraId="4CA2193E">
                  <w:pPr>
                    <w:pStyle w:val="51"/>
                    <w:numPr>
                      <w:ilvl w:val="0"/>
                      <w:numId w:val="0"/>
                    </w:numPr>
                    <w:spacing w:before="0" w:beforeLines="0" w:line="240" w:lineRule="auto"/>
                    <w:jc w:val="left"/>
                    <w:rPr>
                      <w:rFonts w:hint="default" w:ascii="Times New Roman" w:hAnsi="Times New Roman" w:eastAsia="宋体" w:cs="Times New Roman"/>
                      <w:b w:val="0"/>
                      <w:bCs w:val="0"/>
                      <w:color w:val="auto"/>
                      <w:sz w:val="21"/>
                      <w:szCs w:val="21"/>
                      <w:vertAlign w:val="baseline"/>
                    </w:rPr>
                  </w:pPr>
                  <w:bookmarkStart w:id="408" w:name="_Toc3801"/>
                  <w:bookmarkStart w:id="409" w:name="_Toc1996"/>
                  <w:bookmarkStart w:id="410" w:name="_Toc2246"/>
                  <w:bookmarkStart w:id="411" w:name="_Toc7472"/>
                  <w:r>
                    <w:rPr>
                      <w:rFonts w:hint="default" w:ascii="Times New Roman" w:hAnsi="Times New Roman" w:eastAsia="宋体" w:cs="Times New Roman"/>
                      <w:b w:val="0"/>
                      <w:bCs w:val="0"/>
                      <w:color w:val="auto"/>
                      <w:sz w:val="21"/>
                      <w:szCs w:val="21"/>
                      <w:vertAlign w:val="baseline"/>
                    </w:rPr>
                    <w:t>降雨冲刷路面可能在路面上形成不同程度的积聚，而这些物质可能随降水而形成路面径流。</w:t>
                  </w:r>
                  <w:bookmarkEnd w:id="408"/>
                  <w:bookmarkEnd w:id="409"/>
                  <w:bookmarkEnd w:id="410"/>
                  <w:bookmarkEnd w:id="411"/>
                </w:p>
              </w:tc>
            </w:tr>
            <w:tr w14:paraId="47DF9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noWrap w:val="0"/>
                  <w:vAlign w:val="center"/>
                </w:tcPr>
                <w:p w14:paraId="34655202">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eastAsia="zh-CN"/>
                    </w:rPr>
                  </w:pPr>
                  <w:bookmarkStart w:id="412" w:name="_Toc7832"/>
                  <w:bookmarkStart w:id="413" w:name="_Toc5948"/>
                  <w:bookmarkStart w:id="414" w:name="_Toc18484"/>
                  <w:bookmarkStart w:id="415" w:name="_Toc14097"/>
                  <w:r>
                    <w:rPr>
                      <w:rFonts w:hint="default" w:ascii="Times New Roman" w:hAnsi="Times New Roman" w:eastAsia="宋体" w:cs="Times New Roman"/>
                      <w:b/>
                      <w:bCs/>
                      <w:color w:val="auto"/>
                      <w:sz w:val="21"/>
                      <w:szCs w:val="21"/>
                      <w:vertAlign w:val="baseline"/>
                      <w:lang w:eastAsia="zh-CN"/>
                    </w:rPr>
                    <w:t>生态环境</w:t>
                  </w:r>
                  <w:bookmarkEnd w:id="412"/>
                  <w:bookmarkEnd w:id="413"/>
                  <w:bookmarkEnd w:id="414"/>
                  <w:bookmarkEnd w:id="415"/>
                </w:p>
              </w:tc>
              <w:tc>
                <w:tcPr>
                  <w:tcW w:w="1556" w:type="dxa"/>
                  <w:noWrap w:val="0"/>
                  <w:vAlign w:val="center"/>
                </w:tcPr>
                <w:p w14:paraId="452C16EA">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lang w:eastAsia="zh-CN"/>
                    </w:rPr>
                  </w:pPr>
                  <w:bookmarkStart w:id="416" w:name="_Toc20303"/>
                  <w:bookmarkStart w:id="417" w:name="_Toc19639"/>
                  <w:bookmarkStart w:id="418" w:name="_Toc23227"/>
                  <w:bookmarkStart w:id="419" w:name="_Toc27304"/>
                  <w:r>
                    <w:rPr>
                      <w:rFonts w:hint="default" w:ascii="Times New Roman" w:hAnsi="Times New Roman" w:eastAsia="宋体" w:cs="Times New Roman"/>
                      <w:b w:val="0"/>
                      <w:bCs w:val="0"/>
                      <w:color w:val="auto"/>
                      <w:sz w:val="21"/>
                      <w:szCs w:val="21"/>
                      <w:vertAlign w:val="baseline"/>
                      <w:lang w:eastAsia="zh-CN"/>
                    </w:rPr>
                    <w:t>交通噪声、</w:t>
                  </w:r>
                  <w:bookmarkEnd w:id="416"/>
                  <w:bookmarkEnd w:id="417"/>
                  <w:bookmarkEnd w:id="418"/>
                  <w:bookmarkEnd w:id="419"/>
                </w:p>
                <w:p w14:paraId="25E6F569">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lang w:eastAsia="zh-CN"/>
                    </w:rPr>
                  </w:pPr>
                  <w:bookmarkStart w:id="420" w:name="_Toc30857"/>
                  <w:bookmarkStart w:id="421" w:name="_Toc16062"/>
                  <w:bookmarkStart w:id="422" w:name="_Toc17950"/>
                  <w:bookmarkStart w:id="423" w:name="_Toc11267"/>
                  <w:r>
                    <w:rPr>
                      <w:rFonts w:hint="default" w:ascii="Times New Roman" w:hAnsi="Times New Roman" w:eastAsia="宋体" w:cs="Times New Roman"/>
                      <w:b w:val="0"/>
                      <w:bCs w:val="0"/>
                      <w:color w:val="auto"/>
                      <w:sz w:val="21"/>
                      <w:szCs w:val="21"/>
                      <w:vertAlign w:val="baseline"/>
                      <w:lang w:eastAsia="zh-CN"/>
                    </w:rPr>
                    <w:t>汽车尾气</w:t>
                  </w:r>
                  <w:bookmarkEnd w:id="420"/>
                  <w:bookmarkEnd w:id="421"/>
                  <w:bookmarkEnd w:id="422"/>
                  <w:bookmarkEnd w:id="423"/>
                </w:p>
              </w:tc>
              <w:tc>
                <w:tcPr>
                  <w:tcW w:w="1305" w:type="dxa"/>
                  <w:noWrap w:val="0"/>
                  <w:vAlign w:val="center"/>
                </w:tcPr>
                <w:p w14:paraId="7CE743AB">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lang w:eastAsia="zh-CN"/>
                    </w:rPr>
                  </w:pPr>
                  <w:bookmarkStart w:id="424" w:name="_Toc19393"/>
                  <w:bookmarkStart w:id="425" w:name="_Toc9696"/>
                  <w:bookmarkStart w:id="426" w:name="_Toc28326"/>
                  <w:bookmarkStart w:id="427" w:name="_Toc25745"/>
                  <w:r>
                    <w:rPr>
                      <w:rFonts w:hint="default" w:ascii="Times New Roman" w:hAnsi="Times New Roman" w:eastAsia="宋体" w:cs="Times New Roman"/>
                      <w:b w:val="0"/>
                      <w:bCs w:val="0"/>
                      <w:color w:val="auto"/>
                      <w:sz w:val="21"/>
                      <w:szCs w:val="21"/>
                      <w:vertAlign w:val="baseline"/>
                      <w:lang w:eastAsia="zh-CN"/>
                    </w:rPr>
                    <w:t>长期、不可逆、不利</w:t>
                  </w:r>
                  <w:bookmarkEnd w:id="424"/>
                  <w:bookmarkEnd w:id="425"/>
                  <w:bookmarkEnd w:id="426"/>
                  <w:bookmarkEnd w:id="427"/>
                </w:p>
              </w:tc>
              <w:tc>
                <w:tcPr>
                  <w:tcW w:w="4378" w:type="dxa"/>
                  <w:noWrap w:val="0"/>
                  <w:vAlign w:val="center"/>
                </w:tcPr>
                <w:p w14:paraId="6E0F4AAB">
                  <w:pPr>
                    <w:pStyle w:val="51"/>
                    <w:numPr>
                      <w:ilvl w:val="0"/>
                      <w:numId w:val="0"/>
                    </w:numPr>
                    <w:spacing w:before="0" w:beforeLines="0" w:line="240" w:lineRule="auto"/>
                    <w:jc w:val="left"/>
                    <w:rPr>
                      <w:rFonts w:hint="default" w:ascii="Times New Roman" w:hAnsi="Times New Roman" w:eastAsia="宋体" w:cs="Times New Roman"/>
                      <w:b w:val="0"/>
                      <w:bCs w:val="0"/>
                      <w:color w:val="auto"/>
                      <w:sz w:val="21"/>
                      <w:szCs w:val="21"/>
                      <w:vertAlign w:val="baseline"/>
                    </w:rPr>
                  </w:pPr>
                  <w:bookmarkStart w:id="428" w:name="_Toc25002"/>
                  <w:bookmarkStart w:id="429" w:name="_Toc6282"/>
                  <w:bookmarkStart w:id="430" w:name="_Toc8372"/>
                  <w:bookmarkStart w:id="431" w:name="_Toc28320"/>
                  <w:r>
                    <w:rPr>
                      <w:rFonts w:hint="default" w:ascii="Times New Roman" w:hAnsi="Times New Roman" w:eastAsia="宋体" w:cs="Times New Roman"/>
                      <w:b w:val="0"/>
                      <w:bCs w:val="0"/>
                      <w:color w:val="auto"/>
                      <w:sz w:val="21"/>
                      <w:szCs w:val="21"/>
                      <w:vertAlign w:val="baseline"/>
                    </w:rPr>
                    <w:t>道路两侧影响带范围，鸟类、两栖生物的栖息、觅食和活动范围受到一定程度影响</w:t>
                  </w:r>
                  <w:bookmarkEnd w:id="428"/>
                  <w:bookmarkEnd w:id="429"/>
                  <w:bookmarkEnd w:id="430"/>
                  <w:bookmarkEnd w:id="431"/>
                </w:p>
              </w:tc>
            </w:tr>
            <w:tr w14:paraId="13000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noWrap w:val="0"/>
                  <w:vAlign w:val="center"/>
                </w:tcPr>
                <w:p w14:paraId="29D4A62A">
                  <w:pPr>
                    <w:pStyle w:val="51"/>
                    <w:numPr>
                      <w:ilvl w:val="0"/>
                      <w:numId w:val="0"/>
                    </w:numPr>
                    <w:spacing w:before="0" w:beforeLines="0" w:line="240" w:lineRule="auto"/>
                    <w:jc w:val="center"/>
                    <w:rPr>
                      <w:rFonts w:hint="default" w:ascii="Times New Roman" w:hAnsi="Times New Roman" w:eastAsia="宋体" w:cs="Times New Roman"/>
                      <w:b/>
                      <w:bCs/>
                      <w:color w:val="auto"/>
                      <w:sz w:val="21"/>
                      <w:szCs w:val="21"/>
                      <w:vertAlign w:val="baseline"/>
                      <w:lang w:eastAsia="zh-CN"/>
                    </w:rPr>
                  </w:pPr>
                  <w:bookmarkStart w:id="432" w:name="_Toc6830"/>
                  <w:bookmarkStart w:id="433" w:name="_Toc26583"/>
                  <w:bookmarkStart w:id="434" w:name="_Toc24749"/>
                  <w:bookmarkStart w:id="435" w:name="_Toc16266"/>
                  <w:r>
                    <w:rPr>
                      <w:rFonts w:hint="eastAsia" w:cs="Times New Roman"/>
                      <w:b/>
                      <w:bCs/>
                      <w:color w:val="auto"/>
                      <w:sz w:val="21"/>
                      <w:szCs w:val="21"/>
                      <w:vertAlign w:val="baseline"/>
                      <w:lang w:eastAsia="zh-CN"/>
                    </w:rPr>
                    <w:t>声环境</w:t>
                  </w:r>
                </w:p>
              </w:tc>
              <w:tc>
                <w:tcPr>
                  <w:tcW w:w="1556" w:type="dxa"/>
                  <w:noWrap w:val="0"/>
                  <w:vAlign w:val="center"/>
                </w:tcPr>
                <w:p w14:paraId="0AD58C3D">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lang w:eastAsia="zh-CN"/>
                    </w:rPr>
                  </w:pPr>
                  <w:r>
                    <w:rPr>
                      <w:rFonts w:hint="eastAsia" w:cs="Times New Roman"/>
                      <w:b w:val="0"/>
                      <w:bCs w:val="0"/>
                      <w:color w:val="auto"/>
                      <w:sz w:val="21"/>
                      <w:szCs w:val="21"/>
                      <w:vertAlign w:val="baseline"/>
                      <w:lang w:eastAsia="zh-CN"/>
                    </w:rPr>
                    <w:t>交通运输</w:t>
                  </w:r>
                </w:p>
              </w:tc>
              <w:tc>
                <w:tcPr>
                  <w:tcW w:w="1305" w:type="dxa"/>
                  <w:noWrap w:val="0"/>
                  <w:vAlign w:val="center"/>
                </w:tcPr>
                <w:p w14:paraId="58E54670">
                  <w:pPr>
                    <w:pStyle w:val="51"/>
                    <w:numPr>
                      <w:ilvl w:val="0"/>
                      <w:numId w:val="0"/>
                    </w:numPr>
                    <w:spacing w:before="0" w:beforeLines="0" w:line="240" w:lineRule="auto"/>
                    <w:jc w:val="center"/>
                    <w:rPr>
                      <w:rFonts w:hint="default" w:ascii="Times New Roman" w:hAnsi="Times New Roman" w:eastAsia="宋体" w:cs="Times New Roman"/>
                      <w:b w:val="0"/>
                      <w:bCs w:val="0"/>
                      <w:color w:val="auto"/>
                      <w:sz w:val="21"/>
                      <w:szCs w:val="21"/>
                      <w:vertAlign w:val="baseline"/>
                      <w:lang w:eastAsia="zh-CN"/>
                    </w:rPr>
                  </w:pPr>
                  <w:r>
                    <w:rPr>
                      <w:rFonts w:hint="default" w:ascii="Times New Roman" w:hAnsi="Times New Roman" w:eastAsia="宋体" w:cs="Times New Roman"/>
                      <w:b w:val="0"/>
                      <w:bCs w:val="0"/>
                      <w:color w:val="auto"/>
                      <w:sz w:val="21"/>
                      <w:szCs w:val="21"/>
                      <w:vertAlign w:val="baseline"/>
                      <w:lang w:eastAsia="zh-CN"/>
                    </w:rPr>
                    <w:t>长期、不可逆、不利</w:t>
                  </w:r>
                </w:p>
              </w:tc>
              <w:tc>
                <w:tcPr>
                  <w:tcW w:w="4378" w:type="dxa"/>
                  <w:noWrap w:val="0"/>
                  <w:vAlign w:val="center"/>
                </w:tcPr>
                <w:p w14:paraId="454EFF1A">
                  <w:pPr>
                    <w:pStyle w:val="51"/>
                    <w:numPr>
                      <w:ilvl w:val="0"/>
                      <w:numId w:val="0"/>
                    </w:numPr>
                    <w:spacing w:before="0" w:beforeLines="0" w:line="240" w:lineRule="auto"/>
                    <w:jc w:val="left"/>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根据调查，</w:t>
                  </w:r>
                  <w:r>
                    <w:rPr>
                      <w:rFonts w:hint="eastAsia" w:cs="Times New Roman"/>
                      <w:b w:val="0"/>
                      <w:bCs w:val="0"/>
                      <w:color w:val="auto"/>
                      <w:sz w:val="21"/>
                      <w:szCs w:val="21"/>
                      <w:vertAlign w:val="baseline"/>
                      <w:lang w:eastAsia="zh-CN"/>
                    </w:rPr>
                    <w:t>本项目</w:t>
                  </w:r>
                  <w:r>
                    <w:rPr>
                      <w:rFonts w:hint="eastAsia" w:cs="Times New Roman"/>
                      <w:b w:val="0"/>
                      <w:bCs w:val="0"/>
                      <w:color w:val="auto"/>
                      <w:sz w:val="21"/>
                      <w:szCs w:val="21"/>
                      <w:vertAlign w:val="baseline"/>
                      <w:lang w:val="en-US" w:eastAsia="zh-CN"/>
                    </w:rPr>
                    <w:t>200m范围内均拆迁，超出评价范围，本次仅对运营期噪声进行预测，不分析其对周边环境的影响</w:t>
                  </w:r>
                </w:p>
              </w:tc>
            </w:tr>
          </w:tbl>
          <w:p w14:paraId="2406E46D">
            <w:pPr>
              <w:pStyle w:val="51"/>
              <w:numPr>
                <w:ilvl w:val="0"/>
                <w:numId w:val="0"/>
              </w:numPr>
              <w:spacing w:before="0" w:beforeLines="0"/>
              <w:ind w:firstLine="480" w:firstLineChars="200"/>
              <w:rPr>
                <w:rFonts w:hint="default" w:ascii="Times New Roman" w:hAnsi="Times New Roman" w:eastAsia="宋体" w:cs="Times New Roman"/>
                <w:b w:val="0"/>
                <w:color w:val="auto"/>
                <w:sz w:val="24"/>
                <w:szCs w:val="18"/>
                <w:highlight w:val="none"/>
                <w:lang w:val="en-US" w:eastAsia="zh-CN"/>
              </w:rPr>
            </w:pPr>
            <w:r>
              <w:rPr>
                <w:rFonts w:hint="default" w:ascii="Times New Roman" w:hAnsi="Times New Roman" w:eastAsia="宋体" w:cs="Times New Roman"/>
                <w:b w:val="0"/>
                <w:color w:val="auto"/>
                <w:sz w:val="24"/>
                <w:szCs w:val="18"/>
                <w:highlight w:val="none"/>
                <w:lang w:val="en-US" w:eastAsia="zh-CN"/>
              </w:rPr>
              <w:t>随着本项目的建设运营，主要的污染源为交通噪声、汽车尾气和雨季路面径流。</w:t>
            </w:r>
            <w:bookmarkEnd w:id="432"/>
            <w:bookmarkEnd w:id="433"/>
            <w:bookmarkEnd w:id="434"/>
            <w:bookmarkEnd w:id="435"/>
          </w:p>
          <w:p w14:paraId="6618C9E6">
            <w:pPr>
              <w:adjustRightInd w:val="0"/>
              <w:snapToGrid w:val="0"/>
              <w:spacing w:line="360" w:lineRule="auto"/>
              <w:ind w:firstLine="482" w:firstLineChars="200"/>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lang w:val="en-US" w:eastAsia="zh-CN"/>
              </w:rPr>
              <w:t>1、</w:t>
            </w:r>
            <w:r>
              <w:rPr>
                <w:rFonts w:hint="default" w:ascii="Times New Roman" w:hAnsi="Times New Roman" w:cs="Times New Roman"/>
                <w:b/>
                <w:bCs/>
                <w:color w:val="auto"/>
                <w:sz w:val="24"/>
                <w:szCs w:val="32"/>
                <w:highlight w:val="none"/>
              </w:rPr>
              <w:t>生态影响</w:t>
            </w:r>
          </w:p>
          <w:p w14:paraId="56637112">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工程营运期对动物的影响主要是车辆行驶噪声、灯光以及道路的阻隔等。本项目道路较短，总长仅</w:t>
            </w:r>
            <w:r>
              <w:rPr>
                <w:rFonts w:hint="eastAsia" w:ascii="Times New Roman" w:hAnsi="Times New Roman" w:cs="Times New Roman"/>
                <w:color w:val="auto"/>
                <w:sz w:val="24"/>
                <w:szCs w:val="24"/>
                <w:highlight w:val="none"/>
                <w:lang w:val="en-US" w:eastAsia="zh-CN"/>
              </w:rPr>
              <w:t>2.34</w:t>
            </w:r>
            <w:r>
              <w:rPr>
                <w:rFonts w:hint="default" w:ascii="Times New Roman" w:hAnsi="Times New Roman" w:cs="Times New Roman"/>
                <w:color w:val="auto"/>
                <w:sz w:val="24"/>
                <w:szCs w:val="24"/>
                <w:highlight w:val="none"/>
                <w:lang w:val="en-US" w:eastAsia="zh-CN"/>
              </w:rPr>
              <w:t>km，沿线共有涵洞</w:t>
            </w:r>
            <w:r>
              <w:rPr>
                <w:rFonts w:hint="eastAsia" w:ascii="Times New Roman" w:hAnsi="Times New Roman" w:cs="Times New Roman"/>
                <w:color w:val="auto"/>
                <w:sz w:val="24"/>
                <w:szCs w:val="24"/>
                <w:highlight w:val="none"/>
                <w:lang w:val="en-US" w:eastAsia="zh-CN"/>
              </w:rPr>
              <w:t>17</w:t>
            </w:r>
            <w:r>
              <w:rPr>
                <w:rFonts w:hint="default" w:ascii="Times New Roman" w:hAnsi="Times New Roman" w:cs="Times New Roman"/>
                <w:color w:val="auto"/>
                <w:sz w:val="24"/>
                <w:szCs w:val="24"/>
                <w:highlight w:val="none"/>
                <w:lang w:val="en-US" w:eastAsia="zh-CN"/>
              </w:rPr>
              <w:t>道，根据对公路两侧动物现状调查结果表明，现有通道基本能满足公路两侧两栖类和爬行类动物的通行要求。</w:t>
            </w:r>
          </w:p>
          <w:p w14:paraId="1F8B1F9B">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由于施工期工程人员、工程建筑材料及车辆的反复进入，可能会无意中将外来物种带进施工区域，在项目建设过程中要加强动植物检验检疫工作，防范和阻止外来物种的入侵。</w:t>
            </w:r>
          </w:p>
          <w:p w14:paraId="5D6A8B00">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项目占地区域内均采取硬化处理或植物措施，植物措施会随着时间的推移逐渐发挥生态恢复作用，建设项目运营期生态环境影响逐渐减弱。</w:t>
            </w:r>
          </w:p>
          <w:p w14:paraId="030F8B22">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详见生态影响专项评价。</w:t>
            </w:r>
          </w:p>
          <w:p w14:paraId="7ECB5A78">
            <w:pPr>
              <w:adjustRightInd w:val="0"/>
              <w:snapToGrid w:val="0"/>
              <w:spacing w:line="360" w:lineRule="auto"/>
              <w:ind w:firstLine="482" w:firstLineChars="200"/>
              <w:rPr>
                <w:rFonts w:hint="default" w:ascii="Times New Roman" w:hAnsi="Times New Roman" w:eastAsia="宋体" w:cs="Times New Roman"/>
                <w:color w:val="auto"/>
                <w:kern w:val="0"/>
                <w:sz w:val="24"/>
                <w:szCs w:val="21"/>
                <w:lang w:eastAsia="zh-CN" w:bidi="ar-SA"/>
              </w:rPr>
            </w:pPr>
            <w:r>
              <w:rPr>
                <w:rFonts w:hint="default" w:ascii="Times New Roman" w:hAnsi="Times New Roman" w:cs="Times New Roman"/>
                <w:b/>
                <w:bCs/>
                <w:color w:val="auto"/>
                <w:sz w:val="24"/>
                <w:szCs w:val="32"/>
                <w:lang w:val="en-US" w:eastAsia="zh-CN"/>
              </w:rPr>
              <w:t>2、</w:t>
            </w:r>
            <w:r>
              <w:rPr>
                <w:rFonts w:hint="default" w:ascii="Times New Roman" w:hAnsi="Times New Roman" w:cs="Times New Roman"/>
                <w:b/>
                <w:bCs/>
                <w:color w:val="auto"/>
                <w:sz w:val="24"/>
                <w:szCs w:val="32"/>
                <w:lang w:eastAsia="zh-CN"/>
              </w:rPr>
              <w:t>废气</w:t>
            </w:r>
          </w:p>
          <w:p w14:paraId="262E80C1">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项目运营期废气主要为</w:t>
            </w:r>
            <w:r>
              <w:rPr>
                <w:rFonts w:hint="default" w:ascii="Times New Roman" w:hAnsi="Times New Roman" w:eastAsia="宋体" w:cs="Times New Roman"/>
                <w:color w:val="auto"/>
                <w:sz w:val="24"/>
                <w:szCs w:val="32"/>
              </w:rPr>
              <w:t>汽车尾气</w:t>
            </w:r>
            <w:r>
              <w:rPr>
                <w:rFonts w:hint="default" w:ascii="Times New Roman" w:hAnsi="Times New Roman" w:eastAsia="宋体" w:cs="Times New Roman"/>
                <w:color w:val="auto"/>
                <w:sz w:val="24"/>
                <w:szCs w:val="32"/>
                <w:lang w:val="en-US" w:eastAsia="zh-CN"/>
              </w:rPr>
              <w:t>和汽车行驶产生的扬尘。</w:t>
            </w:r>
          </w:p>
          <w:p w14:paraId="03EA79CC">
            <w:pPr>
              <w:adjustRightInd w:val="0"/>
              <w:snapToGrid w:val="0"/>
              <w:spacing w:line="360" w:lineRule="auto"/>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汽车尾气主要为柴油、汽油等机动车燃料因含有添加剂和杂质，在不完全燃烧时，所排放的一些有害物质，汽车尾气成分较为复杂，其中主要污染物CO、NOx、THC等</w:t>
            </w:r>
            <w:r>
              <w:rPr>
                <w:rFonts w:hint="default" w:ascii="Times New Roman" w:hAnsi="Times New Roman" w:eastAsia="宋体" w:cs="Times New Roman"/>
                <w:color w:val="auto"/>
                <w:sz w:val="24"/>
                <w:szCs w:val="32"/>
                <w:lang w:eastAsia="zh-CN"/>
              </w:rPr>
              <w:t>，</w:t>
            </w:r>
            <w:r>
              <w:rPr>
                <w:rFonts w:hint="default" w:ascii="Times New Roman" w:hAnsi="Times New Roman" w:eastAsia="宋体" w:cs="Times New Roman"/>
                <w:color w:val="auto"/>
                <w:sz w:val="24"/>
                <w:szCs w:val="32"/>
                <w:lang w:val="en-US" w:eastAsia="zh-CN"/>
              </w:rPr>
              <w:t>同时汽车行驶会产生的扬尘，</w:t>
            </w:r>
            <w:r>
              <w:rPr>
                <w:rFonts w:hint="default" w:ascii="Times New Roman" w:hAnsi="Times New Roman" w:eastAsia="宋体" w:cs="Times New Roman"/>
                <w:color w:val="auto"/>
                <w:sz w:val="24"/>
                <w:szCs w:val="32"/>
              </w:rPr>
              <w:t>因路均为露天，污染物扩散条件良好，汽车尾气</w:t>
            </w:r>
            <w:r>
              <w:rPr>
                <w:rFonts w:hint="default" w:ascii="Times New Roman" w:hAnsi="Times New Roman" w:eastAsia="宋体" w:cs="Times New Roman"/>
                <w:color w:val="auto"/>
                <w:sz w:val="24"/>
                <w:szCs w:val="32"/>
                <w:lang w:val="en-US" w:eastAsia="zh-CN"/>
              </w:rPr>
              <w:t>及汽车行驶产生的扬尘</w:t>
            </w:r>
            <w:r>
              <w:rPr>
                <w:rFonts w:hint="default" w:ascii="Times New Roman" w:hAnsi="Times New Roman" w:eastAsia="宋体" w:cs="Times New Roman"/>
                <w:color w:val="auto"/>
                <w:sz w:val="24"/>
                <w:szCs w:val="32"/>
              </w:rPr>
              <w:t>对环境空气的影响较小。</w:t>
            </w:r>
          </w:p>
          <w:p w14:paraId="77339BB2">
            <w:pPr>
              <w:adjustRightInd w:val="0"/>
              <w:snapToGrid w:val="0"/>
              <w:spacing w:line="360" w:lineRule="auto"/>
              <w:ind w:firstLine="482" w:firstLineChars="200"/>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lang w:val="en-US" w:eastAsia="zh-CN"/>
              </w:rPr>
              <w:t>3、</w:t>
            </w:r>
            <w:r>
              <w:rPr>
                <w:rFonts w:hint="default" w:ascii="Times New Roman" w:hAnsi="Times New Roman" w:cs="Times New Roman"/>
                <w:b/>
                <w:bCs/>
                <w:color w:val="auto"/>
                <w:sz w:val="24"/>
                <w:szCs w:val="32"/>
              </w:rPr>
              <w:t>废水</w:t>
            </w:r>
          </w:p>
          <w:p w14:paraId="55950716">
            <w:pPr>
              <w:adjustRightInd w:val="0"/>
              <w:snapToGrid w:val="0"/>
              <w:spacing w:line="360" w:lineRule="auto"/>
              <w:ind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本项目不设服务设施，因此该项目在运营期无生活污水产生。</w:t>
            </w:r>
          </w:p>
          <w:p w14:paraId="04CF2830">
            <w:pPr>
              <w:adjustRightInd w:val="0"/>
              <w:snapToGrid w:val="0"/>
              <w:spacing w:line="360" w:lineRule="auto"/>
              <w:ind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在道路建成运营后，道路交通对沿线水质的主要影响因素是运行车辆所泄漏的石油类物质，通过地表径流流入</w:t>
            </w:r>
            <w:r>
              <w:rPr>
                <w:rFonts w:hint="default" w:ascii="Times New Roman" w:hAnsi="Times New Roman" w:cs="Times New Roman"/>
                <w:color w:val="auto"/>
                <w:sz w:val="24"/>
                <w:szCs w:val="32"/>
                <w:highlight w:val="none"/>
                <w:lang w:val="en-US" w:eastAsia="zh-CN"/>
              </w:rPr>
              <w:t>排水沟</w:t>
            </w:r>
            <w:r>
              <w:rPr>
                <w:rFonts w:hint="default" w:ascii="Times New Roman" w:hAnsi="Times New Roman" w:cs="Times New Roman"/>
                <w:color w:val="auto"/>
                <w:sz w:val="24"/>
                <w:szCs w:val="32"/>
                <w:highlight w:val="none"/>
              </w:rPr>
              <w:t>。路面径流是运营期产生的非经常性污水，根据调查影响道路地表径流水量和水质的因素较多，包括降雨量、车流量、两场降雨之间的时间间隔等，其水质变化幅度很大。</w:t>
            </w:r>
          </w:p>
          <w:p w14:paraId="4B0A8EF1">
            <w:pPr>
              <w:adjustRightInd w:val="0"/>
              <w:snapToGrid w:val="0"/>
              <w:spacing w:line="360" w:lineRule="auto"/>
              <w:ind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降雨初期，路面径流所夹带的污染物成分主要是悬浮物，还有遗撒在道路上的少量石油类，这些物质经过运行车辆轮胎的挤压，随轮胎带走一部分，其余部分物质量较小。只有在大雨季节路面径流排入路面两侧</w:t>
            </w:r>
            <w:r>
              <w:rPr>
                <w:rFonts w:hint="default" w:ascii="Times New Roman" w:hAnsi="Times New Roman" w:cs="Times New Roman"/>
                <w:color w:val="auto"/>
                <w:sz w:val="24"/>
                <w:szCs w:val="32"/>
                <w:highlight w:val="none"/>
                <w:lang w:val="en-US" w:eastAsia="zh-CN"/>
              </w:rPr>
              <w:t>排水沟</w:t>
            </w:r>
            <w:r>
              <w:rPr>
                <w:rFonts w:hint="default" w:ascii="Times New Roman" w:hAnsi="Times New Roman" w:cs="Times New Roman"/>
                <w:color w:val="auto"/>
                <w:sz w:val="24"/>
                <w:szCs w:val="32"/>
                <w:highlight w:val="none"/>
              </w:rPr>
              <w:t>。</w:t>
            </w:r>
          </w:p>
          <w:p w14:paraId="3101AFE2">
            <w:pPr>
              <w:adjustRightInd w:val="0"/>
              <w:snapToGrid w:val="0"/>
              <w:spacing w:line="360" w:lineRule="auto"/>
              <w:ind w:firstLine="482" w:firstLineChars="200"/>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lang w:val="en-US" w:eastAsia="zh-CN"/>
              </w:rPr>
              <w:t>4、</w:t>
            </w:r>
            <w:r>
              <w:rPr>
                <w:rFonts w:hint="default" w:ascii="Times New Roman" w:hAnsi="Times New Roman" w:cs="Times New Roman"/>
                <w:b/>
                <w:bCs/>
                <w:color w:val="auto"/>
                <w:sz w:val="24"/>
                <w:szCs w:val="32"/>
                <w:highlight w:val="none"/>
              </w:rPr>
              <w:t>噪声</w:t>
            </w:r>
          </w:p>
          <w:p w14:paraId="06E8031E">
            <w:pPr>
              <w:pStyle w:val="69"/>
              <w:ind w:firstLine="480"/>
              <w:rPr>
                <w:rFonts w:hint="default" w:ascii="Times New Roman" w:hAnsi="Times New Roman" w:cs="Times New Roman"/>
                <w:b/>
                <w:bCs/>
                <w:color w:val="auto"/>
                <w:sz w:val="24"/>
                <w:szCs w:val="24"/>
              </w:rPr>
            </w:pPr>
            <w:r>
              <w:rPr>
                <w:rFonts w:hint="eastAsia" w:ascii="Times New Roman" w:hAnsi="Times New Roman" w:cs="Times New Roman"/>
                <w:b/>
                <w:bCs/>
                <w:color w:val="auto"/>
                <w:sz w:val="24"/>
                <w:szCs w:val="24"/>
                <w:lang w:val="en-US" w:eastAsia="zh-CN"/>
              </w:rPr>
              <w:t>4.1</w:t>
            </w:r>
            <w:r>
              <w:rPr>
                <w:rFonts w:hint="default" w:ascii="Times New Roman" w:hAnsi="Times New Roman" w:cs="Times New Roman"/>
                <w:b/>
                <w:bCs/>
                <w:color w:val="auto"/>
                <w:sz w:val="24"/>
                <w:szCs w:val="24"/>
              </w:rPr>
              <w:t>运营期噪声源分析</w:t>
            </w:r>
          </w:p>
          <w:p w14:paraId="20801DB4">
            <w:pPr>
              <w:pStyle w:val="69"/>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运营期噪声污染源主要为道路行驶汽车交通噪声。</w:t>
            </w:r>
          </w:p>
          <w:p w14:paraId="6AFF0149">
            <w:pPr>
              <w:pStyle w:val="69"/>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（1）各预测年车流量</w:t>
            </w:r>
          </w:p>
          <w:p w14:paraId="0D41606C">
            <w:pPr>
              <w:pStyle w:val="69"/>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根据《公路建设项目环境影响评价规范》（JTG B03-2006）中相关规范，结合本项目</w:t>
            </w:r>
            <w:r>
              <w:rPr>
                <w:rFonts w:hint="default" w:ascii="Times New Roman" w:hAnsi="Times New Roman" w:eastAsia="宋体" w:cs="Times New Roman"/>
                <w:b w:val="0"/>
                <w:bCs w:val="0"/>
                <w:snapToGrid/>
                <w:color w:val="auto"/>
                <w:spacing w:val="-1"/>
                <w:kern w:val="2"/>
                <w:sz w:val="24"/>
                <w:szCs w:val="24"/>
                <w:lang w:val="en-US" w:eastAsia="zh-CN" w:bidi="ar-SA"/>
              </w:rPr>
              <w:t>初步设计报告</w:t>
            </w:r>
            <w:r>
              <w:rPr>
                <w:rFonts w:hint="default" w:ascii="Times New Roman" w:hAnsi="Times New Roman" w:cs="Times New Roman"/>
                <w:color w:val="auto"/>
                <w:highlight w:val="none"/>
              </w:rPr>
              <w:t>中车型比，得出各预测年车型构成比及各车型小时车流量。</w:t>
            </w:r>
          </w:p>
          <w:p w14:paraId="50E8894F">
            <w:pPr>
              <w:pStyle w:val="69"/>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（2）单车行驶速度</w:t>
            </w:r>
          </w:p>
          <w:p w14:paraId="3BF069C3">
            <w:pPr>
              <w:pStyle w:val="69"/>
              <w:ind w:firstLine="480"/>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根据</w:t>
            </w:r>
            <w:r>
              <w:rPr>
                <w:rFonts w:hint="default" w:ascii="Times New Roman" w:hAnsi="Times New Roman" w:cs="Times New Roman"/>
                <w:color w:val="auto"/>
                <w:highlight w:val="none"/>
              </w:rPr>
              <w:t>《环境影响评价技术导则 公路建设项目》（HJ1358-2024）计算平均车速，车速取值有公式计算和实际类比两种办法，本次计算采用公式计算模式。车速计算公式如下：</w:t>
            </w:r>
          </w:p>
          <w:p w14:paraId="1F6D690B">
            <w:pPr>
              <w:widowControl/>
              <w:adjustRightInd w:val="0"/>
              <w:snapToGrid w:val="0"/>
              <w:spacing w:line="360" w:lineRule="auto"/>
              <w:jc w:val="center"/>
              <w:rPr>
                <w:rFonts w:hint="default" w:ascii="Times New Roman" w:hAnsi="Times New Roman" w:cs="Times New Roman"/>
                <w:b/>
                <w:color w:val="auto"/>
                <w:szCs w:val="21"/>
                <w:highlight w:val="none"/>
              </w:rPr>
            </w:pPr>
            <w:r>
              <w:rPr>
                <w:rFonts w:hint="default" w:ascii="Times New Roman" w:hAnsi="Times New Roman" w:cs="Times New Roman"/>
                <w:color w:val="auto"/>
                <w:position w:val="-30"/>
                <w:szCs w:val="21"/>
                <w:highlight w:val="none"/>
                <w:lang w:val="zh-CN"/>
              </w:rPr>
              <w:object>
                <v:shape id="_x0000_i1025" o:spt="75" type="#_x0000_t75" style="height:34.2pt;width:163.15pt;" o:ole="t" filled="f" o:preferrelative="t" stroked="f" coordsize="21600,21600">
                  <v:path/>
                  <v:fill on="f" focussize="0,0"/>
                  <v:stroke on="f"/>
                  <v:imagedata r:id="rId39" o:title=""/>
                  <o:lock v:ext="edit" aspectratio="t"/>
                  <w10:wrap type="none"/>
                  <w10:anchorlock/>
                </v:shape>
                <o:OLEObject Type="Embed" ProgID="Equation.3" ShapeID="_x0000_i1025" DrawAspect="Content" ObjectID="_1468075725" r:id="rId38">
                  <o:LockedField>false</o:LockedField>
                </o:OLEObject>
              </w:object>
            </w:r>
          </w:p>
          <w:p w14:paraId="5A0E264A">
            <w:pPr>
              <w:widowControl/>
              <w:adjustRightInd w:val="0"/>
              <w:snapToGrid w:val="0"/>
              <w:spacing w:line="360" w:lineRule="auto"/>
              <w:jc w:val="center"/>
              <w:rPr>
                <w:rFonts w:hint="default" w:ascii="Times New Roman" w:hAnsi="Times New Roman" w:cs="Times New Roman"/>
                <w:b/>
                <w:color w:val="auto"/>
                <w:szCs w:val="21"/>
                <w:highlight w:val="none"/>
              </w:rPr>
            </w:pPr>
            <w:r>
              <w:rPr>
                <w:rFonts w:hint="default" w:ascii="Times New Roman" w:hAnsi="Times New Roman" w:cs="Times New Roman"/>
                <w:color w:val="auto"/>
                <w:position w:val="-12"/>
                <w:szCs w:val="21"/>
                <w:highlight w:val="none"/>
                <w:lang w:val="zh-CN"/>
              </w:rPr>
              <w:object>
                <v:shape id="_x0000_i1026" o:spt="75" type="#_x0000_t75" style="height:19.2pt;width:114pt;" o:ole="t" filled="f" o:preferrelative="t" stroked="f" coordsize="21600,21600">
                  <v:path/>
                  <v:fill on="f" focussize="0,0"/>
                  <v:stroke on="f" joinstyle="miter"/>
                  <v:imagedata r:id="rId41" o:title=""/>
                  <o:lock v:ext="edit" aspectratio="t"/>
                  <w10:wrap type="none"/>
                  <w10:anchorlock/>
                </v:shape>
                <o:OLEObject Type="Embed" ProgID="Equation.3" ShapeID="_x0000_i1026" DrawAspect="Content" ObjectID="_1468075726" r:id="rId40">
                  <o:LockedField>false</o:LockedField>
                </o:OLEObject>
              </w:object>
            </w:r>
          </w:p>
          <w:p w14:paraId="67EE2B8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p>
          <w:p w14:paraId="5B701E55">
            <w:pPr>
              <w:spacing w:line="360" w:lineRule="auto"/>
              <w:ind w:firstLine="480" w:firstLineChars="20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V</w:t>
            </w:r>
            <w:r>
              <w:rPr>
                <w:rFonts w:hint="default" w:ascii="Times New Roman" w:hAnsi="Times New Roman" w:cs="Times New Roman"/>
                <w:color w:val="auto"/>
                <w:sz w:val="24"/>
                <w:highlight w:val="none"/>
              </w:rPr>
              <w:t>i—</w:t>
            </w:r>
            <w:r>
              <w:rPr>
                <w:rFonts w:hint="eastAsia" w:ascii="Times New Roman" w:hAnsi="Times New Roman" w:cs="Times New Roman"/>
                <w:color w:val="auto"/>
                <w:sz w:val="24"/>
                <w:highlight w:val="none"/>
                <w:lang w:val="en-US" w:eastAsia="zh-CN"/>
              </w:rPr>
              <w:t>平均车速，km/h</w:t>
            </w:r>
            <w:r>
              <w:rPr>
                <w:rFonts w:hint="default" w:ascii="Times New Roman" w:hAnsi="Times New Roman" w:cs="Times New Roman"/>
                <w:color w:val="auto"/>
                <w:sz w:val="24"/>
                <w:highlight w:val="none"/>
              </w:rPr>
              <w:t>；</w:t>
            </w:r>
          </w:p>
          <w:p w14:paraId="5C6E7D04">
            <w:pPr>
              <w:spacing w:line="360" w:lineRule="auto"/>
              <w:ind w:firstLine="480" w:firstLineChars="20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Vd</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设计车速</w:t>
            </w:r>
            <w:r>
              <w:rPr>
                <w:rFonts w:hint="default" w:ascii="Times New Roman" w:hAnsi="Times New Roman" w:cs="Times New Roman"/>
                <w:color w:val="auto"/>
                <w:sz w:val="24"/>
                <w:highlight w:val="none"/>
              </w:rPr>
              <w:t>；</w:t>
            </w:r>
          </w:p>
          <w:p w14:paraId="6DF9A1E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ηi—该车型的车型比；</w:t>
            </w:r>
          </w:p>
          <w:p w14:paraId="6938D1DE">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vol—单车道车流量，辆/h。</w:t>
            </w:r>
          </w:p>
          <w:p w14:paraId="019C8A1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m—其他2种车型的加权系数。</w:t>
            </w:r>
          </w:p>
          <w:p w14:paraId="51A1943E">
            <w:pPr>
              <w:spacing w:line="360" w:lineRule="auto"/>
              <w:ind w:firstLine="48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 w:val="24"/>
                <w:highlight w:val="none"/>
              </w:rPr>
              <w:t>k</w:t>
            </w:r>
            <w:r>
              <w:rPr>
                <w:rFonts w:hint="default" w:ascii="Times New Roman" w:hAnsi="Times New Roman" w:cs="Times New Roman"/>
                <w:color w:val="auto"/>
                <w:sz w:val="24"/>
                <w:highlight w:val="none"/>
                <w:vertAlign w:val="subscript"/>
              </w:rPr>
              <w:t>1</w:t>
            </w:r>
            <w:r>
              <w:rPr>
                <w:rFonts w:hint="default" w:ascii="Times New Roman" w:hAnsi="Times New Roman" w:cs="Times New Roman"/>
                <w:color w:val="auto"/>
                <w:sz w:val="24"/>
                <w:highlight w:val="none"/>
              </w:rPr>
              <w:t>、k</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、k</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、k</w:t>
            </w:r>
            <w:r>
              <w:rPr>
                <w:rFonts w:hint="default" w:ascii="Times New Roman" w:hAnsi="Times New Roman" w:cs="Times New Roman"/>
                <w:color w:val="auto"/>
                <w:sz w:val="24"/>
                <w:highlight w:val="none"/>
                <w:vertAlign w:val="subscript"/>
              </w:rPr>
              <w:t>4</w:t>
            </w:r>
            <w:r>
              <w:rPr>
                <w:rFonts w:hint="default" w:ascii="Times New Roman" w:hAnsi="Times New Roman" w:cs="Times New Roman"/>
                <w:color w:val="auto"/>
                <w:sz w:val="24"/>
                <w:highlight w:val="none"/>
              </w:rPr>
              <w:t>分别为系数，见</w:t>
            </w:r>
            <w:r>
              <w:rPr>
                <w:rFonts w:hint="default" w:ascii="Times New Roman" w:hAnsi="Times New Roman" w:cs="Times New Roman"/>
                <w:color w:val="auto"/>
                <w:sz w:val="24"/>
                <w:highlight w:val="none"/>
                <w:lang w:val="en-US" w:eastAsia="zh-CN"/>
              </w:rPr>
              <w:t>下表</w:t>
            </w:r>
            <w:r>
              <w:rPr>
                <w:rFonts w:hint="default" w:ascii="Times New Roman" w:hAnsi="Times New Roman" w:cs="Times New Roman"/>
                <w:color w:val="auto"/>
                <w:sz w:val="24"/>
                <w:highlight w:val="none"/>
              </w:rPr>
              <w:t>。</w:t>
            </w:r>
          </w:p>
          <w:p w14:paraId="7B5F65D4">
            <w:pPr>
              <w:pStyle w:val="67"/>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4-6</w:t>
            </w:r>
            <w:r>
              <w:rPr>
                <w:rFonts w:hint="default" w:ascii="Times New Roman" w:hAnsi="Times New Roman" w:cs="Times New Roman"/>
                <w:color w:val="auto"/>
                <w:highlight w:val="none"/>
              </w:rPr>
              <w:t xml:space="preserve"> 车速计算公式系数</w:t>
            </w:r>
          </w:p>
          <w:tbl>
            <w:tblPr>
              <w:tblStyle w:val="29"/>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5"/>
              <w:gridCol w:w="1535"/>
              <w:gridCol w:w="1132"/>
              <w:gridCol w:w="1983"/>
              <w:gridCol w:w="1383"/>
              <w:gridCol w:w="1284"/>
            </w:tblGrid>
            <w:tr w14:paraId="1F119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blHeader/>
                <w:jc w:val="center"/>
              </w:trPr>
              <w:tc>
                <w:tcPr>
                  <w:tcW w:w="1205" w:type="dxa"/>
                  <w:vAlign w:val="center"/>
                </w:tcPr>
                <w:p w14:paraId="1B59973E">
                  <w:pPr>
                    <w:pStyle w:val="68"/>
                    <w:rPr>
                      <w:rFonts w:hint="default" w:ascii="Times New Roman" w:hAnsi="Times New Roman" w:cs="Times New Roman"/>
                      <w:b/>
                      <w:color w:val="auto"/>
                      <w:highlight w:val="none"/>
                    </w:rPr>
                  </w:pPr>
                  <w:r>
                    <w:rPr>
                      <w:rFonts w:hint="default" w:ascii="Times New Roman" w:hAnsi="Times New Roman" w:cs="Times New Roman"/>
                      <w:b/>
                      <w:color w:val="auto"/>
                      <w:highlight w:val="none"/>
                    </w:rPr>
                    <w:t>车型</w:t>
                  </w:r>
                </w:p>
              </w:tc>
              <w:tc>
                <w:tcPr>
                  <w:tcW w:w="1535" w:type="dxa"/>
                  <w:vAlign w:val="center"/>
                </w:tcPr>
                <w:p w14:paraId="1A972A71">
                  <w:pPr>
                    <w:pStyle w:val="68"/>
                    <w:rPr>
                      <w:rFonts w:hint="default" w:ascii="Times New Roman" w:hAnsi="Times New Roman" w:cs="Times New Roman"/>
                      <w:b/>
                      <w:i/>
                      <w:color w:val="auto"/>
                      <w:highlight w:val="none"/>
                    </w:rPr>
                  </w:pPr>
                  <w:r>
                    <w:rPr>
                      <w:rFonts w:hint="default" w:ascii="Times New Roman" w:hAnsi="Times New Roman" w:cs="Times New Roman"/>
                      <w:b/>
                      <w:i/>
                      <w:color w:val="auto"/>
                      <w:highlight w:val="none"/>
                    </w:rPr>
                    <w:t>K</w:t>
                  </w:r>
                  <w:r>
                    <w:rPr>
                      <w:rFonts w:hint="default" w:ascii="Times New Roman" w:hAnsi="Times New Roman" w:cs="Times New Roman"/>
                      <w:b/>
                      <w:i/>
                      <w:color w:val="auto"/>
                      <w:highlight w:val="none"/>
                      <w:vertAlign w:val="subscript"/>
                    </w:rPr>
                    <w:t>1</w:t>
                  </w:r>
                </w:p>
              </w:tc>
              <w:tc>
                <w:tcPr>
                  <w:tcW w:w="1132" w:type="dxa"/>
                  <w:vAlign w:val="center"/>
                </w:tcPr>
                <w:p w14:paraId="0812D2B3">
                  <w:pPr>
                    <w:pStyle w:val="68"/>
                    <w:rPr>
                      <w:rFonts w:hint="default" w:ascii="Times New Roman" w:hAnsi="Times New Roman" w:cs="Times New Roman"/>
                      <w:b/>
                      <w:i/>
                      <w:color w:val="auto"/>
                      <w:highlight w:val="none"/>
                    </w:rPr>
                  </w:pPr>
                  <w:r>
                    <w:rPr>
                      <w:rFonts w:hint="default" w:ascii="Times New Roman" w:hAnsi="Times New Roman" w:cs="Times New Roman"/>
                      <w:b/>
                      <w:i/>
                      <w:color w:val="auto"/>
                      <w:highlight w:val="none"/>
                    </w:rPr>
                    <w:t>K</w:t>
                  </w:r>
                  <w:r>
                    <w:rPr>
                      <w:rFonts w:hint="default" w:ascii="Times New Roman" w:hAnsi="Times New Roman" w:cs="Times New Roman"/>
                      <w:b/>
                      <w:i/>
                      <w:color w:val="auto"/>
                      <w:highlight w:val="none"/>
                      <w:vertAlign w:val="subscript"/>
                    </w:rPr>
                    <w:t>2</w:t>
                  </w:r>
                </w:p>
              </w:tc>
              <w:tc>
                <w:tcPr>
                  <w:tcW w:w="1983" w:type="dxa"/>
                  <w:vAlign w:val="center"/>
                </w:tcPr>
                <w:p w14:paraId="07E65B7A">
                  <w:pPr>
                    <w:pStyle w:val="68"/>
                    <w:rPr>
                      <w:rFonts w:hint="default" w:ascii="Times New Roman" w:hAnsi="Times New Roman" w:cs="Times New Roman"/>
                      <w:b/>
                      <w:i/>
                      <w:color w:val="auto"/>
                      <w:highlight w:val="none"/>
                    </w:rPr>
                  </w:pPr>
                  <w:r>
                    <w:rPr>
                      <w:rFonts w:hint="default" w:ascii="Times New Roman" w:hAnsi="Times New Roman" w:cs="Times New Roman"/>
                      <w:b/>
                      <w:i/>
                      <w:color w:val="auto"/>
                      <w:highlight w:val="none"/>
                    </w:rPr>
                    <w:t>K</w:t>
                  </w:r>
                  <w:r>
                    <w:rPr>
                      <w:rFonts w:hint="default" w:ascii="Times New Roman" w:hAnsi="Times New Roman" w:cs="Times New Roman"/>
                      <w:b/>
                      <w:i/>
                      <w:color w:val="auto"/>
                      <w:highlight w:val="none"/>
                      <w:vertAlign w:val="subscript"/>
                    </w:rPr>
                    <w:t>3</w:t>
                  </w:r>
                </w:p>
              </w:tc>
              <w:tc>
                <w:tcPr>
                  <w:tcW w:w="1383" w:type="dxa"/>
                  <w:vAlign w:val="center"/>
                </w:tcPr>
                <w:p w14:paraId="08B76CA9">
                  <w:pPr>
                    <w:pStyle w:val="68"/>
                    <w:rPr>
                      <w:rFonts w:hint="default" w:ascii="Times New Roman" w:hAnsi="Times New Roman" w:cs="Times New Roman"/>
                      <w:b/>
                      <w:i/>
                      <w:color w:val="auto"/>
                      <w:highlight w:val="none"/>
                    </w:rPr>
                  </w:pPr>
                  <w:r>
                    <w:rPr>
                      <w:rFonts w:hint="default" w:ascii="Times New Roman" w:hAnsi="Times New Roman" w:cs="Times New Roman"/>
                      <w:b/>
                      <w:i/>
                      <w:color w:val="auto"/>
                      <w:highlight w:val="none"/>
                    </w:rPr>
                    <w:t>K</w:t>
                  </w:r>
                  <w:r>
                    <w:rPr>
                      <w:rFonts w:hint="default" w:ascii="Times New Roman" w:hAnsi="Times New Roman" w:cs="Times New Roman"/>
                      <w:b/>
                      <w:i/>
                      <w:color w:val="auto"/>
                      <w:highlight w:val="none"/>
                      <w:vertAlign w:val="subscript"/>
                    </w:rPr>
                    <w:t>4</w:t>
                  </w:r>
                </w:p>
              </w:tc>
              <w:tc>
                <w:tcPr>
                  <w:tcW w:w="1284" w:type="dxa"/>
                  <w:vAlign w:val="center"/>
                </w:tcPr>
                <w:p w14:paraId="4FCB1A87">
                  <w:pPr>
                    <w:pStyle w:val="68"/>
                    <w:rPr>
                      <w:rFonts w:hint="default" w:ascii="Times New Roman" w:hAnsi="Times New Roman" w:cs="Times New Roman"/>
                      <w:b/>
                      <w:i/>
                      <w:color w:val="auto"/>
                      <w:highlight w:val="none"/>
                    </w:rPr>
                  </w:pPr>
                  <w:r>
                    <w:rPr>
                      <w:rFonts w:hint="default" w:ascii="Times New Roman" w:hAnsi="Times New Roman" w:cs="Times New Roman"/>
                      <w:b/>
                      <w:i/>
                      <w:color w:val="auto"/>
                      <w:highlight w:val="none"/>
                    </w:rPr>
                    <w:t>m</w:t>
                  </w:r>
                  <w:r>
                    <w:rPr>
                      <w:rFonts w:hint="default" w:ascii="Times New Roman" w:hAnsi="Times New Roman" w:cs="Times New Roman"/>
                      <w:b/>
                      <w:i/>
                      <w:color w:val="auto"/>
                      <w:highlight w:val="none"/>
                      <w:vertAlign w:val="subscript"/>
                    </w:rPr>
                    <w:t>i</w:t>
                  </w:r>
                </w:p>
              </w:tc>
            </w:tr>
            <w:tr w14:paraId="2EB21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205" w:type="dxa"/>
                  <w:vAlign w:val="center"/>
                </w:tcPr>
                <w:p w14:paraId="48292808">
                  <w:pPr>
                    <w:pStyle w:val="68"/>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小型车</w:t>
                  </w:r>
                </w:p>
              </w:tc>
              <w:tc>
                <w:tcPr>
                  <w:tcW w:w="1535" w:type="dxa"/>
                  <w:vAlign w:val="center"/>
                </w:tcPr>
                <w:p w14:paraId="1A09CB0C">
                  <w:pPr>
                    <w:pStyle w:val="68"/>
                    <w:ind w:firstLine="0" w:firstLineChars="0"/>
                    <w:rPr>
                      <w:rFonts w:hint="default" w:ascii="Times New Roman" w:hAnsi="Times New Roman" w:cs="Times New Roman"/>
                      <w:bCs/>
                      <w:color w:val="auto"/>
                      <w:highlight w:val="none"/>
                    </w:rPr>
                  </w:pPr>
                  <w:r>
                    <w:rPr>
                      <w:rFonts w:hint="default" w:ascii="Times New Roman" w:hAnsi="Times New Roman" w:cs="Times New Roman"/>
                      <w:bCs/>
                      <w:color w:val="000000" w:themeColor="text1"/>
                      <w:highlight w:val="none"/>
                      <w14:textFill>
                        <w14:solidFill>
                          <w14:schemeClr w14:val="tx1"/>
                        </w14:solidFill>
                      </w14:textFill>
                    </w:rPr>
                    <w:t>-0.061</w:t>
                  </w:r>
                  <w:r>
                    <w:rPr>
                      <w:rFonts w:hint="eastAsia" w:ascii="Times New Roman" w:hAnsi="Times New Roman" w:cs="Times New Roman"/>
                      <w:bCs/>
                      <w:color w:val="000000" w:themeColor="text1"/>
                      <w:highlight w:val="none"/>
                      <w:lang w:val="en-US" w:eastAsia="zh-CN"/>
                      <w14:textFill>
                        <w14:solidFill>
                          <w14:schemeClr w14:val="tx1"/>
                        </w14:solidFill>
                      </w14:textFill>
                    </w:rPr>
                    <w:t>7</w:t>
                  </w:r>
                  <w:r>
                    <w:rPr>
                      <w:rFonts w:hint="default" w:ascii="Times New Roman" w:hAnsi="Times New Roman" w:cs="Times New Roman"/>
                      <w:bCs/>
                      <w:color w:val="000000" w:themeColor="text1"/>
                      <w:highlight w:val="none"/>
                      <w14:textFill>
                        <w14:solidFill>
                          <w14:schemeClr w14:val="tx1"/>
                        </w14:solidFill>
                      </w14:textFill>
                    </w:rPr>
                    <w:t>48</w:t>
                  </w:r>
                </w:p>
              </w:tc>
              <w:tc>
                <w:tcPr>
                  <w:tcW w:w="1132" w:type="dxa"/>
                  <w:vAlign w:val="center"/>
                </w:tcPr>
                <w:p w14:paraId="4092CBBF">
                  <w:pPr>
                    <w:pStyle w:val="68"/>
                    <w:ind w:firstLine="0" w:firstLineChars="0"/>
                    <w:rPr>
                      <w:rFonts w:hint="default" w:ascii="Times New Roman" w:hAnsi="Times New Roman" w:cs="Times New Roman"/>
                      <w:bCs/>
                      <w:color w:val="auto"/>
                      <w:highlight w:val="none"/>
                    </w:rPr>
                  </w:pPr>
                  <w:r>
                    <w:rPr>
                      <w:rFonts w:hint="default" w:ascii="Times New Roman" w:hAnsi="Times New Roman" w:cs="Times New Roman"/>
                      <w:bCs/>
                      <w:color w:val="000000" w:themeColor="text1"/>
                      <w:highlight w:val="none"/>
                      <w14:textFill>
                        <w14:solidFill>
                          <w14:schemeClr w14:val="tx1"/>
                        </w14:solidFill>
                      </w14:textFill>
                    </w:rPr>
                    <w:t>149.65</w:t>
                  </w:r>
                </w:p>
              </w:tc>
              <w:tc>
                <w:tcPr>
                  <w:tcW w:w="1983" w:type="dxa"/>
                  <w:vAlign w:val="center"/>
                </w:tcPr>
                <w:p w14:paraId="6E9DEB3B">
                  <w:pPr>
                    <w:pStyle w:val="68"/>
                    <w:ind w:firstLine="0" w:firstLineChars="0"/>
                    <w:rPr>
                      <w:rFonts w:hint="default" w:ascii="Times New Roman" w:hAnsi="Times New Roman" w:cs="Times New Roman"/>
                      <w:bCs/>
                      <w:color w:val="auto"/>
                      <w:highlight w:val="none"/>
                    </w:rPr>
                  </w:pPr>
                  <w:r>
                    <w:rPr>
                      <w:rFonts w:hint="default" w:ascii="Times New Roman" w:hAnsi="Times New Roman" w:cs="Times New Roman"/>
                      <w:bCs/>
                      <w:color w:val="000000" w:themeColor="text1"/>
                      <w:highlight w:val="none"/>
                      <w14:textFill>
                        <w14:solidFill>
                          <w14:schemeClr w14:val="tx1"/>
                        </w14:solidFill>
                      </w14:textFill>
                    </w:rPr>
                    <w:t>-0.000023696</w:t>
                  </w:r>
                </w:p>
              </w:tc>
              <w:tc>
                <w:tcPr>
                  <w:tcW w:w="1383" w:type="dxa"/>
                  <w:vAlign w:val="center"/>
                </w:tcPr>
                <w:p w14:paraId="1179F178">
                  <w:pPr>
                    <w:pStyle w:val="68"/>
                    <w:ind w:firstLine="0" w:firstLineChars="0"/>
                    <w:rPr>
                      <w:rFonts w:hint="default" w:ascii="Times New Roman" w:hAnsi="Times New Roman" w:cs="Times New Roman"/>
                      <w:bCs/>
                      <w:color w:val="auto"/>
                      <w:highlight w:val="none"/>
                    </w:rPr>
                  </w:pPr>
                  <w:r>
                    <w:rPr>
                      <w:rFonts w:hint="default" w:ascii="Times New Roman" w:hAnsi="Times New Roman" w:cs="Times New Roman"/>
                      <w:bCs/>
                      <w:color w:val="000000" w:themeColor="text1"/>
                      <w:highlight w:val="none"/>
                      <w14:textFill>
                        <w14:solidFill>
                          <w14:schemeClr w14:val="tx1"/>
                        </w14:solidFill>
                      </w14:textFill>
                    </w:rPr>
                    <w:t>-0.02099</w:t>
                  </w:r>
                </w:p>
              </w:tc>
              <w:tc>
                <w:tcPr>
                  <w:tcW w:w="1284" w:type="dxa"/>
                  <w:vAlign w:val="center"/>
                </w:tcPr>
                <w:p w14:paraId="13CFF9AD">
                  <w:pPr>
                    <w:pStyle w:val="68"/>
                    <w:ind w:firstLine="0" w:firstLineChars="0"/>
                    <w:rPr>
                      <w:rFonts w:hint="default" w:ascii="Times New Roman" w:hAnsi="Times New Roman" w:cs="Times New Roman"/>
                      <w:bCs/>
                      <w:color w:val="auto"/>
                      <w:highlight w:val="none"/>
                    </w:rPr>
                  </w:pPr>
                  <w:r>
                    <w:rPr>
                      <w:rFonts w:hint="default" w:ascii="Times New Roman" w:hAnsi="Times New Roman" w:cs="Times New Roman"/>
                      <w:bCs/>
                      <w:color w:val="000000" w:themeColor="text1"/>
                      <w:highlight w:val="none"/>
                      <w14:textFill>
                        <w14:solidFill>
                          <w14:schemeClr w14:val="tx1"/>
                        </w14:solidFill>
                      </w14:textFill>
                    </w:rPr>
                    <w:t>1.2102</w:t>
                  </w:r>
                </w:p>
              </w:tc>
            </w:tr>
            <w:tr w14:paraId="1583B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205" w:type="dxa"/>
                  <w:vAlign w:val="center"/>
                </w:tcPr>
                <w:p w14:paraId="286C8222">
                  <w:pPr>
                    <w:pStyle w:val="68"/>
                    <w:rPr>
                      <w:rFonts w:hint="default" w:ascii="Times New Roman" w:hAnsi="Times New Roman" w:cs="Times New Roman"/>
                      <w:bCs/>
                      <w:color w:val="auto"/>
                      <w:highlight w:val="none"/>
                    </w:rPr>
                  </w:pPr>
                  <w:r>
                    <w:rPr>
                      <w:rFonts w:hint="eastAsia" w:ascii="Times New Roman" w:hAnsi="Times New Roman" w:cs="Times New Roman"/>
                      <w:bCs/>
                      <w:color w:val="auto"/>
                      <w:highlight w:val="none"/>
                      <w:lang w:val="en-US" w:eastAsia="zh-CN"/>
                    </w:rPr>
                    <w:t>大</w:t>
                  </w:r>
                  <w:r>
                    <w:rPr>
                      <w:rFonts w:hint="eastAsia" w:ascii="Times New Roman" w:hAnsi="Times New Roman" w:cs="Times New Roman"/>
                      <w:bCs/>
                      <w:color w:val="auto"/>
                      <w:highlight w:val="none"/>
                      <w:lang w:eastAsia="zh-CN"/>
                    </w:rPr>
                    <w:t>、</w:t>
                  </w:r>
                  <w:r>
                    <w:rPr>
                      <w:rFonts w:hint="eastAsia" w:ascii="Times New Roman" w:hAnsi="Times New Roman" w:cs="Times New Roman"/>
                      <w:bCs/>
                      <w:color w:val="auto"/>
                      <w:highlight w:val="none"/>
                      <w:lang w:val="en-US" w:eastAsia="zh-CN"/>
                    </w:rPr>
                    <w:t>中</w:t>
                  </w:r>
                  <w:r>
                    <w:rPr>
                      <w:rFonts w:hint="default" w:ascii="Times New Roman" w:hAnsi="Times New Roman" w:cs="Times New Roman"/>
                      <w:bCs/>
                      <w:color w:val="auto"/>
                      <w:highlight w:val="none"/>
                    </w:rPr>
                    <w:t>型车</w:t>
                  </w:r>
                </w:p>
              </w:tc>
              <w:tc>
                <w:tcPr>
                  <w:tcW w:w="1535" w:type="dxa"/>
                  <w:vAlign w:val="center"/>
                </w:tcPr>
                <w:p w14:paraId="27D5AE40">
                  <w:pPr>
                    <w:pStyle w:val="68"/>
                    <w:ind w:firstLine="0" w:firstLineChars="0"/>
                    <w:rPr>
                      <w:rFonts w:hint="default" w:ascii="Times New Roman" w:hAnsi="Times New Roman" w:cs="Times New Roman" w:eastAsiaTheme="minorEastAsia"/>
                      <w:bCs/>
                      <w:color w:val="auto"/>
                      <w:highlight w:val="none"/>
                      <w:lang w:val="en-US" w:eastAsia="zh-CN"/>
                    </w:rPr>
                  </w:pPr>
                  <w:r>
                    <w:rPr>
                      <w:rFonts w:hint="default" w:ascii="Times New Roman" w:hAnsi="Times New Roman" w:cs="Times New Roman"/>
                      <w:bCs/>
                      <w:color w:val="000000" w:themeColor="text1"/>
                      <w:highlight w:val="none"/>
                      <w14:textFill>
                        <w14:solidFill>
                          <w14:schemeClr w14:val="tx1"/>
                        </w14:solidFill>
                      </w14:textFill>
                    </w:rPr>
                    <w:t>-0.05</w:t>
                  </w:r>
                  <w:r>
                    <w:rPr>
                      <w:rFonts w:hint="eastAsia" w:ascii="Times New Roman" w:hAnsi="Times New Roman" w:cs="Times New Roman"/>
                      <w:bCs/>
                      <w:color w:val="000000" w:themeColor="text1"/>
                      <w:highlight w:val="none"/>
                      <w:lang w:val="en-US" w:eastAsia="zh-CN"/>
                      <w14:textFill>
                        <w14:solidFill>
                          <w14:schemeClr w14:val="tx1"/>
                        </w14:solidFill>
                      </w14:textFill>
                    </w:rPr>
                    <w:t>1900</w:t>
                  </w:r>
                </w:p>
              </w:tc>
              <w:tc>
                <w:tcPr>
                  <w:tcW w:w="1132" w:type="dxa"/>
                  <w:vAlign w:val="center"/>
                </w:tcPr>
                <w:p w14:paraId="15DC5EDD">
                  <w:pPr>
                    <w:pStyle w:val="68"/>
                    <w:ind w:firstLine="0" w:firstLineChars="0"/>
                    <w:rPr>
                      <w:rFonts w:hint="eastAsia" w:ascii="Times New Roman" w:hAnsi="Times New Roman" w:cs="Times New Roman" w:eastAsiaTheme="minorEastAsia"/>
                      <w:bCs/>
                      <w:color w:val="auto"/>
                      <w:highlight w:val="none"/>
                      <w:lang w:eastAsia="zh-CN"/>
                    </w:rPr>
                  </w:pPr>
                  <w:r>
                    <w:rPr>
                      <w:rFonts w:hint="default" w:ascii="Times New Roman" w:hAnsi="Times New Roman" w:cs="Times New Roman"/>
                      <w:bCs/>
                      <w:color w:val="000000" w:themeColor="text1"/>
                      <w:highlight w:val="none"/>
                      <w14:textFill>
                        <w14:solidFill>
                          <w14:schemeClr w14:val="tx1"/>
                        </w14:solidFill>
                      </w14:textFill>
                    </w:rPr>
                    <w:t>149.3</w:t>
                  </w:r>
                  <w:r>
                    <w:rPr>
                      <w:rFonts w:hint="eastAsia" w:ascii="Times New Roman" w:hAnsi="Times New Roman" w:cs="Times New Roman"/>
                      <w:bCs/>
                      <w:color w:val="000000" w:themeColor="text1"/>
                      <w:highlight w:val="none"/>
                      <w:lang w:val="en-US" w:eastAsia="zh-CN"/>
                      <w14:textFill>
                        <w14:solidFill>
                          <w14:schemeClr w14:val="tx1"/>
                        </w14:solidFill>
                      </w14:textFill>
                    </w:rPr>
                    <w:t>9</w:t>
                  </w:r>
                </w:p>
              </w:tc>
              <w:tc>
                <w:tcPr>
                  <w:tcW w:w="1983" w:type="dxa"/>
                  <w:vAlign w:val="center"/>
                </w:tcPr>
                <w:p w14:paraId="48DC61BC">
                  <w:pPr>
                    <w:pStyle w:val="68"/>
                    <w:ind w:firstLine="0" w:firstLineChars="0"/>
                    <w:rPr>
                      <w:rFonts w:hint="default" w:ascii="Times New Roman" w:hAnsi="Times New Roman" w:cs="Times New Roman" w:eastAsiaTheme="minorEastAsia"/>
                      <w:bCs/>
                      <w:color w:val="auto"/>
                      <w:highlight w:val="none"/>
                      <w:lang w:val="en-US" w:eastAsia="zh-CN"/>
                    </w:rPr>
                  </w:pPr>
                  <w:r>
                    <w:rPr>
                      <w:rFonts w:hint="default" w:ascii="Times New Roman" w:hAnsi="Times New Roman" w:cs="Times New Roman"/>
                      <w:bCs/>
                      <w:color w:val="000000" w:themeColor="text1"/>
                      <w:highlight w:val="none"/>
                      <w14:textFill>
                        <w14:solidFill>
                          <w14:schemeClr w14:val="tx1"/>
                        </w14:solidFill>
                      </w14:textFill>
                    </w:rPr>
                    <w:t>-0.00001</w:t>
                  </w:r>
                  <w:r>
                    <w:rPr>
                      <w:rFonts w:hint="eastAsia" w:ascii="Times New Roman" w:hAnsi="Times New Roman" w:cs="Times New Roman"/>
                      <w:bCs/>
                      <w:color w:val="000000" w:themeColor="text1"/>
                      <w:highlight w:val="none"/>
                      <w:lang w:val="en-US" w:eastAsia="zh-CN"/>
                      <w14:textFill>
                        <w14:solidFill>
                          <w14:schemeClr w14:val="tx1"/>
                        </w14:solidFill>
                      </w14:textFill>
                    </w:rPr>
                    <w:t>4202</w:t>
                  </w:r>
                </w:p>
              </w:tc>
              <w:tc>
                <w:tcPr>
                  <w:tcW w:w="1383" w:type="dxa"/>
                  <w:vAlign w:val="center"/>
                </w:tcPr>
                <w:p w14:paraId="13CE6716">
                  <w:pPr>
                    <w:pStyle w:val="68"/>
                    <w:ind w:firstLine="0" w:firstLineChars="0"/>
                    <w:rPr>
                      <w:rFonts w:hint="default" w:ascii="Times New Roman" w:hAnsi="Times New Roman" w:cs="Times New Roman" w:eastAsiaTheme="minorEastAsia"/>
                      <w:bCs/>
                      <w:color w:val="auto"/>
                      <w:highlight w:val="none"/>
                      <w:lang w:val="en-US" w:eastAsia="zh-CN"/>
                    </w:rPr>
                  </w:pPr>
                  <w:r>
                    <w:rPr>
                      <w:rFonts w:hint="default" w:ascii="Times New Roman" w:hAnsi="Times New Roman" w:cs="Times New Roman"/>
                      <w:bCs/>
                      <w:color w:val="000000" w:themeColor="text1"/>
                      <w:highlight w:val="none"/>
                      <w14:textFill>
                        <w14:solidFill>
                          <w14:schemeClr w14:val="tx1"/>
                        </w14:solidFill>
                      </w14:textFill>
                    </w:rPr>
                    <w:t>-0.012</w:t>
                  </w:r>
                  <w:r>
                    <w:rPr>
                      <w:rFonts w:hint="eastAsia" w:ascii="Times New Roman" w:hAnsi="Times New Roman" w:cs="Times New Roman"/>
                      <w:bCs/>
                      <w:color w:val="000000" w:themeColor="text1"/>
                      <w:highlight w:val="none"/>
                      <w:lang w:val="en-US" w:eastAsia="zh-CN"/>
                      <w14:textFill>
                        <w14:solidFill>
                          <w14:schemeClr w14:val="tx1"/>
                        </w14:solidFill>
                      </w14:textFill>
                    </w:rPr>
                    <w:t>54</w:t>
                  </w:r>
                </w:p>
              </w:tc>
              <w:tc>
                <w:tcPr>
                  <w:tcW w:w="1284" w:type="dxa"/>
                  <w:vAlign w:val="center"/>
                </w:tcPr>
                <w:p w14:paraId="005AA182">
                  <w:pPr>
                    <w:pStyle w:val="68"/>
                    <w:ind w:firstLine="0" w:firstLineChars="0"/>
                    <w:rPr>
                      <w:rFonts w:hint="default" w:ascii="Times New Roman" w:hAnsi="Times New Roman" w:cs="Times New Roman" w:eastAsiaTheme="minorEastAsia"/>
                      <w:bCs/>
                      <w:color w:val="auto"/>
                      <w:highlight w:val="none"/>
                      <w:lang w:val="en-US" w:eastAsia="zh-CN"/>
                    </w:rPr>
                  </w:pPr>
                  <w:r>
                    <w:rPr>
                      <w:rFonts w:hint="default" w:ascii="Times New Roman" w:hAnsi="Times New Roman" w:cs="Times New Roman"/>
                      <w:bCs/>
                      <w:color w:val="000000" w:themeColor="text1"/>
                      <w:highlight w:val="none"/>
                      <w14:textFill>
                        <w14:solidFill>
                          <w14:schemeClr w14:val="tx1"/>
                        </w14:solidFill>
                      </w14:textFill>
                    </w:rPr>
                    <w:t>0.</w:t>
                  </w:r>
                  <w:r>
                    <w:rPr>
                      <w:rFonts w:hint="eastAsia" w:ascii="Times New Roman" w:hAnsi="Times New Roman" w:cs="Times New Roman"/>
                      <w:bCs/>
                      <w:color w:val="000000" w:themeColor="text1"/>
                      <w:highlight w:val="none"/>
                      <w:lang w:val="en-US" w:eastAsia="zh-CN"/>
                      <w14:textFill>
                        <w14:solidFill>
                          <w14:schemeClr w14:val="tx1"/>
                        </w14:solidFill>
                      </w14:textFill>
                    </w:rPr>
                    <w:t>70957</w:t>
                  </w:r>
                </w:p>
              </w:tc>
            </w:tr>
          </w:tbl>
          <w:p w14:paraId="4E397F1E">
            <w:pPr>
              <w:pStyle w:val="71"/>
              <w:ind w:firstLine="480"/>
              <w:rPr>
                <w:rFonts w:hint="default" w:ascii="Times New Roman" w:hAnsi="Times New Roman" w:cs="Times New Roman"/>
                <w:snapToGrid w:val="0"/>
                <w:color w:val="auto"/>
                <w:highlight w:val="none"/>
              </w:rPr>
            </w:pPr>
            <w:r>
              <w:rPr>
                <w:rFonts w:hint="default" w:ascii="Times New Roman" w:hAnsi="Times New Roman" w:cs="Times New Roman"/>
                <w:color w:val="auto"/>
                <w:highlight w:val="none"/>
              </w:rPr>
              <w:t>结合</w:t>
            </w:r>
            <w:r>
              <w:rPr>
                <w:rFonts w:hint="default" w:ascii="Times New Roman" w:hAnsi="Times New Roman" w:cs="Times New Roman"/>
                <w:color w:val="auto"/>
                <w:highlight w:val="none"/>
                <w:lang w:val="en-US" w:eastAsia="zh-CN"/>
              </w:rPr>
              <w:t>上表</w:t>
            </w:r>
            <w:r>
              <w:rPr>
                <w:rFonts w:hint="default" w:ascii="Times New Roman" w:hAnsi="Times New Roman" w:cs="Times New Roman"/>
                <w:color w:val="auto"/>
                <w:highlight w:val="none"/>
              </w:rPr>
              <w:t>各预测年各车型车流量表，计算本项目各车型单车平均车速，见下表。</w:t>
            </w:r>
          </w:p>
          <w:p w14:paraId="21E017BB">
            <w:pPr>
              <w:pStyle w:val="67"/>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表</w:t>
            </w:r>
            <w:r>
              <w:rPr>
                <w:rFonts w:hint="eastAsia" w:ascii="Times New Roman" w:hAnsi="Times New Roman" w:cs="Times New Roman"/>
                <w:color w:val="auto"/>
                <w:highlight w:val="none"/>
                <w:lang w:val="en-US" w:eastAsia="zh-CN"/>
              </w:rPr>
              <w:t>4-7</w:t>
            </w:r>
            <w:r>
              <w:rPr>
                <w:rFonts w:hint="default" w:ascii="Times New Roman" w:hAnsi="Times New Roman" w:cs="Times New Roman"/>
                <w:snapToGrid w:val="0"/>
                <w:color w:val="auto"/>
                <w:highlight w:val="none"/>
              </w:rPr>
              <w:t xml:space="preserve">  本项目不同类型车辆的平均车速一览表</w:t>
            </w:r>
            <w:r>
              <w:rPr>
                <w:rFonts w:hint="default" w:ascii="Times New Roman" w:hAnsi="Times New Roman" w:cs="Times New Roman"/>
                <w:snapToGrid w:val="0"/>
                <w:color w:val="auto"/>
                <w:highlight w:val="none"/>
                <w:lang w:val="en-US" w:eastAsia="zh-CN"/>
              </w:rPr>
              <w:t xml:space="preserve">  </w:t>
            </w:r>
            <w:r>
              <w:rPr>
                <w:rFonts w:hint="default" w:ascii="Times New Roman" w:hAnsi="Times New Roman" w:cs="Times New Roman"/>
                <w:snapToGrid w:val="0"/>
                <w:color w:val="auto"/>
                <w:highlight w:val="none"/>
              </w:rPr>
              <w:t>（km/h）</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967"/>
              <w:gridCol w:w="1211"/>
              <w:gridCol w:w="1086"/>
              <w:gridCol w:w="1044"/>
              <w:gridCol w:w="1044"/>
              <w:gridCol w:w="1044"/>
              <w:gridCol w:w="1044"/>
            </w:tblGrid>
            <w:tr w14:paraId="2EE58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jc w:val="center"/>
              </w:trPr>
              <w:tc>
                <w:tcPr>
                  <w:tcW w:w="2001" w:type="dxa"/>
                  <w:vMerge w:val="restart"/>
                  <w:shd w:val="clear" w:color="auto" w:fill="auto"/>
                  <w:vAlign w:val="center"/>
                </w:tcPr>
                <w:p w14:paraId="1E897A4C">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车型</w:t>
                  </w:r>
                </w:p>
              </w:tc>
              <w:tc>
                <w:tcPr>
                  <w:tcW w:w="2316" w:type="dxa"/>
                  <w:gridSpan w:val="2"/>
                  <w:shd w:val="clear" w:color="auto" w:fill="auto"/>
                  <w:vAlign w:val="center"/>
                </w:tcPr>
                <w:p w14:paraId="14BC3077">
                  <w:pPr>
                    <w:spacing w:line="240" w:lineRule="auto"/>
                    <w:jc w:val="center"/>
                    <w:rPr>
                      <w:rFonts w:hint="eastAsia" w:ascii="Times New Roman" w:hAnsi="Times New Roman" w:eastAsia="宋体" w:cs="Times New Roman"/>
                      <w:b/>
                      <w:bCs/>
                      <w:i w:val="0"/>
                      <w:iCs w:val="0"/>
                      <w:color w:val="auto"/>
                      <w:sz w:val="21"/>
                      <w:szCs w:val="21"/>
                      <w:highlight w:val="none"/>
                      <w:u w:val="none"/>
                      <w:lang w:eastAsia="zh-CN"/>
                    </w:rPr>
                  </w:pPr>
                  <w:r>
                    <w:rPr>
                      <w:rFonts w:hint="eastAsia" w:ascii="Times New Roman" w:hAnsi="Times New Roman" w:eastAsia="宋体" w:cs="Times New Roman"/>
                      <w:b/>
                      <w:bCs/>
                      <w:color w:val="auto"/>
                      <w:kern w:val="0"/>
                      <w:szCs w:val="21"/>
                      <w:highlight w:val="none"/>
                      <w:lang w:eastAsia="zh-CN"/>
                    </w:rPr>
                    <w:t>2026年</w:t>
                  </w:r>
                </w:p>
              </w:tc>
              <w:tc>
                <w:tcPr>
                  <w:tcW w:w="2102" w:type="dxa"/>
                  <w:gridSpan w:val="2"/>
                  <w:shd w:val="clear" w:color="auto" w:fill="auto"/>
                  <w:vAlign w:val="center"/>
                </w:tcPr>
                <w:p w14:paraId="09241D90">
                  <w:pPr>
                    <w:spacing w:line="240" w:lineRule="auto"/>
                    <w:jc w:val="center"/>
                    <w:rPr>
                      <w:rFonts w:hint="eastAsia" w:ascii="Times New Roman" w:hAnsi="Times New Roman" w:eastAsia="宋体" w:cs="Times New Roman"/>
                      <w:b/>
                      <w:bCs/>
                      <w:i w:val="0"/>
                      <w:iCs w:val="0"/>
                      <w:color w:val="auto"/>
                      <w:sz w:val="21"/>
                      <w:szCs w:val="21"/>
                      <w:highlight w:val="none"/>
                      <w:u w:val="none"/>
                      <w:lang w:eastAsia="zh-CN"/>
                    </w:rPr>
                  </w:pPr>
                  <w:r>
                    <w:rPr>
                      <w:rFonts w:hint="eastAsia" w:ascii="Times New Roman" w:hAnsi="Times New Roman" w:eastAsia="宋体" w:cs="Times New Roman"/>
                      <w:b/>
                      <w:bCs/>
                      <w:color w:val="auto"/>
                      <w:kern w:val="0"/>
                      <w:szCs w:val="21"/>
                      <w:highlight w:val="none"/>
                      <w:lang w:eastAsia="zh-CN"/>
                    </w:rPr>
                    <w:t>2032年</w:t>
                  </w:r>
                </w:p>
              </w:tc>
              <w:tc>
                <w:tcPr>
                  <w:tcW w:w="2103" w:type="dxa"/>
                  <w:gridSpan w:val="2"/>
                  <w:shd w:val="clear" w:color="auto" w:fill="auto"/>
                  <w:vAlign w:val="center"/>
                </w:tcPr>
                <w:p w14:paraId="11D5057B">
                  <w:pPr>
                    <w:spacing w:line="240" w:lineRule="auto"/>
                    <w:jc w:val="center"/>
                    <w:rPr>
                      <w:rFonts w:hint="eastAsia" w:ascii="Times New Roman" w:hAnsi="Times New Roman" w:eastAsia="宋体" w:cs="Times New Roman"/>
                      <w:b/>
                      <w:bCs/>
                      <w:i w:val="0"/>
                      <w:iCs w:val="0"/>
                      <w:color w:val="auto"/>
                      <w:sz w:val="21"/>
                      <w:szCs w:val="21"/>
                      <w:highlight w:val="none"/>
                      <w:u w:val="none"/>
                      <w:lang w:eastAsia="zh-CN"/>
                    </w:rPr>
                  </w:pPr>
                  <w:r>
                    <w:rPr>
                      <w:rFonts w:hint="eastAsia" w:ascii="Times New Roman" w:hAnsi="Times New Roman" w:eastAsia="宋体" w:cs="Times New Roman"/>
                      <w:b/>
                      <w:bCs/>
                      <w:color w:val="auto"/>
                      <w:kern w:val="0"/>
                      <w:szCs w:val="21"/>
                      <w:highlight w:val="none"/>
                      <w:lang w:eastAsia="zh-CN"/>
                    </w:rPr>
                    <w:t>2040年</w:t>
                  </w:r>
                </w:p>
              </w:tc>
            </w:tr>
            <w:tr w14:paraId="46E2D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001" w:type="dxa"/>
                  <w:vMerge w:val="continue"/>
                  <w:shd w:val="clear" w:color="auto" w:fill="auto"/>
                  <w:vAlign w:val="center"/>
                </w:tcPr>
                <w:p w14:paraId="0178A9C7">
                  <w:pPr>
                    <w:jc w:val="center"/>
                    <w:rPr>
                      <w:rFonts w:hint="default" w:ascii="Times New Roman" w:hAnsi="Times New Roman" w:eastAsia="宋体" w:cs="Times New Roman"/>
                      <w:b/>
                      <w:bCs/>
                      <w:i w:val="0"/>
                      <w:iCs w:val="0"/>
                      <w:color w:val="auto"/>
                      <w:sz w:val="21"/>
                      <w:szCs w:val="21"/>
                      <w:highlight w:val="none"/>
                      <w:u w:val="none"/>
                    </w:rPr>
                  </w:pPr>
                </w:p>
              </w:tc>
              <w:tc>
                <w:tcPr>
                  <w:tcW w:w="1222" w:type="dxa"/>
                  <w:shd w:val="clear" w:color="auto" w:fill="auto"/>
                  <w:vAlign w:val="center"/>
                </w:tcPr>
                <w:p w14:paraId="2218901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昼</w:t>
                  </w:r>
                </w:p>
              </w:tc>
              <w:tc>
                <w:tcPr>
                  <w:tcW w:w="1094" w:type="dxa"/>
                  <w:shd w:val="clear" w:color="auto" w:fill="auto"/>
                  <w:vAlign w:val="center"/>
                </w:tcPr>
                <w:p w14:paraId="708242F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夜</w:t>
                  </w:r>
                </w:p>
              </w:tc>
              <w:tc>
                <w:tcPr>
                  <w:tcW w:w="1051" w:type="dxa"/>
                  <w:shd w:val="clear" w:color="auto" w:fill="auto"/>
                  <w:vAlign w:val="center"/>
                </w:tcPr>
                <w:p w14:paraId="5BAD05A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昼</w:t>
                  </w:r>
                </w:p>
              </w:tc>
              <w:tc>
                <w:tcPr>
                  <w:tcW w:w="1051" w:type="dxa"/>
                  <w:shd w:val="clear" w:color="auto" w:fill="auto"/>
                  <w:vAlign w:val="center"/>
                </w:tcPr>
                <w:p w14:paraId="6BAE839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夜</w:t>
                  </w:r>
                </w:p>
              </w:tc>
              <w:tc>
                <w:tcPr>
                  <w:tcW w:w="1051" w:type="dxa"/>
                  <w:shd w:val="clear" w:color="auto" w:fill="auto"/>
                  <w:vAlign w:val="center"/>
                </w:tcPr>
                <w:p w14:paraId="49920C7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昼</w:t>
                  </w:r>
                </w:p>
              </w:tc>
              <w:tc>
                <w:tcPr>
                  <w:tcW w:w="1052" w:type="dxa"/>
                  <w:shd w:val="clear" w:color="auto" w:fill="auto"/>
                  <w:vAlign w:val="center"/>
                </w:tcPr>
                <w:p w14:paraId="13EB48A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夜</w:t>
                  </w:r>
                </w:p>
              </w:tc>
            </w:tr>
            <w:tr w14:paraId="2D82D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2001" w:type="dxa"/>
                  <w:shd w:val="clear" w:color="auto" w:fill="auto"/>
                  <w:vAlign w:val="center"/>
                </w:tcPr>
                <w:p w14:paraId="64E331E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小型车</w:t>
                  </w:r>
                </w:p>
              </w:tc>
              <w:tc>
                <w:tcPr>
                  <w:tcW w:w="1222" w:type="dxa"/>
                  <w:shd w:val="clear" w:color="auto" w:fill="auto"/>
                  <w:vAlign w:val="center"/>
                </w:tcPr>
                <w:p w14:paraId="2B137DE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25.45</w:t>
                  </w:r>
                </w:p>
              </w:tc>
              <w:tc>
                <w:tcPr>
                  <w:tcW w:w="1094" w:type="dxa"/>
                  <w:shd w:val="clear" w:color="auto" w:fill="auto"/>
                  <w:vAlign w:val="center"/>
                </w:tcPr>
                <w:p w14:paraId="39C0752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25.5</w:t>
                  </w:r>
                </w:p>
              </w:tc>
              <w:tc>
                <w:tcPr>
                  <w:tcW w:w="1051" w:type="dxa"/>
                  <w:shd w:val="clear" w:color="auto" w:fill="auto"/>
                  <w:vAlign w:val="center"/>
                </w:tcPr>
                <w:p w14:paraId="5075C4E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25.42</w:t>
                  </w:r>
                </w:p>
              </w:tc>
              <w:tc>
                <w:tcPr>
                  <w:tcW w:w="1051" w:type="dxa"/>
                  <w:shd w:val="clear" w:color="auto" w:fill="auto"/>
                  <w:vAlign w:val="center"/>
                </w:tcPr>
                <w:p w14:paraId="35670AB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25.49</w:t>
                  </w:r>
                </w:p>
              </w:tc>
              <w:tc>
                <w:tcPr>
                  <w:tcW w:w="1051" w:type="dxa"/>
                  <w:shd w:val="clear" w:color="auto" w:fill="auto"/>
                  <w:vAlign w:val="center"/>
                </w:tcPr>
                <w:p w14:paraId="6879B20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25.38</w:t>
                  </w:r>
                </w:p>
              </w:tc>
              <w:tc>
                <w:tcPr>
                  <w:tcW w:w="1052" w:type="dxa"/>
                  <w:shd w:val="clear" w:color="auto" w:fill="auto"/>
                  <w:vAlign w:val="center"/>
                </w:tcPr>
                <w:p w14:paraId="482BB45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25.49</w:t>
                  </w:r>
                </w:p>
              </w:tc>
            </w:tr>
            <w:tr w14:paraId="111BA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4" w:hRule="atLeast"/>
                <w:jc w:val="center"/>
              </w:trPr>
              <w:tc>
                <w:tcPr>
                  <w:tcW w:w="2001" w:type="dxa"/>
                  <w:shd w:val="clear" w:color="auto" w:fill="auto"/>
                  <w:vAlign w:val="center"/>
                </w:tcPr>
                <w:p w14:paraId="54A6BD5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中型车</w:t>
                  </w:r>
                </w:p>
              </w:tc>
              <w:tc>
                <w:tcPr>
                  <w:tcW w:w="1222" w:type="dxa"/>
                  <w:shd w:val="clear" w:color="auto" w:fill="auto"/>
                  <w:vAlign w:val="center"/>
                </w:tcPr>
                <w:p w14:paraId="52B8C4F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17.48</w:t>
                  </w:r>
                </w:p>
              </w:tc>
              <w:tc>
                <w:tcPr>
                  <w:tcW w:w="1094" w:type="dxa"/>
                  <w:shd w:val="clear" w:color="auto" w:fill="auto"/>
                  <w:vAlign w:val="center"/>
                </w:tcPr>
                <w:p w14:paraId="64E7CA3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17.3</w:t>
                  </w:r>
                </w:p>
              </w:tc>
              <w:tc>
                <w:tcPr>
                  <w:tcW w:w="1051" w:type="dxa"/>
                  <w:shd w:val="clear" w:color="auto" w:fill="auto"/>
                  <w:vAlign w:val="center"/>
                </w:tcPr>
                <w:p w14:paraId="4F87874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17.57</w:t>
                  </w:r>
                </w:p>
              </w:tc>
              <w:tc>
                <w:tcPr>
                  <w:tcW w:w="1051" w:type="dxa"/>
                  <w:shd w:val="clear" w:color="auto" w:fill="auto"/>
                  <w:vAlign w:val="center"/>
                </w:tcPr>
                <w:p w14:paraId="39ECA98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17.31</w:t>
                  </w:r>
                </w:p>
              </w:tc>
              <w:tc>
                <w:tcPr>
                  <w:tcW w:w="1051" w:type="dxa"/>
                  <w:shd w:val="clear" w:color="auto" w:fill="auto"/>
                  <w:vAlign w:val="center"/>
                </w:tcPr>
                <w:p w14:paraId="78750DD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17.66</w:t>
                  </w:r>
                </w:p>
              </w:tc>
              <w:tc>
                <w:tcPr>
                  <w:tcW w:w="1052" w:type="dxa"/>
                  <w:shd w:val="clear" w:color="auto" w:fill="auto"/>
                  <w:vAlign w:val="center"/>
                </w:tcPr>
                <w:p w14:paraId="23910E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17.31</w:t>
                  </w:r>
                </w:p>
              </w:tc>
            </w:tr>
            <w:tr w14:paraId="0ED71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4" w:hRule="atLeast"/>
                <w:jc w:val="center"/>
              </w:trPr>
              <w:tc>
                <w:tcPr>
                  <w:tcW w:w="2001" w:type="dxa"/>
                  <w:shd w:val="clear" w:color="auto" w:fill="auto"/>
                  <w:vAlign w:val="center"/>
                </w:tcPr>
                <w:p w14:paraId="6DF797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大型车</w:t>
                  </w:r>
                </w:p>
              </w:tc>
              <w:tc>
                <w:tcPr>
                  <w:tcW w:w="1222" w:type="dxa"/>
                  <w:shd w:val="clear" w:color="auto" w:fill="auto"/>
                  <w:vAlign w:val="center"/>
                </w:tcPr>
                <w:p w14:paraId="52E1B37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17.55</w:t>
                  </w:r>
                </w:p>
              </w:tc>
              <w:tc>
                <w:tcPr>
                  <w:tcW w:w="1094" w:type="dxa"/>
                  <w:shd w:val="clear" w:color="auto" w:fill="auto"/>
                  <w:vAlign w:val="center"/>
                </w:tcPr>
                <w:p w14:paraId="10CBF94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17.43</w:t>
                  </w:r>
                </w:p>
              </w:tc>
              <w:tc>
                <w:tcPr>
                  <w:tcW w:w="1051" w:type="dxa"/>
                  <w:shd w:val="clear" w:color="auto" w:fill="auto"/>
                  <w:vAlign w:val="center"/>
                </w:tcPr>
                <w:p w14:paraId="7CF121E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17.61</w:t>
                  </w:r>
                </w:p>
              </w:tc>
              <w:tc>
                <w:tcPr>
                  <w:tcW w:w="1051" w:type="dxa"/>
                  <w:shd w:val="clear" w:color="auto" w:fill="auto"/>
                  <w:vAlign w:val="center"/>
                </w:tcPr>
                <w:p w14:paraId="57DB018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17.44</w:t>
                  </w:r>
                </w:p>
              </w:tc>
              <w:tc>
                <w:tcPr>
                  <w:tcW w:w="1051" w:type="dxa"/>
                  <w:shd w:val="clear" w:color="auto" w:fill="auto"/>
                  <w:vAlign w:val="center"/>
                </w:tcPr>
                <w:p w14:paraId="084CD59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17.67</w:t>
                  </w:r>
                </w:p>
              </w:tc>
              <w:tc>
                <w:tcPr>
                  <w:tcW w:w="1052" w:type="dxa"/>
                  <w:shd w:val="clear" w:color="auto" w:fill="auto"/>
                  <w:vAlign w:val="center"/>
                </w:tcPr>
                <w:p w14:paraId="4E43DA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17.44</w:t>
                  </w:r>
                </w:p>
              </w:tc>
            </w:tr>
          </w:tbl>
          <w:p w14:paraId="7B8E31F8">
            <w:pPr>
              <w:spacing w:line="360" w:lineRule="auto"/>
              <w:ind w:left="48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（3）辐射声级L</w:t>
            </w:r>
            <w:r>
              <w:rPr>
                <w:rFonts w:hint="default" w:ascii="Times New Roman" w:hAnsi="Times New Roman" w:cs="Times New Roman"/>
                <w:b/>
                <w:bCs/>
                <w:color w:val="auto"/>
                <w:sz w:val="24"/>
                <w:highlight w:val="none"/>
                <w:vertAlign w:val="subscript"/>
              </w:rPr>
              <w:t>oi</w:t>
            </w:r>
          </w:p>
          <w:p w14:paraId="21AAAEC5">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本项目线路总体设计速度80km/h，城镇段设计时速为60km/h，经车速计算公式计算后大型车速范围为</w:t>
            </w:r>
            <w:r>
              <w:rPr>
                <w:rFonts w:hint="default" w:ascii="Times New Roman" w:hAnsi="Times New Roman" w:cs="Times New Roman"/>
                <w:color w:val="auto"/>
                <w:sz w:val="24"/>
                <w:highlight w:val="none"/>
                <w:lang w:val="en-US" w:eastAsia="zh-CN"/>
              </w:rPr>
              <w:tab/>
            </w:r>
            <w:r>
              <w:rPr>
                <w:rFonts w:hint="default" w:ascii="Times New Roman" w:hAnsi="Times New Roman" w:cs="Times New Roman"/>
                <w:color w:val="auto"/>
                <w:sz w:val="24"/>
                <w:highlight w:val="none"/>
                <w:lang w:val="en-US" w:eastAsia="zh-CN"/>
              </w:rPr>
              <w:t>35.4km/h~48.6km/h，中型车车速范围为35.4km/h~48.5km/h，小型车</w:t>
            </w:r>
            <w:r>
              <w:rPr>
                <w:rFonts w:hint="eastAsia" w:ascii="Times New Roman" w:hAnsi="Times New Roman" w:cs="Times New Roman"/>
                <w:color w:val="auto"/>
                <w:sz w:val="24"/>
                <w:highlight w:val="none"/>
                <w:lang w:val="en-US" w:eastAsia="zh-CN"/>
              </w:rPr>
              <w:t>车速</w:t>
            </w:r>
            <w:r>
              <w:rPr>
                <w:rFonts w:hint="default" w:ascii="Times New Roman" w:hAnsi="Times New Roman" w:cs="Times New Roman"/>
                <w:color w:val="auto"/>
                <w:sz w:val="24"/>
                <w:highlight w:val="none"/>
                <w:lang w:val="en-US" w:eastAsia="zh-CN"/>
              </w:rPr>
              <w:t>范围为49.1km/h~67.8km/h，车速不满足《环境影响评价技术导则 公路建设项目》（HJ1358-2024）附录 B.1.1.1中噪声源计算范围，故本项目不满足公路导则计算公式，本项目的噪声源采用《环境影响评价技术原则与方法》（国家环境保护局开发 监督司编著，北京大学出版社）教材中的源强计算公式。</w:t>
            </w:r>
          </w:p>
          <w:p w14:paraId="38DA1B0C">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小型车：LOS=25+27lgVS</w:t>
            </w:r>
          </w:p>
          <w:p w14:paraId="28CCE03E">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中型车：LOm=38+25lgVM</w:t>
            </w:r>
          </w:p>
          <w:p w14:paraId="0064D81E">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大型车：LOL=45+24lgVL</w:t>
            </w:r>
          </w:p>
          <w:p w14:paraId="6F572E71">
            <w:pPr>
              <w:pStyle w:val="67"/>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4-8</w:t>
            </w:r>
            <w:r>
              <w:rPr>
                <w:rFonts w:hint="default" w:ascii="Times New Roman" w:hAnsi="Times New Roman" w:cs="Times New Roman"/>
                <w:color w:val="auto"/>
                <w:highlight w:val="none"/>
              </w:rPr>
              <w:t xml:space="preserve">  本项目特征年各车型平均辐射声级一览表</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（dB）</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870"/>
              <w:gridCol w:w="1236"/>
              <w:gridCol w:w="1096"/>
              <w:gridCol w:w="1067"/>
              <w:gridCol w:w="1163"/>
              <w:gridCol w:w="1000"/>
              <w:gridCol w:w="1008"/>
            </w:tblGrid>
            <w:tr w14:paraId="54550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556" w:type="dxa"/>
                  <w:vMerge w:val="restart"/>
                  <w:shd w:val="clear" w:color="auto" w:fill="auto"/>
                  <w:vAlign w:val="center"/>
                </w:tcPr>
                <w:p w14:paraId="35406CF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车型</w:t>
                  </w:r>
                </w:p>
              </w:tc>
              <w:tc>
                <w:tcPr>
                  <w:tcW w:w="1940" w:type="dxa"/>
                  <w:gridSpan w:val="2"/>
                  <w:shd w:val="clear" w:color="auto" w:fill="auto"/>
                  <w:vAlign w:val="center"/>
                </w:tcPr>
                <w:p w14:paraId="4E119E78">
                  <w:pPr>
                    <w:spacing w:line="240" w:lineRule="auto"/>
                    <w:jc w:val="center"/>
                    <w:rPr>
                      <w:rFonts w:hint="eastAsia" w:ascii="Times New Roman" w:hAnsi="Times New Roman" w:eastAsia="宋体" w:cs="Times New Roman"/>
                      <w:b/>
                      <w:bCs/>
                      <w:i w:val="0"/>
                      <w:iCs w:val="0"/>
                      <w:color w:val="auto"/>
                      <w:sz w:val="21"/>
                      <w:szCs w:val="21"/>
                      <w:highlight w:val="none"/>
                      <w:u w:val="none"/>
                      <w:lang w:eastAsia="zh-CN"/>
                    </w:rPr>
                  </w:pPr>
                  <w:r>
                    <w:rPr>
                      <w:rFonts w:hint="eastAsia" w:ascii="Times New Roman" w:hAnsi="Times New Roman" w:eastAsia="宋体" w:cs="Times New Roman"/>
                      <w:b/>
                      <w:bCs/>
                      <w:color w:val="auto"/>
                      <w:kern w:val="0"/>
                      <w:szCs w:val="21"/>
                      <w:highlight w:val="none"/>
                      <w:lang w:eastAsia="zh-CN"/>
                    </w:rPr>
                    <w:t>2026年</w:t>
                  </w:r>
                </w:p>
              </w:tc>
              <w:tc>
                <w:tcPr>
                  <w:tcW w:w="1856" w:type="dxa"/>
                  <w:gridSpan w:val="2"/>
                  <w:shd w:val="clear" w:color="auto" w:fill="auto"/>
                  <w:vAlign w:val="center"/>
                </w:tcPr>
                <w:p w14:paraId="157B51B0">
                  <w:pPr>
                    <w:spacing w:line="240" w:lineRule="auto"/>
                    <w:jc w:val="center"/>
                    <w:rPr>
                      <w:rFonts w:hint="eastAsia" w:ascii="Times New Roman" w:hAnsi="Times New Roman" w:eastAsia="宋体" w:cs="Times New Roman"/>
                      <w:b/>
                      <w:bCs/>
                      <w:i w:val="0"/>
                      <w:iCs w:val="0"/>
                      <w:color w:val="auto"/>
                      <w:sz w:val="21"/>
                      <w:szCs w:val="21"/>
                      <w:highlight w:val="none"/>
                      <w:u w:val="none"/>
                      <w:lang w:eastAsia="zh-CN"/>
                    </w:rPr>
                  </w:pPr>
                  <w:r>
                    <w:rPr>
                      <w:rFonts w:hint="eastAsia" w:ascii="Times New Roman" w:hAnsi="Times New Roman" w:eastAsia="宋体" w:cs="Times New Roman"/>
                      <w:b/>
                      <w:bCs/>
                      <w:color w:val="auto"/>
                      <w:kern w:val="0"/>
                      <w:szCs w:val="21"/>
                      <w:highlight w:val="none"/>
                      <w:lang w:eastAsia="zh-CN"/>
                    </w:rPr>
                    <w:t>2032年</w:t>
                  </w:r>
                </w:p>
              </w:tc>
              <w:tc>
                <w:tcPr>
                  <w:tcW w:w="1670" w:type="dxa"/>
                  <w:gridSpan w:val="2"/>
                  <w:shd w:val="clear" w:color="auto" w:fill="auto"/>
                  <w:vAlign w:val="center"/>
                </w:tcPr>
                <w:p w14:paraId="0FB7ADC5">
                  <w:pPr>
                    <w:spacing w:line="240" w:lineRule="auto"/>
                    <w:jc w:val="center"/>
                    <w:rPr>
                      <w:rFonts w:hint="eastAsia" w:ascii="Times New Roman" w:hAnsi="Times New Roman" w:eastAsia="宋体" w:cs="Times New Roman"/>
                      <w:b/>
                      <w:bCs/>
                      <w:i w:val="0"/>
                      <w:iCs w:val="0"/>
                      <w:color w:val="auto"/>
                      <w:sz w:val="21"/>
                      <w:szCs w:val="21"/>
                      <w:highlight w:val="none"/>
                      <w:u w:val="none"/>
                      <w:lang w:eastAsia="zh-CN"/>
                    </w:rPr>
                  </w:pPr>
                  <w:r>
                    <w:rPr>
                      <w:rFonts w:hint="eastAsia" w:ascii="Times New Roman" w:hAnsi="Times New Roman" w:eastAsia="宋体" w:cs="Times New Roman"/>
                      <w:b/>
                      <w:bCs/>
                      <w:color w:val="auto"/>
                      <w:kern w:val="0"/>
                      <w:szCs w:val="21"/>
                      <w:highlight w:val="none"/>
                      <w:lang w:eastAsia="zh-CN"/>
                    </w:rPr>
                    <w:t>2040年</w:t>
                  </w:r>
                </w:p>
              </w:tc>
            </w:tr>
            <w:tr w14:paraId="66026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8" w:hRule="atLeast"/>
                <w:jc w:val="center"/>
              </w:trPr>
              <w:tc>
                <w:tcPr>
                  <w:tcW w:w="1556" w:type="dxa"/>
                  <w:vMerge w:val="continue"/>
                  <w:shd w:val="clear" w:color="auto" w:fill="auto"/>
                  <w:vAlign w:val="center"/>
                </w:tcPr>
                <w:p w14:paraId="70D96E7B">
                  <w:pPr>
                    <w:jc w:val="center"/>
                    <w:rPr>
                      <w:rFonts w:hint="default" w:ascii="Times New Roman" w:hAnsi="Times New Roman" w:eastAsia="宋体" w:cs="Times New Roman"/>
                      <w:b/>
                      <w:bCs/>
                      <w:i w:val="0"/>
                      <w:iCs w:val="0"/>
                      <w:color w:val="auto"/>
                      <w:sz w:val="21"/>
                      <w:szCs w:val="21"/>
                      <w:highlight w:val="none"/>
                      <w:u w:val="none"/>
                    </w:rPr>
                  </w:pPr>
                </w:p>
              </w:tc>
              <w:tc>
                <w:tcPr>
                  <w:tcW w:w="1028" w:type="dxa"/>
                  <w:shd w:val="clear" w:color="auto" w:fill="auto"/>
                  <w:vAlign w:val="center"/>
                </w:tcPr>
                <w:p w14:paraId="7FA7519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昼</w:t>
                  </w:r>
                </w:p>
              </w:tc>
              <w:tc>
                <w:tcPr>
                  <w:tcW w:w="912" w:type="dxa"/>
                  <w:shd w:val="clear" w:color="auto" w:fill="auto"/>
                  <w:vAlign w:val="center"/>
                </w:tcPr>
                <w:p w14:paraId="6D880B5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夜</w:t>
                  </w:r>
                </w:p>
              </w:tc>
              <w:tc>
                <w:tcPr>
                  <w:tcW w:w="888" w:type="dxa"/>
                  <w:shd w:val="clear" w:color="auto" w:fill="auto"/>
                  <w:vAlign w:val="center"/>
                </w:tcPr>
                <w:p w14:paraId="375622D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昼</w:t>
                  </w:r>
                </w:p>
              </w:tc>
              <w:tc>
                <w:tcPr>
                  <w:tcW w:w="968" w:type="dxa"/>
                  <w:shd w:val="clear" w:color="auto" w:fill="auto"/>
                  <w:vAlign w:val="center"/>
                </w:tcPr>
                <w:p w14:paraId="237726A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夜</w:t>
                  </w:r>
                </w:p>
              </w:tc>
              <w:tc>
                <w:tcPr>
                  <w:tcW w:w="832" w:type="dxa"/>
                  <w:shd w:val="clear" w:color="auto" w:fill="auto"/>
                  <w:vAlign w:val="center"/>
                </w:tcPr>
                <w:p w14:paraId="15EA0D2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昼</w:t>
                  </w:r>
                </w:p>
              </w:tc>
              <w:tc>
                <w:tcPr>
                  <w:tcW w:w="838" w:type="dxa"/>
                  <w:shd w:val="clear" w:color="auto" w:fill="auto"/>
                  <w:vAlign w:val="center"/>
                </w:tcPr>
                <w:p w14:paraId="32EC464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夜</w:t>
                  </w:r>
                </w:p>
              </w:tc>
            </w:tr>
            <w:tr w14:paraId="1D0C3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8" w:hRule="atLeast"/>
                <w:jc w:val="center"/>
              </w:trPr>
              <w:tc>
                <w:tcPr>
                  <w:tcW w:w="1556" w:type="dxa"/>
                  <w:shd w:val="clear" w:color="auto" w:fill="auto"/>
                  <w:vAlign w:val="center"/>
                </w:tcPr>
                <w:p w14:paraId="0930A26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小型车</w:t>
                  </w:r>
                </w:p>
              </w:tc>
              <w:tc>
                <w:tcPr>
                  <w:tcW w:w="1028" w:type="dxa"/>
                  <w:shd w:val="clear" w:color="auto" w:fill="auto"/>
                  <w:vAlign w:val="center"/>
                </w:tcPr>
                <w:p w14:paraId="7F461BD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61.42</w:t>
                  </w:r>
                </w:p>
              </w:tc>
              <w:tc>
                <w:tcPr>
                  <w:tcW w:w="912" w:type="dxa"/>
                  <w:shd w:val="clear" w:color="auto" w:fill="auto"/>
                  <w:vAlign w:val="center"/>
                </w:tcPr>
                <w:p w14:paraId="24D1EF0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61.45</w:t>
                  </w:r>
                </w:p>
              </w:tc>
              <w:tc>
                <w:tcPr>
                  <w:tcW w:w="888" w:type="dxa"/>
                  <w:shd w:val="clear" w:color="auto" w:fill="auto"/>
                  <w:vAlign w:val="center"/>
                </w:tcPr>
                <w:p w14:paraId="4D157E6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61.4</w:t>
                  </w:r>
                </w:p>
              </w:tc>
              <w:tc>
                <w:tcPr>
                  <w:tcW w:w="968" w:type="dxa"/>
                  <w:shd w:val="clear" w:color="auto" w:fill="auto"/>
                  <w:vAlign w:val="center"/>
                </w:tcPr>
                <w:p w14:paraId="3A47780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61.44</w:t>
                  </w:r>
                </w:p>
              </w:tc>
              <w:tc>
                <w:tcPr>
                  <w:tcW w:w="832" w:type="dxa"/>
                  <w:shd w:val="clear" w:color="auto" w:fill="auto"/>
                  <w:vAlign w:val="center"/>
                </w:tcPr>
                <w:p w14:paraId="13C9AA8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61.38</w:t>
                  </w:r>
                </w:p>
              </w:tc>
              <w:tc>
                <w:tcPr>
                  <w:tcW w:w="838" w:type="dxa"/>
                  <w:shd w:val="clear" w:color="auto" w:fill="auto"/>
                  <w:vAlign w:val="center"/>
                </w:tcPr>
                <w:p w14:paraId="45071B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61.44</w:t>
                  </w:r>
                </w:p>
              </w:tc>
            </w:tr>
            <w:tr w14:paraId="339F1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8" w:hRule="atLeast"/>
                <w:jc w:val="center"/>
              </w:trPr>
              <w:tc>
                <w:tcPr>
                  <w:tcW w:w="1556" w:type="dxa"/>
                  <w:shd w:val="clear" w:color="auto" w:fill="auto"/>
                  <w:vAlign w:val="center"/>
                </w:tcPr>
                <w:p w14:paraId="2D00160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中型车</w:t>
                  </w:r>
                </w:p>
              </w:tc>
              <w:tc>
                <w:tcPr>
                  <w:tcW w:w="1028" w:type="dxa"/>
                  <w:shd w:val="clear" w:color="auto" w:fill="auto"/>
                  <w:vAlign w:val="center"/>
                </w:tcPr>
                <w:p w14:paraId="3EDF773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59.1</w:t>
                  </w:r>
                </w:p>
              </w:tc>
              <w:tc>
                <w:tcPr>
                  <w:tcW w:w="912" w:type="dxa"/>
                  <w:shd w:val="clear" w:color="auto" w:fill="auto"/>
                  <w:vAlign w:val="center"/>
                </w:tcPr>
                <w:p w14:paraId="33C451A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58.92</w:t>
                  </w:r>
                </w:p>
              </w:tc>
              <w:tc>
                <w:tcPr>
                  <w:tcW w:w="888" w:type="dxa"/>
                  <w:shd w:val="clear" w:color="auto" w:fill="auto"/>
                  <w:vAlign w:val="center"/>
                </w:tcPr>
                <w:p w14:paraId="55C70ED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59.19</w:t>
                  </w:r>
                </w:p>
              </w:tc>
              <w:tc>
                <w:tcPr>
                  <w:tcW w:w="968" w:type="dxa"/>
                  <w:shd w:val="clear" w:color="auto" w:fill="auto"/>
                  <w:vAlign w:val="center"/>
                </w:tcPr>
                <w:p w14:paraId="04D0A64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58.93</w:t>
                  </w:r>
                </w:p>
              </w:tc>
              <w:tc>
                <w:tcPr>
                  <w:tcW w:w="832" w:type="dxa"/>
                  <w:shd w:val="clear" w:color="auto" w:fill="auto"/>
                  <w:vAlign w:val="center"/>
                </w:tcPr>
                <w:p w14:paraId="6DE955F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59.28</w:t>
                  </w:r>
                </w:p>
              </w:tc>
              <w:tc>
                <w:tcPr>
                  <w:tcW w:w="838" w:type="dxa"/>
                  <w:shd w:val="clear" w:color="auto" w:fill="auto"/>
                  <w:vAlign w:val="center"/>
                </w:tcPr>
                <w:p w14:paraId="690A6F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58.93</w:t>
                  </w:r>
                </w:p>
              </w:tc>
            </w:tr>
            <w:tr w14:paraId="5820C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8" w:hRule="atLeast"/>
                <w:jc w:val="center"/>
              </w:trPr>
              <w:tc>
                <w:tcPr>
                  <w:tcW w:w="1556" w:type="dxa"/>
                  <w:shd w:val="clear" w:color="auto" w:fill="auto"/>
                  <w:vAlign w:val="center"/>
                </w:tcPr>
                <w:p w14:paraId="718742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大型车</w:t>
                  </w:r>
                </w:p>
              </w:tc>
              <w:tc>
                <w:tcPr>
                  <w:tcW w:w="1028" w:type="dxa"/>
                  <w:shd w:val="clear" w:color="auto" w:fill="auto"/>
                  <w:vAlign w:val="center"/>
                </w:tcPr>
                <w:p w14:paraId="75F0EF6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67.19</w:t>
                  </w:r>
                </w:p>
              </w:tc>
              <w:tc>
                <w:tcPr>
                  <w:tcW w:w="912" w:type="dxa"/>
                  <w:shd w:val="clear" w:color="auto" w:fill="auto"/>
                  <w:vAlign w:val="center"/>
                </w:tcPr>
                <w:p w14:paraId="6FC3F64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67.08</w:t>
                  </w:r>
                </w:p>
              </w:tc>
              <w:tc>
                <w:tcPr>
                  <w:tcW w:w="888" w:type="dxa"/>
                  <w:shd w:val="clear" w:color="auto" w:fill="auto"/>
                  <w:vAlign w:val="center"/>
                </w:tcPr>
                <w:p w14:paraId="2C3EEA8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67.25</w:t>
                  </w:r>
                </w:p>
              </w:tc>
              <w:tc>
                <w:tcPr>
                  <w:tcW w:w="968" w:type="dxa"/>
                  <w:shd w:val="clear" w:color="auto" w:fill="auto"/>
                  <w:vAlign w:val="center"/>
                </w:tcPr>
                <w:p w14:paraId="59406FB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67.09</w:t>
                  </w:r>
                </w:p>
              </w:tc>
              <w:tc>
                <w:tcPr>
                  <w:tcW w:w="832" w:type="dxa"/>
                  <w:shd w:val="clear" w:color="auto" w:fill="auto"/>
                  <w:vAlign w:val="center"/>
                </w:tcPr>
                <w:p w14:paraId="16714E1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67.3</w:t>
                  </w:r>
                </w:p>
              </w:tc>
              <w:tc>
                <w:tcPr>
                  <w:tcW w:w="838" w:type="dxa"/>
                  <w:shd w:val="clear" w:color="auto" w:fill="auto"/>
                  <w:vAlign w:val="center"/>
                </w:tcPr>
                <w:p w14:paraId="1EE4F2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67.09</w:t>
                  </w:r>
                </w:p>
              </w:tc>
            </w:tr>
          </w:tbl>
          <w:p w14:paraId="01B1761B">
            <w:pPr>
              <w:adjustRightInd w:val="0"/>
              <w:snapToGrid w:val="0"/>
              <w:spacing w:line="360" w:lineRule="auto"/>
              <w:ind w:firstLine="480" w:firstLineChars="200"/>
              <w:rPr>
                <w:rFonts w:hint="default" w:ascii="Times New Roman" w:hAnsi="Times New Roman" w:cs="Times New Roman"/>
                <w:color w:val="auto"/>
                <w:sz w:val="24"/>
                <w:szCs w:val="32"/>
                <w:highlight w:val="none"/>
              </w:rPr>
            </w:pPr>
            <w:r>
              <w:rPr>
                <w:rFonts w:hint="default" w:ascii="Times New Roman" w:hAnsi="Times New Roman" w:eastAsia="宋体" w:cs="Times New Roman"/>
                <w:color w:val="auto"/>
                <w:sz w:val="24"/>
                <w:szCs w:val="32"/>
                <w:highlight w:val="none"/>
                <w:lang w:val="en-US" w:eastAsia="zh-CN"/>
              </w:rPr>
              <w:t>根据《声环境影响专项评价》</w:t>
            </w:r>
            <w:r>
              <w:rPr>
                <w:rFonts w:hint="default" w:ascii="Times New Roman" w:hAnsi="Times New Roman" w:eastAsia="宋体" w:cs="Times New Roman"/>
                <w:color w:val="auto"/>
                <w:sz w:val="24"/>
                <w:szCs w:val="32"/>
                <w:highlight w:val="none"/>
              </w:rPr>
              <w:t>预测结果表明</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kern w:val="0"/>
                <w:sz w:val="24"/>
                <w:szCs w:val="24"/>
                <w:highlight w:val="none"/>
                <w:lang w:val="en-US" w:eastAsia="zh-CN"/>
              </w:rPr>
              <w:t>项目</w:t>
            </w:r>
            <w:r>
              <w:rPr>
                <w:rFonts w:hint="default" w:ascii="Times New Roman" w:hAnsi="Times New Roman" w:eastAsia="宋体" w:cs="Times New Roman"/>
                <w:color w:val="auto"/>
                <w:kern w:val="0"/>
                <w:sz w:val="24"/>
                <w:szCs w:val="24"/>
                <w:highlight w:val="none"/>
              </w:rPr>
              <w:t>营运</w:t>
            </w:r>
            <w:r>
              <w:rPr>
                <w:rFonts w:hint="default" w:ascii="Times New Roman" w:hAnsi="Times New Roman" w:cs="Times New Roman"/>
                <w:color w:val="auto"/>
                <w:sz w:val="24"/>
                <w:szCs w:val="32"/>
                <w:highlight w:val="none"/>
                <w:lang w:val="en-US" w:eastAsia="zh-CN"/>
              </w:rPr>
              <w:t>近期（</w:t>
            </w:r>
            <w:r>
              <w:rPr>
                <w:rFonts w:hint="eastAsia" w:ascii="Times New Roman" w:hAnsi="Times New Roman" w:cs="Times New Roman"/>
                <w:color w:val="auto"/>
                <w:sz w:val="24"/>
                <w:szCs w:val="32"/>
                <w:highlight w:val="none"/>
                <w:lang w:val="en-US" w:eastAsia="zh-CN"/>
              </w:rPr>
              <w:t>2026年</w:t>
            </w:r>
            <w:r>
              <w:rPr>
                <w:rFonts w:hint="default" w:ascii="Times New Roman" w:hAnsi="Times New Roman" w:cs="Times New Roman"/>
                <w:color w:val="auto"/>
                <w:sz w:val="24"/>
                <w:szCs w:val="32"/>
                <w:highlight w:val="none"/>
                <w:lang w:val="en-US" w:eastAsia="zh-CN"/>
              </w:rPr>
              <w:t>）、中期（</w:t>
            </w:r>
            <w:r>
              <w:rPr>
                <w:rFonts w:hint="eastAsia" w:ascii="Times New Roman" w:hAnsi="Times New Roman" w:cs="Times New Roman"/>
                <w:color w:val="auto"/>
                <w:sz w:val="24"/>
                <w:szCs w:val="32"/>
                <w:highlight w:val="none"/>
                <w:lang w:val="en-US" w:eastAsia="zh-CN"/>
              </w:rPr>
              <w:t>2032年</w:t>
            </w:r>
            <w:r>
              <w:rPr>
                <w:rFonts w:hint="default" w:ascii="Times New Roman" w:hAnsi="Times New Roman" w:cs="Times New Roman"/>
                <w:color w:val="auto"/>
                <w:sz w:val="24"/>
                <w:szCs w:val="32"/>
                <w:highlight w:val="none"/>
                <w:lang w:val="en-US" w:eastAsia="zh-CN"/>
              </w:rPr>
              <w:t>）、远期（</w:t>
            </w:r>
            <w:r>
              <w:rPr>
                <w:rFonts w:hint="eastAsia" w:ascii="Times New Roman" w:hAnsi="Times New Roman" w:cs="Times New Roman"/>
                <w:color w:val="auto"/>
                <w:sz w:val="24"/>
                <w:szCs w:val="32"/>
                <w:highlight w:val="none"/>
                <w:lang w:val="en-US" w:eastAsia="zh-CN"/>
              </w:rPr>
              <w:t>2040年</w:t>
            </w:r>
            <w:r>
              <w:rPr>
                <w:rFonts w:hint="default" w:ascii="Times New Roman" w:hAnsi="Times New Roman" w:cs="Times New Roman"/>
                <w:color w:val="auto"/>
                <w:sz w:val="24"/>
                <w:szCs w:val="32"/>
                <w:highlight w:val="none"/>
                <w:lang w:val="en-US" w:eastAsia="zh-CN"/>
              </w:rPr>
              <w:t>）昼夜间噪声预测值均</w:t>
            </w:r>
            <w:r>
              <w:rPr>
                <w:rFonts w:hint="default" w:ascii="Times New Roman" w:hAnsi="Times New Roman" w:eastAsia="宋体" w:cs="Times New Roman"/>
                <w:color w:val="auto"/>
                <w:kern w:val="0"/>
                <w:sz w:val="24"/>
                <w:szCs w:val="24"/>
                <w:highlight w:val="none"/>
                <w:lang w:eastAsia="zh-CN"/>
              </w:rPr>
              <w:t>可以满足《声环境质量标准》（GB3096-2008）</w:t>
            </w:r>
            <w:r>
              <w:rPr>
                <w:rFonts w:hint="eastAsia" w:ascii="Times New Roman" w:hAnsi="Times New Roman" w:eastAsia="宋体" w:cs="Times New Roman"/>
                <w:color w:val="auto"/>
                <w:kern w:val="0"/>
                <w:sz w:val="24"/>
                <w:szCs w:val="24"/>
                <w:highlight w:val="none"/>
                <w:lang w:val="en-US" w:eastAsia="zh-CN"/>
              </w:rPr>
              <w:t>1</w:t>
            </w:r>
            <w:r>
              <w:rPr>
                <w:rFonts w:hint="default" w:ascii="Times New Roman" w:hAnsi="Times New Roman" w:eastAsia="宋体" w:cs="Times New Roman"/>
                <w:color w:val="auto"/>
                <w:kern w:val="0"/>
                <w:sz w:val="24"/>
                <w:szCs w:val="24"/>
                <w:highlight w:val="none"/>
                <w:lang w:eastAsia="zh-CN"/>
              </w:rPr>
              <w:t>类标准</w:t>
            </w:r>
            <w:r>
              <w:rPr>
                <w:rFonts w:hint="eastAsia" w:ascii="Times New Roman" w:hAnsi="Times New Roman" w:eastAsia="宋体" w:cs="Times New Roman"/>
                <w:color w:val="auto"/>
                <w:kern w:val="0"/>
                <w:sz w:val="24"/>
                <w:szCs w:val="24"/>
                <w:highlight w:val="none"/>
                <w:lang w:eastAsia="zh-CN"/>
              </w:rPr>
              <w:t>。</w:t>
            </w:r>
          </w:p>
          <w:p w14:paraId="4E2E64D3">
            <w:pPr>
              <w:pStyle w:val="69"/>
              <w:ind w:firstLine="480"/>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4.2声环境影响预测评价</w:t>
            </w:r>
          </w:p>
          <w:p w14:paraId="03E56A89">
            <w:pPr>
              <w:spacing w:line="360" w:lineRule="auto"/>
              <w:ind w:left="480"/>
              <w:rPr>
                <w:rFonts w:hint="default"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eastAsia="zh-CN"/>
              </w:rPr>
              <w:t>（</w:t>
            </w:r>
            <w:r>
              <w:rPr>
                <w:rFonts w:hint="eastAsia" w:ascii="Times New Roman" w:hAnsi="Times New Roman" w:cs="Times New Roman"/>
                <w:b/>
                <w:bCs/>
                <w:color w:val="auto"/>
                <w:sz w:val="24"/>
                <w:highlight w:val="none"/>
                <w:lang w:val="en-US" w:eastAsia="zh-CN"/>
              </w:rPr>
              <w:t>1</w:t>
            </w:r>
            <w:r>
              <w:rPr>
                <w:rFonts w:hint="eastAsia" w:ascii="Times New Roman" w:hAnsi="Times New Roman" w:cs="Times New Roman"/>
                <w:b/>
                <w:bCs/>
                <w:color w:val="auto"/>
                <w:sz w:val="24"/>
                <w:highlight w:val="none"/>
                <w:lang w:eastAsia="zh-CN"/>
              </w:rPr>
              <w:t>）</w:t>
            </w:r>
            <w:r>
              <w:rPr>
                <w:rFonts w:hint="default" w:ascii="Times New Roman" w:hAnsi="Times New Roman" w:cs="Times New Roman"/>
                <w:b/>
                <w:bCs/>
                <w:color w:val="auto"/>
                <w:sz w:val="24"/>
                <w:highlight w:val="none"/>
                <w:lang w:val="en-US" w:eastAsia="zh-CN"/>
              </w:rPr>
              <w:t>预测模式及参数</w:t>
            </w:r>
          </w:p>
          <w:p w14:paraId="74420C7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color w:val="auto"/>
                <w:highlight w:val="none"/>
                <w:lang w:val="en-US" w:eastAsia="zh-CN"/>
              </w:rPr>
            </w:pPr>
            <w:r>
              <w:rPr>
                <w:rStyle w:val="44"/>
                <w:rFonts w:hint="default" w:ascii="Times New Roman" w:hAnsi="Times New Roman" w:eastAsia="宋体" w:cs="Times New Roman"/>
                <w:b/>
                <w:bCs/>
                <w:color w:val="auto"/>
                <w:sz w:val="24"/>
                <w:szCs w:val="24"/>
                <w:highlight w:val="none"/>
                <w:lang w:val="en-US" w:eastAsia="zh-CN"/>
              </w:rPr>
              <w:t>①预测模式</w:t>
            </w:r>
          </w:p>
          <w:p w14:paraId="57581918">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highlight w:val="none"/>
              </w:rPr>
              <w:t>根据本项目道路特</w:t>
            </w:r>
            <w:r>
              <w:rPr>
                <w:rFonts w:hint="default" w:ascii="Times New Roman" w:hAnsi="Times New Roman" w:cs="Times New Roman"/>
                <w:color w:val="auto"/>
                <w:sz w:val="24"/>
                <w:szCs w:val="20"/>
              </w:rPr>
              <w:t>点、沿线的环境特征，以及工程设计的交通量等因素，本评价采用《环境影响评价技术导则 声环境》（HJ2.4-2021）附录 B 公路（道路）交通运输噪声预测基本模型，预测时需将各种车辆按其噪声大小分成大型车、中型车、小型车，分别预测某一类车辆的等效声级，然后把三类车辆的等效声级叠加得到总声级。</w:t>
            </w:r>
          </w:p>
          <w:p w14:paraId="2DC533F5">
            <w:pPr>
              <w:pStyle w:val="54"/>
              <w:ind w:firstLine="480"/>
              <w:rPr>
                <w:rFonts w:hint="default" w:ascii="Times New Roman" w:hAnsi="Times New Roman" w:eastAsia="宋体" w:cs="Times New Roman"/>
                <w:b/>
                <w:bCs/>
                <w:color w:val="auto"/>
                <w:sz w:val="24"/>
                <w:szCs w:val="20"/>
              </w:rPr>
            </w:pPr>
            <w:r>
              <w:rPr>
                <w:rFonts w:hint="eastAsia" w:ascii="Times New Roman" w:hAnsi="Times New Roman" w:eastAsia="宋体" w:cs="Times New Roman"/>
                <w:b/>
                <w:bCs/>
                <w:color w:val="auto"/>
                <w:sz w:val="24"/>
                <w:szCs w:val="20"/>
                <w:lang w:val="en-US" w:eastAsia="zh-CN"/>
              </w:rPr>
              <w:t>A</w:t>
            </w:r>
            <w:r>
              <w:rPr>
                <w:rFonts w:hint="default" w:ascii="Times New Roman" w:hAnsi="Times New Roman" w:eastAsia="宋体" w:cs="Times New Roman"/>
                <w:b/>
                <w:bCs/>
                <w:color w:val="auto"/>
                <w:sz w:val="24"/>
                <w:szCs w:val="20"/>
              </w:rPr>
              <w:t>第i类车等效声级的预测模式：</w:t>
            </w:r>
          </w:p>
          <w:p w14:paraId="4527BE35">
            <w:pPr>
              <w:pStyle w:val="54"/>
              <w:ind w:firstLine="480"/>
              <w:jc w:val="center"/>
              <w:rPr>
                <w:rFonts w:hint="default" w:ascii="Times New Roman" w:hAnsi="Times New Roman" w:eastAsia="宋体" w:cs="Times New Roman"/>
                <w:color w:val="auto"/>
                <w:sz w:val="24"/>
                <w:szCs w:val="20"/>
              </w:rPr>
            </w:pPr>
            <w:r>
              <w:rPr>
                <w:rFonts w:hint="default" w:ascii="Times New Roman" w:hAnsi="Times New Roman" w:cs="Times New Roman"/>
              </w:rPr>
              <w:drawing>
                <wp:inline distT="0" distB="0" distL="114300" distR="114300">
                  <wp:extent cx="3865880" cy="465455"/>
                  <wp:effectExtent l="0" t="0" r="1270" b="1079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42"/>
                          <a:stretch>
                            <a:fillRect/>
                          </a:stretch>
                        </pic:blipFill>
                        <pic:spPr>
                          <a:xfrm>
                            <a:off x="0" y="0"/>
                            <a:ext cx="3865880" cy="465455"/>
                          </a:xfrm>
                          <a:prstGeom prst="rect">
                            <a:avLst/>
                          </a:prstGeom>
                          <a:noFill/>
                          <a:ln>
                            <a:noFill/>
                          </a:ln>
                        </pic:spPr>
                      </pic:pic>
                    </a:graphicData>
                  </a:graphic>
                </wp:inline>
              </w:drawing>
            </w:r>
          </w:p>
          <w:p w14:paraId="0AAF0602">
            <w:pPr>
              <w:pStyle w:val="54"/>
              <w:ind w:firstLine="48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式中：</w:t>
            </w:r>
            <w:r>
              <w:rPr>
                <w:rFonts w:hint="default" w:ascii="Times New Roman" w:hAnsi="Times New Roman" w:eastAsia="宋体" w:cs="Times New Roman"/>
                <w:i/>
                <w:iCs/>
                <w:color w:val="auto"/>
                <w:sz w:val="24"/>
                <w:szCs w:val="20"/>
                <w:lang w:val="en-US" w:eastAsia="zh-CN"/>
              </w:rPr>
              <w:t>L</w:t>
            </w:r>
            <w:r>
              <w:rPr>
                <w:rFonts w:hint="default" w:ascii="Times New Roman" w:hAnsi="Times New Roman" w:eastAsia="宋体" w:cs="Times New Roman"/>
                <w:color w:val="auto"/>
                <w:sz w:val="24"/>
                <w:szCs w:val="20"/>
                <w:vertAlign w:val="subscript"/>
                <w:lang w:val="en-US" w:eastAsia="zh-CN"/>
              </w:rPr>
              <w:t>eq</w:t>
            </w:r>
            <w:r>
              <w:rPr>
                <w:rFonts w:hint="default" w:ascii="Times New Roman" w:hAnsi="Times New Roman" w:eastAsia="宋体" w:cs="Times New Roman"/>
                <w:color w:val="auto"/>
                <w:sz w:val="24"/>
                <w:szCs w:val="20"/>
                <w:lang w:val="en-US" w:eastAsia="zh-CN"/>
              </w:rPr>
              <w:t>（h）</w:t>
            </w:r>
            <w:r>
              <w:rPr>
                <w:rFonts w:hint="default" w:ascii="Times New Roman" w:hAnsi="Times New Roman" w:eastAsia="宋体" w:cs="Times New Roman"/>
                <w:color w:val="auto"/>
                <w:sz w:val="24"/>
                <w:szCs w:val="20"/>
                <w:vertAlign w:val="subscript"/>
                <w:lang w:val="en-US" w:eastAsia="zh-CN"/>
              </w:rPr>
              <w:t>i</w:t>
            </w:r>
            <w:r>
              <w:rPr>
                <w:rFonts w:hint="default" w:ascii="Times New Roman" w:hAnsi="Times New Roman" w:eastAsia="宋体" w:cs="Times New Roman"/>
                <w:color w:val="auto"/>
                <w:sz w:val="24"/>
                <w:szCs w:val="20"/>
              </w:rPr>
              <w:t>——第i类车的小时等效声级，dB</w:t>
            </w:r>
            <w:r>
              <w:rPr>
                <w:rFonts w:hint="default" w:ascii="Times New Roman" w:hAnsi="Times New Roman" w:cs="Times New Roman"/>
                <w:color w:val="auto"/>
                <w:sz w:val="24"/>
                <w:szCs w:val="20"/>
                <w:lang w:eastAsia="zh-CN"/>
              </w:rPr>
              <w:t>（</w:t>
            </w:r>
            <w:r>
              <w:rPr>
                <w:rFonts w:hint="default" w:ascii="Times New Roman" w:hAnsi="Times New Roman" w:eastAsia="宋体" w:cs="Times New Roman"/>
                <w:color w:val="auto"/>
                <w:sz w:val="24"/>
                <w:szCs w:val="20"/>
              </w:rPr>
              <w:t>A</w:t>
            </w:r>
            <w:r>
              <w:rPr>
                <w:rFonts w:hint="default" w:ascii="Times New Roman" w:hAnsi="Times New Roman" w:cs="Times New Roman"/>
                <w:color w:val="auto"/>
                <w:sz w:val="24"/>
                <w:szCs w:val="20"/>
                <w:lang w:eastAsia="zh-CN"/>
              </w:rPr>
              <w:t>）</w:t>
            </w:r>
            <w:r>
              <w:rPr>
                <w:rFonts w:hint="default" w:ascii="Times New Roman" w:hAnsi="Times New Roman" w:eastAsia="宋体" w:cs="Times New Roman"/>
                <w:color w:val="auto"/>
                <w:sz w:val="24"/>
                <w:szCs w:val="20"/>
              </w:rPr>
              <w:t>；</w:t>
            </w:r>
          </w:p>
          <w:p w14:paraId="0D985524">
            <w:pPr>
              <w:pStyle w:val="54"/>
              <w:ind w:firstLine="1200" w:firstLineChars="5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position w:val="-12"/>
                <w:sz w:val="24"/>
                <w:szCs w:val="20"/>
                <w:vertAlign w:val="subscript"/>
                <w:lang w:val="en-US" w:eastAsia="zh-CN"/>
              </w:rPr>
              <w:object>
                <v:shape id="_x0000_i1027" o:spt="75" type="#_x0000_t75" style="height:20pt;width:30pt;" o:ole="t" filled="f" o:preferrelative="t" stroked="f" coordsize="21600,21600">
                  <v:path/>
                  <v:fill on="f" focussize="0,0"/>
                  <v:stroke on="f"/>
                  <v:imagedata r:id="rId44" o:title=""/>
                  <o:lock v:ext="edit" aspectratio="t"/>
                  <w10:wrap type="none"/>
                  <w10:anchorlock/>
                </v:shape>
                <o:OLEObject Type="Embed" ProgID="Equation.KSEE3" ShapeID="_x0000_i1027" DrawAspect="Content" ObjectID="_1468075727" r:id="rId43">
                  <o:LockedField>false</o:LockedField>
                </o:OLEObject>
              </w:object>
            </w:r>
            <w:r>
              <w:rPr>
                <w:rFonts w:hint="default" w:ascii="Times New Roman" w:hAnsi="Times New Roman" w:eastAsia="宋体" w:cs="Times New Roman"/>
                <w:color w:val="auto"/>
                <w:sz w:val="24"/>
                <w:szCs w:val="20"/>
                <w:vertAlign w:val="subscript"/>
                <w:lang w:val="en-US" w:eastAsia="zh-CN"/>
              </w:rPr>
              <w:t>i</w:t>
            </w:r>
            <w:r>
              <w:rPr>
                <w:rFonts w:hint="default" w:ascii="Times New Roman" w:hAnsi="Times New Roman" w:eastAsia="宋体" w:cs="Times New Roman"/>
                <w:color w:val="auto"/>
                <w:sz w:val="24"/>
                <w:szCs w:val="20"/>
              </w:rPr>
              <w:t>——第i类车速度为</w:t>
            </w:r>
            <w:r>
              <w:rPr>
                <w:rFonts w:hint="default" w:ascii="Times New Roman" w:hAnsi="Times New Roman" w:eastAsia="宋体" w:cs="Times New Roman"/>
                <w:i/>
                <w:iCs/>
                <w:color w:val="auto"/>
                <w:sz w:val="24"/>
                <w:szCs w:val="20"/>
              </w:rPr>
              <w:t>V</w:t>
            </w:r>
            <w:r>
              <w:rPr>
                <w:rFonts w:hint="default" w:ascii="Times New Roman" w:hAnsi="Times New Roman" w:eastAsia="宋体" w:cs="Times New Roman"/>
                <w:color w:val="auto"/>
                <w:sz w:val="24"/>
                <w:szCs w:val="20"/>
                <w:vertAlign w:val="subscript"/>
              </w:rPr>
              <w:t>i</w:t>
            </w:r>
            <w:r>
              <w:rPr>
                <w:rFonts w:hint="default" w:ascii="Times New Roman" w:hAnsi="Times New Roman" w:eastAsia="宋体" w:cs="Times New Roman"/>
                <w:color w:val="auto"/>
                <w:sz w:val="24"/>
                <w:szCs w:val="20"/>
              </w:rPr>
              <w:t>，km/h；水平距离为7.5m处的能量平均A声级，dB</w:t>
            </w:r>
            <w:r>
              <w:rPr>
                <w:rFonts w:hint="default" w:ascii="Times New Roman" w:hAnsi="Times New Roman" w:cs="Times New Roman"/>
                <w:color w:val="auto"/>
                <w:sz w:val="24"/>
                <w:szCs w:val="20"/>
                <w:lang w:eastAsia="zh-CN"/>
              </w:rPr>
              <w:t>（</w:t>
            </w:r>
            <w:r>
              <w:rPr>
                <w:rFonts w:hint="default" w:ascii="Times New Roman" w:hAnsi="Times New Roman" w:eastAsia="宋体" w:cs="Times New Roman"/>
                <w:color w:val="auto"/>
                <w:sz w:val="24"/>
                <w:szCs w:val="20"/>
              </w:rPr>
              <w:t>A</w:t>
            </w:r>
            <w:r>
              <w:rPr>
                <w:rFonts w:hint="default" w:ascii="Times New Roman" w:hAnsi="Times New Roman" w:cs="Times New Roman"/>
                <w:color w:val="auto"/>
                <w:sz w:val="24"/>
                <w:szCs w:val="20"/>
                <w:lang w:eastAsia="zh-CN"/>
              </w:rPr>
              <w:t>）</w:t>
            </w:r>
            <w:r>
              <w:rPr>
                <w:rFonts w:hint="default" w:ascii="Times New Roman" w:hAnsi="Times New Roman" w:eastAsia="宋体" w:cs="Times New Roman"/>
                <w:color w:val="auto"/>
                <w:sz w:val="24"/>
                <w:szCs w:val="20"/>
              </w:rPr>
              <w:t>；</w:t>
            </w:r>
          </w:p>
          <w:p w14:paraId="4B229CC5">
            <w:pPr>
              <w:pStyle w:val="54"/>
              <w:ind w:firstLine="1200" w:firstLineChars="5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Ni——昼间，夜间通过某个预测点的第i类车平均小时车流量，辆/h；</w:t>
            </w:r>
          </w:p>
          <w:p w14:paraId="5E39A6E4">
            <w:pPr>
              <w:pStyle w:val="54"/>
              <w:ind w:firstLine="1200" w:firstLineChars="5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Vi——第i类车的平均车速，km/h；</w:t>
            </w:r>
          </w:p>
          <w:p w14:paraId="2F63B4E9">
            <w:pPr>
              <w:pStyle w:val="54"/>
              <w:ind w:firstLine="1200" w:firstLineChars="5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T——计算等效声级的时间，1h；</w:t>
            </w:r>
          </w:p>
          <w:p w14:paraId="296AFBBD">
            <w:pPr>
              <w:pStyle w:val="54"/>
              <w:ind w:firstLine="1200" w:firstLineChars="5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∆L距离——距离衰减量，dB</w:t>
            </w:r>
            <w:r>
              <w:rPr>
                <w:rFonts w:hint="default" w:ascii="Times New Roman" w:hAnsi="Times New Roman" w:cs="Times New Roman"/>
                <w:color w:val="auto"/>
                <w:sz w:val="24"/>
                <w:szCs w:val="20"/>
                <w:lang w:eastAsia="zh-CN"/>
              </w:rPr>
              <w:t>（</w:t>
            </w:r>
            <w:r>
              <w:rPr>
                <w:rFonts w:hint="default" w:ascii="Times New Roman" w:hAnsi="Times New Roman" w:eastAsia="宋体" w:cs="Times New Roman"/>
                <w:color w:val="auto"/>
                <w:sz w:val="24"/>
                <w:szCs w:val="20"/>
              </w:rPr>
              <w:t>A</w:t>
            </w:r>
            <w:r>
              <w:rPr>
                <w:rFonts w:hint="default" w:ascii="Times New Roman" w:hAnsi="Times New Roman" w:cs="Times New Roman"/>
                <w:color w:val="auto"/>
                <w:sz w:val="24"/>
                <w:szCs w:val="20"/>
                <w:lang w:eastAsia="zh-CN"/>
              </w:rPr>
              <w:t>）</w:t>
            </w:r>
            <w:r>
              <w:rPr>
                <w:rFonts w:hint="default" w:ascii="Times New Roman" w:hAnsi="Times New Roman" w:eastAsia="宋体" w:cs="Times New Roman"/>
                <w:color w:val="auto"/>
                <w:sz w:val="24"/>
                <w:szCs w:val="20"/>
              </w:rPr>
              <w:t>，小时车流量大于等于300辆/小时：</w:t>
            </w:r>
          </w:p>
          <w:p w14:paraId="299BC83E">
            <w:pPr>
              <w:pStyle w:val="54"/>
              <w:ind w:firstLine="48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∆L距离=10lg</w:t>
            </w:r>
            <w:r>
              <w:rPr>
                <w:rFonts w:hint="default" w:ascii="Times New Roman" w:hAnsi="Times New Roman" w:cs="Times New Roman"/>
                <w:color w:val="auto"/>
                <w:sz w:val="24"/>
                <w:szCs w:val="20"/>
                <w:lang w:eastAsia="zh-CN"/>
              </w:rPr>
              <w:t>（</w:t>
            </w:r>
            <w:r>
              <w:rPr>
                <w:rFonts w:hint="default" w:ascii="Times New Roman" w:hAnsi="Times New Roman" w:eastAsia="宋体" w:cs="Times New Roman"/>
                <w:color w:val="auto"/>
                <w:sz w:val="24"/>
                <w:szCs w:val="20"/>
              </w:rPr>
              <w:t>7.5/r</w:t>
            </w:r>
            <w:r>
              <w:rPr>
                <w:rFonts w:hint="default" w:ascii="Times New Roman" w:hAnsi="Times New Roman" w:cs="Times New Roman"/>
                <w:color w:val="auto"/>
                <w:sz w:val="24"/>
                <w:szCs w:val="20"/>
                <w:lang w:eastAsia="zh-CN"/>
              </w:rPr>
              <w:t>）</w:t>
            </w:r>
            <w:r>
              <w:rPr>
                <w:rFonts w:hint="default" w:ascii="Times New Roman" w:hAnsi="Times New Roman" w:eastAsia="宋体" w:cs="Times New Roman"/>
                <w:color w:val="auto"/>
                <w:sz w:val="24"/>
                <w:szCs w:val="20"/>
              </w:rPr>
              <w:t>，小时车流量小于300辆/小时：∆L距离=15lg</w:t>
            </w:r>
            <w:r>
              <w:rPr>
                <w:rFonts w:hint="default" w:ascii="Times New Roman" w:hAnsi="Times New Roman" w:cs="Times New Roman"/>
                <w:color w:val="auto"/>
                <w:sz w:val="24"/>
                <w:szCs w:val="20"/>
                <w:lang w:eastAsia="zh-CN"/>
              </w:rPr>
              <w:t>（</w:t>
            </w:r>
            <w:r>
              <w:rPr>
                <w:rFonts w:hint="default" w:ascii="Times New Roman" w:hAnsi="Times New Roman" w:eastAsia="宋体" w:cs="Times New Roman"/>
                <w:color w:val="auto"/>
                <w:sz w:val="24"/>
                <w:szCs w:val="20"/>
              </w:rPr>
              <w:t>7.5/r</w:t>
            </w:r>
            <w:r>
              <w:rPr>
                <w:rFonts w:hint="default" w:ascii="Times New Roman" w:hAnsi="Times New Roman" w:cs="Times New Roman"/>
                <w:color w:val="auto"/>
                <w:sz w:val="24"/>
                <w:szCs w:val="20"/>
                <w:lang w:eastAsia="zh-CN"/>
              </w:rPr>
              <w:t>）</w:t>
            </w:r>
            <w:r>
              <w:rPr>
                <w:rFonts w:hint="eastAsia" w:cs="Times New Roman"/>
                <w:color w:val="auto"/>
                <w:sz w:val="24"/>
                <w:szCs w:val="20"/>
                <w:lang w:eastAsia="zh-CN"/>
              </w:rPr>
              <w:t>，</w:t>
            </w:r>
            <w:r>
              <w:rPr>
                <w:rFonts w:hint="eastAsia" w:cs="Times New Roman"/>
                <w:color w:val="auto"/>
                <w:sz w:val="24"/>
                <w:szCs w:val="20"/>
                <w:lang w:val="en-US" w:eastAsia="zh-CN"/>
              </w:rPr>
              <w:t>本项目</w:t>
            </w:r>
            <w:r>
              <w:rPr>
                <w:rFonts w:hint="default" w:ascii="Times New Roman" w:hAnsi="Times New Roman" w:eastAsia="宋体" w:cs="Times New Roman"/>
                <w:color w:val="auto"/>
                <w:sz w:val="24"/>
                <w:szCs w:val="20"/>
              </w:rPr>
              <w:t>∆L</w:t>
            </w:r>
            <w:r>
              <w:rPr>
                <w:rFonts w:hint="eastAsia" w:cs="Times New Roman"/>
                <w:color w:val="auto"/>
                <w:sz w:val="24"/>
                <w:szCs w:val="20"/>
                <w:lang w:val="en-US" w:eastAsia="zh-CN"/>
              </w:rPr>
              <w:t>取</w:t>
            </w:r>
            <w:r>
              <w:rPr>
                <w:rFonts w:hint="default" w:ascii="Times New Roman" w:hAnsi="Times New Roman" w:eastAsia="宋体" w:cs="Times New Roman"/>
                <w:color w:val="auto"/>
                <w:sz w:val="24"/>
                <w:szCs w:val="20"/>
              </w:rPr>
              <w:t>15lg</w:t>
            </w:r>
            <w:r>
              <w:rPr>
                <w:rFonts w:hint="default" w:ascii="Times New Roman" w:hAnsi="Times New Roman" w:cs="Times New Roman"/>
                <w:color w:val="auto"/>
                <w:sz w:val="24"/>
                <w:szCs w:val="20"/>
                <w:lang w:eastAsia="zh-CN"/>
              </w:rPr>
              <w:t>（</w:t>
            </w:r>
            <w:r>
              <w:rPr>
                <w:rFonts w:hint="default" w:ascii="Times New Roman" w:hAnsi="Times New Roman" w:eastAsia="宋体" w:cs="Times New Roman"/>
                <w:color w:val="auto"/>
                <w:sz w:val="24"/>
                <w:szCs w:val="20"/>
              </w:rPr>
              <w:t>7.5/r</w:t>
            </w:r>
            <w:r>
              <w:rPr>
                <w:rFonts w:hint="default" w:ascii="Times New Roman" w:hAnsi="Times New Roman" w:cs="Times New Roman"/>
                <w:color w:val="auto"/>
                <w:sz w:val="24"/>
                <w:szCs w:val="20"/>
                <w:lang w:eastAsia="zh-CN"/>
              </w:rPr>
              <w:t>）</w:t>
            </w:r>
            <w:r>
              <w:rPr>
                <w:rFonts w:hint="default" w:ascii="Times New Roman" w:hAnsi="Times New Roman" w:eastAsia="宋体" w:cs="Times New Roman"/>
                <w:color w:val="auto"/>
                <w:sz w:val="24"/>
                <w:szCs w:val="20"/>
              </w:rPr>
              <w:t>；</w:t>
            </w:r>
          </w:p>
          <w:p w14:paraId="4359A737">
            <w:pPr>
              <w:pStyle w:val="54"/>
              <w:ind w:firstLine="1200" w:firstLineChars="5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r——从车道中心线到预测点的距离，m；</w:t>
            </w:r>
          </w:p>
          <w:p w14:paraId="153603A9">
            <w:pPr>
              <w:pStyle w:val="54"/>
              <w:ind w:firstLine="1200" w:firstLineChars="5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ψ1、ψ2——预测点到有限长路段两端的张角，弧度，见</w:t>
            </w:r>
            <w:r>
              <w:rPr>
                <w:rFonts w:hint="default" w:ascii="Times New Roman" w:hAnsi="Times New Roman" w:cs="Times New Roman"/>
                <w:color w:val="auto"/>
                <w:sz w:val="24"/>
                <w:szCs w:val="20"/>
                <w:lang w:val="en-US" w:eastAsia="zh-CN"/>
              </w:rPr>
              <w:t>下图</w:t>
            </w:r>
            <w:r>
              <w:rPr>
                <w:rFonts w:hint="default" w:ascii="Times New Roman" w:hAnsi="Times New Roman" w:eastAsia="宋体" w:cs="Times New Roman"/>
                <w:color w:val="auto"/>
                <w:sz w:val="24"/>
                <w:szCs w:val="20"/>
              </w:rPr>
              <w:t>。</w:t>
            </w:r>
          </w:p>
          <w:p w14:paraId="737F3ABA">
            <w:pPr>
              <w:pStyle w:val="54"/>
              <w:ind w:left="0" w:leftChars="0" w:firstLine="0" w:firstLineChars="0"/>
              <w:jc w:val="center"/>
              <w:rPr>
                <w:rFonts w:hint="default" w:ascii="Times New Roman" w:hAnsi="Times New Roman" w:eastAsia="宋体" w:cs="Times New Roman"/>
                <w:color w:val="auto"/>
                <w:sz w:val="24"/>
                <w:szCs w:val="20"/>
              </w:rPr>
            </w:pPr>
            <w:r>
              <w:rPr>
                <w:rFonts w:hint="default" w:ascii="Times New Roman" w:hAnsi="Times New Roman" w:cs="Times New Roman"/>
              </w:rPr>
              <w:drawing>
                <wp:inline distT="0" distB="0" distL="114300" distR="114300">
                  <wp:extent cx="2338070" cy="1094740"/>
                  <wp:effectExtent l="0" t="0" r="5080" b="1016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45"/>
                          <a:stretch>
                            <a:fillRect/>
                          </a:stretch>
                        </pic:blipFill>
                        <pic:spPr>
                          <a:xfrm>
                            <a:off x="0" y="0"/>
                            <a:ext cx="2338070" cy="1094740"/>
                          </a:xfrm>
                          <a:prstGeom prst="rect">
                            <a:avLst/>
                          </a:prstGeom>
                          <a:noFill/>
                          <a:ln>
                            <a:noFill/>
                          </a:ln>
                        </pic:spPr>
                      </pic:pic>
                    </a:graphicData>
                  </a:graphic>
                </wp:inline>
              </w:drawing>
            </w:r>
          </w:p>
          <w:p w14:paraId="6CF0E381">
            <w:pPr>
              <w:pStyle w:val="54"/>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图</w:t>
            </w:r>
            <w:r>
              <w:rPr>
                <w:rFonts w:hint="default" w:ascii="Times New Roman" w:hAnsi="Times New Roman" w:cs="Times New Roman"/>
                <w:b/>
                <w:bCs/>
                <w:color w:val="auto"/>
                <w:sz w:val="21"/>
                <w:szCs w:val="16"/>
                <w:lang w:val="en-US" w:eastAsia="zh-CN"/>
              </w:rPr>
              <w:t>4</w:t>
            </w:r>
            <w:r>
              <w:rPr>
                <w:rFonts w:hint="default" w:ascii="Times New Roman" w:hAnsi="Times New Roman" w:cs="Times New Roman"/>
                <w:b/>
                <w:bCs/>
                <w:color w:val="auto"/>
                <w:sz w:val="21"/>
                <w:szCs w:val="16"/>
              </w:rPr>
              <w:t xml:space="preserve">-1 </w:t>
            </w:r>
            <w:r>
              <w:rPr>
                <w:rFonts w:hint="default" w:ascii="Times New Roman" w:hAnsi="Times New Roman" w:cs="Times New Roman"/>
                <w:b/>
                <w:bCs/>
                <w:color w:val="auto"/>
                <w:sz w:val="21"/>
                <w:szCs w:val="16"/>
                <w:lang w:val="en-US" w:eastAsia="zh-CN"/>
              </w:rPr>
              <w:t xml:space="preserve"> </w:t>
            </w:r>
            <w:r>
              <w:rPr>
                <w:rFonts w:hint="default" w:ascii="Times New Roman" w:hAnsi="Times New Roman" w:cs="Times New Roman"/>
                <w:b/>
                <w:bCs/>
                <w:color w:val="auto"/>
                <w:sz w:val="21"/>
                <w:szCs w:val="16"/>
              </w:rPr>
              <w:t>有限路段的修正函数，A-B为路段，P为预测点</w:t>
            </w:r>
          </w:p>
          <w:p w14:paraId="25D27362">
            <w:pPr>
              <w:pStyle w:val="54"/>
              <w:ind w:firstLine="48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∆L——由其他因素引起的修正量，dB</w:t>
            </w:r>
            <w:r>
              <w:rPr>
                <w:rFonts w:hint="default" w:ascii="Times New Roman" w:hAnsi="Times New Roman" w:cs="Times New Roman"/>
                <w:color w:val="auto"/>
                <w:sz w:val="24"/>
                <w:szCs w:val="20"/>
                <w:lang w:eastAsia="zh-CN"/>
              </w:rPr>
              <w:t>（</w:t>
            </w:r>
            <w:r>
              <w:rPr>
                <w:rFonts w:hint="default" w:ascii="Times New Roman" w:hAnsi="Times New Roman" w:eastAsia="宋体" w:cs="Times New Roman"/>
                <w:color w:val="auto"/>
                <w:sz w:val="24"/>
                <w:szCs w:val="20"/>
              </w:rPr>
              <w:t>A</w:t>
            </w:r>
            <w:r>
              <w:rPr>
                <w:rFonts w:hint="default" w:ascii="Times New Roman" w:hAnsi="Times New Roman" w:cs="Times New Roman"/>
                <w:color w:val="auto"/>
                <w:sz w:val="24"/>
                <w:szCs w:val="20"/>
                <w:lang w:eastAsia="zh-CN"/>
              </w:rPr>
              <w:t>）</w:t>
            </w:r>
            <w:r>
              <w:rPr>
                <w:rFonts w:hint="default" w:ascii="Times New Roman" w:hAnsi="Times New Roman" w:eastAsia="宋体" w:cs="Times New Roman"/>
                <w:color w:val="auto"/>
                <w:sz w:val="24"/>
                <w:szCs w:val="20"/>
              </w:rPr>
              <w:t>；</w:t>
            </w:r>
          </w:p>
          <w:p w14:paraId="11B3BF0D">
            <w:pPr>
              <w:pStyle w:val="54"/>
              <w:ind w:firstLine="480"/>
              <w:jc w:val="center"/>
              <w:rPr>
                <w:rFonts w:hint="default" w:ascii="Times New Roman" w:hAnsi="Times New Roman" w:eastAsia="宋体" w:cs="Times New Roman"/>
                <w:color w:val="auto"/>
                <w:sz w:val="28"/>
                <w:szCs w:val="21"/>
                <w:lang w:val="en-US" w:eastAsia="zh-CN"/>
              </w:rPr>
            </w:pPr>
            <w:r>
              <w:rPr>
                <w:rFonts w:hint="default" w:ascii="Times New Roman" w:hAnsi="Times New Roman" w:eastAsia="宋体" w:cs="Times New Roman"/>
                <w:color w:val="auto"/>
                <w:sz w:val="28"/>
                <w:szCs w:val="21"/>
              </w:rPr>
              <w:t>∆L</w:t>
            </w:r>
            <w:r>
              <w:rPr>
                <w:rFonts w:hint="default" w:ascii="Times New Roman" w:hAnsi="Times New Roman" w:cs="Times New Roman"/>
                <w:color w:val="auto"/>
                <w:sz w:val="28"/>
                <w:szCs w:val="21"/>
                <w:lang w:val="en-US" w:eastAsia="zh-CN"/>
              </w:rPr>
              <w:t>=</w:t>
            </w:r>
            <w:r>
              <w:rPr>
                <w:rFonts w:hint="default" w:ascii="Times New Roman" w:hAnsi="Times New Roman" w:eastAsia="宋体" w:cs="Times New Roman"/>
                <w:color w:val="auto"/>
                <w:sz w:val="28"/>
                <w:szCs w:val="21"/>
              </w:rPr>
              <w:t>∆L</w:t>
            </w:r>
            <w:r>
              <w:rPr>
                <w:rFonts w:hint="default" w:ascii="Times New Roman" w:hAnsi="Times New Roman" w:cs="Times New Roman"/>
                <w:color w:val="auto"/>
                <w:sz w:val="28"/>
                <w:szCs w:val="21"/>
                <w:vertAlign w:val="subscript"/>
                <w:lang w:val="en-US" w:eastAsia="zh-CN"/>
              </w:rPr>
              <w:t>1</w:t>
            </w:r>
            <w:r>
              <w:rPr>
                <w:rFonts w:hint="default" w:ascii="Times New Roman" w:hAnsi="Times New Roman" w:cs="Times New Roman"/>
                <w:color w:val="auto"/>
                <w:sz w:val="28"/>
                <w:szCs w:val="21"/>
                <w:lang w:val="en-US" w:eastAsia="zh-CN"/>
              </w:rPr>
              <w:t>-</w:t>
            </w:r>
            <w:r>
              <w:rPr>
                <w:rFonts w:hint="default" w:ascii="Times New Roman" w:hAnsi="Times New Roman" w:eastAsia="宋体" w:cs="Times New Roman"/>
                <w:color w:val="auto"/>
                <w:sz w:val="28"/>
                <w:szCs w:val="21"/>
              </w:rPr>
              <w:t>∆L</w:t>
            </w:r>
            <w:r>
              <w:rPr>
                <w:rFonts w:hint="default" w:ascii="Times New Roman" w:hAnsi="Times New Roman" w:cs="Times New Roman"/>
                <w:color w:val="auto"/>
                <w:sz w:val="28"/>
                <w:szCs w:val="21"/>
                <w:vertAlign w:val="subscript"/>
                <w:lang w:val="en-US" w:eastAsia="zh-CN"/>
              </w:rPr>
              <w:t>2</w:t>
            </w:r>
            <w:r>
              <w:rPr>
                <w:rFonts w:hint="default" w:ascii="Times New Roman" w:hAnsi="Times New Roman" w:cs="Times New Roman"/>
                <w:color w:val="auto"/>
                <w:sz w:val="28"/>
                <w:szCs w:val="21"/>
                <w:lang w:val="en-US" w:eastAsia="zh-CN"/>
              </w:rPr>
              <w:t>+</w:t>
            </w:r>
            <w:r>
              <w:rPr>
                <w:rFonts w:hint="default" w:ascii="Times New Roman" w:hAnsi="Times New Roman" w:eastAsia="宋体" w:cs="Times New Roman"/>
                <w:color w:val="auto"/>
                <w:sz w:val="28"/>
                <w:szCs w:val="21"/>
              </w:rPr>
              <w:t>∆L</w:t>
            </w:r>
            <w:r>
              <w:rPr>
                <w:rFonts w:hint="default" w:ascii="Times New Roman" w:hAnsi="Times New Roman" w:cs="Times New Roman"/>
                <w:color w:val="auto"/>
                <w:sz w:val="28"/>
                <w:szCs w:val="21"/>
                <w:vertAlign w:val="subscript"/>
                <w:lang w:val="en-US" w:eastAsia="zh-CN"/>
              </w:rPr>
              <w:t>3</w:t>
            </w:r>
          </w:p>
          <w:p w14:paraId="2AAEA280">
            <w:pPr>
              <w:pStyle w:val="54"/>
              <w:ind w:firstLine="480"/>
              <w:jc w:val="center"/>
              <w:rPr>
                <w:rFonts w:hint="default" w:ascii="Times New Roman" w:hAnsi="Times New Roman" w:eastAsia="宋体" w:cs="Times New Roman"/>
                <w:color w:val="auto"/>
                <w:sz w:val="24"/>
                <w:szCs w:val="20"/>
                <w:lang w:val="en-US"/>
              </w:rPr>
            </w:pPr>
            <w:r>
              <w:rPr>
                <w:rFonts w:hint="default" w:ascii="Times New Roman" w:hAnsi="Times New Roman" w:eastAsia="宋体" w:cs="Times New Roman"/>
                <w:color w:val="auto"/>
                <w:sz w:val="28"/>
                <w:szCs w:val="21"/>
              </w:rPr>
              <w:t>∆L</w:t>
            </w:r>
            <w:r>
              <w:rPr>
                <w:rFonts w:hint="default" w:ascii="Times New Roman" w:hAnsi="Times New Roman" w:cs="Times New Roman"/>
                <w:color w:val="auto"/>
                <w:sz w:val="28"/>
                <w:szCs w:val="21"/>
                <w:vertAlign w:val="subscript"/>
                <w:lang w:val="en-US" w:eastAsia="zh-CN"/>
              </w:rPr>
              <w:t>1=</w:t>
            </w:r>
            <w:r>
              <w:rPr>
                <w:rFonts w:hint="default" w:ascii="Times New Roman" w:hAnsi="Times New Roman" w:eastAsia="宋体" w:cs="Times New Roman"/>
                <w:color w:val="auto"/>
                <w:sz w:val="28"/>
                <w:szCs w:val="21"/>
              </w:rPr>
              <w:t>∆L</w:t>
            </w:r>
            <w:r>
              <w:rPr>
                <w:rFonts w:hint="default" w:ascii="Times New Roman" w:hAnsi="Times New Roman" w:cs="Times New Roman"/>
                <w:color w:val="auto"/>
                <w:sz w:val="28"/>
                <w:szCs w:val="21"/>
                <w:vertAlign w:val="subscript"/>
                <w:lang w:val="en-US" w:eastAsia="zh-CN"/>
              </w:rPr>
              <w:t>坡度+</w:t>
            </w:r>
            <w:r>
              <w:rPr>
                <w:rFonts w:hint="default" w:ascii="Times New Roman" w:hAnsi="Times New Roman" w:eastAsia="宋体" w:cs="Times New Roman"/>
                <w:color w:val="auto"/>
                <w:sz w:val="28"/>
                <w:szCs w:val="21"/>
              </w:rPr>
              <w:t>∆L</w:t>
            </w:r>
            <w:r>
              <w:rPr>
                <w:rFonts w:hint="default" w:ascii="Times New Roman" w:hAnsi="Times New Roman" w:cs="Times New Roman"/>
                <w:color w:val="auto"/>
                <w:sz w:val="28"/>
                <w:szCs w:val="21"/>
                <w:vertAlign w:val="subscript"/>
                <w:lang w:val="en-US" w:eastAsia="zh-CN"/>
              </w:rPr>
              <w:t>路面</w:t>
            </w:r>
          </w:p>
          <w:p w14:paraId="0EDB8CBA">
            <w:pPr>
              <w:pStyle w:val="54"/>
              <w:ind w:firstLine="480"/>
              <w:jc w:val="center"/>
              <w:rPr>
                <w:rFonts w:hint="default" w:ascii="Times New Roman" w:hAnsi="Times New Roman" w:eastAsia="宋体" w:cs="Times New Roman"/>
                <w:color w:val="auto"/>
                <w:sz w:val="24"/>
                <w:szCs w:val="20"/>
                <w:vertAlign w:val="subscript"/>
                <w:lang w:val="en-US"/>
              </w:rPr>
            </w:pPr>
            <w:r>
              <w:rPr>
                <w:rFonts w:hint="default" w:ascii="Times New Roman" w:hAnsi="Times New Roman" w:eastAsia="宋体" w:cs="Times New Roman"/>
                <w:color w:val="auto"/>
                <w:sz w:val="28"/>
                <w:szCs w:val="21"/>
              </w:rPr>
              <w:t>∆L</w:t>
            </w:r>
            <w:r>
              <w:rPr>
                <w:rFonts w:hint="default" w:ascii="Times New Roman" w:hAnsi="Times New Roman" w:cs="Times New Roman"/>
                <w:color w:val="auto"/>
                <w:sz w:val="28"/>
                <w:szCs w:val="21"/>
                <w:vertAlign w:val="subscript"/>
                <w:lang w:val="en-US" w:eastAsia="zh-CN"/>
              </w:rPr>
              <w:t>2</w:t>
            </w:r>
            <w:r>
              <w:rPr>
                <w:rFonts w:hint="default" w:ascii="Times New Roman" w:hAnsi="Times New Roman" w:cs="Times New Roman"/>
                <w:color w:val="auto"/>
                <w:sz w:val="28"/>
                <w:szCs w:val="21"/>
                <w:vertAlign w:val="baseline"/>
                <w:lang w:val="en-US" w:eastAsia="zh-CN"/>
              </w:rPr>
              <w:t>=A</w:t>
            </w:r>
            <w:r>
              <w:rPr>
                <w:rFonts w:hint="default" w:ascii="Times New Roman" w:hAnsi="Times New Roman" w:cs="Times New Roman"/>
                <w:color w:val="auto"/>
                <w:sz w:val="28"/>
                <w:szCs w:val="21"/>
                <w:vertAlign w:val="subscript"/>
                <w:lang w:val="en-US" w:eastAsia="zh-CN"/>
              </w:rPr>
              <w:t>atm</w:t>
            </w:r>
            <w:r>
              <w:rPr>
                <w:rFonts w:hint="default" w:ascii="Times New Roman" w:hAnsi="Times New Roman" w:cs="Times New Roman"/>
                <w:color w:val="auto"/>
                <w:sz w:val="28"/>
                <w:szCs w:val="21"/>
                <w:vertAlign w:val="baseline"/>
                <w:lang w:val="en-US" w:eastAsia="zh-CN"/>
              </w:rPr>
              <w:t>+A</w:t>
            </w:r>
            <w:r>
              <w:rPr>
                <w:rFonts w:hint="default" w:ascii="Times New Roman" w:hAnsi="Times New Roman" w:cs="Times New Roman"/>
                <w:color w:val="auto"/>
                <w:sz w:val="28"/>
                <w:szCs w:val="21"/>
                <w:vertAlign w:val="subscript"/>
                <w:lang w:val="en-US" w:eastAsia="zh-CN"/>
              </w:rPr>
              <w:t>gr</w:t>
            </w:r>
            <w:r>
              <w:rPr>
                <w:rFonts w:hint="default" w:ascii="Times New Roman" w:hAnsi="Times New Roman" w:cs="Times New Roman"/>
                <w:color w:val="auto"/>
                <w:sz w:val="28"/>
                <w:szCs w:val="21"/>
                <w:vertAlign w:val="baseline"/>
                <w:lang w:val="en-US" w:eastAsia="zh-CN"/>
              </w:rPr>
              <w:t>+A</w:t>
            </w:r>
            <w:r>
              <w:rPr>
                <w:rFonts w:hint="default" w:ascii="Times New Roman" w:hAnsi="Times New Roman" w:cs="Times New Roman"/>
                <w:color w:val="auto"/>
                <w:sz w:val="28"/>
                <w:szCs w:val="21"/>
                <w:vertAlign w:val="subscript"/>
                <w:lang w:val="en-US" w:eastAsia="zh-CN"/>
              </w:rPr>
              <w:t>bar</w:t>
            </w:r>
            <w:r>
              <w:rPr>
                <w:rFonts w:hint="default" w:ascii="Times New Roman" w:hAnsi="Times New Roman" w:cs="Times New Roman"/>
                <w:color w:val="auto"/>
                <w:sz w:val="28"/>
                <w:szCs w:val="21"/>
                <w:vertAlign w:val="baseline"/>
                <w:lang w:val="en-US" w:eastAsia="zh-CN"/>
              </w:rPr>
              <w:t>+A</w:t>
            </w:r>
            <w:r>
              <w:rPr>
                <w:rFonts w:hint="default" w:ascii="Times New Roman" w:hAnsi="Times New Roman" w:cs="Times New Roman"/>
                <w:color w:val="auto"/>
                <w:sz w:val="28"/>
                <w:szCs w:val="21"/>
                <w:vertAlign w:val="subscript"/>
                <w:lang w:val="en-US" w:eastAsia="zh-CN"/>
              </w:rPr>
              <w:t>misc</w:t>
            </w:r>
          </w:p>
          <w:p w14:paraId="4783F605">
            <w:pPr>
              <w:pStyle w:val="54"/>
              <w:jc w:val="left"/>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lang w:val="en-US" w:eastAsia="zh-CN"/>
              </w:rPr>
              <w:t>式中：</w:t>
            </w:r>
            <w:r>
              <w:rPr>
                <w:rFonts w:hint="default" w:ascii="Times New Roman" w:hAnsi="Times New Roman" w:eastAsia="宋体" w:cs="Times New Roman"/>
                <w:color w:val="auto"/>
                <w:sz w:val="24"/>
                <w:szCs w:val="24"/>
              </w:rPr>
              <w:t>∆L</w:t>
            </w:r>
            <w:r>
              <w:rPr>
                <w:rFonts w:hint="default" w:ascii="Times New Roman" w:hAnsi="Times New Roman" w:cs="Times New Roman"/>
                <w:color w:val="auto"/>
                <w:sz w:val="24"/>
                <w:szCs w:val="24"/>
                <w:vertAlign w:val="subscript"/>
                <w:lang w:val="en-US" w:eastAsia="zh-CN"/>
              </w:rPr>
              <w:t>1</w:t>
            </w:r>
            <w:r>
              <w:rPr>
                <w:rFonts w:hint="default" w:ascii="Times New Roman" w:hAnsi="Times New Roman" w:eastAsia="宋体" w:cs="Times New Roman"/>
                <w:color w:val="auto"/>
                <w:sz w:val="24"/>
                <w:szCs w:val="20"/>
                <w:lang w:val="en-US" w:eastAsia="zh-CN"/>
              </w:rPr>
              <w:t>——线路因素引起的修正量，dB</w:t>
            </w:r>
            <w:r>
              <w:rPr>
                <w:rFonts w:hint="eastAsia"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A</w:t>
            </w:r>
            <w:r>
              <w:rPr>
                <w:rFonts w:hint="eastAsia"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w:t>
            </w:r>
          </w:p>
          <w:p w14:paraId="69068A60">
            <w:pPr>
              <w:pStyle w:val="54"/>
              <w:ind w:firstLine="1200" w:firstLineChars="5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∆L</w:t>
            </w:r>
            <w:r>
              <w:rPr>
                <w:rFonts w:hint="default" w:ascii="Times New Roman" w:hAnsi="Times New Roman" w:cs="Times New Roman"/>
                <w:color w:val="auto"/>
                <w:sz w:val="24"/>
                <w:szCs w:val="24"/>
                <w:vertAlign w:val="subscript"/>
                <w:lang w:val="en-US" w:eastAsia="zh-CN"/>
              </w:rPr>
              <w:t>坡度</w:t>
            </w:r>
            <w:r>
              <w:rPr>
                <w:rFonts w:hint="default" w:ascii="Times New Roman" w:hAnsi="Times New Roman" w:eastAsia="宋体" w:cs="Times New Roman"/>
                <w:color w:val="auto"/>
                <w:sz w:val="24"/>
                <w:szCs w:val="24"/>
                <w:lang w:val="en-US" w:eastAsia="zh-CN"/>
              </w:rPr>
              <w:t>——公路纵坡修正量，dB</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A</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w:t>
            </w:r>
          </w:p>
          <w:p w14:paraId="6C7C1651">
            <w:pPr>
              <w:pStyle w:val="54"/>
              <w:ind w:firstLine="1200" w:firstLineChars="5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∆L</w:t>
            </w:r>
            <w:r>
              <w:rPr>
                <w:rFonts w:hint="default" w:ascii="Times New Roman" w:hAnsi="Times New Roman" w:cs="Times New Roman"/>
                <w:color w:val="auto"/>
                <w:sz w:val="24"/>
                <w:szCs w:val="24"/>
                <w:vertAlign w:val="subscript"/>
                <w:lang w:val="en-US" w:eastAsia="zh-CN"/>
              </w:rPr>
              <w:t>路面</w:t>
            </w:r>
            <w:r>
              <w:rPr>
                <w:rFonts w:hint="default" w:ascii="Times New Roman" w:hAnsi="Times New Roman" w:eastAsia="宋体" w:cs="Times New Roman"/>
                <w:color w:val="auto"/>
                <w:sz w:val="24"/>
                <w:szCs w:val="24"/>
                <w:lang w:val="en-US" w:eastAsia="zh-CN"/>
              </w:rPr>
              <w:t>——公路路面材料引起的修正量，dB</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A</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w:t>
            </w:r>
          </w:p>
          <w:p w14:paraId="6FFF3131">
            <w:pPr>
              <w:pStyle w:val="54"/>
              <w:ind w:firstLine="1200" w:firstLineChars="5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∆L</w:t>
            </w:r>
            <w:r>
              <w:rPr>
                <w:rFonts w:hint="default" w:ascii="Times New Roman" w:hAnsi="Times New Roman"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——声波传播途径中引起的衰减量，dB</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A</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w:t>
            </w:r>
          </w:p>
          <w:p w14:paraId="39AB6BE5">
            <w:pPr>
              <w:pStyle w:val="54"/>
              <w:ind w:firstLine="1200" w:firstLineChars="5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∆L</w:t>
            </w:r>
            <w:r>
              <w:rPr>
                <w:rFonts w:hint="default" w:ascii="Times New Roman" w:hAnsi="Times New Roman"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——由反射等引起的修正量，dB</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A</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w:t>
            </w:r>
          </w:p>
          <w:p w14:paraId="1D91C11C">
            <w:pPr>
              <w:pStyle w:val="54"/>
              <w:ind w:firstLine="480"/>
              <w:rPr>
                <w:rFonts w:hint="default" w:ascii="Times New Roman" w:hAnsi="Times New Roman" w:eastAsia="宋体" w:cs="Times New Roman"/>
                <w:b/>
                <w:bCs/>
                <w:color w:val="auto"/>
                <w:sz w:val="24"/>
                <w:szCs w:val="20"/>
              </w:rPr>
            </w:pPr>
            <w:r>
              <w:rPr>
                <w:rFonts w:hint="eastAsia" w:ascii="Times New Roman" w:hAnsi="Times New Roman" w:eastAsia="宋体" w:cs="Times New Roman"/>
                <w:b/>
                <w:bCs/>
                <w:color w:val="auto"/>
                <w:sz w:val="24"/>
                <w:szCs w:val="20"/>
                <w:lang w:val="en-US" w:eastAsia="zh-CN"/>
              </w:rPr>
              <w:t>B</w:t>
            </w:r>
            <w:r>
              <w:rPr>
                <w:rFonts w:hint="default" w:ascii="Times New Roman" w:hAnsi="Times New Roman" w:eastAsia="宋体" w:cs="Times New Roman"/>
                <w:b/>
                <w:bCs/>
                <w:color w:val="auto"/>
                <w:sz w:val="24"/>
                <w:szCs w:val="20"/>
                <w:lang w:val="en-US" w:eastAsia="zh-CN"/>
              </w:rPr>
              <w:t>总车流等效声级为</w:t>
            </w:r>
          </w:p>
          <w:p w14:paraId="099BA95D">
            <w:pPr>
              <w:pStyle w:val="54"/>
              <w:ind w:firstLine="480"/>
              <w:jc w:val="center"/>
              <w:rPr>
                <w:rFonts w:hint="default" w:ascii="Times New Roman" w:hAnsi="Times New Roman" w:cs="Times New Roman"/>
                <w:color w:val="auto"/>
                <w:sz w:val="24"/>
                <w:szCs w:val="20"/>
              </w:rPr>
            </w:pPr>
            <w:r>
              <w:rPr>
                <w:rFonts w:hint="default" w:ascii="Times New Roman" w:hAnsi="Times New Roman" w:cs="Times New Roman"/>
              </w:rPr>
              <w:drawing>
                <wp:inline distT="0" distB="0" distL="114300" distR="114300">
                  <wp:extent cx="3957955" cy="353695"/>
                  <wp:effectExtent l="0" t="0" r="4445" b="825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46"/>
                          <a:stretch>
                            <a:fillRect/>
                          </a:stretch>
                        </pic:blipFill>
                        <pic:spPr>
                          <a:xfrm>
                            <a:off x="0" y="0"/>
                            <a:ext cx="3957955" cy="353695"/>
                          </a:xfrm>
                          <a:prstGeom prst="rect">
                            <a:avLst/>
                          </a:prstGeom>
                          <a:noFill/>
                          <a:ln>
                            <a:noFill/>
                          </a:ln>
                        </pic:spPr>
                      </pic:pic>
                    </a:graphicData>
                  </a:graphic>
                </wp:inline>
              </w:drawing>
            </w:r>
          </w:p>
          <w:p w14:paraId="501A607A">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lang w:val="en-US" w:eastAsia="zh-CN"/>
              </w:rPr>
              <w:t>如某个预测点受多条线路交通噪声影响（如交叉路口的影响，路边高层建筑预测点受地面多条车道的影响），应分别计算每条车道对该预测点的声级后，经叠加后得到贡献值。</w:t>
            </w:r>
          </w:p>
          <w:p w14:paraId="32F36290">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lang w:val="en-US" w:eastAsia="zh-CN"/>
              </w:rPr>
              <w:t>式中：</w:t>
            </w:r>
          </w:p>
          <w:p w14:paraId="2DE9B422">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lang w:val="en-US" w:eastAsia="zh-CN"/>
              </w:rPr>
              <w:t>L</w:t>
            </w:r>
            <w:r>
              <w:rPr>
                <w:rFonts w:hint="default" w:ascii="Times New Roman" w:hAnsi="Times New Roman" w:cs="Times New Roman"/>
                <w:color w:val="auto"/>
                <w:sz w:val="24"/>
                <w:szCs w:val="20"/>
                <w:vertAlign w:val="subscript"/>
                <w:lang w:val="en-US" w:eastAsia="zh-CN"/>
              </w:rPr>
              <w:t>eq</w:t>
            </w:r>
            <w:r>
              <w:rPr>
                <w:rFonts w:hint="default" w:ascii="Times New Roman" w:hAnsi="Times New Roman" w:cs="Times New Roman"/>
                <w:color w:val="auto"/>
                <w:sz w:val="24"/>
                <w:szCs w:val="20"/>
                <w:lang w:val="en-US" w:eastAsia="zh-CN"/>
              </w:rPr>
              <w:t>（T）——总车流小时等效声级，dB</w:t>
            </w:r>
            <w:r>
              <w:rPr>
                <w:rFonts w:hint="eastAsia" w:cs="Times New Roman"/>
                <w:color w:val="auto"/>
                <w:sz w:val="24"/>
                <w:szCs w:val="20"/>
                <w:lang w:val="en-US" w:eastAsia="zh-CN"/>
              </w:rPr>
              <w:t>（</w:t>
            </w:r>
            <w:r>
              <w:rPr>
                <w:rFonts w:hint="default" w:ascii="Times New Roman" w:hAnsi="Times New Roman" w:cs="Times New Roman"/>
                <w:color w:val="auto"/>
                <w:sz w:val="24"/>
                <w:szCs w:val="20"/>
                <w:lang w:val="en-US" w:eastAsia="zh-CN"/>
              </w:rPr>
              <w:t>A</w:t>
            </w:r>
            <w:r>
              <w:rPr>
                <w:rFonts w:hint="eastAsia" w:cs="Times New Roman"/>
                <w:color w:val="auto"/>
                <w:sz w:val="24"/>
                <w:szCs w:val="20"/>
                <w:lang w:val="en-US" w:eastAsia="zh-CN"/>
              </w:rPr>
              <w:t>）</w:t>
            </w:r>
            <w:r>
              <w:rPr>
                <w:rFonts w:hint="default" w:ascii="Times New Roman" w:hAnsi="Times New Roman" w:cs="Times New Roman"/>
                <w:color w:val="auto"/>
                <w:sz w:val="24"/>
                <w:szCs w:val="20"/>
                <w:lang w:val="en-US" w:eastAsia="zh-CN"/>
              </w:rPr>
              <w:t>；</w:t>
            </w:r>
          </w:p>
          <w:p w14:paraId="006124EA">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lang w:val="en-US" w:eastAsia="zh-CN"/>
              </w:rPr>
              <w:t>L</w:t>
            </w:r>
            <w:r>
              <w:rPr>
                <w:rFonts w:hint="default" w:ascii="Times New Roman" w:hAnsi="Times New Roman" w:cs="Times New Roman"/>
                <w:color w:val="auto"/>
                <w:sz w:val="24"/>
                <w:szCs w:val="20"/>
                <w:vertAlign w:val="subscript"/>
                <w:lang w:val="en-US" w:eastAsia="zh-CN"/>
              </w:rPr>
              <w:t>eq</w:t>
            </w:r>
            <w:r>
              <w:rPr>
                <w:rFonts w:hint="default" w:ascii="Times New Roman" w:hAnsi="Times New Roman" w:cs="Times New Roman"/>
                <w:color w:val="auto"/>
                <w:sz w:val="24"/>
                <w:szCs w:val="20"/>
                <w:lang w:val="en-US" w:eastAsia="zh-CN"/>
              </w:rPr>
              <w:t>（h）</w:t>
            </w:r>
            <w:r>
              <w:rPr>
                <w:rFonts w:hint="default" w:ascii="Times New Roman" w:hAnsi="Times New Roman" w:cs="Times New Roman"/>
                <w:color w:val="auto"/>
                <w:sz w:val="24"/>
                <w:szCs w:val="20"/>
                <w:vertAlign w:val="subscript"/>
                <w:lang w:val="en-US" w:eastAsia="zh-CN"/>
              </w:rPr>
              <w:t>H</w:t>
            </w:r>
            <w:r>
              <w:rPr>
                <w:rFonts w:hint="default" w:ascii="Times New Roman" w:hAnsi="Times New Roman" w:cs="Times New Roman"/>
                <w:color w:val="auto"/>
                <w:sz w:val="24"/>
                <w:szCs w:val="20"/>
                <w:lang w:val="en-US" w:eastAsia="zh-CN"/>
              </w:rPr>
              <w:t>、L</w:t>
            </w:r>
            <w:r>
              <w:rPr>
                <w:rFonts w:hint="default" w:ascii="Times New Roman" w:hAnsi="Times New Roman" w:cs="Times New Roman"/>
                <w:color w:val="auto"/>
                <w:sz w:val="24"/>
                <w:szCs w:val="20"/>
                <w:vertAlign w:val="subscript"/>
                <w:lang w:val="en-US" w:eastAsia="zh-CN"/>
              </w:rPr>
              <w:t>eq</w:t>
            </w:r>
            <w:r>
              <w:rPr>
                <w:rFonts w:hint="default" w:ascii="Times New Roman" w:hAnsi="Times New Roman" w:cs="Times New Roman"/>
                <w:color w:val="auto"/>
                <w:sz w:val="24"/>
                <w:szCs w:val="20"/>
                <w:lang w:val="en-US" w:eastAsia="zh-CN"/>
              </w:rPr>
              <w:t>（h）</w:t>
            </w:r>
            <w:r>
              <w:rPr>
                <w:rFonts w:hint="default" w:ascii="Times New Roman" w:hAnsi="Times New Roman" w:cs="Times New Roman"/>
                <w:color w:val="auto"/>
                <w:sz w:val="24"/>
                <w:szCs w:val="20"/>
                <w:vertAlign w:val="subscript"/>
                <w:lang w:val="en-US" w:eastAsia="zh-CN"/>
              </w:rPr>
              <w:t>M</w:t>
            </w:r>
            <w:r>
              <w:rPr>
                <w:rFonts w:hint="default" w:ascii="Times New Roman" w:hAnsi="Times New Roman" w:cs="Times New Roman"/>
                <w:color w:val="auto"/>
                <w:sz w:val="24"/>
                <w:szCs w:val="20"/>
                <w:lang w:val="en-US" w:eastAsia="zh-CN"/>
              </w:rPr>
              <w:t>、L</w:t>
            </w:r>
            <w:r>
              <w:rPr>
                <w:rFonts w:hint="default" w:ascii="Times New Roman" w:hAnsi="Times New Roman" w:cs="Times New Roman"/>
                <w:color w:val="auto"/>
                <w:sz w:val="24"/>
                <w:szCs w:val="20"/>
                <w:vertAlign w:val="subscript"/>
                <w:lang w:val="en-US" w:eastAsia="zh-CN"/>
              </w:rPr>
              <w:t>eq</w:t>
            </w:r>
            <w:r>
              <w:rPr>
                <w:rFonts w:hint="default" w:ascii="Times New Roman" w:hAnsi="Times New Roman" w:cs="Times New Roman"/>
                <w:color w:val="auto"/>
                <w:sz w:val="24"/>
                <w:szCs w:val="20"/>
                <w:lang w:val="en-US" w:eastAsia="zh-CN"/>
              </w:rPr>
              <w:t>（h）</w:t>
            </w:r>
            <w:r>
              <w:rPr>
                <w:rFonts w:hint="default" w:ascii="Times New Roman" w:hAnsi="Times New Roman" w:cs="Times New Roman"/>
                <w:color w:val="auto"/>
                <w:sz w:val="24"/>
                <w:szCs w:val="20"/>
                <w:vertAlign w:val="subscript"/>
                <w:lang w:val="en-US" w:eastAsia="zh-CN"/>
              </w:rPr>
              <w:t>L</w:t>
            </w:r>
            <w:r>
              <w:rPr>
                <w:rFonts w:hint="default" w:ascii="Times New Roman" w:hAnsi="Times New Roman" w:cs="Times New Roman"/>
                <w:color w:val="auto"/>
                <w:sz w:val="24"/>
                <w:szCs w:val="20"/>
                <w:lang w:val="en-US" w:eastAsia="zh-CN"/>
              </w:rPr>
              <w:t>——大、中、小型车的小时等效声级，dB</w:t>
            </w:r>
            <w:r>
              <w:rPr>
                <w:rFonts w:hint="eastAsia" w:cs="Times New Roman"/>
                <w:color w:val="auto"/>
                <w:sz w:val="24"/>
                <w:szCs w:val="20"/>
                <w:lang w:val="en-US" w:eastAsia="zh-CN"/>
              </w:rPr>
              <w:t>（</w:t>
            </w:r>
            <w:r>
              <w:rPr>
                <w:rFonts w:hint="default" w:ascii="Times New Roman" w:hAnsi="Times New Roman" w:cs="Times New Roman"/>
                <w:color w:val="auto"/>
                <w:sz w:val="24"/>
                <w:szCs w:val="20"/>
                <w:lang w:val="en-US" w:eastAsia="zh-CN"/>
              </w:rPr>
              <w:t>A</w:t>
            </w:r>
            <w:r>
              <w:rPr>
                <w:rFonts w:hint="eastAsia" w:cs="Times New Roman"/>
                <w:color w:val="auto"/>
                <w:sz w:val="24"/>
                <w:szCs w:val="20"/>
                <w:lang w:val="en-US" w:eastAsia="zh-CN"/>
              </w:rPr>
              <w:t>）</w:t>
            </w:r>
            <w:r>
              <w:rPr>
                <w:rFonts w:hint="default" w:ascii="Times New Roman" w:hAnsi="Times New Roman" w:cs="Times New Roman"/>
                <w:color w:val="auto"/>
                <w:sz w:val="24"/>
                <w:szCs w:val="20"/>
                <w:lang w:val="en-US" w:eastAsia="zh-CN"/>
              </w:rPr>
              <w:t>；</w:t>
            </w:r>
          </w:p>
          <w:p w14:paraId="7DB3ADAA">
            <w:pPr>
              <w:pStyle w:val="54"/>
              <w:ind w:firstLine="480"/>
              <w:rPr>
                <w:rFonts w:hint="default" w:ascii="Times New Roman" w:hAnsi="Times New Roman" w:eastAsia="宋体" w:cs="Times New Roman"/>
                <w:b/>
                <w:bCs/>
                <w:color w:val="auto"/>
                <w:sz w:val="24"/>
                <w:szCs w:val="20"/>
                <w:lang w:val="en-US" w:eastAsia="zh-CN"/>
              </w:rPr>
            </w:pPr>
            <w:r>
              <w:rPr>
                <w:rFonts w:hint="eastAsia" w:ascii="Times New Roman" w:hAnsi="Times New Roman" w:eastAsia="宋体" w:cs="Times New Roman"/>
                <w:b/>
                <w:bCs/>
                <w:color w:val="auto"/>
                <w:sz w:val="24"/>
                <w:szCs w:val="20"/>
                <w:lang w:val="en-US" w:eastAsia="zh-CN"/>
              </w:rPr>
              <w:t>C</w:t>
            </w:r>
            <w:r>
              <w:rPr>
                <w:rFonts w:hint="default" w:ascii="Times New Roman" w:hAnsi="Times New Roman" w:eastAsia="宋体" w:cs="Times New Roman"/>
                <w:b/>
                <w:bCs/>
                <w:color w:val="auto"/>
                <w:sz w:val="24"/>
                <w:szCs w:val="20"/>
                <w:lang w:val="en-US" w:eastAsia="zh-CN"/>
              </w:rPr>
              <w:t>修正量和衰减量的计算</w:t>
            </w:r>
          </w:p>
          <w:p w14:paraId="47976C60">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①线路因素引起的修正量（</w:t>
            </w:r>
            <m:oMath>
              <m:r>
                <m:rPr/>
                <w:rPr>
                  <w:rFonts w:hint="default" w:ascii="Cambria Math" w:hAnsi="Cambria Math" w:cs="Times New Roman"/>
                  <w:color w:val="auto"/>
                  <w:sz w:val="24"/>
                  <w:szCs w:val="20"/>
                </w:rPr>
                <m:t>∆</m:t>
              </m:r>
              <m:sSub>
                <m:sSubPr>
                  <m:ctrlPr>
                    <w:rPr>
                      <w:rFonts w:hint="default" w:ascii="Cambria Math" w:hAnsi="Cambria Math" w:cs="Times New Roman"/>
                      <w:i/>
                      <w:color w:val="auto"/>
                      <w:sz w:val="24"/>
                      <w:szCs w:val="20"/>
                    </w:rPr>
                  </m:ctrlPr>
                </m:sSubPr>
                <m:e>
                  <m:r>
                    <m:rPr/>
                    <w:rPr>
                      <w:rFonts w:hint="default" w:ascii="Cambria Math" w:hAnsi="Cambria Math" w:cs="Times New Roman"/>
                      <w:color w:val="auto"/>
                      <w:sz w:val="24"/>
                      <w:szCs w:val="20"/>
                    </w:rPr>
                    <m:t>L</m:t>
                  </m:r>
                  <m:ctrlPr>
                    <w:rPr>
                      <w:rFonts w:hint="default" w:ascii="Cambria Math" w:hAnsi="Cambria Math" w:cs="Times New Roman"/>
                      <w:i/>
                      <w:color w:val="auto"/>
                      <w:sz w:val="24"/>
                      <w:szCs w:val="20"/>
                    </w:rPr>
                  </m:ctrlPr>
                </m:e>
                <m:sub>
                  <m:r>
                    <m:rPr>
                      <m:sty m:val="p"/>
                    </m:rPr>
                    <w:rPr>
                      <w:rFonts w:hint="default" w:ascii="Cambria Math" w:hAnsi="Cambria Math" w:cs="Times New Roman"/>
                      <w:color w:val="auto"/>
                      <w:sz w:val="24"/>
                      <w:szCs w:val="20"/>
                    </w:rPr>
                    <m:t>1</m:t>
                  </m:r>
                  <m:ctrlPr>
                    <w:rPr>
                      <w:rFonts w:hint="default" w:ascii="Cambria Math" w:hAnsi="Cambria Math" w:cs="Times New Roman"/>
                      <w:i/>
                      <w:color w:val="auto"/>
                      <w:sz w:val="24"/>
                      <w:szCs w:val="20"/>
                    </w:rPr>
                  </m:ctrlPr>
                </m:sub>
              </m:sSub>
            </m:oMath>
            <w:r>
              <w:rPr>
                <w:rFonts w:hint="default" w:ascii="Times New Roman" w:hAnsi="Times New Roman" w:cs="Times New Roman"/>
                <w:color w:val="auto"/>
                <w:sz w:val="24"/>
                <w:szCs w:val="20"/>
              </w:rPr>
              <w:t>）</w:t>
            </w:r>
          </w:p>
          <w:p w14:paraId="365F30CB">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a.纵坡修正量（</w:t>
            </w:r>
            <m:oMath>
              <m:r>
                <m:rPr/>
                <w:rPr>
                  <w:rFonts w:hint="default" w:ascii="Cambria Math" w:hAnsi="Cambria Math" w:cs="Times New Roman"/>
                  <w:color w:val="auto"/>
                  <w:sz w:val="24"/>
                  <w:szCs w:val="20"/>
                </w:rPr>
                <m:t>∆</m:t>
              </m:r>
              <m:sSub>
                <m:sSubPr>
                  <m:ctrlPr>
                    <w:rPr>
                      <w:rFonts w:hint="default" w:ascii="Cambria Math" w:hAnsi="Cambria Math" w:cs="Times New Roman"/>
                      <w:i/>
                      <w:color w:val="auto"/>
                      <w:sz w:val="24"/>
                      <w:szCs w:val="20"/>
                    </w:rPr>
                  </m:ctrlPr>
                </m:sSubPr>
                <m:e>
                  <m:r>
                    <m:rPr/>
                    <w:rPr>
                      <w:rFonts w:hint="default" w:ascii="Cambria Math" w:hAnsi="Cambria Math" w:cs="Times New Roman"/>
                      <w:color w:val="auto"/>
                      <w:sz w:val="24"/>
                      <w:szCs w:val="20"/>
                    </w:rPr>
                    <m:t>L</m:t>
                  </m:r>
                  <m:ctrlPr>
                    <w:rPr>
                      <w:rFonts w:hint="default" w:ascii="Cambria Math" w:hAnsi="Cambria Math" w:cs="Times New Roman"/>
                      <w:i/>
                      <w:color w:val="auto"/>
                      <w:sz w:val="24"/>
                      <w:szCs w:val="20"/>
                    </w:rPr>
                  </m:ctrlPr>
                </m:e>
                <m:sub>
                  <m:r>
                    <m:rPr>
                      <m:sty m:val="p"/>
                    </m:rPr>
                    <w:rPr>
                      <w:rFonts w:hint="default" w:ascii="Cambria Math" w:hAnsi="Cambria Math" w:cs="Times New Roman"/>
                      <w:color w:val="auto"/>
                      <w:sz w:val="24"/>
                      <w:szCs w:val="20"/>
                    </w:rPr>
                    <m:t>坡度</m:t>
                  </m:r>
                  <m:ctrlPr>
                    <w:rPr>
                      <w:rFonts w:hint="default" w:ascii="Cambria Math" w:hAnsi="Cambria Math" w:cs="Times New Roman"/>
                      <w:i/>
                      <w:color w:val="auto"/>
                      <w:sz w:val="24"/>
                      <w:szCs w:val="20"/>
                    </w:rPr>
                  </m:ctrlPr>
                </m:sub>
              </m:sSub>
            </m:oMath>
            <w:r>
              <w:rPr>
                <w:rFonts w:hint="default" w:ascii="Times New Roman" w:hAnsi="Times New Roman" w:cs="Times New Roman"/>
                <w:color w:val="auto"/>
                <w:sz w:val="24"/>
                <w:szCs w:val="20"/>
              </w:rPr>
              <w:t>）</w:t>
            </w:r>
          </w:p>
          <w:p w14:paraId="193F2230">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lang w:val="en-US" w:eastAsia="zh-CN"/>
              </w:rPr>
              <w:t>公路</w:t>
            </w:r>
            <w:r>
              <w:rPr>
                <w:rFonts w:hint="default" w:ascii="Times New Roman" w:hAnsi="Times New Roman" w:cs="Times New Roman"/>
                <w:color w:val="auto"/>
                <w:sz w:val="24"/>
                <w:szCs w:val="20"/>
              </w:rPr>
              <w:t>纵坡修正量（</w:t>
            </w:r>
            <m:oMath>
              <m:r>
                <m:rPr/>
                <w:rPr>
                  <w:rFonts w:hint="default" w:ascii="Cambria Math" w:hAnsi="Cambria Math" w:cs="Times New Roman"/>
                  <w:color w:val="auto"/>
                  <w:sz w:val="24"/>
                  <w:szCs w:val="20"/>
                </w:rPr>
                <m:t>∆</m:t>
              </m:r>
              <m:sSub>
                <m:sSubPr>
                  <m:ctrlPr>
                    <w:rPr>
                      <w:rFonts w:hint="default" w:ascii="Cambria Math" w:hAnsi="Cambria Math" w:cs="Times New Roman"/>
                      <w:i/>
                      <w:color w:val="auto"/>
                      <w:sz w:val="24"/>
                      <w:szCs w:val="20"/>
                    </w:rPr>
                  </m:ctrlPr>
                </m:sSubPr>
                <m:e>
                  <m:r>
                    <m:rPr/>
                    <w:rPr>
                      <w:rFonts w:hint="default" w:ascii="Cambria Math" w:hAnsi="Cambria Math" w:cs="Times New Roman"/>
                      <w:color w:val="auto"/>
                      <w:sz w:val="24"/>
                      <w:szCs w:val="20"/>
                    </w:rPr>
                    <m:t>L</m:t>
                  </m:r>
                  <m:ctrlPr>
                    <w:rPr>
                      <w:rFonts w:hint="default" w:ascii="Cambria Math" w:hAnsi="Cambria Math" w:cs="Times New Roman"/>
                      <w:i/>
                      <w:color w:val="auto"/>
                      <w:sz w:val="24"/>
                      <w:szCs w:val="20"/>
                    </w:rPr>
                  </m:ctrlPr>
                </m:e>
                <m:sub>
                  <m:r>
                    <m:rPr>
                      <m:sty m:val="p"/>
                    </m:rPr>
                    <w:rPr>
                      <w:rFonts w:hint="default" w:ascii="Cambria Math" w:hAnsi="Cambria Math" w:cs="Times New Roman"/>
                      <w:color w:val="auto"/>
                      <w:sz w:val="24"/>
                      <w:szCs w:val="20"/>
                    </w:rPr>
                    <m:t>坡度</m:t>
                  </m:r>
                  <m:ctrlPr>
                    <w:rPr>
                      <w:rFonts w:hint="default" w:ascii="Cambria Math" w:hAnsi="Cambria Math" w:cs="Times New Roman"/>
                      <w:i/>
                      <w:color w:val="auto"/>
                      <w:sz w:val="24"/>
                      <w:szCs w:val="20"/>
                    </w:rPr>
                  </m:ctrlPr>
                </m:sub>
              </m:sSub>
            </m:oMath>
            <w:r>
              <w:rPr>
                <w:rFonts w:hint="default" w:ascii="Times New Roman" w:hAnsi="Times New Roman" w:cs="Times New Roman"/>
                <w:color w:val="auto"/>
                <w:sz w:val="24"/>
                <w:szCs w:val="20"/>
              </w:rPr>
              <w:t>）可按下式计算：</w:t>
            </w:r>
          </w:p>
          <w:p w14:paraId="322ED466">
            <w:pPr>
              <w:pStyle w:val="54"/>
              <w:ind w:firstLine="0" w:firstLineChars="0"/>
              <w:jc w:val="center"/>
              <w:rPr>
                <w:rFonts w:hint="default" w:ascii="Times New Roman" w:hAnsi="Times New Roman" w:cs="Times New Roman"/>
                <w:color w:val="auto"/>
                <w:sz w:val="24"/>
                <w:szCs w:val="20"/>
              </w:rPr>
            </w:pPr>
            <w:r>
              <w:rPr>
                <w:rFonts w:hint="default" w:ascii="Times New Roman" w:hAnsi="Times New Roman" w:cs="Times New Roman"/>
              </w:rPr>
              <w:drawing>
                <wp:inline distT="0" distB="0" distL="114300" distR="114300">
                  <wp:extent cx="2096135" cy="850265"/>
                  <wp:effectExtent l="0" t="0" r="18415" b="6985"/>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47"/>
                          <a:stretch>
                            <a:fillRect/>
                          </a:stretch>
                        </pic:blipFill>
                        <pic:spPr>
                          <a:xfrm>
                            <a:off x="0" y="0"/>
                            <a:ext cx="2096135" cy="850265"/>
                          </a:xfrm>
                          <a:prstGeom prst="rect">
                            <a:avLst/>
                          </a:prstGeom>
                          <a:noFill/>
                          <a:ln>
                            <a:noFill/>
                          </a:ln>
                        </pic:spPr>
                      </pic:pic>
                    </a:graphicData>
                  </a:graphic>
                </wp:inline>
              </w:drawing>
            </w:r>
          </w:p>
          <w:p w14:paraId="577DBC71">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式中：β—道路纵坡坡度，%。</w:t>
            </w:r>
          </w:p>
          <w:p w14:paraId="0D1AF7BE">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b.路面修正量（</w:t>
            </w:r>
            <m:oMath>
              <m:r>
                <m:rPr/>
                <w:rPr>
                  <w:rFonts w:hint="default" w:ascii="Cambria Math" w:hAnsi="Cambria Math" w:cs="Times New Roman"/>
                  <w:color w:val="auto"/>
                  <w:sz w:val="24"/>
                  <w:szCs w:val="20"/>
                </w:rPr>
                <m:t>∆</m:t>
              </m:r>
              <m:sSub>
                <m:sSubPr>
                  <m:ctrlPr>
                    <w:rPr>
                      <w:rFonts w:hint="default" w:ascii="Cambria Math" w:hAnsi="Cambria Math" w:cs="Times New Roman"/>
                      <w:i/>
                      <w:color w:val="auto"/>
                      <w:sz w:val="24"/>
                      <w:szCs w:val="20"/>
                    </w:rPr>
                  </m:ctrlPr>
                </m:sSubPr>
                <m:e>
                  <m:r>
                    <m:rPr/>
                    <w:rPr>
                      <w:rFonts w:hint="default" w:ascii="Cambria Math" w:hAnsi="Cambria Math" w:cs="Times New Roman"/>
                      <w:color w:val="auto"/>
                      <w:sz w:val="24"/>
                      <w:szCs w:val="20"/>
                    </w:rPr>
                    <m:t>L</m:t>
                  </m:r>
                  <m:ctrlPr>
                    <w:rPr>
                      <w:rFonts w:hint="default" w:ascii="Cambria Math" w:hAnsi="Cambria Math" w:cs="Times New Roman"/>
                      <w:i/>
                      <w:color w:val="auto"/>
                      <w:sz w:val="24"/>
                      <w:szCs w:val="20"/>
                    </w:rPr>
                  </m:ctrlPr>
                </m:e>
                <m:sub>
                  <m:r>
                    <m:rPr>
                      <m:sty m:val="p"/>
                    </m:rPr>
                    <w:rPr>
                      <w:rFonts w:hint="default" w:ascii="Cambria Math" w:hAnsi="Cambria Math" w:cs="Times New Roman"/>
                      <w:color w:val="auto"/>
                      <w:sz w:val="24"/>
                      <w:szCs w:val="20"/>
                    </w:rPr>
                    <m:t>路面</m:t>
                  </m:r>
                  <m:ctrlPr>
                    <w:rPr>
                      <w:rFonts w:hint="default" w:ascii="Cambria Math" w:hAnsi="Cambria Math" w:cs="Times New Roman"/>
                      <w:i/>
                      <w:color w:val="auto"/>
                      <w:sz w:val="24"/>
                      <w:szCs w:val="20"/>
                    </w:rPr>
                  </m:ctrlPr>
                </m:sub>
              </m:sSub>
            </m:oMath>
            <w:r>
              <w:rPr>
                <w:rFonts w:hint="default" w:ascii="Times New Roman" w:hAnsi="Times New Roman" w:cs="Times New Roman"/>
                <w:color w:val="auto"/>
                <w:sz w:val="24"/>
                <w:szCs w:val="20"/>
              </w:rPr>
              <w:t>）</w:t>
            </w:r>
          </w:p>
          <w:p w14:paraId="31B78F36">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不同路面的噪声修正量见下表：</w:t>
            </w:r>
          </w:p>
          <w:p w14:paraId="7932AFD2">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16"/>
                <w:lang w:eastAsia="zh-CN"/>
              </w:rPr>
            </w:pPr>
            <w:r>
              <w:rPr>
                <w:rFonts w:hint="default" w:ascii="Times New Roman" w:hAnsi="Times New Roman" w:cs="Times New Roman"/>
                <w:b/>
                <w:bCs/>
                <w:color w:val="auto"/>
                <w:sz w:val="21"/>
                <w:szCs w:val="16"/>
              </w:rPr>
              <w:t>表</w:t>
            </w:r>
            <w:r>
              <w:rPr>
                <w:rFonts w:hint="default" w:ascii="Times New Roman" w:hAnsi="Times New Roman" w:cs="Times New Roman"/>
                <w:b/>
                <w:bCs/>
                <w:color w:val="auto"/>
                <w:sz w:val="21"/>
                <w:szCs w:val="16"/>
                <w:lang w:val="en-US" w:eastAsia="zh-CN"/>
              </w:rPr>
              <w:t>4-</w:t>
            </w:r>
            <w:r>
              <w:rPr>
                <w:rFonts w:hint="eastAsia" w:cs="Times New Roman"/>
                <w:b/>
                <w:bCs/>
                <w:color w:val="auto"/>
                <w:sz w:val="21"/>
                <w:szCs w:val="16"/>
                <w:lang w:val="en-US" w:eastAsia="zh-CN"/>
              </w:rPr>
              <w:t>9</w:t>
            </w:r>
            <w:r>
              <w:rPr>
                <w:rFonts w:hint="default" w:ascii="Times New Roman" w:hAnsi="Times New Roman" w:cs="Times New Roman"/>
                <w:b/>
                <w:bCs/>
                <w:color w:val="auto"/>
                <w:sz w:val="21"/>
                <w:szCs w:val="16"/>
                <w:lang w:val="en-US" w:eastAsia="zh-CN"/>
              </w:rPr>
              <w:t xml:space="preserve">  </w:t>
            </w:r>
            <w:r>
              <w:rPr>
                <w:rFonts w:hint="default" w:ascii="Times New Roman" w:hAnsi="Times New Roman" w:cs="Times New Roman"/>
                <w:b/>
                <w:bCs/>
                <w:color w:val="auto"/>
                <w:sz w:val="21"/>
                <w:szCs w:val="16"/>
              </w:rPr>
              <w:t xml:space="preserve">常见路面噪声修正量 </w:t>
            </w:r>
            <w:r>
              <w:rPr>
                <w:rFonts w:hint="default" w:ascii="Times New Roman" w:hAnsi="Times New Roman" w:cs="Times New Roman"/>
                <w:b/>
                <w:bCs/>
                <w:color w:val="auto"/>
                <w:sz w:val="21"/>
                <w:szCs w:val="16"/>
                <w:lang w:val="en-US" w:eastAsia="zh-CN"/>
              </w:rPr>
              <w:t xml:space="preserve"> </w:t>
            </w:r>
            <w:r>
              <w:rPr>
                <w:rFonts w:hint="default" w:ascii="Times New Roman" w:hAnsi="Times New Roman" w:cs="Times New Roman"/>
                <w:b/>
                <w:bCs/>
                <w:color w:val="auto"/>
                <w:sz w:val="21"/>
                <w:szCs w:val="16"/>
              </w:rPr>
              <w:t>单位：dB</w:t>
            </w:r>
            <w:r>
              <w:rPr>
                <w:rFonts w:hint="eastAsia" w:cs="Times New Roman"/>
                <w:b/>
                <w:bCs/>
                <w:color w:val="auto"/>
                <w:sz w:val="21"/>
                <w:szCs w:val="16"/>
                <w:lang w:eastAsia="zh-CN"/>
              </w:rPr>
              <w:t>（</w:t>
            </w:r>
            <w:r>
              <w:rPr>
                <w:rFonts w:hint="default" w:ascii="Times New Roman" w:hAnsi="Times New Roman" w:cs="Times New Roman"/>
                <w:b/>
                <w:bCs/>
                <w:color w:val="auto"/>
                <w:sz w:val="21"/>
                <w:szCs w:val="16"/>
              </w:rPr>
              <w:t>A</w:t>
            </w:r>
            <w:r>
              <w:rPr>
                <w:rFonts w:hint="eastAsia" w:cs="Times New Roman"/>
                <w:b/>
                <w:bCs/>
                <w:color w:val="auto"/>
                <w:sz w:val="21"/>
                <w:szCs w:val="16"/>
                <w:lang w:eastAsia="zh-CN"/>
              </w:rPr>
              <w:t>）</w:t>
            </w:r>
          </w:p>
          <w:tbl>
            <w:tblPr>
              <w:tblStyle w:val="3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14:paraId="55CBE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0" w:type="dxa"/>
                  <w:vMerge w:val="restart"/>
                  <w:vAlign w:val="center"/>
                </w:tcPr>
                <w:p w14:paraId="0280FB46">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路面类型</w:t>
                  </w:r>
                </w:p>
              </w:tc>
              <w:tc>
                <w:tcPr>
                  <w:tcW w:w="6392" w:type="dxa"/>
                  <w:gridSpan w:val="3"/>
                  <w:vAlign w:val="center"/>
                </w:tcPr>
                <w:p w14:paraId="38E2CDFC">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不同行驶速度修正量 km/h</w:t>
                  </w:r>
                </w:p>
              </w:tc>
            </w:tr>
            <w:tr w14:paraId="2D221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0" w:type="dxa"/>
                  <w:vMerge w:val="continue"/>
                  <w:vAlign w:val="center"/>
                </w:tcPr>
                <w:p w14:paraId="1E7CDE2A">
                  <w:pPr>
                    <w:pStyle w:val="54"/>
                    <w:spacing w:line="240" w:lineRule="auto"/>
                    <w:ind w:firstLine="0" w:firstLineChars="0"/>
                    <w:jc w:val="center"/>
                    <w:rPr>
                      <w:rFonts w:hint="default" w:ascii="Times New Roman" w:hAnsi="Times New Roman" w:cs="Times New Roman"/>
                      <w:color w:val="auto"/>
                      <w:sz w:val="21"/>
                      <w:szCs w:val="16"/>
                    </w:rPr>
                  </w:pPr>
                </w:p>
              </w:tc>
              <w:tc>
                <w:tcPr>
                  <w:tcW w:w="2130" w:type="dxa"/>
                  <w:vAlign w:val="center"/>
                </w:tcPr>
                <w:p w14:paraId="75F4A0C5">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30</w:t>
                  </w:r>
                </w:p>
              </w:tc>
              <w:tc>
                <w:tcPr>
                  <w:tcW w:w="2131" w:type="dxa"/>
                  <w:vAlign w:val="center"/>
                </w:tcPr>
                <w:p w14:paraId="135202DE">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40</w:t>
                  </w:r>
                </w:p>
              </w:tc>
              <w:tc>
                <w:tcPr>
                  <w:tcW w:w="2131" w:type="dxa"/>
                  <w:vAlign w:val="center"/>
                </w:tcPr>
                <w:p w14:paraId="179BF788">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≥50</w:t>
                  </w:r>
                </w:p>
              </w:tc>
            </w:tr>
            <w:tr w14:paraId="69646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0" w:type="dxa"/>
                  <w:vAlign w:val="center"/>
                </w:tcPr>
                <w:p w14:paraId="5693F8E0">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沥青混凝土</w:t>
                  </w:r>
                </w:p>
              </w:tc>
              <w:tc>
                <w:tcPr>
                  <w:tcW w:w="2130" w:type="dxa"/>
                  <w:vAlign w:val="center"/>
                </w:tcPr>
                <w:p w14:paraId="10050AA3">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w:t>
                  </w:r>
                </w:p>
              </w:tc>
              <w:tc>
                <w:tcPr>
                  <w:tcW w:w="2131" w:type="dxa"/>
                  <w:vAlign w:val="center"/>
                </w:tcPr>
                <w:p w14:paraId="5DA60132">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w:t>
                  </w:r>
                </w:p>
              </w:tc>
              <w:tc>
                <w:tcPr>
                  <w:tcW w:w="2131" w:type="dxa"/>
                  <w:vAlign w:val="center"/>
                </w:tcPr>
                <w:p w14:paraId="1572A5BE">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w:t>
                  </w:r>
                </w:p>
              </w:tc>
            </w:tr>
            <w:tr w14:paraId="27ABA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0" w:type="dxa"/>
                  <w:vAlign w:val="center"/>
                </w:tcPr>
                <w:p w14:paraId="0A904EAF">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水泥混凝土</w:t>
                  </w:r>
                </w:p>
              </w:tc>
              <w:tc>
                <w:tcPr>
                  <w:tcW w:w="2130" w:type="dxa"/>
                  <w:vAlign w:val="center"/>
                </w:tcPr>
                <w:p w14:paraId="113AB285">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1.0</w:t>
                  </w:r>
                </w:p>
              </w:tc>
              <w:tc>
                <w:tcPr>
                  <w:tcW w:w="2131" w:type="dxa"/>
                  <w:vAlign w:val="center"/>
                </w:tcPr>
                <w:p w14:paraId="417C9613">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1.5</w:t>
                  </w:r>
                </w:p>
              </w:tc>
              <w:tc>
                <w:tcPr>
                  <w:tcW w:w="2131" w:type="dxa"/>
                  <w:vAlign w:val="center"/>
                </w:tcPr>
                <w:p w14:paraId="6B10503E">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2.0</w:t>
                  </w:r>
                </w:p>
              </w:tc>
            </w:tr>
          </w:tbl>
          <w:p w14:paraId="4019FC7B">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②声波传播途径中引起的衰减量（</w:t>
            </w:r>
            <m:oMath>
              <m:r>
                <m:rPr/>
                <w:rPr>
                  <w:rFonts w:hint="default" w:ascii="Cambria Math" w:hAnsi="Cambria Math" w:cs="Times New Roman"/>
                  <w:color w:val="auto"/>
                  <w:sz w:val="24"/>
                  <w:szCs w:val="20"/>
                </w:rPr>
                <m:t>∆</m:t>
              </m:r>
              <m:sSub>
                <m:sSubPr>
                  <m:ctrlPr>
                    <w:rPr>
                      <w:rFonts w:hint="default" w:ascii="Cambria Math" w:hAnsi="Cambria Math" w:cs="Times New Roman"/>
                      <w:i/>
                      <w:color w:val="auto"/>
                      <w:sz w:val="24"/>
                      <w:szCs w:val="20"/>
                    </w:rPr>
                  </m:ctrlPr>
                </m:sSubPr>
                <m:e>
                  <m:r>
                    <m:rPr/>
                    <w:rPr>
                      <w:rFonts w:hint="default" w:ascii="Cambria Math" w:hAnsi="Cambria Math" w:cs="Times New Roman"/>
                      <w:color w:val="auto"/>
                      <w:sz w:val="24"/>
                      <w:szCs w:val="20"/>
                    </w:rPr>
                    <m:t>L</m:t>
                  </m:r>
                  <m:ctrlPr>
                    <w:rPr>
                      <w:rFonts w:hint="default" w:ascii="Cambria Math" w:hAnsi="Cambria Math" w:cs="Times New Roman"/>
                      <w:i/>
                      <w:color w:val="auto"/>
                      <w:sz w:val="24"/>
                      <w:szCs w:val="20"/>
                    </w:rPr>
                  </m:ctrlPr>
                </m:e>
                <m:sub>
                  <m:r>
                    <m:rPr>
                      <m:sty m:val="p"/>
                    </m:rPr>
                    <w:rPr>
                      <w:rFonts w:hint="default" w:ascii="Cambria Math" w:hAnsi="Cambria Math" w:cs="Times New Roman"/>
                      <w:color w:val="auto"/>
                      <w:sz w:val="24"/>
                      <w:szCs w:val="20"/>
                    </w:rPr>
                    <m:t>2</m:t>
                  </m:r>
                  <m:ctrlPr>
                    <w:rPr>
                      <w:rFonts w:hint="default" w:ascii="Cambria Math" w:hAnsi="Cambria Math" w:cs="Times New Roman"/>
                      <w:i/>
                      <w:color w:val="auto"/>
                      <w:sz w:val="24"/>
                      <w:szCs w:val="20"/>
                    </w:rPr>
                  </m:ctrlPr>
                </m:sub>
              </m:sSub>
            </m:oMath>
            <w:r>
              <w:rPr>
                <w:rFonts w:hint="default" w:ascii="Times New Roman" w:hAnsi="Times New Roman" w:cs="Times New Roman"/>
                <w:color w:val="auto"/>
                <w:sz w:val="24"/>
                <w:szCs w:val="20"/>
              </w:rPr>
              <w:t>）</w:t>
            </w:r>
          </w:p>
          <w:p w14:paraId="7C480627">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a.障碍物衰减量（A</w:t>
            </w:r>
            <w:r>
              <w:rPr>
                <w:rFonts w:hint="default" w:ascii="Times New Roman" w:hAnsi="Times New Roman" w:cs="Times New Roman"/>
                <w:color w:val="auto"/>
                <w:sz w:val="24"/>
                <w:szCs w:val="20"/>
                <w:vertAlign w:val="subscript"/>
              </w:rPr>
              <w:t>bar</w:t>
            </w:r>
            <w:r>
              <w:rPr>
                <w:rFonts w:hint="default" w:ascii="Times New Roman" w:hAnsi="Times New Roman" w:cs="Times New Roman"/>
                <w:color w:val="auto"/>
                <w:sz w:val="24"/>
                <w:szCs w:val="20"/>
              </w:rPr>
              <w:t>）</w:t>
            </w:r>
          </w:p>
          <w:p w14:paraId="4CF366E2">
            <w:pPr>
              <w:pStyle w:val="54"/>
              <w:ind w:firstLine="482"/>
              <w:rPr>
                <w:rFonts w:hint="default" w:ascii="Times New Roman" w:hAnsi="Times New Roman" w:cs="Times New Roman"/>
                <w:b/>
                <w:bCs/>
                <w:color w:val="auto"/>
                <w:sz w:val="24"/>
                <w:szCs w:val="20"/>
              </w:rPr>
            </w:pPr>
            <w:r>
              <w:rPr>
                <w:rFonts w:hint="default" w:ascii="Times New Roman" w:hAnsi="Times New Roman" w:cs="Times New Roman"/>
                <w:b/>
                <w:bCs/>
                <w:color w:val="auto"/>
                <w:sz w:val="24"/>
                <w:szCs w:val="20"/>
              </w:rPr>
              <w:t>无线长声屏障可按下式计算：</w:t>
            </w:r>
          </w:p>
          <w:p w14:paraId="6CF0E91F">
            <w:pPr>
              <w:pStyle w:val="54"/>
              <w:ind w:firstLine="0" w:firstLineChars="0"/>
              <w:jc w:val="center"/>
              <w:rPr>
                <w:rFonts w:hint="default" w:ascii="Times New Roman" w:hAnsi="Times New Roman" w:cs="Times New Roman"/>
                <w:color w:val="auto"/>
                <w:sz w:val="24"/>
                <w:szCs w:val="20"/>
              </w:rPr>
            </w:pPr>
            <w:r>
              <w:rPr>
                <w:rFonts w:hint="default" w:ascii="Times New Roman" w:hAnsi="Times New Roman" w:cs="Times New Roman"/>
                <w:color w:val="auto"/>
              </w:rPr>
              <w:drawing>
                <wp:inline distT="0" distB="0" distL="0" distR="0">
                  <wp:extent cx="4114800" cy="1511300"/>
                  <wp:effectExtent l="0" t="0" r="0" b="1270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8"/>
                          <a:stretch>
                            <a:fillRect/>
                          </a:stretch>
                        </pic:blipFill>
                        <pic:spPr>
                          <a:xfrm>
                            <a:off x="0" y="0"/>
                            <a:ext cx="4157094" cy="1527096"/>
                          </a:xfrm>
                          <a:prstGeom prst="rect">
                            <a:avLst/>
                          </a:prstGeom>
                        </pic:spPr>
                      </pic:pic>
                    </a:graphicData>
                  </a:graphic>
                </wp:inline>
              </w:drawing>
            </w:r>
          </w:p>
          <w:p w14:paraId="106028D1">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式中：f—声波频率，Hz；</w:t>
            </w:r>
          </w:p>
          <w:p w14:paraId="5CF7A467">
            <w:pPr>
              <w:pStyle w:val="54"/>
              <w:ind w:firstLine="1080" w:firstLineChars="45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δ—声程差，m；</w:t>
            </w:r>
          </w:p>
          <w:p w14:paraId="6AB734AF">
            <w:pPr>
              <w:pStyle w:val="54"/>
              <w:ind w:firstLine="1080" w:firstLineChars="45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c—声速，m/s。</w:t>
            </w:r>
          </w:p>
          <w:p w14:paraId="2797878D">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在公路建设项目评价中可采用500Hz频率的声波计算得到的屏障衰减量近似作为A声级的衰减量。</w:t>
            </w:r>
          </w:p>
          <w:p w14:paraId="0841569E">
            <w:pPr>
              <w:pStyle w:val="54"/>
              <w:ind w:firstLine="482"/>
              <w:rPr>
                <w:rFonts w:hint="default" w:ascii="Times New Roman" w:hAnsi="Times New Roman" w:cs="Times New Roman"/>
                <w:b/>
                <w:bCs/>
                <w:color w:val="auto"/>
                <w:sz w:val="24"/>
                <w:szCs w:val="20"/>
              </w:rPr>
            </w:pPr>
            <w:r>
              <w:rPr>
                <w:rFonts w:hint="default" w:ascii="Times New Roman" w:hAnsi="Times New Roman" w:cs="Times New Roman"/>
                <w:b/>
                <w:bCs/>
                <w:color w:val="auto"/>
                <w:sz w:val="24"/>
                <w:szCs w:val="20"/>
              </w:rPr>
              <w:t>有限长声屏障计算：</w:t>
            </w:r>
          </w:p>
          <w:p w14:paraId="42D93FFB">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A</w:t>
            </w:r>
            <w:r>
              <w:rPr>
                <w:rFonts w:hint="default" w:ascii="Times New Roman" w:hAnsi="Times New Roman" w:cs="Times New Roman"/>
                <w:color w:val="auto"/>
                <w:sz w:val="24"/>
                <w:szCs w:val="20"/>
                <w:vertAlign w:val="subscript"/>
              </w:rPr>
              <w:t>bar</w:t>
            </w:r>
            <w:r>
              <w:rPr>
                <w:rFonts w:hint="default" w:ascii="Times New Roman" w:hAnsi="Times New Roman" w:cs="Times New Roman"/>
                <w:color w:val="auto"/>
                <w:sz w:val="24"/>
                <w:szCs w:val="20"/>
              </w:rPr>
              <w:t>仍由上式计算，然后根据图</w:t>
            </w:r>
            <w:r>
              <w:rPr>
                <w:rFonts w:hint="default" w:ascii="Times New Roman" w:hAnsi="Times New Roman" w:cs="Times New Roman"/>
                <w:color w:val="auto"/>
                <w:sz w:val="24"/>
                <w:szCs w:val="20"/>
                <w:lang w:val="en-US" w:eastAsia="zh-CN"/>
              </w:rPr>
              <w:t>4</w:t>
            </w:r>
            <w:r>
              <w:rPr>
                <w:rFonts w:hint="default" w:ascii="Times New Roman" w:hAnsi="Times New Roman" w:cs="Times New Roman"/>
                <w:color w:val="auto"/>
                <w:sz w:val="24"/>
                <w:szCs w:val="20"/>
              </w:rPr>
              <w:t>-2进行修正。图中虚线表示无限长声屏障声衰减为8.5dB</w:t>
            </w:r>
            <w:r>
              <w:rPr>
                <w:rFonts w:hint="eastAsia" w:cs="Times New Roman"/>
                <w:color w:val="auto"/>
                <w:sz w:val="24"/>
                <w:szCs w:val="20"/>
                <w:lang w:eastAsia="zh-CN"/>
              </w:rPr>
              <w:t>（</w:t>
            </w:r>
            <w:r>
              <w:rPr>
                <w:rFonts w:hint="default" w:ascii="Times New Roman" w:hAnsi="Times New Roman" w:cs="Times New Roman"/>
                <w:color w:val="auto"/>
                <w:sz w:val="24"/>
                <w:szCs w:val="20"/>
              </w:rPr>
              <w:t>A</w:t>
            </w:r>
            <w:r>
              <w:rPr>
                <w:rFonts w:hint="eastAsia" w:cs="Times New Roman"/>
                <w:color w:val="auto"/>
                <w:sz w:val="24"/>
                <w:szCs w:val="20"/>
                <w:lang w:eastAsia="zh-CN"/>
              </w:rPr>
              <w:t>）</w:t>
            </w:r>
            <w:r>
              <w:rPr>
                <w:rFonts w:hint="default" w:ascii="Times New Roman" w:hAnsi="Times New Roman" w:cs="Times New Roman"/>
                <w:color w:val="auto"/>
                <w:sz w:val="24"/>
                <w:szCs w:val="20"/>
              </w:rPr>
              <w:t>，若有限</w:t>
            </w:r>
            <w:r>
              <w:rPr>
                <w:rFonts w:hint="default" w:ascii="Times New Roman" w:hAnsi="Times New Roman" w:cs="Times New Roman"/>
                <w:color w:val="auto"/>
                <w:sz w:val="24"/>
                <w:szCs w:val="20"/>
                <w:lang w:eastAsia="zh-CN"/>
              </w:rPr>
              <w:t>长</w:t>
            </w:r>
            <w:r>
              <w:rPr>
                <w:rFonts w:hint="default" w:ascii="Times New Roman" w:hAnsi="Times New Roman" w:cs="Times New Roman"/>
                <w:color w:val="auto"/>
                <w:sz w:val="24"/>
                <w:szCs w:val="20"/>
              </w:rPr>
              <w:t>声屏障对应的遮蔽角（β/θ）百分率为92%，则有限长声屏障的声衰减为6.6dB</w:t>
            </w:r>
            <w:r>
              <w:rPr>
                <w:rFonts w:hint="eastAsia" w:cs="Times New Roman"/>
                <w:color w:val="auto"/>
                <w:sz w:val="24"/>
                <w:szCs w:val="20"/>
                <w:lang w:eastAsia="zh-CN"/>
              </w:rPr>
              <w:t>（</w:t>
            </w:r>
            <w:r>
              <w:rPr>
                <w:rFonts w:hint="default" w:ascii="Times New Roman" w:hAnsi="Times New Roman" w:cs="Times New Roman"/>
                <w:color w:val="auto"/>
                <w:sz w:val="24"/>
                <w:szCs w:val="20"/>
              </w:rPr>
              <w:t>A</w:t>
            </w:r>
            <w:r>
              <w:rPr>
                <w:rFonts w:hint="eastAsia" w:cs="Times New Roman"/>
                <w:color w:val="auto"/>
                <w:sz w:val="24"/>
                <w:szCs w:val="20"/>
                <w:lang w:eastAsia="zh-CN"/>
              </w:rPr>
              <w:t>）</w:t>
            </w:r>
            <w:r>
              <w:rPr>
                <w:rFonts w:hint="default" w:ascii="Times New Roman" w:hAnsi="Times New Roman" w:cs="Times New Roman"/>
                <w:color w:val="auto"/>
                <w:sz w:val="24"/>
                <w:szCs w:val="20"/>
              </w:rPr>
              <w:t>。声屏障的透射、反射修正可参照HJ/T90计算。</w:t>
            </w:r>
          </w:p>
          <w:p w14:paraId="30E520E6">
            <w:pPr>
              <w:pStyle w:val="54"/>
              <w:jc w:val="center"/>
              <w:rPr>
                <w:rFonts w:hint="default" w:ascii="Times New Roman" w:hAnsi="Times New Roman" w:cs="Times New Roman"/>
                <w:color w:val="auto"/>
                <w:sz w:val="24"/>
                <w:szCs w:val="20"/>
              </w:rPr>
            </w:pPr>
            <w:r>
              <w:rPr>
                <w:rFonts w:hint="default" w:ascii="Times New Roman" w:hAnsi="Times New Roman" w:cs="Times New Roman"/>
                <w:color w:val="auto"/>
              </w:rPr>
              <w:drawing>
                <wp:inline distT="0" distB="0" distL="0" distR="0">
                  <wp:extent cx="3305810" cy="3508375"/>
                  <wp:effectExtent l="0" t="0" r="8890" b="1587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49"/>
                          <a:stretch>
                            <a:fillRect/>
                          </a:stretch>
                        </pic:blipFill>
                        <pic:spPr>
                          <a:xfrm>
                            <a:off x="0" y="0"/>
                            <a:ext cx="3305810" cy="3508375"/>
                          </a:xfrm>
                          <a:prstGeom prst="rect">
                            <a:avLst/>
                          </a:prstGeom>
                        </pic:spPr>
                      </pic:pic>
                    </a:graphicData>
                  </a:graphic>
                </wp:inline>
              </w:drawing>
            </w:r>
          </w:p>
          <w:p w14:paraId="6181EE86">
            <w:pPr>
              <w:pStyle w:val="54"/>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图</w:t>
            </w:r>
            <w:r>
              <w:rPr>
                <w:rFonts w:hint="default" w:ascii="Times New Roman" w:hAnsi="Times New Roman" w:cs="Times New Roman"/>
                <w:b/>
                <w:bCs/>
                <w:color w:val="auto"/>
                <w:sz w:val="21"/>
                <w:szCs w:val="16"/>
                <w:lang w:val="en-US" w:eastAsia="zh-CN"/>
              </w:rPr>
              <w:t>4</w:t>
            </w:r>
            <w:r>
              <w:rPr>
                <w:rFonts w:hint="default" w:ascii="Times New Roman" w:hAnsi="Times New Roman" w:cs="Times New Roman"/>
                <w:b/>
                <w:bCs/>
                <w:color w:val="auto"/>
                <w:sz w:val="21"/>
                <w:szCs w:val="16"/>
              </w:rPr>
              <w:t xml:space="preserve">-2 </w:t>
            </w:r>
            <w:r>
              <w:rPr>
                <w:rFonts w:hint="default" w:ascii="Times New Roman" w:hAnsi="Times New Roman" w:cs="Times New Roman"/>
                <w:b/>
                <w:bCs/>
                <w:color w:val="auto"/>
                <w:sz w:val="21"/>
                <w:szCs w:val="16"/>
                <w:lang w:val="en-US" w:eastAsia="zh-CN"/>
              </w:rPr>
              <w:t xml:space="preserve"> </w:t>
            </w:r>
            <w:r>
              <w:rPr>
                <w:rFonts w:hint="default" w:ascii="Times New Roman" w:hAnsi="Times New Roman" w:cs="Times New Roman"/>
                <w:b/>
                <w:bCs/>
                <w:color w:val="auto"/>
                <w:sz w:val="21"/>
                <w:szCs w:val="16"/>
              </w:rPr>
              <w:t>有限长度的声屏障及线声源的修正图</w:t>
            </w:r>
          </w:p>
          <w:p w14:paraId="5F2741D4">
            <w:pPr>
              <w:pStyle w:val="54"/>
              <w:ind w:firstLine="482"/>
              <w:rPr>
                <w:rFonts w:hint="default" w:ascii="Times New Roman" w:hAnsi="Times New Roman" w:cs="Times New Roman"/>
                <w:b/>
                <w:bCs/>
                <w:color w:val="auto"/>
                <w:sz w:val="24"/>
                <w:szCs w:val="20"/>
              </w:rPr>
            </w:pPr>
            <w:r>
              <w:rPr>
                <w:rFonts w:hint="default" w:ascii="Times New Roman" w:hAnsi="Times New Roman" w:cs="Times New Roman"/>
                <w:b/>
                <w:bCs/>
                <w:color w:val="auto"/>
                <w:sz w:val="24"/>
                <w:szCs w:val="20"/>
              </w:rPr>
              <w:t>高路堤或低路堑两侧声影区衰减量计算：</w:t>
            </w:r>
          </w:p>
          <w:p w14:paraId="42B3A71D">
            <w:pPr>
              <w:pStyle w:val="54"/>
              <w:ind w:firstLine="480"/>
              <w:rPr>
                <w:rFonts w:hint="default" w:ascii="Times New Roman" w:hAnsi="Times New Roman" w:cs="Times New Roman"/>
                <w:color w:val="auto"/>
                <w:sz w:val="24"/>
                <w:szCs w:val="20"/>
              </w:rPr>
            </w:pPr>
            <w:r>
              <w:rPr>
                <w:rFonts w:hint="eastAsia" w:cs="Times New Roman"/>
                <w:color w:val="auto"/>
                <w:sz w:val="24"/>
                <w:szCs w:val="20"/>
                <w:lang w:eastAsia="zh-CN"/>
              </w:rPr>
              <w:t>高路堤</w:t>
            </w:r>
            <w:r>
              <w:rPr>
                <w:rFonts w:hint="default" w:ascii="Times New Roman" w:hAnsi="Times New Roman" w:cs="Times New Roman"/>
                <w:color w:val="auto"/>
                <w:sz w:val="24"/>
                <w:szCs w:val="20"/>
              </w:rPr>
              <w:t>或低路堑两侧声影区衰减量A</w:t>
            </w:r>
            <w:r>
              <w:rPr>
                <w:rFonts w:hint="default" w:ascii="Times New Roman" w:hAnsi="Times New Roman" w:cs="Times New Roman"/>
                <w:color w:val="auto"/>
                <w:sz w:val="24"/>
                <w:szCs w:val="20"/>
                <w:vertAlign w:val="subscript"/>
              </w:rPr>
              <w:t>bar</w:t>
            </w:r>
            <w:r>
              <w:rPr>
                <w:rFonts w:hint="default" w:ascii="Times New Roman" w:hAnsi="Times New Roman" w:cs="Times New Roman"/>
                <w:color w:val="auto"/>
                <w:sz w:val="24"/>
                <w:szCs w:val="20"/>
              </w:rPr>
              <w:t>为预测点在</w:t>
            </w:r>
            <w:r>
              <w:rPr>
                <w:rFonts w:hint="eastAsia" w:cs="Times New Roman"/>
                <w:color w:val="auto"/>
                <w:sz w:val="24"/>
                <w:szCs w:val="20"/>
                <w:lang w:eastAsia="zh-CN"/>
              </w:rPr>
              <w:t>高路堤</w:t>
            </w:r>
            <w:r>
              <w:rPr>
                <w:rFonts w:hint="default" w:ascii="Times New Roman" w:hAnsi="Times New Roman" w:cs="Times New Roman"/>
                <w:color w:val="auto"/>
                <w:sz w:val="24"/>
                <w:szCs w:val="20"/>
              </w:rPr>
              <w:t>或低路堑两侧声影区内引起的附加衰减量。</w:t>
            </w:r>
          </w:p>
          <w:p w14:paraId="3F3E6715">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当预测点处于声照区时，A</w:t>
            </w:r>
            <w:r>
              <w:rPr>
                <w:rFonts w:hint="default" w:ascii="Times New Roman" w:hAnsi="Times New Roman" w:cs="Times New Roman"/>
                <w:color w:val="auto"/>
                <w:sz w:val="24"/>
                <w:szCs w:val="20"/>
                <w:vertAlign w:val="subscript"/>
              </w:rPr>
              <w:t>bar</w:t>
            </w:r>
            <w:r>
              <w:rPr>
                <w:rFonts w:hint="default" w:ascii="Times New Roman" w:hAnsi="Times New Roman" w:cs="Times New Roman"/>
                <w:color w:val="auto"/>
                <w:sz w:val="24"/>
                <w:szCs w:val="20"/>
              </w:rPr>
              <w:t>=0；</w:t>
            </w:r>
          </w:p>
          <w:p w14:paraId="0BB60187">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当预测点处于声影区时，A</w:t>
            </w:r>
            <w:r>
              <w:rPr>
                <w:rFonts w:hint="default" w:ascii="Times New Roman" w:hAnsi="Times New Roman" w:cs="Times New Roman"/>
                <w:color w:val="auto"/>
                <w:sz w:val="24"/>
                <w:szCs w:val="20"/>
                <w:vertAlign w:val="subscript"/>
              </w:rPr>
              <w:t>bar</w:t>
            </w:r>
            <w:r>
              <w:rPr>
                <w:rFonts w:hint="default" w:ascii="Times New Roman" w:hAnsi="Times New Roman" w:cs="Times New Roman"/>
                <w:color w:val="auto"/>
                <w:sz w:val="24"/>
                <w:szCs w:val="20"/>
              </w:rPr>
              <w:t>决定于声程差δ。</w:t>
            </w:r>
          </w:p>
          <w:p w14:paraId="62052F02">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由图</w:t>
            </w:r>
            <w:r>
              <w:rPr>
                <w:rFonts w:hint="default" w:ascii="Times New Roman" w:hAnsi="Times New Roman" w:cs="Times New Roman"/>
                <w:color w:val="auto"/>
                <w:sz w:val="24"/>
                <w:szCs w:val="20"/>
                <w:lang w:val="en-US" w:eastAsia="zh-CN"/>
              </w:rPr>
              <w:t>4</w:t>
            </w:r>
            <w:r>
              <w:rPr>
                <w:rFonts w:hint="default" w:ascii="Times New Roman" w:hAnsi="Times New Roman" w:cs="Times New Roman"/>
                <w:color w:val="auto"/>
                <w:sz w:val="24"/>
                <w:szCs w:val="20"/>
              </w:rPr>
              <w:t>-3计算δ，δ=a+b-c。再由图</w:t>
            </w:r>
            <w:r>
              <w:rPr>
                <w:rFonts w:hint="default" w:ascii="Times New Roman" w:hAnsi="Times New Roman" w:cs="Times New Roman"/>
                <w:color w:val="auto"/>
                <w:sz w:val="24"/>
                <w:szCs w:val="20"/>
                <w:lang w:val="en-US" w:eastAsia="zh-CN"/>
              </w:rPr>
              <w:t>4</w:t>
            </w:r>
            <w:r>
              <w:rPr>
                <w:rFonts w:hint="default" w:ascii="Times New Roman" w:hAnsi="Times New Roman" w:cs="Times New Roman"/>
                <w:color w:val="auto"/>
                <w:sz w:val="24"/>
                <w:szCs w:val="20"/>
              </w:rPr>
              <w:t>-4查出A</w:t>
            </w:r>
            <w:r>
              <w:rPr>
                <w:rFonts w:hint="default" w:ascii="Times New Roman" w:hAnsi="Times New Roman" w:cs="Times New Roman"/>
                <w:color w:val="auto"/>
                <w:sz w:val="24"/>
                <w:szCs w:val="20"/>
                <w:vertAlign w:val="subscript"/>
              </w:rPr>
              <w:t>bar</w:t>
            </w:r>
            <w:r>
              <w:rPr>
                <w:rFonts w:hint="default" w:ascii="Times New Roman" w:hAnsi="Times New Roman" w:cs="Times New Roman"/>
                <w:color w:val="auto"/>
                <w:sz w:val="24"/>
                <w:szCs w:val="20"/>
              </w:rPr>
              <w:t>。</w:t>
            </w:r>
          </w:p>
          <w:p w14:paraId="53D22524">
            <w:pPr>
              <w:pStyle w:val="54"/>
              <w:ind w:firstLine="0" w:firstLineChars="0"/>
              <w:jc w:val="center"/>
              <w:rPr>
                <w:rFonts w:hint="default" w:ascii="Times New Roman" w:hAnsi="Times New Roman" w:cs="Times New Roman"/>
                <w:color w:val="auto"/>
                <w:sz w:val="24"/>
                <w:szCs w:val="20"/>
              </w:rPr>
            </w:pPr>
            <w:r>
              <w:rPr>
                <w:rFonts w:hint="default" w:ascii="Times New Roman" w:hAnsi="Times New Roman" w:cs="Times New Roman"/>
                <w:color w:val="auto"/>
              </w:rPr>
              <w:drawing>
                <wp:inline distT="0" distB="0" distL="0" distR="0">
                  <wp:extent cx="4203700" cy="1967230"/>
                  <wp:effectExtent l="0" t="0" r="6350" b="1397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50"/>
                          <a:stretch>
                            <a:fillRect/>
                          </a:stretch>
                        </pic:blipFill>
                        <pic:spPr>
                          <a:xfrm>
                            <a:off x="0" y="0"/>
                            <a:ext cx="4203700" cy="1967230"/>
                          </a:xfrm>
                          <a:prstGeom prst="rect">
                            <a:avLst/>
                          </a:prstGeom>
                        </pic:spPr>
                      </pic:pic>
                    </a:graphicData>
                  </a:graphic>
                </wp:inline>
              </w:drawing>
            </w:r>
          </w:p>
          <w:p w14:paraId="67A207CF">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图</w:t>
            </w:r>
            <w:r>
              <w:rPr>
                <w:rFonts w:hint="default" w:ascii="Times New Roman" w:hAnsi="Times New Roman" w:cs="Times New Roman"/>
                <w:b/>
                <w:bCs/>
                <w:color w:val="auto"/>
                <w:sz w:val="21"/>
                <w:szCs w:val="16"/>
                <w:lang w:val="en-US" w:eastAsia="zh-CN"/>
              </w:rPr>
              <w:t>4</w:t>
            </w:r>
            <w:r>
              <w:rPr>
                <w:rFonts w:hint="default" w:ascii="Times New Roman" w:hAnsi="Times New Roman" w:cs="Times New Roman"/>
                <w:b/>
                <w:bCs/>
                <w:color w:val="auto"/>
                <w:sz w:val="21"/>
                <w:szCs w:val="16"/>
              </w:rPr>
              <w:t xml:space="preserve">-3 </w:t>
            </w:r>
            <w:r>
              <w:rPr>
                <w:rFonts w:hint="default" w:ascii="Times New Roman" w:hAnsi="Times New Roman" w:cs="Times New Roman"/>
                <w:b/>
                <w:bCs/>
                <w:color w:val="auto"/>
                <w:sz w:val="21"/>
                <w:szCs w:val="16"/>
                <w:lang w:val="en-US" w:eastAsia="zh-CN"/>
              </w:rPr>
              <w:t xml:space="preserve"> </w:t>
            </w:r>
            <w:r>
              <w:rPr>
                <w:rFonts w:hint="default" w:ascii="Times New Roman" w:hAnsi="Times New Roman" w:cs="Times New Roman"/>
                <w:b/>
                <w:bCs/>
                <w:color w:val="auto"/>
                <w:sz w:val="21"/>
                <w:szCs w:val="16"/>
              </w:rPr>
              <w:t>声程差δ计算示意图</w:t>
            </w:r>
          </w:p>
          <w:p w14:paraId="2CF7B972">
            <w:pPr>
              <w:pStyle w:val="54"/>
              <w:ind w:firstLine="0" w:firstLineChars="0"/>
              <w:jc w:val="center"/>
              <w:rPr>
                <w:rFonts w:hint="default" w:ascii="Times New Roman" w:hAnsi="Times New Roman" w:cs="Times New Roman"/>
                <w:b/>
                <w:bCs/>
                <w:color w:val="auto"/>
                <w:sz w:val="24"/>
                <w:szCs w:val="20"/>
              </w:rPr>
            </w:pPr>
            <w:r>
              <w:rPr>
                <w:rFonts w:hint="default" w:ascii="Times New Roman" w:hAnsi="Times New Roman" w:cs="Times New Roman"/>
                <w:color w:val="auto"/>
              </w:rPr>
              <w:drawing>
                <wp:inline distT="0" distB="0" distL="0" distR="0">
                  <wp:extent cx="5274310" cy="3246120"/>
                  <wp:effectExtent l="0" t="0" r="2540" b="1143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51"/>
                          <a:stretch>
                            <a:fillRect/>
                          </a:stretch>
                        </pic:blipFill>
                        <pic:spPr>
                          <a:xfrm>
                            <a:off x="0" y="0"/>
                            <a:ext cx="5274310" cy="3246120"/>
                          </a:xfrm>
                          <a:prstGeom prst="rect">
                            <a:avLst/>
                          </a:prstGeom>
                        </pic:spPr>
                      </pic:pic>
                    </a:graphicData>
                  </a:graphic>
                </wp:inline>
              </w:drawing>
            </w:r>
          </w:p>
          <w:p w14:paraId="40900940">
            <w:pPr>
              <w:pStyle w:val="54"/>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图</w:t>
            </w:r>
            <w:r>
              <w:rPr>
                <w:rFonts w:hint="default" w:ascii="Times New Roman" w:hAnsi="Times New Roman" w:cs="Times New Roman"/>
                <w:b/>
                <w:bCs/>
                <w:color w:val="auto"/>
                <w:sz w:val="21"/>
                <w:szCs w:val="16"/>
                <w:lang w:val="en-US" w:eastAsia="zh-CN"/>
              </w:rPr>
              <w:t>4</w:t>
            </w:r>
            <w:r>
              <w:rPr>
                <w:rFonts w:hint="default" w:ascii="Times New Roman" w:hAnsi="Times New Roman" w:cs="Times New Roman"/>
                <w:b/>
                <w:bCs/>
                <w:color w:val="auto"/>
                <w:sz w:val="21"/>
                <w:szCs w:val="16"/>
              </w:rPr>
              <w:t xml:space="preserve">-4 </w:t>
            </w:r>
            <w:r>
              <w:rPr>
                <w:rFonts w:hint="default" w:ascii="Times New Roman" w:hAnsi="Times New Roman" w:cs="Times New Roman"/>
                <w:b/>
                <w:bCs/>
                <w:color w:val="auto"/>
                <w:sz w:val="21"/>
                <w:szCs w:val="16"/>
                <w:lang w:val="en-US" w:eastAsia="zh-CN"/>
              </w:rPr>
              <w:t xml:space="preserve"> </w:t>
            </w:r>
            <w:r>
              <w:rPr>
                <w:rFonts w:hint="default" w:ascii="Times New Roman" w:hAnsi="Times New Roman" w:cs="Times New Roman"/>
                <w:b/>
                <w:bCs/>
                <w:color w:val="auto"/>
                <w:sz w:val="21"/>
                <w:szCs w:val="16"/>
              </w:rPr>
              <w:t>噪声衰减量A</w:t>
            </w:r>
            <w:r>
              <w:rPr>
                <w:rFonts w:hint="default" w:ascii="Times New Roman" w:hAnsi="Times New Roman" w:cs="Times New Roman"/>
                <w:b/>
                <w:bCs/>
                <w:color w:val="auto"/>
                <w:sz w:val="21"/>
                <w:szCs w:val="16"/>
                <w:vertAlign w:val="subscript"/>
              </w:rPr>
              <w:t>bar</w:t>
            </w:r>
            <w:r>
              <w:rPr>
                <w:rFonts w:hint="default" w:ascii="Times New Roman" w:hAnsi="Times New Roman" w:cs="Times New Roman"/>
                <w:b/>
                <w:bCs/>
                <w:color w:val="auto"/>
                <w:sz w:val="21"/>
                <w:szCs w:val="16"/>
              </w:rPr>
              <w:t>与声程差δ关系曲线（f=500Hz）</w:t>
            </w:r>
          </w:p>
          <w:p w14:paraId="01C230DC">
            <w:pPr>
              <w:pStyle w:val="54"/>
              <w:ind w:firstLine="482"/>
              <w:rPr>
                <w:rFonts w:hint="default" w:ascii="Times New Roman" w:hAnsi="Times New Roman" w:cs="Times New Roman"/>
                <w:b/>
                <w:bCs/>
                <w:color w:val="auto"/>
                <w:sz w:val="24"/>
                <w:szCs w:val="20"/>
              </w:rPr>
            </w:pPr>
            <w:r>
              <w:rPr>
                <w:rFonts w:hint="default" w:ascii="Times New Roman" w:hAnsi="Times New Roman" w:cs="Times New Roman"/>
                <w:b/>
                <w:bCs/>
                <w:color w:val="auto"/>
                <w:sz w:val="24"/>
                <w:szCs w:val="20"/>
              </w:rPr>
              <w:t>空气吸收引起的衰减（A</w:t>
            </w:r>
            <w:r>
              <w:rPr>
                <w:rFonts w:hint="default" w:ascii="Times New Roman" w:hAnsi="Times New Roman" w:cs="Times New Roman"/>
                <w:b/>
                <w:bCs/>
                <w:color w:val="auto"/>
                <w:sz w:val="24"/>
                <w:szCs w:val="20"/>
                <w:vertAlign w:val="subscript"/>
              </w:rPr>
              <w:t>atm</w:t>
            </w:r>
            <w:r>
              <w:rPr>
                <w:rFonts w:hint="default" w:ascii="Times New Roman" w:hAnsi="Times New Roman" w:cs="Times New Roman"/>
                <w:b/>
                <w:bCs/>
                <w:color w:val="auto"/>
                <w:sz w:val="24"/>
                <w:szCs w:val="20"/>
              </w:rPr>
              <w:t>）：</w:t>
            </w:r>
          </w:p>
          <w:p w14:paraId="35BEE9F4">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按</w:t>
            </w:r>
            <w:r>
              <w:rPr>
                <w:rFonts w:hint="default" w:ascii="Times New Roman" w:hAnsi="Times New Roman" w:cs="Times New Roman"/>
                <w:color w:val="auto"/>
                <w:sz w:val="24"/>
                <w:szCs w:val="20"/>
                <w:lang w:eastAsia="zh-CN"/>
              </w:rPr>
              <w:t>以</w:t>
            </w:r>
            <w:r>
              <w:rPr>
                <w:rFonts w:hint="default" w:ascii="Times New Roman" w:hAnsi="Times New Roman" w:cs="Times New Roman"/>
                <w:color w:val="auto"/>
                <w:sz w:val="24"/>
                <w:szCs w:val="20"/>
              </w:rPr>
              <w:t>下公式计算：</w:t>
            </w:r>
          </w:p>
          <w:p w14:paraId="6018D042">
            <w:pPr>
              <w:pStyle w:val="54"/>
              <w:jc w:val="center"/>
              <w:rPr>
                <w:rFonts w:hint="default" w:ascii="Times New Roman" w:hAnsi="Times New Roman" w:cs="Times New Roman"/>
                <w:color w:val="auto"/>
                <w:sz w:val="24"/>
                <w:szCs w:val="20"/>
              </w:rPr>
            </w:pPr>
            <w:r>
              <w:rPr>
                <w:rFonts w:hint="default" w:ascii="Times New Roman" w:hAnsi="Times New Roman" w:cs="Times New Roman"/>
                <w:color w:val="auto"/>
              </w:rPr>
              <w:drawing>
                <wp:inline distT="0" distB="0" distL="0" distR="0">
                  <wp:extent cx="1418590" cy="618490"/>
                  <wp:effectExtent l="0" t="0" r="10160" b="1016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52"/>
                          <a:stretch>
                            <a:fillRect/>
                          </a:stretch>
                        </pic:blipFill>
                        <pic:spPr>
                          <a:xfrm>
                            <a:off x="0" y="0"/>
                            <a:ext cx="1419048" cy="619048"/>
                          </a:xfrm>
                          <a:prstGeom prst="rect">
                            <a:avLst/>
                          </a:prstGeom>
                        </pic:spPr>
                      </pic:pic>
                    </a:graphicData>
                  </a:graphic>
                </wp:inline>
              </w:drawing>
            </w:r>
          </w:p>
          <w:p w14:paraId="1CC074DA">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式中：ɑ为温度、湿度和声波频率的函数，预测计算中一般根据建设项目所处区域常年平均气温和湿度选择相应的空气吸收系数，见</w:t>
            </w:r>
            <w:r>
              <w:rPr>
                <w:rFonts w:hint="default" w:ascii="Times New Roman" w:hAnsi="Times New Roman" w:cs="Times New Roman"/>
                <w:color w:val="auto"/>
                <w:sz w:val="24"/>
                <w:szCs w:val="20"/>
                <w:lang w:eastAsia="zh-CN"/>
              </w:rPr>
              <w:t>下</w:t>
            </w:r>
            <w:r>
              <w:rPr>
                <w:rFonts w:hint="default" w:ascii="Times New Roman" w:hAnsi="Times New Roman" w:cs="Times New Roman"/>
                <w:color w:val="auto"/>
                <w:sz w:val="24"/>
                <w:szCs w:val="20"/>
              </w:rPr>
              <w:t>表。</w:t>
            </w:r>
          </w:p>
          <w:p w14:paraId="4D2085C9">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表</w:t>
            </w:r>
            <w:r>
              <w:rPr>
                <w:rFonts w:hint="default" w:ascii="Times New Roman" w:hAnsi="Times New Roman" w:cs="Times New Roman"/>
                <w:b/>
                <w:bCs/>
                <w:color w:val="auto"/>
                <w:sz w:val="21"/>
                <w:szCs w:val="16"/>
                <w:lang w:val="en-US" w:eastAsia="zh-CN"/>
              </w:rPr>
              <w:t>4-</w:t>
            </w:r>
            <w:r>
              <w:rPr>
                <w:rFonts w:hint="eastAsia" w:ascii="Times New Roman" w:hAnsi="Times New Roman" w:cs="Times New Roman"/>
                <w:b/>
                <w:bCs/>
                <w:color w:val="auto"/>
                <w:sz w:val="21"/>
                <w:szCs w:val="16"/>
                <w:lang w:val="en-US" w:eastAsia="zh-CN"/>
              </w:rPr>
              <w:t>1</w:t>
            </w:r>
            <w:r>
              <w:rPr>
                <w:rFonts w:hint="eastAsia" w:cs="Times New Roman"/>
                <w:b/>
                <w:bCs/>
                <w:color w:val="auto"/>
                <w:sz w:val="21"/>
                <w:szCs w:val="16"/>
                <w:lang w:val="en-US" w:eastAsia="zh-CN"/>
              </w:rPr>
              <w:t>0</w:t>
            </w:r>
            <w:r>
              <w:rPr>
                <w:rFonts w:hint="default" w:ascii="Times New Roman" w:hAnsi="Times New Roman" w:cs="Times New Roman"/>
                <w:b/>
                <w:bCs/>
                <w:color w:val="auto"/>
                <w:sz w:val="21"/>
                <w:szCs w:val="16"/>
              </w:rPr>
              <w:t xml:space="preserve"> </w:t>
            </w:r>
            <w:r>
              <w:rPr>
                <w:rFonts w:hint="default" w:ascii="Times New Roman" w:hAnsi="Times New Roman" w:cs="Times New Roman"/>
                <w:b/>
                <w:bCs/>
                <w:color w:val="auto"/>
                <w:sz w:val="21"/>
                <w:szCs w:val="16"/>
                <w:lang w:val="en-US" w:eastAsia="zh-CN"/>
              </w:rPr>
              <w:t xml:space="preserve"> </w:t>
            </w:r>
            <w:r>
              <w:rPr>
                <w:rFonts w:hint="default" w:ascii="Times New Roman" w:hAnsi="Times New Roman" w:cs="Times New Roman"/>
                <w:b/>
                <w:bCs/>
                <w:color w:val="auto"/>
                <w:sz w:val="21"/>
                <w:szCs w:val="16"/>
              </w:rPr>
              <w:t>倍频带噪声的大气吸收衰减系数</w:t>
            </w:r>
          </w:p>
          <w:tbl>
            <w:tblPr>
              <w:tblStyle w:val="3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0"/>
              <w:gridCol w:w="840"/>
              <w:gridCol w:w="869"/>
              <w:gridCol w:w="850"/>
              <w:gridCol w:w="849"/>
              <w:gridCol w:w="849"/>
              <w:gridCol w:w="847"/>
              <w:gridCol w:w="849"/>
              <w:gridCol w:w="897"/>
              <w:gridCol w:w="862"/>
            </w:tblGrid>
            <w:tr w14:paraId="31B21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10" w:type="dxa"/>
                  <w:vMerge w:val="restart"/>
                  <w:vAlign w:val="center"/>
                </w:tcPr>
                <w:p w14:paraId="47E9E24C">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温度℃</w:t>
                  </w:r>
                </w:p>
              </w:tc>
              <w:tc>
                <w:tcPr>
                  <w:tcW w:w="840" w:type="dxa"/>
                  <w:vMerge w:val="restart"/>
                  <w:vAlign w:val="center"/>
                </w:tcPr>
                <w:p w14:paraId="4426A7E3">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相对湿度%</w:t>
                  </w:r>
                </w:p>
              </w:tc>
              <w:tc>
                <w:tcPr>
                  <w:tcW w:w="6872" w:type="dxa"/>
                  <w:gridSpan w:val="8"/>
                  <w:vAlign w:val="center"/>
                </w:tcPr>
                <w:p w14:paraId="7EEC9079">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大气吸收衰减系数ɑ，dB/km</w:t>
                  </w:r>
                </w:p>
              </w:tc>
            </w:tr>
            <w:tr w14:paraId="5BF66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10" w:type="dxa"/>
                  <w:vMerge w:val="continue"/>
                  <w:vAlign w:val="center"/>
                </w:tcPr>
                <w:p w14:paraId="0A9C5FCD">
                  <w:pPr>
                    <w:pStyle w:val="54"/>
                    <w:spacing w:line="240" w:lineRule="auto"/>
                    <w:ind w:firstLine="0" w:firstLineChars="0"/>
                    <w:jc w:val="center"/>
                    <w:rPr>
                      <w:rFonts w:hint="default" w:ascii="Times New Roman" w:hAnsi="Times New Roman" w:cs="Times New Roman"/>
                      <w:b/>
                      <w:bCs/>
                      <w:color w:val="auto"/>
                      <w:sz w:val="21"/>
                      <w:szCs w:val="16"/>
                    </w:rPr>
                  </w:pPr>
                </w:p>
              </w:tc>
              <w:tc>
                <w:tcPr>
                  <w:tcW w:w="840" w:type="dxa"/>
                  <w:vMerge w:val="continue"/>
                  <w:vAlign w:val="center"/>
                </w:tcPr>
                <w:p w14:paraId="39C52381">
                  <w:pPr>
                    <w:pStyle w:val="54"/>
                    <w:spacing w:line="240" w:lineRule="auto"/>
                    <w:ind w:firstLine="0" w:firstLineChars="0"/>
                    <w:jc w:val="center"/>
                    <w:rPr>
                      <w:rFonts w:hint="default" w:ascii="Times New Roman" w:hAnsi="Times New Roman" w:cs="Times New Roman"/>
                      <w:b/>
                      <w:bCs/>
                      <w:color w:val="auto"/>
                      <w:sz w:val="21"/>
                      <w:szCs w:val="16"/>
                    </w:rPr>
                  </w:pPr>
                </w:p>
              </w:tc>
              <w:tc>
                <w:tcPr>
                  <w:tcW w:w="6872" w:type="dxa"/>
                  <w:gridSpan w:val="8"/>
                  <w:vAlign w:val="center"/>
                </w:tcPr>
                <w:p w14:paraId="3D86325F">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倍频带中心频率Hz</w:t>
                  </w:r>
                </w:p>
              </w:tc>
            </w:tr>
            <w:tr w14:paraId="450DE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10" w:type="dxa"/>
                  <w:vMerge w:val="continue"/>
                  <w:vAlign w:val="center"/>
                </w:tcPr>
                <w:p w14:paraId="24C60161">
                  <w:pPr>
                    <w:pStyle w:val="54"/>
                    <w:spacing w:line="240" w:lineRule="auto"/>
                    <w:ind w:firstLine="0" w:firstLineChars="0"/>
                    <w:jc w:val="center"/>
                    <w:rPr>
                      <w:rFonts w:hint="default" w:ascii="Times New Roman" w:hAnsi="Times New Roman" w:cs="Times New Roman"/>
                      <w:b/>
                      <w:bCs/>
                      <w:color w:val="auto"/>
                      <w:sz w:val="21"/>
                      <w:szCs w:val="16"/>
                    </w:rPr>
                  </w:pPr>
                </w:p>
              </w:tc>
              <w:tc>
                <w:tcPr>
                  <w:tcW w:w="840" w:type="dxa"/>
                  <w:vMerge w:val="continue"/>
                  <w:vAlign w:val="center"/>
                </w:tcPr>
                <w:p w14:paraId="34562B95">
                  <w:pPr>
                    <w:pStyle w:val="54"/>
                    <w:spacing w:line="240" w:lineRule="auto"/>
                    <w:ind w:firstLine="0" w:firstLineChars="0"/>
                    <w:jc w:val="center"/>
                    <w:rPr>
                      <w:rFonts w:hint="default" w:ascii="Times New Roman" w:hAnsi="Times New Roman" w:cs="Times New Roman"/>
                      <w:b/>
                      <w:bCs/>
                      <w:color w:val="auto"/>
                      <w:sz w:val="21"/>
                      <w:szCs w:val="16"/>
                    </w:rPr>
                  </w:pPr>
                </w:p>
              </w:tc>
              <w:tc>
                <w:tcPr>
                  <w:tcW w:w="869" w:type="dxa"/>
                  <w:vAlign w:val="center"/>
                </w:tcPr>
                <w:p w14:paraId="5E9C082D">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63</w:t>
                  </w:r>
                </w:p>
              </w:tc>
              <w:tc>
                <w:tcPr>
                  <w:tcW w:w="850" w:type="dxa"/>
                  <w:vAlign w:val="center"/>
                </w:tcPr>
                <w:p w14:paraId="3B80B448">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125</w:t>
                  </w:r>
                </w:p>
              </w:tc>
              <w:tc>
                <w:tcPr>
                  <w:tcW w:w="849" w:type="dxa"/>
                  <w:vAlign w:val="center"/>
                </w:tcPr>
                <w:p w14:paraId="3838EB83">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250</w:t>
                  </w:r>
                </w:p>
              </w:tc>
              <w:tc>
                <w:tcPr>
                  <w:tcW w:w="849" w:type="dxa"/>
                  <w:vAlign w:val="center"/>
                </w:tcPr>
                <w:p w14:paraId="48E6F99F">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500</w:t>
                  </w:r>
                </w:p>
              </w:tc>
              <w:tc>
                <w:tcPr>
                  <w:tcW w:w="847" w:type="dxa"/>
                  <w:vAlign w:val="center"/>
                </w:tcPr>
                <w:p w14:paraId="43451E25">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1000</w:t>
                  </w:r>
                </w:p>
              </w:tc>
              <w:tc>
                <w:tcPr>
                  <w:tcW w:w="849" w:type="dxa"/>
                  <w:vAlign w:val="center"/>
                </w:tcPr>
                <w:p w14:paraId="75468421">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2000</w:t>
                  </w:r>
                </w:p>
              </w:tc>
              <w:tc>
                <w:tcPr>
                  <w:tcW w:w="897" w:type="dxa"/>
                  <w:vAlign w:val="center"/>
                </w:tcPr>
                <w:p w14:paraId="7778D5CE">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4000</w:t>
                  </w:r>
                </w:p>
              </w:tc>
              <w:tc>
                <w:tcPr>
                  <w:tcW w:w="862" w:type="dxa"/>
                  <w:vAlign w:val="center"/>
                </w:tcPr>
                <w:p w14:paraId="31706867">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8000</w:t>
                  </w:r>
                </w:p>
              </w:tc>
            </w:tr>
            <w:tr w14:paraId="3099C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10" w:type="dxa"/>
                  <w:vAlign w:val="center"/>
                </w:tcPr>
                <w:p w14:paraId="17364E57">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10</w:t>
                  </w:r>
                </w:p>
              </w:tc>
              <w:tc>
                <w:tcPr>
                  <w:tcW w:w="840" w:type="dxa"/>
                  <w:vAlign w:val="center"/>
                </w:tcPr>
                <w:p w14:paraId="2414A65C">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70</w:t>
                  </w:r>
                </w:p>
              </w:tc>
              <w:tc>
                <w:tcPr>
                  <w:tcW w:w="869" w:type="dxa"/>
                  <w:vAlign w:val="center"/>
                </w:tcPr>
                <w:p w14:paraId="4A1C5999">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0.1</w:t>
                  </w:r>
                </w:p>
              </w:tc>
              <w:tc>
                <w:tcPr>
                  <w:tcW w:w="850" w:type="dxa"/>
                  <w:vAlign w:val="center"/>
                </w:tcPr>
                <w:p w14:paraId="79A965CC">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0.4</w:t>
                  </w:r>
                </w:p>
              </w:tc>
              <w:tc>
                <w:tcPr>
                  <w:tcW w:w="849" w:type="dxa"/>
                  <w:vAlign w:val="center"/>
                </w:tcPr>
                <w:p w14:paraId="327CDD22">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1.0</w:t>
                  </w:r>
                </w:p>
              </w:tc>
              <w:tc>
                <w:tcPr>
                  <w:tcW w:w="849" w:type="dxa"/>
                  <w:vAlign w:val="center"/>
                </w:tcPr>
                <w:p w14:paraId="4EA3725A">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1.9</w:t>
                  </w:r>
                </w:p>
              </w:tc>
              <w:tc>
                <w:tcPr>
                  <w:tcW w:w="847" w:type="dxa"/>
                  <w:vAlign w:val="center"/>
                </w:tcPr>
                <w:p w14:paraId="0A56E4A1">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3.7</w:t>
                  </w:r>
                </w:p>
              </w:tc>
              <w:tc>
                <w:tcPr>
                  <w:tcW w:w="849" w:type="dxa"/>
                  <w:vAlign w:val="center"/>
                </w:tcPr>
                <w:p w14:paraId="472DACA0">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9.7</w:t>
                  </w:r>
                </w:p>
              </w:tc>
              <w:tc>
                <w:tcPr>
                  <w:tcW w:w="897" w:type="dxa"/>
                  <w:vAlign w:val="center"/>
                </w:tcPr>
                <w:p w14:paraId="6A8F4925">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32.8</w:t>
                  </w:r>
                </w:p>
              </w:tc>
              <w:tc>
                <w:tcPr>
                  <w:tcW w:w="862" w:type="dxa"/>
                  <w:vAlign w:val="center"/>
                </w:tcPr>
                <w:p w14:paraId="760EF8B1">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117.0</w:t>
                  </w:r>
                </w:p>
              </w:tc>
            </w:tr>
            <w:tr w14:paraId="32C0D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10" w:type="dxa"/>
                  <w:vAlign w:val="center"/>
                </w:tcPr>
                <w:p w14:paraId="68B05844">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20</w:t>
                  </w:r>
                </w:p>
              </w:tc>
              <w:tc>
                <w:tcPr>
                  <w:tcW w:w="840" w:type="dxa"/>
                  <w:vAlign w:val="center"/>
                </w:tcPr>
                <w:p w14:paraId="7774787A">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70</w:t>
                  </w:r>
                </w:p>
              </w:tc>
              <w:tc>
                <w:tcPr>
                  <w:tcW w:w="869" w:type="dxa"/>
                  <w:vAlign w:val="center"/>
                </w:tcPr>
                <w:p w14:paraId="222B28DA">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0.1</w:t>
                  </w:r>
                </w:p>
              </w:tc>
              <w:tc>
                <w:tcPr>
                  <w:tcW w:w="850" w:type="dxa"/>
                  <w:vAlign w:val="center"/>
                </w:tcPr>
                <w:p w14:paraId="229673EE">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0.3</w:t>
                  </w:r>
                </w:p>
              </w:tc>
              <w:tc>
                <w:tcPr>
                  <w:tcW w:w="849" w:type="dxa"/>
                  <w:vAlign w:val="center"/>
                </w:tcPr>
                <w:p w14:paraId="39316E92">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1.1</w:t>
                  </w:r>
                </w:p>
              </w:tc>
              <w:tc>
                <w:tcPr>
                  <w:tcW w:w="849" w:type="dxa"/>
                  <w:vAlign w:val="center"/>
                </w:tcPr>
                <w:p w14:paraId="04B6D06D">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2.8</w:t>
                  </w:r>
                </w:p>
              </w:tc>
              <w:tc>
                <w:tcPr>
                  <w:tcW w:w="847" w:type="dxa"/>
                  <w:vAlign w:val="center"/>
                </w:tcPr>
                <w:p w14:paraId="43109B96">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5.0</w:t>
                  </w:r>
                </w:p>
              </w:tc>
              <w:tc>
                <w:tcPr>
                  <w:tcW w:w="849" w:type="dxa"/>
                  <w:vAlign w:val="center"/>
                </w:tcPr>
                <w:p w14:paraId="7B813F64">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9.0</w:t>
                  </w:r>
                </w:p>
              </w:tc>
              <w:tc>
                <w:tcPr>
                  <w:tcW w:w="897" w:type="dxa"/>
                  <w:vAlign w:val="center"/>
                </w:tcPr>
                <w:p w14:paraId="537BA60A">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22.9</w:t>
                  </w:r>
                </w:p>
              </w:tc>
              <w:tc>
                <w:tcPr>
                  <w:tcW w:w="862" w:type="dxa"/>
                  <w:vAlign w:val="center"/>
                </w:tcPr>
                <w:p w14:paraId="0C28D922">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76.6</w:t>
                  </w:r>
                </w:p>
              </w:tc>
            </w:tr>
            <w:tr w14:paraId="3A50D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10" w:type="dxa"/>
                  <w:vAlign w:val="center"/>
                </w:tcPr>
                <w:p w14:paraId="788380AB">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30</w:t>
                  </w:r>
                </w:p>
              </w:tc>
              <w:tc>
                <w:tcPr>
                  <w:tcW w:w="840" w:type="dxa"/>
                  <w:vAlign w:val="center"/>
                </w:tcPr>
                <w:p w14:paraId="2020D8B8">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70</w:t>
                  </w:r>
                </w:p>
              </w:tc>
              <w:tc>
                <w:tcPr>
                  <w:tcW w:w="869" w:type="dxa"/>
                  <w:vAlign w:val="center"/>
                </w:tcPr>
                <w:p w14:paraId="4900847D">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0.1</w:t>
                  </w:r>
                </w:p>
              </w:tc>
              <w:tc>
                <w:tcPr>
                  <w:tcW w:w="850" w:type="dxa"/>
                  <w:vAlign w:val="center"/>
                </w:tcPr>
                <w:p w14:paraId="155182E1">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0.3</w:t>
                  </w:r>
                </w:p>
              </w:tc>
              <w:tc>
                <w:tcPr>
                  <w:tcW w:w="849" w:type="dxa"/>
                  <w:vAlign w:val="center"/>
                </w:tcPr>
                <w:p w14:paraId="571272B8">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1.0</w:t>
                  </w:r>
                </w:p>
              </w:tc>
              <w:tc>
                <w:tcPr>
                  <w:tcW w:w="849" w:type="dxa"/>
                  <w:vAlign w:val="center"/>
                </w:tcPr>
                <w:p w14:paraId="73B69DD1">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3.1</w:t>
                  </w:r>
                </w:p>
              </w:tc>
              <w:tc>
                <w:tcPr>
                  <w:tcW w:w="847" w:type="dxa"/>
                  <w:vAlign w:val="center"/>
                </w:tcPr>
                <w:p w14:paraId="26C6E23E">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7.4</w:t>
                  </w:r>
                </w:p>
              </w:tc>
              <w:tc>
                <w:tcPr>
                  <w:tcW w:w="849" w:type="dxa"/>
                  <w:vAlign w:val="center"/>
                </w:tcPr>
                <w:p w14:paraId="42EC5C00">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12.7</w:t>
                  </w:r>
                </w:p>
              </w:tc>
              <w:tc>
                <w:tcPr>
                  <w:tcW w:w="897" w:type="dxa"/>
                  <w:vAlign w:val="center"/>
                </w:tcPr>
                <w:p w14:paraId="0C910403">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23.1</w:t>
                  </w:r>
                </w:p>
              </w:tc>
              <w:tc>
                <w:tcPr>
                  <w:tcW w:w="862" w:type="dxa"/>
                  <w:vAlign w:val="center"/>
                </w:tcPr>
                <w:p w14:paraId="010EAAE5">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59.3</w:t>
                  </w:r>
                </w:p>
              </w:tc>
            </w:tr>
            <w:tr w14:paraId="77DF1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10" w:type="dxa"/>
                  <w:vAlign w:val="center"/>
                </w:tcPr>
                <w:p w14:paraId="444D3DC2">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15</w:t>
                  </w:r>
                </w:p>
              </w:tc>
              <w:tc>
                <w:tcPr>
                  <w:tcW w:w="840" w:type="dxa"/>
                  <w:vAlign w:val="center"/>
                </w:tcPr>
                <w:p w14:paraId="6A576AC7">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20</w:t>
                  </w:r>
                </w:p>
              </w:tc>
              <w:tc>
                <w:tcPr>
                  <w:tcW w:w="869" w:type="dxa"/>
                  <w:vAlign w:val="center"/>
                </w:tcPr>
                <w:p w14:paraId="20AFDCFD">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0.3</w:t>
                  </w:r>
                </w:p>
              </w:tc>
              <w:tc>
                <w:tcPr>
                  <w:tcW w:w="850" w:type="dxa"/>
                  <w:vAlign w:val="center"/>
                </w:tcPr>
                <w:p w14:paraId="56043FE6">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0.6</w:t>
                  </w:r>
                </w:p>
              </w:tc>
              <w:tc>
                <w:tcPr>
                  <w:tcW w:w="849" w:type="dxa"/>
                  <w:vAlign w:val="center"/>
                </w:tcPr>
                <w:p w14:paraId="1C0EA267">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1.2</w:t>
                  </w:r>
                </w:p>
              </w:tc>
              <w:tc>
                <w:tcPr>
                  <w:tcW w:w="849" w:type="dxa"/>
                  <w:vAlign w:val="center"/>
                </w:tcPr>
                <w:p w14:paraId="565353FD">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2.7</w:t>
                  </w:r>
                </w:p>
              </w:tc>
              <w:tc>
                <w:tcPr>
                  <w:tcW w:w="847" w:type="dxa"/>
                  <w:vAlign w:val="center"/>
                </w:tcPr>
                <w:p w14:paraId="0FAA97E5">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8.2</w:t>
                  </w:r>
                </w:p>
              </w:tc>
              <w:tc>
                <w:tcPr>
                  <w:tcW w:w="849" w:type="dxa"/>
                  <w:vAlign w:val="center"/>
                </w:tcPr>
                <w:p w14:paraId="1377AF2F">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28.2</w:t>
                  </w:r>
                </w:p>
              </w:tc>
              <w:tc>
                <w:tcPr>
                  <w:tcW w:w="897" w:type="dxa"/>
                  <w:vAlign w:val="center"/>
                </w:tcPr>
                <w:p w14:paraId="19D683AC">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28.8</w:t>
                  </w:r>
                </w:p>
              </w:tc>
              <w:tc>
                <w:tcPr>
                  <w:tcW w:w="862" w:type="dxa"/>
                  <w:vAlign w:val="center"/>
                </w:tcPr>
                <w:p w14:paraId="08664262">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202.0</w:t>
                  </w:r>
                </w:p>
              </w:tc>
            </w:tr>
            <w:tr w14:paraId="51B27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dxa"/>
                  <w:vAlign w:val="center"/>
                </w:tcPr>
                <w:p w14:paraId="7C07C3BC">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15</w:t>
                  </w:r>
                </w:p>
              </w:tc>
              <w:tc>
                <w:tcPr>
                  <w:tcW w:w="840" w:type="dxa"/>
                  <w:vAlign w:val="center"/>
                </w:tcPr>
                <w:p w14:paraId="2582D323">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50</w:t>
                  </w:r>
                </w:p>
              </w:tc>
              <w:tc>
                <w:tcPr>
                  <w:tcW w:w="869" w:type="dxa"/>
                  <w:vAlign w:val="center"/>
                </w:tcPr>
                <w:p w14:paraId="701D951C">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0.1</w:t>
                  </w:r>
                </w:p>
              </w:tc>
              <w:tc>
                <w:tcPr>
                  <w:tcW w:w="850" w:type="dxa"/>
                  <w:vAlign w:val="center"/>
                </w:tcPr>
                <w:p w14:paraId="6DA3A6AD">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0.5</w:t>
                  </w:r>
                </w:p>
              </w:tc>
              <w:tc>
                <w:tcPr>
                  <w:tcW w:w="849" w:type="dxa"/>
                  <w:vAlign w:val="center"/>
                </w:tcPr>
                <w:p w14:paraId="36843AFD">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1.2</w:t>
                  </w:r>
                </w:p>
              </w:tc>
              <w:tc>
                <w:tcPr>
                  <w:tcW w:w="849" w:type="dxa"/>
                  <w:vAlign w:val="center"/>
                </w:tcPr>
                <w:p w14:paraId="6AC7671F">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2.2</w:t>
                  </w:r>
                </w:p>
              </w:tc>
              <w:tc>
                <w:tcPr>
                  <w:tcW w:w="847" w:type="dxa"/>
                  <w:vAlign w:val="center"/>
                </w:tcPr>
                <w:p w14:paraId="68EFCB92">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4.2</w:t>
                  </w:r>
                </w:p>
              </w:tc>
              <w:tc>
                <w:tcPr>
                  <w:tcW w:w="849" w:type="dxa"/>
                  <w:vAlign w:val="center"/>
                </w:tcPr>
                <w:p w14:paraId="1001C14A">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10.8</w:t>
                  </w:r>
                </w:p>
              </w:tc>
              <w:tc>
                <w:tcPr>
                  <w:tcW w:w="897" w:type="dxa"/>
                  <w:vAlign w:val="center"/>
                </w:tcPr>
                <w:p w14:paraId="14F570C3">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36.2</w:t>
                  </w:r>
                </w:p>
              </w:tc>
              <w:tc>
                <w:tcPr>
                  <w:tcW w:w="862" w:type="dxa"/>
                  <w:vAlign w:val="center"/>
                </w:tcPr>
                <w:p w14:paraId="049E89D3">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129.0</w:t>
                  </w:r>
                </w:p>
              </w:tc>
            </w:tr>
            <w:tr w14:paraId="4BA8D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dxa"/>
                  <w:vAlign w:val="center"/>
                </w:tcPr>
                <w:p w14:paraId="43CF16CC">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15</w:t>
                  </w:r>
                </w:p>
              </w:tc>
              <w:tc>
                <w:tcPr>
                  <w:tcW w:w="840" w:type="dxa"/>
                  <w:vAlign w:val="center"/>
                </w:tcPr>
                <w:p w14:paraId="18CCE0C9">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80</w:t>
                  </w:r>
                </w:p>
              </w:tc>
              <w:tc>
                <w:tcPr>
                  <w:tcW w:w="869" w:type="dxa"/>
                  <w:vAlign w:val="center"/>
                </w:tcPr>
                <w:p w14:paraId="5FF9A118">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0.1</w:t>
                  </w:r>
                </w:p>
              </w:tc>
              <w:tc>
                <w:tcPr>
                  <w:tcW w:w="850" w:type="dxa"/>
                  <w:vAlign w:val="center"/>
                </w:tcPr>
                <w:p w14:paraId="2F7B3B2F">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0.3</w:t>
                  </w:r>
                </w:p>
              </w:tc>
              <w:tc>
                <w:tcPr>
                  <w:tcW w:w="849" w:type="dxa"/>
                  <w:vAlign w:val="center"/>
                </w:tcPr>
                <w:p w14:paraId="6F678652">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1.1</w:t>
                  </w:r>
                </w:p>
              </w:tc>
              <w:tc>
                <w:tcPr>
                  <w:tcW w:w="849" w:type="dxa"/>
                  <w:vAlign w:val="center"/>
                </w:tcPr>
                <w:p w14:paraId="01272B59">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2.4</w:t>
                  </w:r>
                </w:p>
              </w:tc>
              <w:tc>
                <w:tcPr>
                  <w:tcW w:w="847" w:type="dxa"/>
                  <w:vAlign w:val="center"/>
                </w:tcPr>
                <w:p w14:paraId="1298BCC3">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4.1</w:t>
                  </w:r>
                </w:p>
              </w:tc>
              <w:tc>
                <w:tcPr>
                  <w:tcW w:w="849" w:type="dxa"/>
                  <w:vAlign w:val="center"/>
                </w:tcPr>
                <w:p w14:paraId="3E8520B2">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8.3</w:t>
                  </w:r>
                </w:p>
              </w:tc>
              <w:tc>
                <w:tcPr>
                  <w:tcW w:w="897" w:type="dxa"/>
                  <w:vAlign w:val="center"/>
                </w:tcPr>
                <w:p w14:paraId="7713ACA5">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23.7</w:t>
                  </w:r>
                </w:p>
              </w:tc>
              <w:tc>
                <w:tcPr>
                  <w:tcW w:w="862" w:type="dxa"/>
                  <w:vAlign w:val="center"/>
                </w:tcPr>
                <w:p w14:paraId="4EEAEDDE">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82.8</w:t>
                  </w:r>
                </w:p>
              </w:tc>
            </w:tr>
          </w:tbl>
          <w:p w14:paraId="6B0F75F7">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货运列车以中低频噪声为主，典型频率取500Hz，温度取常年平均气温20℃，差值得大气吸收衰减系数a为2.8dB/km。</w:t>
            </w:r>
          </w:p>
          <w:p w14:paraId="60B01091">
            <w:pPr>
              <w:pStyle w:val="54"/>
              <w:ind w:firstLine="482"/>
              <w:rPr>
                <w:rFonts w:hint="default" w:ascii="Times New Roman" w:hAnsi="Times New Roman" w:cs="Times New Roman"/>
                <w:b/>
                <w:bCs/>
                <w:color w:val="auto"/>
                <w:sz w:val="24"/>
                <w:szCs w:val="20"/>
              </w:rPr>
            </w:pPr>
            <w:r>
              <w:rPr>
                <w:rFonts w:hint="default" w:ascii="Times New Roman" w:hAnsi="Times New Roman" w:cs="Times New Roman"/>
                <w:b/>
                <w:bCs/>
                <w:color w:val="auto"/>
                <w:sz w:val="24"/>
                <w:szCs w:val="20"/>
              </w:rPr>
              <w:t>地面效应衰减（A</w:t>
            </w:r>
            <w:r>
              <w:rPr>
                <w:rFonts w:hint="default" w:ascii="Times New Roman" w:hAnsi="Times New Roman" w:cs="Times New Roman"/>
                <w:b/>
                <w:bCs/>
                <w:color w:val="auto"/>
                <w:sz w:val="24"/>
                <w:szCs w:val="20"/>
                <w:vertAlign w:val="subscript"/>
              </w:rPr>
              <w:t>gr</w:t>
            </w:r>
            <w:r>
              <w:rPr>
                <w:rFonts w:hint="default" w:ascii="Times New Roman" w:hAnsi="Times New Roman" w:cs="Times New Roman"/>
                <w:b/>
                <w:bCs/>
                <w:color w:val="auto"/>
                <w:sz w:val="24"/>
                <w:szCs w:val="20"/>
              </w:rPr>
              <w:t>）：</w:t>
            </w:r>
          </w:p>
          <w:p w14:paraId="5FCD8BE8">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地面类型一般分为坚实地面、疏松地面、混合地面，本评价选取混合地面。</w:t>
            </w:r>
          </w:p>
          <w:p w14:paraId="20BD9AAE">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声波越过疏松地面传播时，或大部分为疏松地面的混合地面，在预测点仅计算A声级前提下，地面效应引起的倍频带衰减可用以下公式计算：</w:t>
            </w:r>
          </w:p>
          <w:p w14:paraId="57AE3355">
            <w:pPr>
              <w:pStyle w:val="54"/>
              <w:jc w:val="center"/>
              <w:rPr>
                <w:rFonts w:hint="default" w:ascii="Times New Roman" w:hAnsi="Times New Roman" w:cs="Times New Roman"/>
                <w:color w:val="auto"/>
                <w:sz w:val="24"/>
                <w:szCs w:val="20"/>
              </w:rPr>
            </w:pPr>
            <w:r>
              <w:rPr>
                <w:rFonts w:hint="default" w:ascii="Times New Roman" w:hAnsi="Times New Roman" w:cs="Times New Roman"/>
                <w:color w:val="auto"/>
              </w:rPr>
              <w:drawing>
                <wp:inline distT="0" distB="0" distL="0" distR="0">
                  <wp:extent cx="2224405" cy="569595"/>
                  <wp:effectExtent l="0" t="0" r="4445" b="190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53"/>
                          <a:stretch>
                            <a:fillRect/>
                          </a:stretch>
                        </pic:blipFill>
                        <pic:spPr>
                          <a:xfrm>
                            <a:off x="0" y="0"/>
                            <a:ext cx="2253662" cy="577253"/>
                          </a:xfrm>
                          <a:prstGeom prst="rect">
                            <a:avLst/>
                          </a:prstGeom>
                        </pic:spPr>
                      </pic:pic>
                    </a:graphicData>
                  </a:graphic>
                </wp:inline>
              </w:drawing>
            </w:r>
          </w:p>
          <w:p w14:paraId="4221570F">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式中：r—声源到预测点的距离，m；</w:t>
            </w:r>
          </w:p>
          <w:p w14:paraId="07B18DB1">
            <w:pPr>
              <w:pStyle w:val="54"/>
              <w:ind w:firstLine="1080" w:firstLineChars="45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h</w:t>
            </w:r>
            <w:r>
              <w:rPr>
                <w:rFonts w:hint="default" w:ascii="Times New Roman" w:hAnsi="Times New Roman" w:cs="Times New Roman"/>
                <w:color w:val="auto"/>
                <w:sz w:val="24"/>
                <w:szCs w:val="20"/>
                <w:vertAlign w:val="subscript"/>
              </w:rPr>
              <w:t>m</w:t>
            </w:r>
            <w:r>
              <w:rPr>
                <w:rFonts w:hint="default" w:ascii="Times New Roman" w:hAnsi="Times New Roman" w:cs="Times New Roman"/>
                <w:color w:val="auto"/>
                <w:sz w:val="24"/>
                <w:szCs w:val="20"/>
              </w:rPr>
              <w:t>—传播路径的平均离地高度，m；可按图</w:t>
            </w:r>
            <w:r>
              <w:rPr>
                <w:rFonts w:hint="default" w:ascii="Times New Roman" w:hAnsi="Times New Roman" w:cs="Times New Roman"/>
                <w:color w:val="auto"/>
                <w:sz w:val="24"/>
                <w:szCs w:val="20"/>
                <w:lang w:val="en-US" w:eastAsia="zh-CN"/>
              </w:rPr>
              <w:t>4</w:t>
            </w:r>
            <w:r>
              <w:rPr>
                <w:rFonts w:hint="default" w:ascii="Times New Roman" w:hAnsi="Times New Roman" w:cs="Times New Roman"/>
                <w:color w:val="auto"/>
                <w:sz w:val="24"/>
                <w:szCs w:val="20"/>
              </w:rPr>
              <w:t>-5进行计算，h</w:t>
            </w:r>
            <w:r>
              <w:rPr>
                <w:rFonts w:hint="default" w:ascii="Times New Roman" w:hAnsi="Times New Roman" w:cs="Times New Roman"/>
                <w:color w:val="auto"/>
                <w:sz w:val="24"/>
                <w:szCs w:val="20"/>
                <w:vertAlign w:val="subscript"/>
              </w:rPr>
              <w:t>m</w:t>
            </w:r>
            <w:r>
              <w:rPr>
                <w:rFonts w:hint="default" w:ascii="Times New Roman" w:hAnsi="Times New Roman" w:cs="Times New Roman"/>
                <w:color w:val="auto"/>
                <w:sz w:val="24"/>
                <w:szCs w:val="20"/>
              </w:rPr>
              <w:t>=F/r；F：面积，m</w:t>
            </w:r>
            <w:r>
              <w:rPr>
                <w:rFonts w:hint="default" w:ascii="Times New Roman" w:hAnsi="Times New Roman" w:cs="Times New Roman"/>
                <w:color w:val="auto"/>
                <w:sz w:val="24"/>
                <w:szCs w:val="20"/>
                <w:vertAlign w:val="superscript"/>
              </w:rPr>
              <w:t>2</w:t>
            </w:r>
            <w:r>
              <w:rPr>
                <w:rFonts w:hint="default" w:ascii="Times New Roman" w:hAnsi="Times New Roman" w:cs="Times New Roman"/>
                <w:color w:val="auto"/>
                <w:sz w:val="24"/>
                <w:szCs w:val="20"/>
              </w:rPr>
              <w:t>；若计算出负值，则A</w:t>
            </w:r>
            <w:r>
              <w:rPr>
                <w:rFonts w:hint="default" w:ascii="Times New Roman" w:hAnsi="Times New Roman" w:cs="Times New Roman"/>
                <w:color w:val="auto"/>
                <w:sz w:val="24"/>
                <w:szCs w:val="20"/>
                <w:vertAlign w:val="subscript"/>
              </w:rPr>
              <w:t>gr</w:t>
            </w:r>
            <w:r>
              <w:rPr>
                <w:rFonts w:hint="default" w:ascii="Times New Roman" w:hAnsi="Times New Roman" w:cs="Times New Roman"/>
                <w:color w:val="auto"/>
                <w:sz w:val="24"/>
                <w:szCs w:val="20"/>
              </w:rPr>
              <w:t>可用0代替。</w:t>
            </w:r>
          </w:p>
          <w:p w14:paraId="0C62F26B">
            <w:pPr>
              <w:pStyle w:val="54"/>
              <w:ind w:firstLine="1080" w:firstLineChars="45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其他情况参照GB/T17247.2计算。</w:t>
            </w:r>
          </w:p>
          <w:p w14:paraId="0061B71A">
            <w:pPr>
              <w:pStyle w:val="54"/>
              <w:ind w:firstLine="0" w:firstLineChars="0"/>
              <w:jc w:val="center"/>
              <w:rPr>
                <w:rFonts w:hint="default" w:ascii="Times New Roman" w:hAnsi="Times New Roman" w:cs="Times New Roman"/>
                <w:color w:val="auto"/>
                <w:sz w:val="24"/>
                <w:szCs w:val="20"/>
              </w:rPr>
            </w:pPr>
            <w:r>
              <w:rPr>
                <w:rFonts w:hint="default" w:ascii="Times New Roman" w:hAnsi="Times New Roman" w:cs="Times New Roman"/>
                <w:color w:val="auto"/>
              </w:rPr>
              <w:drawing>
                <wp:inline distT="0" distB="0" distL="0" distR="0">
                  <wp:extent cx="5274310" cy="2359025"/>
                  <wp:effectExtent l="0" t="0" r="2540" b="317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54"/>
                          <a:stretch>
                            <a:fillRect/>
                          </a:stretch>
                        </pic:blipFill>
                        <pic:spPr>
                          <a:xfrm>
                            <a:off x="0" y="0"/>
                            <a:ext cx="5274310" cy="2359025"/>
                          </a:xfrm>
                          <a:prstGeom prst="rect">
                            <a:avLst/>
                          </a:prstGeom>
                        </pic:spPr>
                      </pic:pic>
                    </a:graphicData>
                  </a:graphic>
                </wp:inline>
              </w:drawing>
            </w:r>
          </w:p>
          <w:p w14:paraId="7141EC42">
            <w:pPr>
              <w:pStyle w:val="54"/>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图</w:t>
            </w:r>
            <w:r>
              <w:rPr>
                <w:rFonts w:hint="default" w:ascii="Times New Roman" w:hAnsi="Times New Roman" w:cs="Times New Roman"/>
                <w:b/>
                <w:bCs/>
                <w:color w:val="auto"/>
                <w:sz w:val="21"/>
                <w:szCs w:val="16"/>
                <w:lang w:val="en-US" w:eastAsia="zh-CN"/>
              </w:rPr>
              <w:t>4</w:t>
            </w:r>
            <w:r>
              <w:rPr>
                <w:rFonts w:hint="default" w:ascii="Times New Roman" w:hAnsi="Times New Roman" w:cs="Times New Roman"/>
                <w:b/>
                <w:bCs/>
                <w:color w:val="auto"/>
                <w:sz w:val="21"/>
                <w:szCs w:val="16"/>
              </w:rPr>
              <w:t>-5</w:t>
            </w:r>
            <w:r>
              <w:rPr>
                <w:rFonts w:hint="default" w:ascii="Times New Roman" w:hAnsi="Times New Roman" w:cs="Times New Roman"/>
                <w:b/>
                <w:bCs/>
                <w:color w:val="auto"/>
                <w:sz w:val="21"/>
                <w:szCs w:val="16"/>
                <w:lang w:val="en-US" w:eastAsia="zh-CN"/>
              </w:rPr>
              <w:t xml:space="preserve"> </w:t>
            </w:r>
            <w:r>
              <w:rPr>
                <w:rFonts w:hint="default" w:ascii="Times New Roman" w:hAnsi="Times New Roman" w:cs="Times New Roman"/>
                <w:b/>
                <w:bCs/>
                <w:color w:val="auto"/>
                <w:sz w:val="21"/>
                <w:szCs w:val="16"/>
              </w:rPr>
              <w:t xml:space="preserve"> 估计</w:t>
            </w:r>
            <w:r>
              <w:rPr>
                <w:rFonts w:hint="default" w:ascii="Times New Roman" w:hAnsi="Times New Roman" w:cs="Times New Roman"/>
                <w:b/>
                <w:bCs/>
                <w:color w:val="auto"/>
                <w:sz w:val="21"/>
                <w:szCs w:val="16"/>
                <w:lang w:eastAsia="zh-CN"/>
              </w:rPr>
              <w:t>平均</w:t>
            </w:r>
            <w:r>
              <w:rPr>
                <w:rFonts w:hint="default" w:ascii="Times New Roman" w:hAnsi="Times New Roman" w:cs="Times New Roman"/>
                <w:b/>
                <w:bCs/>
                <w:color w:val="auto"/>
                <w:sz w:val="21"/>
                <w:szCs w:val="16"/>
              </w:rPr>
              <w:t>高度h</w:t>
            </w:r>
            <w:r>
              <w:rPr>
                <w:rFonts w:hint="default" w:ascii="Times New Roman" w:hAnsi="Times New Roman" w:cs="Times New Roman"/>
                <w:b/>
                <w:bCs/>
                <w:color w:val="auto"/>
                <w:sz w:val="21"/>
                <w:szCs w:val="16"/>
                <w:vertAlign w:val="subscript"/>
              </w:rPr>
              <w:t>m</w:t>
            </w:r>
            <w:r>
              <w:rPr>
                <w:rFonts w:hint="default" w:ascii="Times New Roman" w:hAnsi="Times New Roman" w:cs="Times New Roman"/>
                <w:b/>
                <w:bCs/>
                <w:color w:val="auto"/>
                <w:sz w:val="21"/>
                <w:szCs w:val="16"/>
              </w:rPr>
              <w:t>的方法</w:t>
            </w:r>
          </w:p>
          <w:p w14:paraId="45120040">
            <w:pPr>
              <w:pStyle w:val="54"/>
              <w:ind w:firstLine="482"/>
              <w:rPr>
                <w:rFonts w:hint="default" w:ascii="Times New Roman" w:hAnsi="Times New Roman" w:cs="Times New Roman"/>
                <w:b/>
                <w:bCs/>
                <w:color w:val="auto"/>
                <w:sz w:val="24"/>
                <w:szCs w:val="20"/>
              </w:rPr>
            </w:pPr>
            <w:r>
              <w:rPr>
                <w:rFonts w:hint="default" w:ascii="Times New Roman" w:hAnsi="Times New Roman" w:cs="Times New Roman"/>
                <w:b/>
                <w:bCs/>
                <w:color w:val="auto"/>
                <w:sz w:val="24"/>
                <w:szCs w:val="20"/>
              </w:rPr>
              <w:t>其他多方面原因引起的衰减（A</w:t>
            </w:r>
            <w:r>
              <w:rPr>
                <w:rFonts w:hint="default" w:ascii="Times New Roman" w:hAnsi="Times New Roman" w:cs="Times New Roman"/>
                <w:b/>
                <w:bCs/>
                <w:color w:val="auto"/>
                <w:sz w:val="24"/>
                <w:szCs w:val="20"/>
                <w:vertAlign w:val="subscript"/>
              </w:rPr>
              <w:t>misc</w:t>
            </w:r>
            <w:r>
              <w:rPr>
                <w:rFonts w:hint="default" w:ascii="Times New Roman" w:hAnsi="Times New Roman" w:cs="Times New Roman"/>
                <w:b/>
                <w:bCs/>
                <w:color w:val="auto"/>
                <w:sz w:val="24"/>
                <w:szCs w:val="20"/>
              </w:rPr>
              <w:t>）</w:t>
            </w:r>
          </w:p>
          <w:p w14:paraId="6BFD04AA">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其他衰减包括通过工业场所的衰减、通过房屋群的衰减等。在声环境影响评价中，一般情况下，不考虑自然条件（如风、温度梯度、雾）变化引起的附加修正。</w:t>
            </w:r>
          </w:p>
          <w:p w14:paraId="68E1F9E8">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工业场所的衰减、房屋群的衰减等参照GB/T17247.2进行计算。</w:t>
            </w:r>
          </w:p>
          <w:p w14:paraId="52EF9D5A">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lang w:val="en-US" w:eastAsia="zh-CN"/>
              </w:rPr>
              <w:t>③</w:t>
            </w:r>
            <w:r>
              <w:rPr>
                <w:rFonts w:hint="default" w:ascii="Times New Roman" w:hAnsi="Times New Roman" w:cs="Times New Roman"/>
                <w:color w:val="auto"/>
                <w:sz w:val="24"/>
                <w:szCs w:val="20"/>
              </w:rPr>
              <w:t>由反射等引起的修正量（</w:t>
            </w:r>
            <m:oMath>
              <m:r>
                <m:rPr/>
                <w:rPr>
                  <w:rFonts w:hint="default" w:ascii="Cambria Math" w:hAnsi="Cambria Math" w:cs="Times New Roman"/>
                  <w:color w:val="auto"/>
                  <w:sz w:val="24"/>
                  <w:szCs w:val="20"/>
                </w:rPr>
                <m:t>∆</m:t>
              </m:r>
              <m:sSub>
                <m:sSubPr>
                  <m:ctrlPr>
                    <w:rPr>
                      <w:rFonts w:hint="default" w:ascii="Cambria Math" w:hAnsi="Cambria Math" w:cs="Times New Roman"/>
                      <w:i/>
                      <w:color w:val="auto"/>
                      <w:sz w:val="24"/>
                      <w:szCs w:val="20"/>
                    </w:rPr>
                  </m:ctrlPr>
                </m:sSubPr>
                <m:e>
                  <m:r>
                    <m:rPr/>
                    <w:rPr>
                      <w:rFonts w:hint="default" w:ascii="Cambria Math" w:hAnsi="Cambria Math" w:cs="Times New Roman"/>
                      <w:color w:val="auto"/>
                      <w:sz w:val="24"/>
                      <w:szCs w:val="20"/>
                    </w:rPr>
                    <m:t>L</m:t>
                  </m:r>
                  <m:ctrlPr>
                    <w:rPr>
                      <w:rFonts w:hint="default" w:ascii="Cambria Math" w:hAnsi="Cambria Math" w:cs="Times New Roman"/>
                      <w:i/>
                      <w:color w:val="auto"/>
                      <w:sz w:val="24"/>
                      <w:szCs w:val="20"/>
                    </w:rPr>
                  </m:ctrlPr>
                </m:e>
                <m:sub>
                  <m:r>
                    <m:rPr>
                      <m:sty m:val="p"/>
                    </m:rPr>
                    <w:rPr>
                      <w:rFonts w:hint="default" w:ascii="Cambria Math" w:hAnsi="Cambria Math" w:cs="Times New Roman"/>
                      <w:color w:val="auto"/>
                      <w:sz w:val="24"/>
                      <w:szCs w:val="20"/>
                    </w:rPr>
                    <m:t>3</m:t>
                  </m:r>
                  <m:ctrlPr>
                    <w:rPr>
                      <w:rFonts w:hint="default" w:ascii="Cambria Math" w:hAnsi="Cambria Math" w:cs="Times New Roman"/>
                      <w:i/>
                      <w:color w:val="auto"/>
                      <w:sz w:val="24"/>
                      <w:szCs w:val="20"/>
                    </w:rPr>
                  </m:ctrlPr>
                </m:sub>
              </m:sSub>
            </m:oMath>
            <w:r>
              <w:rPr>
                <w:rFonts w:hint="default" w:ascii="Times New Roman" w:hAnsi="Times New Roman" w:cs="Times New Roman"/>
                <w:color w:val="auto"/>
                <w:sz w:val="24"/>
                <w:szCs w:val="20"/>
              </w:rPr>
              <w:t>）</w:t>
            </w:r>
          </w:p>
          <w:p w14:paraId="09F29F81">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a.城市道路交叉路口噪声修正量</w:t>
            </w:r>
          </w:p>
          <w:p w14:paraId="1F0D2C30">
            <w:pPr>
              <w:pStyle w:val="54"/>
              <w:ind w:firstLine="480"/>
              <w:rPr>
                <w:rFonts w:hint="default" w:ascii="Times New Roman" w:hAnsi="Times New Roman" w:eastAsia="宋体" w:cs="Times New Roman"/>
                <w:color w:val="auto"/>
                <w:sz w:val="24"/>
                <w:szCs w:val="20"/>
                <w:lang w:eastAsia="zh-CN"/>
              </w:rPr>
            </w:pPr>
            <w:r>
              <w:rPr>
                <w:rFonts w:hint="default" w:ascii="Times New Roman" w:hAnsi="Times New Roman" w:cs="Times New Roman"/>
                <w:color w:val="auto"/>
                <w:sz w:val="24"/>
                <w:szCs w:val="20"/>
              </w:rPr>
              <w:t>交叉路口的噪声修正值（附加值）见</w:t>
            </w:r>
            <w:r>
              <w:rPr>
                <w:rFonts w:hint="default" w:ascii="Times New Roman" w:hAnsi="Times New Roman" w:cs="Times New Roman"/>
                <w:color w:val="auto"/>
                <w:sz w:val="24"/>
                <w:szCs w:val="20"/>
                <w:lang w:val="en-US" w:eastAsia="zh-CN"/>
              </w:rPr>
              <w:t>下表</w:t>
            </w:r>
          </w:p>
          <w:p w14:paraId="774D92AA">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表</w:t>
            </w:r>
            <w:r>
              <w:rPr>
                <w:rFonts w:hint="default" w:ascii="Times New Roman" w:hAnsi="Times New Roman" w:cs="Times New Roman"/>
                <w:b/>
                <w:bCs/>
                <w:color w:val="auto"/>
                <w:sz w:val="21"/>
                <w:szCs w:val="16"/>
                <w:lang w:val="en-US" w:eastAsia="zh-CN"/>
              </w:rPr>
              <w:t>4-</w:t>
            </w:r>
            <w:r>
              <w:rPr>
                <w:rFonts w:hint="eastAsia" w:ascii="Times New Roman" w:hAnsi="Times New Roman" w:cs="Times New Roman"/>
                <w:b/>
                <w:bCs/>
                <w:color w:val="auto"/>
                <w:sz w:val="21"/>
                <w:szCs w:val="16"/>
                <w:lang w:val="en-US" w:eastAsia="zh-CN"/>
              </w:rPr>
              <w:t>1</w:t>
            </w:r>
            <w:r>
              <w:rPr>
                <w:rFonts w:hint="eastAsia" w:cs="Times New Roman"/>
                <w:b/>
                <w:bCs/>
                <w:color w:val="auto"/>
                <w:sz w:val="21"/>
                <w:szCs w:val="16"/>
                <w:lang w:val="en-US" w:eastAsia="zh-CN"/>
              </w:rPr>
              <w:t>1</w:t>
            </w:r>
            <w:r>
              <w:rPr>
                <w:rFonts w:hint="default" w:ascii="Times New Roman" w:hAnsi="Times New Roman" w:cs="Times New Roman"/>
                <w:b/>
                <w:bCs/>
                <w:color w:val="auto"/>
                <w:sz w:val="21"/>
                <w:szCs w:val="16"/>
              </w:rPr>
              <w:t xml:space="preserve"> </w:t>
            </w:r>
            <w:r>
              <w:rPr>
                <w:rFonts w:hint="default" w:ascii="Times New Roman" w:hAnsi="Times New Roman" w:cs="Times New Roman"/>
                <w:b/>
                <w:bCs/>
                <w:color w:val="auto"/>
                <w:sz w:val="21"/>
                <w:szCs w:val="16"/>
                <w:lang w:val="en-US" w:eastAsia="zh-CN"/>
              </w:rPr>
              <w:t xml:space="preserve"> </w:t>
            </w:r>
            <w:r>
              <w:rPr>
                <w:rFonts w:hint="default" w:ascii="Times New Roman" w:hAnsi="Times New Roman" w:cs="Times New Roman"/>
                <w:b/>
                <w:bCs/>
                <w:color w:val="auto"/>
                <w:sz w:val="21"/>
                <w:szCs w:val="16"/>
              </w:rPr>
              <w:t>交叉路口的噪声附加量</w:t>
            </w:r>
          </w:p>
          <w:tbl>
            <w:tblPr>
              <w:tblStyle w:val="3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5"/>
              <w:gridCol w:w="3027"/>
            </w:tblGrid>
            <w:tr w14:paraId="7706B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95" w:type="dxa"/>
                  <w:vAlign w:val="center"/>
                </w:tcPr>
                <w:p w14:paraId="12F8258E">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受噪声影响点至最近快车道中轴线交叉点的距离（m）</w:t>
                  </w:r>
                </w:p>
              </w:tc>
              <w:tc>
                <w:tcPr>
                  <w:tcW w:w="3027" w:type="dxa"/>
                  <w:vAlign w:val="center"/>
                </w:tcPr>
                <w:p w14:paraId="66C30785">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交叉路口（dB）</w:t>
                  </w:r>
                </w:p>
              </w:tc>
            </w:tr>
            <w:tr w14:paraId="32AD2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95" w:type="dxa"/>
                  <w:vAlign w:val="center"/>
                </w:tcPr>
                <w:p w14:paraId="00A570B5">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≤40</w:t>
                  </w:r>
                </w:p>
              </w:tc>
              <w:tc>
                <w:tcPr>
                  <w:tcW w:w="3027" w:type="dxa"/>
                  <w:vAlign w:val="center"/>
                </w:tcPr>
                <w:p w14:paraId="1401AA57">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3</w:t>
                  </w:r>
                </w:p>
              </w:tc>
            </w:tr>
            <w:tr w14:paraId="70B58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95" w:type="dxa"/>
                  <w:vAlign w:val="center"/>
                </w:tcPr>
                <w:p w14:paraId="41A1A937">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40＜D≤70</w:t>
                  </w:r>
                </w:p>
              </w:tc>
              <w:tc>
                <w:tcPr>
                  <w:tcW w:w="3027" w:type="dxa"/>
                  <w:vAlign w:val="center"/>
                </w:tcPr>
                <w:p w14:paraId="57F5123E">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w:t>
                  </w:r>
                </w:p>
              </w:tc>
            </w:tr>
            <w:tr w14:paraId="09D10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95" w:type="dxa"/>
                  <w:vAlign w:val="center"/>
                </w:tcPr>
                <w:p w14:paraId="10390A9A">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70＜D≤100</w:t>
                  </w:r>
                </w:p>
              </w:tc>
              <w:tc>
                <w:tcPr>
                  <w:tcW w:w="3027" w:type="dxa"/>
                  <w:vAlign w:val="center"/>
                </w:tcPr>
                <w:p w14:paraId="3334018A">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w:t>
                  </w:r>
                </w:p>
              </w:tc>
            </w:tr>
            <w:tr w14:paraId="77471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95" w:type="dxa"/>
                  <w:vAlign w:val="center"/>
                </w:tcPr>
                <w:p w14:paraId="5F48D01B">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＞100</w:t>
                  </w:r>
                </w:p>
              </w:tc>
              <w:tc>
                <w:tcPr>
                  <w:tcW w:w="3027" w:type="dxa"/>
                  <w:vAlign w:val="center"/>
                </w:tcPr>
                <w:p w14:paraId="6F1D148E">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w:t>
                  </w:r>
                </w:p>
              </w:tc>
            </w:tr>
          </w:tbl>
          <w:p w14:paraId="46E0A529">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b.两侧建筑物的反射声修正量</w:t>
            </w:r>
          </w:p>
          <w:p w14:paraId="7C19EBF5">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地貌以及声源两侧建筑物反射影响因素的修正。当线路两侧建筑物间距小于总计算高度的30%时，其反射声修正量如下。</w:t>
            </w:r>
          </w:p>
          <w:p w14:paraId="1287409E">
            <w:pPr>
              <w:pStyle w:val="54"/>
              <w:ind w:firstLine="48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两侧建筑物是反射面时：</w:t>
            </w:r>
          </w:p>
          <w:p w14:paraId="7F8AB2B3">
            <w:pPr>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0" distR="0">
                  <wp:extent cx="1854835" cy="494665"/>
                  <wp:effectExtent l="0" t="0" r="12065" b="63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55"/>
                          <a:stretch>
                            <a:fillRect/>
                          </a:stretch>
                        </pic:blipFill>
                        <pic:spPr>
                          <a:xfrm>
                            <a:off x="0" y="0"/>
                            <a:ext cx="1875076" cy="500550"/>
                          </a:xfrm>
                          <a:prstGeom prst="rect">
                            <a:avLst/>
                          </a:prstGeom>
                        </pic:spPr>
                      </pic:pic>
                    </a:graphicData>
                  </a:graphic>
                </wp:inline>
              </w:drawing>
            </w:r>
          </w:p>
          <w:p w14:paraId="359B4824">
            <w:pPr>
              <w:spacing w:line="360" w:lineRule="auto"/>
              <w:ind w:firstLine="480" w:firstLineChars="200"/>
              <w:rPr>
                <w:rFonts w:hint="default" w:ascii="Times New Roman" w:hAnsi="Times New Roman" w:cs="Times New Roman"/>
                <w:color w:val="auto"/>
                <w:sz w:val="24"/>
                <w:szCs w:val="28"/>
              </w:rPr>
            </w:pPr>
            <w:r>
              <w:rPr>
                <w:rFonts w:hint="default" w:ascii="Times New Roman" w:hAnsi="Times New Roman" w:cs="Times New Roman"/>
                <w:color w:val="auto"/>
                <w:sz w:val="24"/>
                <w:szCs w:val="28"/>
              </w:rPr>
              <w:t>两侧建筑物是一般吸收性表面：</w:t>
            </w:r>
          </w:p>
          <w:p w14:paraId="481882E3">
            <w:pPr>
              <w:spacing w:line="360" w:lineRule="auto"/>
              <w:ind w:firstLine="420" w:firstLineChars="200"/>
              <w:jc w:val="center"/>
              <w:rPr>
                <w:rFonts w:hint="default" w:ascii="Times New Roman" w:hAnsi="Times New Roman" w:cs="Times New Roman"/>
                <w:color w:val="auto"/>
                <w:sz w:val="24"/>
                <w:szCs w:val="28"/>
              </w:rPr>
            </w:pPr>
            <w:r>
              <w:rPr>
                <w:rFonts w:hint="default" w:ascii="Times New Roman" w:hAnsi="Times New Roman" w:cs="Times New Roman"/>
                <w:color w:val="auto"/>
              </w:rPr>
              <w:drawing>
                <wp:inline distT="0" distB="0" distL="0" distR="0">
                  <wp:extent cx="1837055" cy="459105"/>
                  <wp:effectExtent l="0" t="0" r="10795" b="1714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56"/>
                          <a:stretch>
                            <a:fillRect/>
                          </a:stretch>
                        </pic:blipFill>
                        <pic:spPr>
                          <a:xfrm>
                            <a:off x="0" y="0"/>
                            <a:ext cx="1865347" cy="466336"/>
                          </a:xfrm>
                          <a:prstGeom prst="rect">
                            <a:avLst/>
                          </a:prstGeom>
                        </pic:spPr>
                      </pic:pic>
                    </a:graphicData>
                  </a:graphic>
                </wp:inline>
              </w:drawing>
            </w:r>
          </w:p>
          <w:p w14:paraId="0FDE4021">
            <w:pPr>
              <w:spacing w:line="360" w:lineRule="auto"/>
              <w:ind w:firstLine="480" w:firstLineChars="200"/>
              <w:rPr>
                <w:rFonts w:hint="default" w:ascii="Times New Roman" w:hAnsi="Times New Roman" w:cs="Times New Roman"/>
                <w:color w:val="auto"/>
                <w:sz w:val="24"/>
                <w:szCs w:val="28"/>
              </w:rPr>
            </w:pPr>
            <w:r>
              <w:rPr>
                <w:rFonts w:hint="default" w:ascii="Times New Roman" w:hAnsi="Times New Roman" w:cs="Times New Roman"/>
                <w:color w:val="auto"/>
                <w:sz w:val="24"/>
                <w:szCs w:val="28"/>
              </w:rPr>
              <w:t>两侧建筑物是全吸收表面：</w:t>
            </w:r>
            <w:r>
              <w:rPr>
                <w:rFonts w:hint="default" w:ascii="Times New Roman" w:hAnsi="Times New Roman" w:cs="Times New Roman"/>
                <w:color w:val="auto"/>
              </w:rPr>
              <w:drawing>
                <wp:inline distT="0" distB="0" distL="0" distR="0">
                  <wp:extent cx="850265" cy="201930"/>
                  <wp:effectExtent l="0" t="0" r="6985" b="762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57"/>
                          <a:stretch>
                            <a:fillRect/>
                          </a:stretch>
                        </pic:blipFill>
                        <pic:spPr>
                          <a:xfrm>
                            <a:off x="0" y="0"/>
                            <a:ext cx="893543" cy="212388"/>
                          </a:xfrm>
                          <a:prstGeom prst="rect">
                            <a:avLst/>
                          </a:prstGeom>
                        </pic:spPr>
                      </pic:pic>
                    </a:graphicData>
                  </a:graphic>
                </wp:inline>
              </w:drawing>
            </w:r>
          </w:p>
          <w:p w14:paraId="459D759F">
            <w:pPr>
              <w:spacing w:line="360" w:lineRule="auto"/>
              <w:ind w:firstLine="480" w:firstLineChars="200"/>
              <w:rPr>
                <w:rFonts w:hint="default" w:ascii="Times New Roman" w:hAnsi="Times New Roman" w:cs="Times New Roman"/>
                <w:color w:val="auto"/>
                <w:sz w:val="24"/>
                <w:szCs w:val="28"/>
              </w:rPr>
            </w:pPr>
            <w:r>
              <w:rPr>
                <w:rFonts w:hint="default" w:ascii="Times New Roman" w:hAnsi="Times New Roman" w:cs="Times New Roman"/>
                <w:color w:val="auto"/>
                <w:sz w:val="24"/>
                <w:szCs w:val="28"/>
              </w:rPr>
              <w:t>式中：w—为线路两侧建筑物反射面的间距，m；</w:t>
            </w:r>
          </w:p>
          <w:p w14:paraId="025D9F9B">
            <w:pPr>
              <w:spacing w:line="360" w:lineRule="auto"/>
              <w:ind w:firstLine="1200" w:firstLineChars="500"/>
              <w:rPr>
                <w:rFonts w:hint="default" w:ascii="Times New Roman" w:hAnsi="Times New Roman" w:cs="Times New Roman"/>
                <w:color w:val="auto"/>
                <w:sz w:val="24"/>
                <w:szCs w:val="28"/>
              </w:rPr>
            </w:pPr>
            <w:r>
              <w:rPr>
                <w:rFonts w:hint="default" w:ascii="Times New Roman" w:hAnsi="Times New Roman" w:cs="Times New Roman"/>
                <w:color w:val="auto"/>
                <w:sz w:val="24"/>
                <w:szCs w:val="28"/>
              </w:rPr>
              <w:t>H</w:t>
            </w:r>
            <w:r>
              <w:rPr>
                <w:rFonts w:hint="default" w:ascii="Times New Roman" w:hAnsi="Times New Roman" w:cs="Times New Roman"/>
                <w:color w:val="auto"/>
                <w:sz w:val="24"/>
                <w:szCs w:val="28"/>
                <w:vertAlign w:val="subscript"/>
              </w:rPr>
              <w:t>b</w:t>
            </w:r>
            <w:r>
              <w:rPr>
                <w:rFonts w:hint="default" w:ascii="Times New Roman" w:hAnsi="Times New Roman" w:cs="Times New Roman"/>
                <w:color w:val="auto"/>
                <w:sz w:val="24"/>
                <w:szCs w:val="28"/>
              </w:rPr>
              <w:t>—为构筑物的平均高度，h取线路两侧较低一侧高度平均值代入。</w:t>
            </w:r>
          </w:p>
          <w:p w14:paraId="34908E9F">
            <w:pPr>
              <w:pStyle w:val="54"/>
              <w:ind w:firstLine="480"/>
              <w:rPr>
                <w:rFonts w:hint="default" w:ascii="Times New Roman" w:hAnsi="Times New Roman" w:cs="Times New Roman" w:eastAsiaTheme="minorEastAsia"/>
                <w:color w:val="auto"/>
                <w:sz w:val="24"/>
                <w:szCs w:val="28"/>
              </w:rPr>
            </w:pPr>
            <w:r>
              <w:rPr>
                <w:rFonts w:hint="default" w:ascii="Times New Roman" w:hAnsi="Times New Roman" w:cs="Times New Roman" w:eastAsiaTheme="minorEastAsia"/>
                <w:color w:val="auto"/>
                <w:sz w:val="24"/>
                <w:szCs w:val="28"/>
              </w:rPr>
              <w:t>c.反射体引起的修正</w:t>
            </w:r>
          </w:p>
          <w:p w14:paraId="3676ACA5">
            <w:pPr>
              <w:spacing w:line="360" w:lineRule="auto"/>
              <w:ind w:firstLine="480" w:firstLineChars="200"/>
              <w:rPr>
                <w:rFonts w:hint="default" w:ascii="Times New Roman" w:hAnsi="Times New Roman" w:cs="Times New Roman"/>
                <w:color w:val="auto"/>
                <w:sz w:val="24"/>
                <w:szCs w:val="28"/>
              </w:rPr>
            </w:pPr>
            <w:r>
              <w:rPr>
                <w:rFonts w:hint="default" w:ascii="Times New Roman" w:hAnsi="Times New Roman" w:cs="Times New Roman"/>
                <w:color w:val="auto"/>
                <w:sz w:val="24"/>
                <w:szCs w:val="28"/>
              </w:rPr>
              <w:t>如</w:t>
            </w:r>
            <w:r>
              <w:rPr>
                <w:rFonts w:hint="default" w:ascii="Times New Roman" w:hAnsi="Times New Roman" w:cs="Times New Roman"/>
                <w:color w:val="auto"/>
                <w:sz w:val="24"/>
                <w:szCs w:val="28"/>
                <w:lang w:val="en-US" w:eastAsia="zh-CN"/>
              </w:rPr>
              <w:t>下图</w:t>
            </w:r>
            <w:r>
              <w:rPr>
                <w:rFonts w:hint="default" w:ascii="Times New Roman" w:hAnsi="Times New Roman" w:cs="Times New Roman"/>
                <w:color w:val="auto"/>
                <w:sz w:val="24"/>
                <w:szCs w:val="28"/>
              </w:rPr>
              <w:t>所示，当声源与预测点处在反射体同侧附近时，到达预测点的声级是直达声与反射声叠加的结果，从而使预测点声级增高。</w:t>
            </w:r>
          </w:p>
          <w:p w14:paraId="363206CD">
            <w:pPr>
              <w:spacing w:line="360" w:lineRule="auto"/>
              <w:jc w:val="center"/>
              <w:rPr>
                <w:rFonts w:hint="default" w:ascii="Times New Roman" w:hAnsi="Times New Roman" w:cs="Times New Roman"/>
                <w:color w:val="auto"/>
                <w:sz w:val="24"/>
                <w:szCs w:val="28"/>
              </w:rPr>
            </w:pPr>
            <w:r>
              <w:rPr>
                <w:rFonts w:hint="default" w:ascii="Times New Roman" w:hAnsi="Times New Roman" w:cs="Times New Roman"/>
                <w:color w:val="auto"/>
              </w:rPr>
              <w:drawing>
                <wp:inline distT="0" distB="0" distL="0" distR="0">
                  <wp:extent cx="3943350" cy="2115820"/>
                  <wp:effectExtent l="0" t="0" r="0" b="1778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58"/>
                          <a:stretch>
                            <a:fillRect/>
                          </a:stretch>
                        </pic:blipFill>
                        <pic:spPr>
                          <a:xfrm>
                            <a:off x="0" y="0"/>
                            <a:ext cx="3949569" cy="2119281"/>
                          </a:xfrm>
                          <a:prstGeom prst="rect">
                            <a:avLst/>
                          </a:prstGeom>
                        </pic:spPr>
                      </pic:pic>
                    </a:graphicData>
                  </a:graphic>
                </wp:inline>
              </w:drawing>
            </w:r>
          </w:p>
          <w:p w14:paraId="6CD27C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2"/>
              </w:rPr>
            </w:pPr>
            <w:r>
              <w:rPr>
                <w:rFonts w:hint="default" w:ascii="Times New Roman" w:hAnsi="Times New Roman" w:cs="Times New Roman"/>
                <w:b/>
                <w:bCs/>
                <w:color w:val="auto"/>
                <w:sz w:val="21"/>
                <w:szCs w:val="22"/>
              </w:rPr>
              <w:t>图</w:t>
            </w:r>
            <w:r>
              <w:rPr>
                <w:rFonts w:hint="default" w:ascii="Times New Roman" w:hAnsi="Times New Roman" w:cs="Times New Roman"/>
                <w:b/>
                <w:bCs/>
                <w:color w:val="auto"/>
                <w:sz w:val="21"/>
                <w:szCs w:val="22"/>
                <w:lang w:val="en-US" w:eastAsia="zh-CN"/>
              </w:rPr>
              <w:t>4</w:t>
            </w:r>
            <w:r>
              <w:rPr>
                <w:rFonts w:hint="default" w:ascii="Times New Roman" w:hAnsi="Times New Roman" w:cs="Times New Roman"/>
                <w:b/>
                <w:bCs/>
                <w:color w:val="auto"/>
                <w:sz w:val="21"/>
                <w:szCs w:val="22"/>
              </w:rPr>
              <w:t xml:space="preserve">-6 </w:t>
            </w:r>
            <w:r>
              <w:rPr>
                <w:rFonts w:hint="default" w:ascii="Times New Roman" w:hAnsi="Times New Roman" w:cs="Times New Roman"/>
                <w:b/>
                <w:bCs/>
                <w:color w:val="auto"/>
                <w:sz w:val="21"/>
                <w:szCs w:val="22"/>
                <w:lang w:val="en-US" w:eastAsia="zh-CN"/>
              </w:rPr>
              <w:t xml:space="preserve"> </w:t>
            </w:r>
            <w:r>
              <w:rPr>
                <w:rFonts w:hint="default" w:ascii="Times New Roman" w:hAnsi="Times New Roman" w:cs="Times New Roman"/>
                <w:b/>
                <w:bCs/>
                <w:color w:val="auto"/>
                <w:sz w:val="21"/>
                <w:szCs w:val="22"/>
              </w:rPr>
              <w:t>反射体的影响</w:t>
            </w:r>
          </w:p>
          <w:p w14:paraId="3D994A5D">
            <w:pPr>
              <w:spacing w:line="360" w:lineRule="auto"/>
              <w:ind w:firstLine="480" w:firstLineChars="200"/>
              <w:rPr>
                <w:rFonts w:hint="default" w:ascii="Times New Roman" w:hAnsi="Times New Roman" w:cs="Times New Roman"/>
                <w:color w:val="auto"/>
                <w:sz w:val="24"/>
                <w:szCs w:val="28"/>
              </w:rPr>
            </w:pPr>
            <w:r>
              <w:rPr>
                <w:rFonts w:hint="default" w:ascii="Times New Roman" w:hAnsi="Times New Roman" w:cs="Times New Roman"/>
                <w:color w:val="auto"/>
                <w:sz w:val="24"/>
                <w:szCs w:val="28"/>
              </w:rPr>
              <w:t>当满足下列条件时，需考虑反射体引起的声级增高：</w:t>
            </w:r>
          </w:p>
          <w:p w14:paraId="36421014">
            <w:pPr>
              <w:spacing w:line="360" w:lineRule="auto"/>
              <w:ind w:firstLine="480" w:firstLineChars="200"/>
              <w:rPr>
                <w:rFonts w:hint="default" w:ascii="Times New Roman" w:hAnsi="Times New Roman" w:cs="Times New Roman"/>
                <w:color w:val="auto"/>
                <w:sz w:val="24"/>
                <w:szCs w:val="28"/>
              </w:rPr>
            </w:pPr>
            <w:r>
              <w:rPr>
                <w:rFonts w:hint="default" w:ascii="Times New Roman" w:hAnsi="Times New Roman" w:cs="Times New Roman"/>
                <w:color w:val="auto"/>
                <w:sz w:val="24"/>
                <w:szCs w:val="28"/>
              </w:rPr>
              <w:t>●反射体表面平整光滑，坚硬的；</w:t>
            </w:r>
          </w:p>
          <w:p w14:paraId="7984C327">
            <w:pPr>
              <w:spacing w:line="360" w:lineRule="auto"/>
              <w:ind w:firstLine="480" w:firstLineChars="200"/>
              <w:rPr>
                <w:rFonts w:hint="default" w:ascii="Times New Roman" w:hAnsi="Times New Roman" w:cs="Times New Roman"/>
                <w:color w:val="auto"/>
                <w:sz w:val="24"/>
                <w:szCs w:val="28"/>
              </w:rPr>
            </w:pPr>
            <w:r>
              <w:rPr>
                <w:rFonts w:hint="default" w:ascii="Times New Roman" w:hAnsi="Times New Roman" w:cs="Times New Roman"/>
                <w:color w:val="auto"/>
                <w:sz w:val="24"/>
                <w:szCs w:val="28"/>
              </w:rPr>
              <w:t>●反射体尺寸远远大于所有声波波长λ；</w:t>
            </w:r>
          </w:p>
          <w:p w14:paraId="5B9B132C">
            <w:pPr>
              <w:spacing w:line="360" w:lineRule="auto"/>
              <w:ind w:firstLine="480" w:firstLineChars="200"/>
              <w:rPr>
                <w:rFonts w:hint="default" w:ascii="Times New Roman" w:hAnsi="Times New Roman" w:cs="Times New Roman"/>
                <w:color w:val="auto"/>
                <w:sz w:val="24"/>
                <w:szCs w:val="28"/>
              </w:rPr>
            </w:pPr>
            <w:r>
              <w:rPr>
                <w:rFonts w:hint="default" w:ascii="Times New Roman" w:hAnsi="Times New Roman" w:cs="Times New Roman"/>
                <w:color w:val="auto"/>
                <w:sz w:val="24"/>
                <w:szCs w:val="28"/>
              </w:rPr>
              <w:t>●入射角θ＜85°。</w:t>
            </w:r>
          </w:p>
          <w:p w14:paraId="0DD09726">
            <w:pPr>
              <w:spacing w:line="360" w:lineRule="auto"/>
              <w:ind w:firstLine="480" w:firstLineChars="200"/>
              <w:rPr>
                <w:rFonts w:hint="default" w:ascii="Times New Roman" w:hAnsi="Times New Roman" w:cs="Times New Roman"/>
                <w:b/>
                <w:bCs/>
                <w:color w:val="auto"/>
                <w:sz w:val="21"/>
                <w:szCs w:val="16"/>
              </w:rPr>
            </w:pPr>
            <m:oMath>
              <m:sSub>
                <m:sSubPr>
                  <m:ctrlPr>
                    <w:rPr>
                      <w:rFonts w:hint="default" w:ascii="Cambria Math" w:hAnsi="Cambria Math" w:cs="Times New Roman"/>
                      <w:i/>
                      <w:color w:val="auto"/>
                      <w:sz w:val="24"/>
                      <w:szCs w:val="28"/>
                      <w:vertAlign w:val="subscript"/>
                    </w:rPr>
                  </m:ctrlPr>
                </m:sSubPr>
                <m:e>
                  <m:r>
                    <m:rPr/>
                    <w:rPr>
                      <w:rFonts w:hint="default" w:ascii="Cambria Math" w:hAnsi="Cambria Math" w:cs="Times New Roman"/>
                      <w:color w:val="auto"/>
                      <w:sz w:val="24"/>
                      <w:szCs w:val="28"/>
                      <w:vertAlign w:val="subscript"/>
                    </w:rPr>
                    <m:t>r</m:t>
                  </m:r>
                  <m:ctrlPr>
                    <w:rPr>
                      <w:rFonts w:hint="default" w:ascii="Cambria Math" w:hAnsi="Cambria Math" w:cs="Times New Roman"/>
                      <w:i/>
                      <w:color w:val="auto"/>
                      <w:sz w:val="24"/>
                      <w:szCs w:val="28"/>
                      <w:vertAlign w:val="subscript"/>
                    </w:rPr>
                  </m:ctrlPr>
                </m:e>
                <m:sub>
                  <m:r>
                    <m:rPr/>
                    <w:rPr>
                      <w:rFonts w:hint="default" w:ascii="Cambria Math" w:hAnsi="Cambria Math" w:cs="Times New Roman"/>
                      <w:color w:val="auto"/>
                      <w:sz w:val="24"/>
                      <w:szCs w:val="28"/>
                      <w:vertAlign w:val="subscript"/>
                    </w:rPr>
                    <m:t>r</m:t>
                  </m:r>
                  <m:ctrlPr>
                    <w:rPr>
                      <w:rFonts w:hint="default" w:ascii="Cambria Math" w:hAnsi="Cambria Math" w:cs="Times New Roman"/>
                      <w:i/>
                      <w:color w:val="auto"/>
                      <w:sz w:val="24"/>
                      <w:szCs w:val="28"/>
                      <w:vertAlign w:val="subscript"/>
                    </w:rPr>
                  </m:ctrlPr>
                </m:sub>
              </m:sSub>
              <m:r>
                <m:rPr/>
                <w:rPr>
                  <w:rFonts w:hint="default" w:ascii="Cambria Math" w:hAnsi="Cambria Math" w:cs="Times New Roman"/>
                  <w:color w:val="auto"/>
                  <w:sz w:val="24"/>
                  <w:szCs w:val="28"/>
                </w:rPr>
                <m:t>−</m:t>
              </m:r>
              <m:sSub>
                <m:sSubPr>
                  <m:ctrlPr>
                    <w:rPr>
                      <w:rFonts w:hint="default" w:ascii="Cambria Math" w:hAnsi="Cambria Math" w:cs="Times New Roman"/>
                      <w:i/>
                      <w:color w:val="auto"/>
                      <w:sz w:val="24"/>
                      <w:szCs w:val="28"/>
                    </w:rPr>
                  </m:ctrlPr>
                </m:sSubPr>
                <m:e>
                  <m:r>
                    <m:rPr/>
                    <w:rPr>
                      <w:rFonts w:hint="default" w:ascii="Cambria Math" w:hAnsi="Cambria Math" w:cs="Times New Roman"/>
                      <w:color w:val="auto"/>
                      <w:sz w:val="24"/>
                      <w:szCs w:val="28"/>
                    </w:rPr>
                    <m:t>r</m:t>
                  </m:r>
                  <m:ctrlPr>
                    <w:rPr>
                      <w:rFonts w:hint="default" w:ascii="Cambria Math" w:hAnsi="Cambria Math" w:cs="Times New Roman"/>
                      <w:i/>
                      <w:color w:val="auto"/>
                      <w:sz w:val="24"/>
                      <w:szCs w:val="28"/>
                    </w:rPr>
                  </m:ctrlPr>
                </m:e>
                <m:sub>
                  <m:r>
                    <m:rPr/>
                    <w:rPr>
                      <w:rFonts w:hint="default" w:ascii="Cambria Math" w:hAnsi="Cambria Math" w:cs="Times New Roman"/>
                      <w:color w:val="auto"/>
                      <w:sz w:val="24"/>
                      <w:szCs w:val="28"/>
                    </w:rPr>
                    <m:t>d</m:t>
                  </m:r>
                  <m:ctrlPr>
                    <w:rPr>
                      <w:rFonts w:hint="default" w:ascii="Cambria Math" w:hAnsi="Cambria Math" w:cs="Times New Roman"/>
                      <w:i/>
                      <w:color w:val="auto"/>
                      <w:sz w:val="24"/>
                      <w:szCs w:val="28"/>
                    </w:rPr>
                  </m:ctrlPr>
                </m:sub>
              </m:sSub>
              <m:r>
                <m:rPr/>
                <w:rPr>
                  <w:rFonts w:hint="default" w:ascii="Cambria Math" w:hAnsi="Cambria Math" w:cs="Times New Roman"/>
                  <w:color w:val="auto"/>
                  <w:sz w:val="24"/>
                  <w:szCs w:val="28"/>
                </w:rPr>
                <m:t>&gt;&gt;</m:t>
              </m:r>
            </m:oMath>
            <w:r>
              <w:rPr>
                <w:rFonts w:hint="default" w:ascii="Times New Roman" w:hAnsi="Times New Roman" w:cs="Times New Roman"/>
                <w:color w:val="auto"/>
                <w:sz w:val="24"/>
                <w:szCs w:val="28"/>
              </w:rPr>
              <w:t>λ反射引起的修正量</w:t>
            </w:r>
            <m:oMath>
              <m:r>
                <m:rPr/>
                <w:rPr>
                  <w:rFonts w:hint="default" w:ascii="Cambria Math" w:hAnsi="Cambria Math" w:cs="Times New Roman"/>
                  <w:color w:val="auto"/>
                  <w:sz w:val="24"/>
                  <w:szCs w:val="28"/>
                </w:rPr>
                <m:t>∆</m:t>
              </m:r>
              <m:sSub>
                <m:sSubPr>
                  <m:ctrlPr>
                    <w:rPr>
                      <w:rFonts w:hint="default" w:ascii="Cambria Math" w:hAnsi="Cambria Math" w:cs="Times New Roman"/>
                      <w:i/>
                      <w:color w:val="auto"/>
                      <w:sz w:val="24"/>
                      <w:szCs w:val="28"/>
                    </w:rPr>
                  </m:ctrlPr>
                </m:sSubPr>
                <m:e>
                  <m:r>
                    <m:rPr/>
                    <w:rPr>
                      <w:rFonts w:hint="default" w:ascii="Cambria Math" w:hAnsi="Cambria Math" w:cs="Times New Roman"/>
                      <w:color w:val="auto"/>
                      <w:sz w:val="24"/>
                      <w:szCs w:val="28"/>
                    </w:rPr>
                    <m:t>L</m:t>
                  </m:r>
                  <m:ctrlPr>
                    <w:rPr>
                      <w:rFonts w:hint="default" w:ascii="Cambria Math" w:hAnsi="Cambria Math" w:cs="Times New Roman"/>
                      <w:i/>
                      <w:color w:val="auto"/>
                      <w:sz w:val="24"/>
                      <w:szCs w:val="28"/>
                    </w:rPr>
                  </m:ctrlPr>
                </m:e>
                <m:sub>
                  <m:r>
                    <m:rPr/>
                    <w:rPr>
                      <w:rFonts w:hint="default" w:ascii="Cambria Math" w:hAnsi="Cambria Math" w:cs="Times New Roman"/>
                      <w:color w:val="auto"/>
                      <w:sz w:val="24"/>
                      <w:szCs w:val="28"/>
                    </w:rPr>
                    <m:t>r</m:t>
                  </m:r>
                  <m:ctrlPr>
                    <w:rPr>
                      <w:rFonts w:hint="default" w:ascii="Cambria Math" w:hAnsi="Cambria Math" w:cs="Times New Roman"/>
                      <w:i/>
                      <w:color w:val="auto"/>
                      <w:sz w:val="24"/>
                      <w:szCs w:val="28"/>
                    </w:rPr>
                  </m:ctrlPr>
                </m:sub>
              </m:sSub>
            </m:oMath>
            <w:r>
              <w:rPr>
                <w:rFonts w:hint="default" w:ascii="Times New Roman" w:hAnsi="Times New Roman" w:cs="Times New Roman"/>
                <w:color w:val="auto"/>
                <w:sz w:val="24"/>
                <w:szCs w:val="28"/>
              </w:rPr>
              <w:t>与</w:t>
            </w:r>
            <m:oMath>
              <m:sSub>
                <m:sSubPr>
                  <m:ctrlPr>
                    <w:rPr>
                      <w:rFonts w:hint="default" w:ascii="Cambria Math" w:hAnsi="Cambria Math" w:cs="Times New Roman"/>
                      <w:i/>
                      <w:color w:val="auto"/>
                      <w:sz w:val="24"/>
                      <w:szCs w:val="28"/>
                    </w:rPr>
                  </m:ctrlPr>
                </m:sSubPr>
                <m:e>
                  <m:r>
                    <m:rPr/>
                    <w:rPr>
                      <w:rFonts w:hint="default" w:ascii="Cambria Math" w:hAnsi="Cambria Math" w:cs="Times New Roman"/>
                      <w:color w:val="auto"/>
                      <w:sz w:val="24"/>
                      <w:szCs w:val="28"/>
                    </w:rPr>
                    <m:t>r</m:t>
                  </m:r>
                  <m:ctrlPr>
                    <w:rPr>
                      <w:rFonts w:hint="default" w:ascii="Cambria Math" w:hAnsi="Cambria Math" w:cs="Times New Roman"/>
                      <w:i/>
                      <w:color w:val="auto"/>
                      <w:sz w:val="24"/>
                      <w:szCs w:val="28"/>
                    </w:rPr>
                  </m:ctrlPr>
                </m:e>
                <m:sub>
                  <m:r>
                    <m:rPr/>
                    <w:rPr>
                      <w:rFonts w:hint="default" w:ascii="Cambria Math" w:hAnsi="Cambria Math" w:cs="Times New Roman"/>
                      <w:color w:val="auto"/>
                      <w:sz w:val="24"/>
                      <w:szCs w:val="28"/>
                    </w:rPr>
                    <m:t>r</m:t>
                  </m:r>
                  <m:ctrlPr>
                    <w:rPr>
                      <w:rFonts w:hint="default" w:ascii="Cambria Math" w:hAnsi="Cambria Math" w:cs="Times New Roman"/>
                      <w:i/>
                      <w:color w:val="auto"/>
                      <w:sz w:val="24"/>
                      <w:szCs w:val="28"/>
                    </w:rPr>
                  </m:ctrlPr>
                </m:sub>
              </m:sSub>
              <m:r>
                <m:rPr/>
                <w:rPr>
                  <w:rFonts w:hint="default" w:ascii="Cambria Math" w:hAnsi="Cambria Math" w:cs="Times New Roman"/>
                  <w:color w:val="auto"/>
                  <w:sz w:val="24"/>
                  <w:szCs w:val="28"/>
                </w:rPr>
                <m:t>/</m:t>
              </m:r>
              <m:sSub>
                <m:sSubPr>
                  <m:ctrlPr>
                    <w:rPr>
                      <w:rFonts w:hint="default" w:ascii="Cambria Math" w:hAnsi="Cambria Math" w:cs="Times New Roman"/>
                      <w:i/>
                      <w:color w:val="auto"/>
                      <w:sz w:val="24"/>
                      <w:szCs w:val="28"/>
                    </w:rPr>
                  </m:ctrlPr>
                </m:sSubPr>
                <m:e>
                  <m:r>
                    <m:rPr/>
                    <w:rPr>
                      <w:rFonts w:hint="default" w:ascii="Cambria Math" w:hAnsi="Cambria Math" w:cs="Times New Roman"/>
                      <w:color w:val="auto"/>
                      <w:sz w:val="24"/>
                      <w:szCs w:val="28"/>
                    </w:rPr>
                    <m:t>r</m:t>
                  </m:r>
                  <m:ctrlPr>
                    <w:rPr>
                      <w:rFonts w:hint="default" w:ascii="Cambria Math" w:hAnsi="Cambria Math" w:cs="Times New Roman"/>
                      <w:i/>
                      <w:color w:val="auto"/>
                      <w:sz w:val="24"/>
                      <w:szCs w:val="28"/>
                    </w:rPr>
                  </m:ctrlPr>
                </m:e>
                <m:sub>
                  <m:r>
                    <m:rPr/>
                    <w:rPr>
                      <w:rFonts w:hint="default" w:ascii="Cambria Math" w:hAnsi="Cambria Math" w:cs="Times New Roman"/>
                      <w:color w:val="auto"/>
                      <w:sz w:val="24"/>
                      <w:szCs w:val="28"/>
                    </w:rPr>
                    <m:t>d</m:t>
                  </m:r>
                  <m:ctrlPr>
                    <w:rPr>
                      <w:rFonts w:hint="default" w:ascii="Cambria Math" w:hAnsi="Cambria Math" w:cs="Times New Roman"/>
                      <w:i/>
                      <w:color w:val="auto"/>
                      <w:sz w:val="24"/>
                      <w:szCs w:val="28"/>
                    </w:rPr>
                  </m:ctrlPr>
                </m:sub>
              </m:sSub>
            </m:oMath>
            <w:r>
              <w:rPr>
                <w:rFonts w:hint="default" w:ascii="Times New Roman" w:hAnsi="Times New Roman" w:cs="Times New Roman"/>
                <w:color w:val="auto"/>
                <w:sz w:val="24"/>
                <w:szCs w:val="28"/>
              </w:rPr>
              <w:t>有关（</w:t>
            </w:r>
            <m:oMath>
              <m:sSub>
                <m:sSubPr>
                  <m:ctrlPr>
                    <w:rPr>
                      <w:rFonts w:hint="default" w:ascii="Cambria Math" w:hAnsi="Cambria Math" w:cs="Times New Roman"/>
                      <w:i/>
                      <w:color w:val="auto"/>
                      <w:sz w:val="24"/>
                      <w:szCs w:val="28"/>
                    </w:rPr>
                  </m:ctrlPr>
                </m:sSubPr>
                <m:e>
                  <m:r>
                    <m:rPr/>
                    <w:rPr>
                      <w:rFonts w:hint="default" w:ascii="Cambria Math" w:hAnsi="Cambria Math" w:cs="Times New Roman"/>
                      <w:color w:val="auto"/>
                      <w:sz w:val="24"/>
                      <w:szCs w:val="28"/>
                    </w:rPr>
                    <m:t>r</m:t>
                  </m:r>
                  <m:ctrlPr>
                    <w:rPr>
                      <w:rFonts w:hint="default" w:ascii="Cambria Math" w:hAnsi="Cambria Math" w:cs="Times New Roman"/>
                      <w:i/>
                      <w:color w:val="auto"/>
                      <w:sz w:val="24"/>
                      <w:szCs w:val="28"/>
                    </w:rPr>
                  </m:ctrlPr>
                </m:e>
                <m:sub>
                  <m:r>
                    <m:rPr/>
                    <w:rPr>
                      <w:rFonts w:hint="default" w:ascii="Cambria Math" w:hAnsi="Cambria Math" w:cs="Times New Roman"/>
                      <w:color w:val="auto"/>
                      <w:sz w:val="24"/>
                      <w:szCs w:val="28"/>
                    </w:rPr>
                    <m:t>r</m:t>
                  </m:r>
                  <m:ctrlPr>
                    <w:rPr>
                      <w:rFonts w:hint="default" w:ascii="Cambria Math" w:hAnsi="Cambria Math" w:cs="Times New Roman"/>
                      <w:i/>
                      <w:color w:val="auto"/>
                      <w:sz w:val="24"/>
                      <w:szCs w:val="28"/>
                    </w:rPr>
                  </m:ctrlPr>
                </m:sub>
              </m:sSub>
              <m:r>
                <m:rPr/>
                <w:rPr>
                  <w:rFonts w:hint="default" w:ascii="Cambria Math" w:hAnsi="Cambria Math" w:cs="Times New Roman"/>
                  <w:color w:val="auto"/>
                  <w:sz w:val="24"/>
                  <w:szCs w:val="28"/>
                </w:rPr>
                <m:t>=IP、</m:t>
              </m:r>
              <m:sSub>
                <m:sSubPr>
                  <m:ctrlPr>
                    <w:rPr>
                      <w:rFonts w:hint="default" w:ascii="Cambria Math" w:hAnsi="Cambria Math" w:cs="Times New Roman"/>
                      <w:iCs/>
                      <w:color w:val="auto"/>
                      <w:sz w:val="24"/>
                      <w:szCs w:val="28"/>
                    </w:rPr>
                  </m:ctrlPr>
                </m:sSubPr>
                <m:e>
                  <m:r>
                    <m:rPr/>
                    <w:rPr>
                      <w:rFonts w:hint="default" w:ascii="Cambria Math" w:hAnsi="Cambria Math" w:cs="Times New Roman"/>
                      <w:color w:val="auto"/>
                      <w:sz w:val="24"/>
                      <w:szCs w:val="28"/>
                    </w:rPr>
                    <m:t>r</m:t>
                  </m:r>
                  <m:ctrlPr>
                    <w:rPr>
                      <w:rFonts w:hint="default" w:ascii="Cambria Math" w:hAnsi="Cambria Math" w:cs="Times New Roman"/>
                      <w:iCs/>
                      <w:color w:val="auto"/>
                      <w:sz w:val="24"/>
                      <w:szCs w:val="28"/>
                    </w:rPr>
                  </m:ctrlPr>
                </m:e>
                <m:sub>
                  <m:r>
                    <m:rPr/>
                    <w:rPr>
                      <w:rFonts w:hint="default" w:ascii="Cambria Math" w:hAnsi="Cambria Math" w:cs="Times New Roman"/>
                      <w:color w:val="auto"/>
                      <w:sz w:val="24"/>
                      <w:szCs w:val="28"/>
                    </w:rPr>
                    <m:t>d</m:t>
                  </m:r>
                  <m:ctrlPr>
                    <w:rPr>
                      <w:rFonts w:hint="default" w:ascii="Cambria Math" w:hAnsi="Cambria Math" w:cs="Times New Roman"/>
                      <w:iCs/>
                      <w:color w:val="auto"/>
                      <w:sz w:val="24"/>
                      <w:szCs w:val="28"/>
                    </w:rPr>
                  </m:ctrlPr>
                </m:sub>
              </m:sSub>
              <m:r>
                <m:rPr/>
                <w:rPr>
                  <w:rFonts w:hint="default" w:ascii="Cambria Math" w:hAnsi="Cambria Math" w:cs="Times New Roman"/>
                  <w:color w:val="auto"/>
                  <w:sz w:val="24"/>
                  <w:szCs w:val="28"/>
                </w:rPr>
                <m:t>=SP</m:t>
              </m:r>
            </m:oMath>
            <w:r>
              <w:rPr>
                <w:rFonts w:hint="default" w:ascii="Times New Roman" w:hAnsi="Times New Roman" w:cs="Times New Roman"/>
                <w:color w:val="auto"/>
                <w:sz w:val="24"/>
                <w:szCs w:val="28"/>
              </w:rPr>
              <w:t>），可按</w:t>
            </w:r>
            <w:r>
              <w:rPr>
                <w:rFonts w:hint="default" w:ascii="Times New Roman" w:hAnsi="Times New Roman" w:cs="Times New Roman"/>
                <w:color w:val="auto"/>
                <w:sz w:val="24"/>
                <w:szCs w:val="28"/>
                <w:lang w:eastAsia="zh-CN"/>
              </w:rPr>
              <w:t>下</w:t>
            </w:r>
            <w:r>
              <w:rPr>
                <w:rFonts w:hint="default" w:ascii="Times New Roman" w:hAnsi="Times New Roman" w:cs="Times New Roman"/>
                <w:color w:val="auto"/>
                <w:sz w:val="24"/>
                <w:szCs w:val="28"/>
              </w:rPr>
              <w:t>表计算。</w:t>
            </w:r>
          </w:p>
          <w:p w14:paraId="0B5969F3">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表</w:t>
            </w:r>
            <w:r>
              <w:rPr>
                <w:rFonts w:hint="default" w:ascii="Times New Roman" w:hAnsi="Times New Roman" w:cs="Times New Roman"/>
                <w:b/>
                <w:bCs/>
                <w:color w:val="auto"/>
                <w:sz w:val="21"/>
                <w:szCs w:val="16"/>
                <w:lang w:val="en-US" w:eastAsia="zh-CN"/>
              </w:rPr>
              <w:t>4-</w:t>
            </w:r>
            <w:r>
              <w:rPr>
                <w:rFonts w:hint="eastAsia" w:cs="Times New Roman"/>
                <w:b/>
                <w:bCs/>
                <w:color w:val="auto"/>
                <w:sz w:val="21"/>
                <w:szCs w:val="16"/>
                <w:lang w:val="en-US" w:eastAsia="zh-CN"/>
              </w:rPr>
              <w:t>12</w:t>
            </w:r>
            <w:r>
              <w:rPr>
                <w:rFonts w:hint="default" w:ascii="Times New Roman" w:hAnsi="Times New Roman" w:cs="Times New Roman"/>
                <w:b/>
                <w:bCs/>
                <w:color w:val="auto"/>
                <w:sz w:val="21"/>
                <w:szCs w:val="16"/>
              </w:rPr>
              <w:t xml:space="preserve"> </w:t>
            </w:r>
            <w:r>
              <w:rPr>
                <w:rFonts w:hint="default" w:ascii="Times New Roman" w:hAnsi="Times New Roman" w:cs="Times New Roman"/>
                <w:b/>
                <w:bCs/>
                <w:color w:val="auto"/>
                <w:sz w:val="21"/>
                <w:szCs w:val="16"/>
                <w:lang w:val="en-US" w:eastAsia="zh-CN"/>
              </w:rPr>
              <w:t xml:space="preserve"> </w:t>
            </w:r>
            <w:r>
              <w:rPr>
                <w:rFonts w:hint="default" w:ascii="Times New Roman" w:hAnsi="Times New Roman" w:cs="Times New Roman"/>
                <w:b/>
                <w:bCs/>
                <w:color w:val="auto"/>
                <w:sz w:val="21"/>
                <w:szCs w:val="16"/>
              </w:rPr>
              <w:t>反射体引起的修正量</w:t>
            </w:r>
          </w:p>
          <w:tbl>
            <w:tblPr>
              <w:tblStyle w:val="3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5"/>
              <w:gridCol w:w="3027"/>
            </w:tblGrid>
            <w:tr w14:paraId="43664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95" w:type="dxa"/>
                  <w:vAlign w:val="center"/>
                </w:tcPr>
                <w:p w14:paraId="2EA77276">
                  <w:pPr>
                    <w:pStyle w:val="54"/>
                    <w:spacing w:line="240" w:lineRule="auto"/>
                    <w:ind w:firstLine="0" w:firstLineChars="0"/>
                    <w:jc w:val="center"/>
                    <w:rPr>
                      <w:rFonts w:hint="default" w:ascii="Times New Roman" w:hAnsi="Times New Roman" w:cs="Times New Roman"/>
                      <w:b/>
                      <w:bCs/>
                      <w:color w:val="auto"/>
                      <w:sz w:val="21"/>
                      <w:szCs w:val="16"/>
                    </w:rPr>
                  </w:pPr>
                  <m:oMathPara>
                    <m:oMath>
                      <m:sSub>
                        <m:sSubPr>
                          <m:ctrlPr>
                            <w:rPr>
                              <w:rFonts w:hint="default" w:ascii="Cambria Math" w:hAnsi="Cambria Math" w:cs="Times New Roman" w:eastAsiaTheme="minorEastAsia"/>
                              <w:i/>
                              <w:color w:val="auto"/>
                              <w:sz w:val="21"/>
                            </w:rPr>
                          </m:ctrlPr>
                        </m:sSubPr>
                        <m:e>
                          <m:r>
                            <m:rPr/>
                            <w:rPr>
                              <w:rFonts w:hint="default" w:ascii="Cambria Math" w:hAnsi="Cambria Math" w:cs="Times New Roman"/>
                              <w:color w:val="auto"/>
                              <w:sz w:val="21"/>
                            </w:rPr>
                            <m:t>r</m:t>
                          </m:r>
                          <m:ctrlPr>
                            <w:rPr>
                              <w:rFonts w:hint="default" w:ascii="Cambria Math" w:hAnsi="Cambria Math" w:cs="Times New Roman" w:eastAsiaTheme="minorEastAsia"/>
                              <w:i/>
                              <w:color w:val="auto"/>
                              <w:sz w:val="21"/>
                            </w:rPr>
                          </m:ctrlPr>
                        </m:e>
                        <m:sub>
                          <m:r>
                            <m:rPr/>
                            <w:rPr>
                              <w:rFonts w:hint="default" w:ascii="Cambria Math" w:hAnsi="Cambria Math" w:cs="Times New Roman"/>
                              <w:color w:val="auto"/>
                              <w:sz w:val="21"/>
                            </w:rPr>
                            <m:t>r</m:t>
                          </m:r>
                          <m:ctrlPr>
                            <w:rPr>
                              <w:rFonts w:hint="default" w:ascii="Cambria Math" w:hAnsi="Cambria Math" w:cs="Times New Roman" w:eastAsiaTheme="minorEastAsia"/>
                              <w:i/>
                              <w:color w:val="auto"/>
                              <w:sz w:val="21"/>
                            </w:rPr>
                          </m:ctrlPr>
                        </m:sub>
                      </m:sSub>
                      <m:r>
                        <m:rPr/>
                        <w:rPr>
                          <w:rFonts w:hint="default" w:ascii="Cambria Math" w:hAnsi="Cambria Math" w:cs="Times New Roman"/>
                          <w:color w:val="auto"/>
                          <w:sz w:val="21"/>
                        </w:rPr>
                        <m:t>/</m:t>
                      </m:r>
                      <m:sSub>
                        <m:sSubPr>
                          <m:ctrlPr>
                            <w:rPr>
                              <w:rFonts w:hint="default" w:ascii="Cambria Math" w:hAnsi="Cambria Math" w:cs="Times New Roman" w:eastAsiaTheme="minorEastAsia"/>
                              <w:i/>
                              <w:color w:val="auto"/>
                              <w:sz w:val="21"/>
                            </w:rPr>
                          </m:ctrlPr>
                        </m:sSubPr>
                        <m:e>
                          <m:r>
                            <m:rPr/>
                            <w:rPr>
                              <w:rFonts w:hint="default" w:ascii="Cambria Math" w:hAnsi="Cambria Math" w:cs="Times New Roman"/>
                              <w:color w:val="auto"/>
                              <w:sz w:val="21"/>
                            </w:rPr>
                            <m:t>r</m:t>
                          </m:r>
                          <m:ctrlPr>
                            <w:rPr>
                              <w:rFonts w:hint="default" w:ascii="Cambria Math" w:hAnsi="Cambria Math" w:cs="Times New Roman" w:eastAsiaTheme="minorEastAsia"/>
                              <w:i/>
                              <w:color w:val="auto"/>
                              <w:sz w:val="21"/>
                            </w:rPr>
                          </m:ctrlPr>
                        </m:e>
                        <m:sub>
                          <m:r>
                            <m:rPr/>
                            <w:rPr>
                              <w:rFonts w:hint="default" w:ascii="Cambria Math" w:hAnsi="Cambria Math" w:cs="Times New Roman"/>
                              <w:color w:val="auto"/>
                              <w:sz w:val="21"/>
                            </w:rPr>
                            <m:t>d</m:t>
                          </m:r>
                          <m:ctrlPr>
                            <w:rPr>
                              <w:rFonts w:hint="default" w:ascii="Cambria Math" w:hAnsi="Cambria Math" w:cs="Times New Roman" w:eastAsiaTheme="minorEastAsia"/>
                              <w:i/>
                              <w:color w:val="auto"/>
                              <w:sz w:val="21"/>
                            </w:rPr>
                          </m:ctrlPr>
                        </m:sub>
                      </m:sSub>
                    </m:oMath>
                  </m:oMathPara>
                </w:p>
              </w:tc>
              <w:tc>
                <w:tcPr>
                  <w:tcW w:w="3027" w:type="dxa"/>
                  <w:vAlign w:val="center"/>
                </w:tcPr>
                <w:p w14:paraId="626838A0">
                  <w:pPr>
                    <w:pStyle w:val="54"/>
                    <w:spacing w:line="240" w:lineRule="auto"/>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dB</w:t>
                  </w:r>
                </w:p>
              </w:tc>
            </w:tr>
            <w:tr w14:paraId="24435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95" w:type="dxa"/>
                  <w:vAlign w:val="center"/>
                </w:tcPr>
                <w:p w14:paraId="759B5D0B">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w:t>
                  </w:r>
                </w:p>
              </w:tc>
              <w:tc>
                <w:tcPr>
                  <w:tcW w:w="3027" w:type="dxa"/>
                  <w:vAlign w:val="center"/>
                </w:tcPr>
                <w:p w14:paraId="5A587FB7">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3</w:t>
                  </w:r>
                </w:p>
              </w:tc>
            </w:tr>
            <w:tr w14:paraId="2EEC9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95" w:type="dxa"/>
                  <w:vAlign w:val="center"/>
                </w:tcPr>
                <w:p w14:paraId="6819A835">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≈1.4</w:t>
                  </w:r>
                </w:p>
              </w:tc>
              <w:tc>
                <w:tcPr>
                  <w:tcW w:w="3027" w:type="dxa"/>
                  <w:vAlign w:val="center"/>
                </w:tcPr>
                <w:p w14:paraId="45008F25">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w:t>
                  </w:r>
                </w:p>
              </w:tc>
            </w:tr>
            <w:tr w14:paraId="13DDF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95" w:type="dxa"/>
                  <w:vAlign w:val="center"/>
                </w:tcPr>
                <w:p w14:paraId="2A7DA4A3">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w:t>
                  </w:r>
                </w:p>
              </w:tc>
              <w:tc>
                <w:tcPr>
                  <w:tcW w:w="3027" w:type="dxa"/>
                  <w:vAlign w:val="center"/>
                </w:tcPr>
                <w:p w14:paraId="4AC5ECD2">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w:t>
                  </w:r>
                </w:p>
              </w:tc>
            </w:tr>
            <w:tr w14:paraId="71224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95" w:type="dxa"/>
                  <w:vAlign w:val="center"/>
                </w:tcPr>
                <w:p w14:paraId="0A4BFD0F">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＞2.5</w:t>
                  </w:r>
                </w:p>
              </w:tc>
              <w:tc>
                <w:tcPr>
                  <w:tcW w:w="3027" w:type="dxa"/>
                  <w:vAlign w:val="center"/>
                </w:tcPr>
                <w:p w14:paraId="7EA65EF1">
                  <w:pPr>
                    <w:pStyle w:val="54"/>
                    <w:spacing w:line="240" w:lineRule="auto"/>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0</w:t>
                  </w:r>
                </w:p>
              </w:tc>
            </w:tr>
          </w:tbl>
          <w:p w14:paraId="4EDC66FB">
            <w:pPr>
              <w:pStyle w:val="69"/>
              <w:ind w:firstLine="480"/>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4.2</w:t>
            </w:r>
            <w:r>
              <w:rPr>
                <w:rFonts w:hint="default" w:ascii="Times New Roman" w:hAnsi="Times New Roman" w:cs="Times New Roman"/>
                <w:b/>
                <w:bCs/>
                <w:color w:val="auto"/>
                <w:sz w:val="24"/>
                <w:szCs w:val="24"/>
                <w:lang w:val="en-US" w:eastAsia="zh-CN"/>
              </w:rPr>
              <w:t>声环境预测内容</w:t>
            </w:r>
          </w:p>
          <w:p w14:paraId="7EB36E5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根据</w:t>
            </w:r>
            <w:r>
              <w:rPr>
                <w:rFonts w:hint="default" w:ascii="Times New Roman" w:hAnsi="Times New Roman" w:eastAsia="宋体" w:cs="Times New Roman"/>
                <w:color w:val="auto"/>
                <w:sz w:val="24"/>
                <w:szCs w:val="32"/>
                <w:highlight w:val="none"/>
                <w:lang w:val="en-US" w:eastAsia="zh-CN"/>
              </w:rPr>
              <w:t>预测模式以及实际情况确定的有关参数，对拟建道路两侧运营期</w:t>
            </w:r>
            <w:r>
              <w:rPr>
                <w:rFonts w:hint="eastAsia" w:ascii="Times New Roman" w:hAnsi="Times New Roman" w:eastAsia="宋体" w:cs="Times New Roman"/>
                <w:color w:val="auto"/>
                <w:sz w:val="24"/>
                <w:szCs w:val="32"/>
                <w:highlight w:val="none"/>
                <w:lang w:val="en-US" w:eastAsia="zh-CN"/>
              </w:rPr>
              <w:t>2026年</w:t>
            </w:r>
            <w:r>
              <w:rPr>
                <w:rFonts w:hint="default" w:ascii="Times New Roman" w:hAnsi="Times New Roman" w:eastAsia="宋体" w:cs="Times New Roman"/>
                <w:color w:val="auto"/>
                <w:sz w:val="24"/>
                <w:szCs w:val="32"/>
                <w:highlight w:val="none"/>
                <w:lang w:val="en-US" w:eastAsia="zh-CN"/>
              </w:rPr>
              <w:t>、</w:t>
            </w:r>
            <w:r>
              <w:rPr>
                <w:rFonts w:hint="eastAsia" w:ascii="Times New Roman" w:hAnsi="Times New Roman" w:eastAsia="宋体" w:cs="Times New Roman"/>
                <w:color w:val="auto"/>
                <w:sz w:val="24"/>
                <w:szCs w:val="32"/>
                <w:highlight w:val="none"/>
                <w:lang w:val="en-US" w:eastAsia="zh-CN"/>
              </w:rPr>
              <w:t>2032年</w:t>
            </w:r>
            <w:r>
              <w:rPr>
                <w:rFonts w:hint="default" w:ascii="Times New Roman" w:hAnsi="Times New Roman" w:eastAsia="宋体" w:cs="Times New Roman"/>
                <w:color w:val="auto"/>
                <w:sz w:val="24"/>
                <w:szCs w:val="32"/>
                <w:highlight w:val="none"/>
                <w:lang w:val="en-US" w:eastAsia="zh-CN"/>
              </w:rPr>
              <w:t>、</w:t>
            </w:r>
            <w:r>
              <w:rPr>
                <w:rFonts w:hint="eastAsia" w:ascii="Times New Roman" w:hAnsi="Times New Roman" w:eastAsia="宋体" w:cs="Times New Roman"/>
                <w:color w:val="auto"/>
                <w:sz w:val="24"/>
                <w:szCs w:val="32"/>
                <w:highlight w:val="none"/>
                <w:lang w:val="en-US" w:eastAsia="zh-CN"/>
              </w:rPr>
              <w:t>2040年</w:t>
            </w:r>
            <w:r>
              <w:rPr>
                <w:rFonts w:hint="default" w:ascii="Times New Roman" w:hAnsi="Times New Roman" w:eastAsia="宋体" w:cs="Times New Roman"/>
                <w:color w:val="auto"/>
                <w:sz w:val="24"/>
                <w:szCs w:val="32"/>
                <w:highlight w:val="none"/>
                <w:lang w:val="en-US" w:eastAsia="zh-CN"/>
              </w:rPr>
              <w:t>的交通噪声衰减情况进行预测，并绘制等声值线示意图，其中预测模式中仅考虑了地面反射和吸收效应以及软地面，其他因素如道路空气吸声、纵坡修正、路面粗糙度等因素均不考虑，没有考虑声影区影响和前排建筑物、树林等屏蔽影响及地形变化等因素。</w:t>
            </w:r>
          </w:p>
          <w:p w14:paraId="7F0538D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lang w:val="en-US" w:eastAsia="zh-CN"/>
              </w:rPr>
              <w:t>预测在不同时期（</w:t>
            </w:r>
            <w:r>
              <w:rPr>
                <w:rFonts w:hint="eastAsia" w:ascii="Times New Roman" w:hAnsi="Times New Roman" w:eastAsia="宋体" w:cs="Times New Roman"/>
                <w:color w:val="auto"/>
                <w:sz w:val="24"/>
                <w:szCs w:val="32"/>
                <w:highlight w:val="none"/>
                <w:lang w:val="en-US" w:eastAsia="zh-CN"/>
              </w:rPr>
              <w:t>2026年</w:t>
            </w:r>
            <w:r>
              <w:rPr>
                <w:rFonts w:hint="default" w:ascii="Times New Roman" w:hAnsi="Times New Roman" w:eastAsia="宋体" w:cs="Times New Roman"/>
                <w:color w:val="auto"/>
                <w:sz w:val="24"/>
                <w:szCs w:val="32"/>
                <w:highlight w:val="none"/>
                <w:lang w:val="en-US" w:eastAsia="zh-CN"/>
              </w:rPr>
              <w:t>、</w:t>
            </w:r>
            <w:r>
              <w:rPr>
                <w:rFonts w:hint="eastAsia" w:ascii="Times New Roman" w:hAnsi="Times New Roman" w:eastAsia="宋体" w:cs="Times New Roman"/>
                <w:color w:val="auto"/>
                <w:sz w:val="24"/>
                <w:szCs w:val="32"/>
                <w:highlight w:val="none"/>
                <w:lang w:val="en-US" w:eastAsia="zh-CN"/>
              </w:rPr>
              <w:t>2032年</w:t>
            </w:r>
            <w:r>
              <w:rPr>
                <w:rFonts w:hint="default" w:ascii="Times New Roman" w:hAnsi="Times New Roman" w:eastAsia="宋体" w:cs="Times New Roman"/>
                <w:color w:val="auto"/>
                <w:sz w:val="24"/>
                <w:szCs w:val="32"/>
                <w:highlight w:val="none"/>
                <w:lang w:val="en-US" w:eastAsia="zh-CN"/>
              </w:rPr>
              <w:t>、</w:t>
            </w:r>
            <w:r>
              <w:rPr>
                <w:rFonts w:hint="eastAsia" w:ascii="Times New Roman" w:hAnsi="Times New Roman" w:eastAsia="宋体" w:cs="Times New Roman"/>
                <w:color w:val="auto"/>
                <w:sz w:val="24"/>
                <w:szCs w:val="32"/>
                <w:highlight w:val="none"/>
                <w:lang w:val="en-US" w:eastAsia="zh-CN"/>
              </w:rPr>
              <w:t>2040年</w:t>
            </w:r>
            <w:r>
              <w:rPr>
                <w:rFonts w:hint="default" w:ascii="Times New Roman" w:hAnsi="Times New Roman" w:eastAsia="宋体" w:cs="Times New Roman"/>
                <w:color w:val="auto"/>
                <w:sz w:val="24"/>
                <w:szCs w:val="32"/>
                <w:lang w:val="en-US" w:eastAsia="zh-CN"/>
              </w:rPr>
              <w:t>）时项目车流产生的交通噪声对周边敏感目标的影响程度。</w:t>
            </w:r>
            <w:r>
              <w:rPr>
                <w:rFonts w:hint="default" w:ascii="Times New Roman" w:hAnsi="Times New Roman" w:eastAsia="宋体" w:cs="Times New Roman"/>
                <w:color w:val="auto"/>
                <w:sz w:val="24"/>
                <w:szCs w:val="32"/>
                <w:highlight w:val="none"/>
                <w:lang w:val="en-US" w:eastAsia="zh-CN"/>
              </w:rPr>
              <w:t>预测中考虑建筑物等遮挡作用、地形因素的影响。</w:t>
            </w:r>
          </w:p>
          <w:p w14:paraId="735E3C83">
            <w:pPr>
              <w:pStyle w:val="69"/>
              <w:ind w:firstLine="482"/>
              <w:rPr>
                <w:rFonts w:hint="default"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4.3</w:t>
            </w:r>
            <w:r>
              <w:rPr>
                <w:rFonts w:hint="default" w:ascii="Times New Roman" w:hAnsi="Times New Roman" w:cs="Times New Roman"/>
                <w:b/>
                <w:bCs/>
                <w:color w:val="auto"/>
                <w:highlight w:val="none"/>
                <w:lang w:val="en-US" w:eastAsia="zh-CN"/>
              </w:rPr>
              <w:t>衰减断面及典型路段噪声预测结果</w:t>
            </w:r>
          </w:p>
          <w:p w14:paraId="3A7A549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（1）道路交通噪声衰减断面预测结果及评价</w:t>
            </w:r>
          </w:p>
          <w:p w14:paraId="0CE1346C">
            <w:pPr>
              <w:spacing w:line="360" w:lineRule="auto"/>
              <w:ind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计算结果见下表：</w:t>
            </w:r>
          </w:p>
          <w:p w14:paraId="77B508F3">
            <w:pPr>
              <w:pStyle w:val="5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16"/>
                <w:highlight w:val="none"/>
                <w:lang w:val="en-US" w:eastAsia="zh-CN"/>
              </w:rPr>
            </w:pPr>
            <w:r>
              <w:rPr>
                <w:rFonts w:hint="default" w:ascii="Times New Roman" w:hAnsi="Times New Roman" w:cs="Times New Roman"/>
                <w:b/>
                <w:bCs/>
                <w:color w:val="auto"/>
                <w:sz w:val="21"/>
                <w:szCs w:val="16"/>
                <w:highlight w:val="none"/>
                <w:lang w:val="en-US" w:eastAsia="zh-CN"/>
              </w:rPr>
              <w:t>表4-</w:t>
            </w:r>
            <w:r>
              <w:rPr>
                <w:rFonts w:hint="eastAsia" w:cs="Times New Roman"/>
                <w:b/>
                <w:bCs/>
                <w:color w:val="auto"/>
                <w:sz w:val="21"/>
                <w:szCs w:val="16"/>
                <w:highlight w:val="none"/>
                <w:lang w:val="en-US" w:eastAsia="zh-CN"/>
              </w:rPr>
              <w:t>13</w:t>
            </w:r>
            <w:r>
              <w:rPr>
                <w:rFonts w:hint="default" w:ascii="Times New Roman" w:hAnsi="Times New Roman" w:cs="Times New Roman"/>
                <w:b/>
                <w:bCs/>
                <w:color w:val="auto"/>
                <w:sz w:val="21"/>
                <w:szCs w:val="16"/>
                <w:highlight w:val="none"/>
                <w:lang w:val="en-US" w:eastAsia="zh-CN"/>
              </w:rPr>
              <w:t xml:space="preserve">  路段交通噪声贡献值结果   单位：dB（A）</w:t>
            </w:r>
          </w:p>
          <w:tbl>
            <w:tblPr>
              <w:tblStyle w:val="7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72"/>
              <w:gridCol w:w="576"/>
              <w:gridCol w:w="647"/>
              <w:gridCol w:w="483"/>
              <w:gridCol w:w="483"/>
              <w:gridCol w:w="648"/>
              <w:gridCol w:w="648"/>
              <w:gridCol w:w="674"/>
              <w:gridCol w:w="674"/>
              <w:gridCol w:w="674"/>
              <w:gridCol w:w="674"/>
              <w:gridCol w:w="674"/>
              <w:gridCol w:w="711"/>
            </w:tblGrid>
            <w:tr w14:paraId="2A333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jc w:val="center"/>
              </w:trPr>
              <w:tc>
                <w:tcPr>
                  <w:tcW w:w="517" w:type="pct"/>
                  <w:vMerge w:val="restart"/>
                  <w:vAlign w:val="center"/>
                </w:tcPr>
                <w:p w14:paraId="0C9270BA">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特征年</w:t>
                  </w:r>
                </w:p>
              </w:tc>
              <w:tc>
                <w:tcPr>
                  <w:tcW w:w="342" w:type="pct"/>
                  <w:vMerge w:val="restart"/>
                  <w:vAlign w:val="center"/>
                </w:tcPr>
                <w:p w14:paraId="7DF7AAC2">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时段</w:t>
                  </w:r>
                </w:p>
              </w:tc>
              <w:tc>
                <w:tcPr>
                  <w:tcW w:w="4140" w:type="pct"/>
                  <w:gridSpan w:val="11"/>
                  <w:vAlign w:val="center"/>
                </w:tcPr>
                <w:p w14:paraId="48524107">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距路中心线不同距离处的交通噪声值</w:t>
                  </w:r>
                </w:p>
              </w:tc>
            </w:tr>
            <w:tr w14:paraId="449F3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517" w:type="pct"/>
                  <w:vMerge w:val="continue"/>
                  <w:vAlign w:val="center"/>
                </w:tcPr>
                <w:p w14:paraId="67327D96">
                  <w:pPr>
                    <w:bidi w:val="0"/>
                    <w:jc w:val="center"/>
                    <w:rPr>
                      <w:rFonts w:hint="default" w:ascii="Times New Roman" w:hAnsi="Times New Roman" w:eastAsia="宋体" w:cs="Times New Roman"/>
                      <w:b/>
                      <w:bCs/>
                      <w:color w:val="auto"/>
                      <w:sz w:val="21"/>
                      <w:szCs w:val="21"/>
                      <w:highlight w:val="none"/>
                    </w:rPr>
                  </w:pPr>
                </w:p>
              </w:tc>
              <w:tc>
                <w:tcPr>
                  <w:tcW w:w="342" w:type="pct"/>
                  <w:vMerge w:val="continue"/>
                  <w:vAlign w:val="center"/>
                </w:tcPr>
                <w:p w14:paraId="5279C26E">
                  <w:pPr>
                    <w:bidi w:val="0"/>
                    <w:jc w:val="center"/>
                    <w:rPr>
                      <w:rFonts w:hint="default" w:ascii="Times New Roman" w:hAnsi="Times New Roman" w:eastAsia="宋体" w:cs="Times New Roman"/>
                      <w:b/>
                      <w:bCs/>
                      <w:color w:val="auto"/>
                      <w:sz w:val="21"/>
                      <w:szCs w:val="21"/>
                      <w:highlight w:val="none"/>
                    </w:rPr>
                  </w:pPr>
                </w:p>
              </w:tc>
              <w:tc>
                <w:tcPr>
                  <w:tcW w:w="384" w:type="pct"/>
                  <w:vAlign w:val="center"/>
                </w:tcPr>
                <w:p w14:paraId="7DEF6CB4">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20m</w:t>
                  </w:r>
                </w:p>
              </w:tc>
              <w:tc>
                <w:tcPr>
                  <w:tcW w:w="286" w:type="pct"/>
                  <w:vAlign w:val="center"/>
                </w:tcPr>
                <w:p w14:paraId="33427297">
                  <w:pPr>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30m</w:t>
                  </w:r>
                </w:p>
              </w:tc>
              <w:tc>
                <w:tcPr>
                  <w:tcW w:w="286" w:type="pct"/>
                  <w:vAlign w:val="center"/>
                </w:tcPr>
                <w:p w14:paraId="4A5B2D40">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40m</w:t>
                  </w:r>
                </w:p>
              </w:tc>
              <w:tc>
                <w:tcPr>
                  <w:tcW w:w="384" w:type="pct"/>
                  <w:vAlign w:val="center"/>
                </w:tcPr>
                <w:p w14:paraId="764B5670">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60m</w:t>
                  </w:r>
                </w:p>
              </w:tc>
              <w:tc>
                <w:tcPr>
                  <w:tcW w:w="384" w:type="pct"/>
                  <w:vAlign w:val="center"/>
                </w:tcPr>
                <w:p w14:paraId="638C1018">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80m</w:t>
                  </w:r>
                </w:p>
              </w:tc>
              <w:tc>
                <w:tcPr>
                  <w:tcW w:w="399" w:type="pct"/>
                  <w:vAlign w:val="center"/>
                </w:tcPr>
                <w:p w14:paraId="3652DBC6">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100m</w:t>
                  </w:r>
                </w:p>
              </w:tc>
              <w:tc>
                <w:tcPr>
                  <w:tcW w:w="399" w:type="pct"/>
                  <w:vAlign w:val="center"/>
                </w:tcPr>
                <w:p w14:paraId="28DB17CE">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120m</w:t>
                  </w:r>
                </w:p>
              </w:tc>
              <w:tc>
                <w:tcPr>
                  <w:tcW w:w="399" w:type="pct"/>
                  <w:vAlign w:val="center"/>
                </w:tcPr>
                <w:p w14:paraId="663CF04B">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140m</w:t>
                  </w:r>
                </w:p>
              </w:tc>
              <w:tc>
                <w:tcPr>
                  <w:tcW w:w="399" w:type="pct"/>
                  <w:vAlign w:val="center"/>
                </w:tcPr>
                <w:p w14:paraId="1320ABB9">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160m</w:t>
                  </w:r>
                </w:p>
              </w:tc>
              <w:tc>
                <w:tcPr>
                  <w:tcW w:w="399" w:type="pct"/>
                  <w:vAlign w:val="center"/>
                </w:tcPr>
                <w:p w14:paraId="22960B56">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180m</w:t>
                  </w:r>
                </w:p>
              </w:tc>
              <w:tc>
                <w:tcPr>
                  <w:tcW w:w="417" w:type="pct"/>
                  <w:vAlign w:val="center"/>
                </w:tcPr>
                <w:p w14:paraId="1478E84D">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200m</w:t>
                  </w:r>
                </w:p>
              </w:tc>
            </w:tr>
            <w:tr w14:paraId="1B1F5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517" w:type="pct"/>
                  <w:vMerge w:val="restart"/>
                  <w:vAlign w:val="center"/>
                </w:tcPr>
                <w:p w14:paraId="0343EE28">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2026</w:t>
                  </w:r>
                </w:p>
              </w:tc>
              <w:tc>
                <w:tcPr>
                  <w:tcW w:w="342" w:type="pct"/>
                  <w:vAlign w:val="center"/>
                </w:tcPr>
                <w:p w14:paraId="2AB51F72">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昼间</w:t>
                  </w:r>
                </w:p>
              </w:tc>
              <w:tc>
                <w:tcPr>
                  <w:tcW w:w="384" w:type="pct"/>
                  <w:vAlign w:val="center"/>
                </w:tcPr>
                <w:p w14:paraId="15C44822">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33.08</w:t>
                  </w:r>
                </w:p>
              </w:tc>
              <w:tc>
                <w:tcPr>
                  <w:tcW w:w="286" w:type="pct"/>
                  <w:vAlign w:val="center"/>
                </w:tcPr>
                <w:p w14:paraId="2EB3B60E">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33.96</w:t>
                  </w:r>
                </w:p>
              </w:tc>
              <w:tc>
                <w:tcPr>
                  <w:tcW w:w="286" w:type="pct"/>
                  <w:vAlign w:val="center"/>
                </w:tcPr>
                <w:p w14:paraId="117EBEC2">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30.11</w:t>
                  </w:r>
                </w:p>
              </w:tc>
              <w:tc>
                <w:tcPr>
                  <w:tcW w:w="384" w:type="pct"/>
                  <w:vAlign w:val="center"/>
                </w:tcPr>
                <w:p w14:paraId="348CD51A">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28.10</w:t>
                  </w:r>
                </w:p>
              </w:tc>
              <w:tc>
                <w:tcPr>
                  <w:tcW w:w="384" w:type="pct"/>
                  <w:vAlign w:val="center"/>
                </w:tcPr>
                <w:p w14:paraId="704D7914">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26.71</w:t>
                  </w:r>
                </w:p>
              </w:tc>
              <w:tc>
                <w:tcPr>
                  <w:tcW w:w="399" w:type="pct"/>
                  <w:vAlign w:val="center"/>
                </w:tcPr>
                <w:p w14:paraId="29B90870">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25.9</w:t>
                  </w:r>
                </w:p>
              </w:tc>
              <w:tc>
                <w:tcPr>
                  <w:tcW w:w="399" w:type="pct"/>
                  <w:vAlign w:val="center"/>
                </w:tcPr>
                <w:p w14:paraId="4C179189">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25.21</w:t>
                  </w:r>
                </w:p>
              </w:tc>
              <w:tc>
                <w:tcPr>
                  <w:tcW w:w="399" w:type="pct"/>
                  <w:vAlign w:val="center"/>
                </w:tcPr>
                <w:p w14:paraId="4AF3A034">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23.82</w:t>
                  </w:r>
                </w:p>
              </w:tc>
              <w:tc>
                <w:tcPr>
                  <w:tcW w:w="399" w:type="pct"/>
                  <w:vAlign w:val="center"/>
                </w:tcPr>
                <w:p w14:paraId="17B45604">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22.81</w:t>
                  </w:r>
                </w:p>
              </w:tc>
              <w:tc>
                <w:tcPr>
                  <w:tcW w:w="399" w:type="pct"/>
                  <w:vAlign w:val="center"/>
                </w:tcPr>
                <w:p w14:paraId="766B2B21">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22.03</w:t>
                  </w:r>
                </w:p>
              </w:tc>
              <w:tc>
                <w:tcPr>
                  <w:tcW w:w="417" w:type="pct"/>
                  <w:vAlign w:val="center"/>
                </w:tcPr>
                <w:p w14:paraId="7C841C28">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21.13</w:t>
                  </w:r>
                </w:p>
              </w:tc>
            </w:tr>
            <w:tr w14:paraId="419F6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517" w:type="pct"/>
                  <w:vMerge w:val="continue"/>
                  <w:vAlign w:val="center"/>
                </w:tcPr>
                <w:p w14:paraId="689D313E">
                  <w:pPr>
                    <w:bidi w:val="0"/>
                    <w:jc w:val="center"/>
                    <w:rPr>
                      <w:rFonts w:hint="default" w:ascii="Times New Roman" w:hAnsi="Times New Roman" w:eastAsia="宋体" w:cs="Times New Roman"/>
                      <w:color w:val="auto"/>
                      <w:sz w:val="21"/>
                      <w:szCs w:val="21"/>
                      <w:highlight w:val="none"/>
                    </w:rPr>
                  </w:pPr>
                </w:p>
              </w:tc>
              <w:tc>
                <w:tcPr>
                  <w:tcW w:w="342" w:type="pct"/>
                  <w:vAlign w:val="center"/>
                </w:tcPr>
                <w:p w14:paraId="017570E8">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夜间</w:t>
                  </w:r>
                </w:p>
              </w:tc>
              <w:tc>
                <w:tcPr>
                  <w:tcW w:w="384" w:type="pct"/>
                  <w:vAlign w:val="center"/>
                </w:tcPr>
                <w:p w14:paraId="35846D19">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25.72</w:t>
                  </w:r>
                </w:p>
              </w:tc>
              <w:tc>
                <w:tcPr>
                  <w:tcW w:w="286" w:type="pct"/>
                  <w:vAlign w:val="center"/>
                </w:tcPr>
                <w:p w14:paraId="55DA19F3">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25.43</w:t>
                  </w:r>
                </w:p>
              </w:tc>
              <w:tc>
                <w:tcPr>
                  <w:tcW w:w="286" w:type="pct"/>
                  <w:vAlign w:val="center"/>
                </w:tcPr>
                <w:p w14:paraId="4AE5510F">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22.75</w:t>
                  </w:r>
                </w:p>
              </w:tc>
              <w:tc>
                <w:tcPr>
                  <w:tcW w:w="384" w:type="pct"/>
                  <w:vAlign w:val="center"/>
                </w:tcPr>
                <w:p w14:paraId="6A5EC678">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20.74</w:t>
                  </w:r>
                </w:p>
              </w:tc>
              <w:tc>
                <w:tcPr>
                  <w:tcW w:w="384" w:type="pct"/>
                  <w:vAlign w:val="center"/>
                </w:tcPr>
                <w:p w14:paraId="79E6AAE7">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19.35</w:t>
                  </w:r>
                </w:p>
              </w:tc>
              <w:tc>
                <w:tcPr>
                  <w:tcW w:w="399" w:type="pct"/>
                  <w:vAlign w:val="center"/>
                </w:tcPr>
                <w:p w14:paraId="24347F87">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18.54</w:t>
                  </w:r>
                </w:p>
              </w:tc>
              <w:tc>
                <w:tcPr>
                  <w:tcW w:w="399" w:type="pct"/>
                  <w:vAlign w:val="center"/>
                </w:tcPr>
                <w:p w14:paraId="444F7D26">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17.85</w:t>
                  </w:r>
                </w:p>
              </w:tc>
              <w:tc>
                <w:tcPr>
                  <w:tcW w:w="399" w:type="pct"/>
                  <w:vAlign w:val="center"/>
                </w:tcPr>
                <w:p w14:paraId="70FE6377">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16.47</w:t>
                  </w:r>
                </w:p>
              </w:tc>
              <w:tc>
                <w:tcPr>
                  <w:tcW w:w="399" w:type="pct"/>
                  <w:vAlign w:val="center"/>
                </w:tcPr>
                <w:p w14:paraId="501DD5FE">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15.46</w:t>
                  </w:r>
                </w:p>
              </w:tc>
              <w:tc>
                <w:tcPr>
                  <w:tcW w:w="399" w:type="pct"/>
                  <w:vAlign w:val="center"/>
                </w:tcPr>
                <w:p w14:paraId="73F1FCE3">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14.67</w:t>
                  </w:r>
                </w:p>
              </w:tc>
              <w:tc>
                <w:tcPr>
                  <w:tcW w:w="417" w:type="pct"/>
                  <w:vAlign w:val="center"/>
                </w:tcPr>
                <w:p w14:paraId="35A38082">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13.77</w:t>
                  </w:r>
                </w:p>
              </w:tc>
            </w:tr>
            <w:tr w14:paraId="346B7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17" w:type="pct"/>
                  <w:vMerge w:val="restart"/>
                  <w:vAlign w:val="center"/>
                </w:tcPr>
                <w:p w14:paraId="204A7A07">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203</w:t>
                  </w:r>
                  <w:r>
                    <w:rPr>
                      <w:rFonts w:hint="eastAsia" w:ascii="Times New Roman" w:hAnsi="Times New Roman" w:eastAsia="宋体" w:cs="Times New Roman"/>
                      <w:color w:val="auto"/>
                      <w:sz w:val="21"/>
                      <w:szCs w:val="21"/>
                      <w:highlight w:val="none"/>
                      <w:lang w:val="en-US" w:eastAsia="zh-CN"/>
                    </w:rPr>
                    <w:t>2</w:t>
                  </w:r>
                </w:p>
              </w:tc>
              <w:tc>
                <w:tcPr>
                  <w:tcW w:w="342" w:type="pct"/>
                  <w:vAlign w:val="center"/>
                </w:tcPr>
                <w:p w14:paraId="45B1B157">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昼间</w:t>
                  </w:r>
                </w:p>
              </w:tc>
              <w:tc>
                <w:tcPr>
                  <w:tcW w:w="384" w:type="pct"/>
                  <w:vAlign w:val="center"/>
                </w:tcPr>
                <w:p w14:paraId="69C8A53D">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34.71</w:t>
                  </w:r>
                </w:p>
              </w:tc>
              <w:tc>
                <w:tcPr>
                  <w:tcW w:w="286" w:type="pct"/>
                  <w:vAlign w:val="center"/>
                </w:tcPr>
                <w:p w14:paraId="3F01C643">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34.38</w:t>
                  </w:r>
                </w:p>
              </w:tc>
              <w:tc>
                <w:tcPr>
                  <w:tcW w:w="286" w:type="pct"/>
                  <w:vAlign w:val="center"/>
                </w:tcPr>
                <w:p w14:paraId="5CD11DD6">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31.74</w:t>
                  </w:r>
                </w:p>
              </w:tc>
              <w:tc>
                <w:tcPr>
                  <w:tcW w:w="384" w:type="pct"/>
                  <w:vAlign w:val="center"/>
                </w:tcPr>
                <w:p w14:paraId="2F5D53DC">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29.74</w:t>
                  </w:r>
                </w:p>
              </w:tc>
              <w:tc>
                <w:tcPr>
                  <w:tcW w:w="384" w:type="pct"/>
                  <w:vAlign w:val="center"/>
                </w:tcPr>
                <w:p w14:paraId="6BA16EDE">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28.35</w:t>
                  </w:r>
                </w:p>
              </w:tc>
              <w:tc>
                <w:tcPr>
                  <w:tcW w:w="399" w:type="pct"/>
                  <w:vAlign w:val="center"/>
                </w:tcPr>
                <w:p w14:paraId="5C794203">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27.54</w:t>
                  </w:r>
                </w:p>
              </w:tc>
              <w:tc>
                <w:tcPr>
                  <w:tcW w:w="399" w:type="pct"/>
                  <w:vAlign w:val="center"/>
                </w:tcPr>
                <w:p w14:paraId="62269DBC">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26.85</w:t>
                  </w:r>
                </w:p>
              </w:tc>
              <w:tc>
                <w:tcPr>
                  <w:tcW w:w="399" w:type="pct"/>
                  <w:vAlign w:val="center"/>
                </w:tcPr>
                <w:p w14:paraId="5588EE17">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25.46</w:t>
                  </w:r>
                </w:p>
              </w:tc>
              <w:tc>
                <w:tcPr>
                  <w:tcW w:w="399" w:type="pct"/>
                  <w:vAlign w:val="center"/>
                </w:tcPr>
                <w:p w14:paraId="06098740">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24.45</w:t>
                  </w:r>
                </w:p>
              </w:tc>
              <w:tc>
                <w:tcPr>
                  <w:tcW w:w="399" w:type="pct"/>
                  <w:vAlign w:val="center"/>
                </w:tcPr>
                <w:p w14:paraId="30EA59F5">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23.67</w:t>
                  </w:r>
                </w:p>
              </w:tc>
              <w:tc>
                <w:tcPr>
                  <w:tcW w:w="417" w:type="pct"/>
                  <w:vAlign w:val="center"/>
                </w:tcPr>
                <w:p w14:paraId="5FFA060E">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22.77</w:t>
                  </w:r>
                </w:p>
              </w:tc>
            </w:tr>
            <w:tr w14:paraId="12A22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517" w:type="pct"/>
                  <w:vMerge w:val="continue"/>
                  <w:vAlign w:val="center"/>
                </w:tcPr>
                <w:p w14:paraId="3C101E46">
                  <w:pPr>
                    <w:bidi w:val="0"/>
                    <w:jc w:val="center"/>
                    <w:rPr>
                      <w:rFonts w:hint="default" w:ascii="Times New Roman" w:hAnsi="Times New Roman" w:eastAsia="宋体" w:cs="Times New Roman"/>
                      <w:color w:val="auto"/>
                      <w:sz w:val="21"/>
                      <w:szCs w:val="21"/>
                      <w:highlight w:val="none"/>
                    </w:rPr>
                  </w:pPr>
                </w:p>
              </w:tc>
              <w:tc>
                <w:tcPr>
                  <w:tcW w:w="342" w:type="pct"/>
                  <w:vAlign w:val="center"/>
                </w:tcPr>
                <w:p w14:paraId="52E4F941">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夜间</w:t>
                  </w:r>
                </w:p>
              </w:tc>
              <w:tc>
                <w:tcPr>
                  <w:tcW w:w="384" w:type="pct"/>
                  <w:vAlign w:val="center"/>
                </w:tcPr>
                <w:p w14:paraId="5E12B88D">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26.46</w:t>
                  </w:r>
                </w:p>
              </w:tc>
              <w:tc>
                <w:tcPr>
                  <w:tcW w:w="286" w:type="pct"/>
                  <w:vAlign w:val="center"/>
                </w:tcPr>
                <w:p w14:paraId="78062D5C">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26.05</w:t>
                  </w:r>
                </w:p>
              </w:tc>
              <w:tc>
                <w:tcPr>
                  <w:tcW w:w="286" w:type="pct"/>
                  <w:vAlign w:val="center"/>
                </w:tcPr>
                <w:p w14:paraId="4E392582">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23.49</w:t>
                  </w:r>
                </w:p>
              </w:tc>
              <w:tc>
                <w:tcPr>
                  <w:tcW w:w="384" w:type="pct"/>
                  <w:vAlign w:val="center"/>
                </w:tcPr>
                <w:p w14:paraId="089011D5">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21.48</w:t>
                  </w:r>
                </w:p>
              </w:tc>
              <w:tc>
                <w:tcPr>
                  <w:tcW w:w="384" w:type="pct"/>
                  <w:vAlign w:val="center"/>
                </w:tcPr>
                <w:p w14:paraId="5C8F142A">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20.09</w:t>
                  </w:r>
                </w:p>
              </w:tc>
              <w:tc>
                <w:tcPr>
                  <w:tcW w:w="399" w:type="pct"/>
                  <w:vAlign w:val="center"/>
                </w:tcPr>
                <w:p w14:paraId="3A8C80D7">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19.28</w:t>
                  </w:r>
                </w:p>
              </w:tc>
              <w:tc>
                <w:tcPr>
                  <w:tcW w:w="399" w:type="pct"/>
                  <w:vAlign w:val="center"/>
                </w:tcPr>
                <w:p w14:paraId="15BDB18A">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18.59</w:t>
                  </w:r>
                </w:p>
              </w:tc>
              <w:tc>
                <w:tcPr>
                  <w:tcW w:w="399" w:type="pct"/>
                  <w:vAlign w:val="center"/>
                </w:tcPr>
                <w:p w14:paraId="3CD922CD">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17.21</w:t>
                  </w:r>
                </w:p>
              </w:tc>
              <w:tc>
                <w:tcPr>
                  <w:tcW w:w="399" w:type="pct"/>
                  <w:vAlign w:val="center"/>
                </w:tcPr>
                <w:p w14:paraId="0D35B49C">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16.20</w:t>
                  </w:r>
                </w:p>
              </w:tc>
              <w:tc>
                <w:tcPr>
                  <w:tcW w:w="399" w:type="pct"/>
                  <w:vAlign w:val="center"/>
                </w:tcPr>
                <w:p w14:paraId="4546C6EB">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15.41</w:t>
                  </w:r>
                </w:p>
              </w:tc>
              <w:tc>
                <w:tcPr>
                  <w:tcW w:w="417" w:type="pct"/>
                  <w:vAlign w:val="center"/>
                </w:tcPr>
                <w:p w14:paraId="6FB3E3E3">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14.51</w:t>
                  </w:r>
                </w:p>
              </w:tc>
            </w:tr>
            <w:tr w14:paraId="01E31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6" w:hRule="atLeast"/>
                <w:jc w:val="center"/>
              </w:trPr>
              <w:tc>
                <w:tcPr>
                  <w:tcW w:w="517" w:type="pct"/>
                  <w:vMerge w:val="restart"/>
                  <w:vAlign w:val="center"/>
                </w:tcPr>
                <w:p w14:paraId="2713E09B">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lang w:val="en-US" w:eastAsia="zh-CN"/>
                    </w:rPr>
                    <w:t>40</w:t>
                  </w:r>
                </w:p>
              </w:tc>
              <w:tc>
                <w:tcPr>
                  <w:tcW w:w="342" w:type="pct"/>
                  <w:vAlign w:val="center"/>
                </w:tcPr>
                <w:p w14:paraId="562B7128">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昼间</w:t>
                  </w:r>
                </w:p>
              </w:tc>
              <w:tc>
                <w:tcPr>
                  <w:tcW w:w="384" w:type="pct"/>
                  <w:vAlign w:val="center"/>
                </w:tcPr>
                <w:p w14:paraId="738AC9FF">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36.01</w:t>
                  </w:r>
                </w:p>
              </w:tc>
              <w:tc>
                <w:tcPr>
                  <w:tcW w:w="286" w:type="pct"/>
                  <w:vAlign w:val="center"/>
                </w:tcPr>
                <w:p w14:paraId="72B1960B">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35.82</w:t>
                  </w:r>
                </w:p>
              </w:tc>
              <w:tc>
                <w:tcPr>
                  <w:tcW w:w="286" w:type="pct"/>
                  <w:vAlign w:val="center"/>
                </w:tcPr>
                <w:p w14:paraId="25C2C77E">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33.04</w:t>
                  </w:r>
                </w:p>
              </w:tc>
              <w:tc>
                <w:tcPr>
                  <w:tcW w:w="384" w:type="pct"/>
                  <w:vAlign w:val="center"/>
                </w:tcPr>
                <w:p w14:paraId="6D22F4A6">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31.03</w:t>
                  </w:r>
                </w:p>
              </w:tc>
              <w:tc>
                <w:tcPr>
                  <w:tcW w:w="384" w:type="pct"/>
                  <w:vAlign w:val="center"/>
                </w:tcPr>
                <w:p w14:paraId="24D8A8EE">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29.64</w:t>
                  </w:r>
                </w:p>
              </w:tc>
              <w:tc>
                <w:tcPr>
                  <w:tcW w:w="399" w:type="pct"/>
                  <w:vAlign w:val="center"/>
                </w:tcPr>
                <w:p w14:paraId="51F9CDFD">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28.84</w:t>
                  </w:r>
                </w:p>
              </w:tc>
              <w:tc>
                <w:tcPr>
                  <w:tcW w:w="399" w:type="pct"/>
                  <w:vAlign w:val="center"/>
                </w:tcPr>
                <w:p w14:paraId="7F37D07E">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28.14</w:t>
                  </w:r>
                </w:p>
              </w:tc>
              <w:tc>
                <w:tcPr>
                  <w:tcW w:w="399" w:type="pct"/>
                  <w:vAlign w:val="center"/>
                </w:tcPr>
                <w:p w14:paraId="37D597F6">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26.76</w:t>
                  </w:r>
                </w:p>
              </w:tc>
              <w:tc>
                <w:tcPr>
                  <w:tcW w:w="399" w:type="pct"/>
                  <w:vAlign w:val="center"/>
                </w:tcPr>
                <w:p w14:paraId="12AFF16F">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25.75</w:t>
                  </w:r>
                </w:p>
              </w:tc>
              <w:tc>
                <w:tcPr>
                  <w:tcW w:w="399" w:type="pct"/>
                  <w:vAlign w:val="center"/>
                </w:tcPr>
                <w:p w14:paraId="672BA793">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24.97</w:t>
                  </w:r>
                </w:p>
              </w:tc>
              <w:tc>
                <w:tcPr>
                  <w:tcW w:w="417" w:type="pct"/>
                  <w:vAlign w:val="center"/>
                </w:tcPr>
                <w:p w14:paraId="684EF3D7">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24.06</w:t>
                  </w:r>
                </w:p>
              </w:tc>
            </w:tr>
            <w:tr w14:paraId="1D8B1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517" w:type="pct"/>
                  <w:vMerge w:val="continue"/>
                  <w:vAlign w:val="center"/>
                </w:tcPr>
                <w:p w14:paraId="0C3742B3">
                  <w:pPr>
                    <w:bidi w:val="0"/>
                    <w:jc w:val="center"/>
                    <w:rPr>
                      <w:rFonts w:hint="default" w:ascii="Times New Roman" w:hAnsi="Times New Roman" w:eastAsia="宋体" w:cs="Times New Roman"/>
                      <w:color w:val="auto"/>
                      <w:sz w:val="21"/>
                      <w:szCs w:val="21"/>
                      <w:highlight w:val="none"/>
                    </w:rPr>
                  </w:pPr>
                </w:p>
              </w:tc>
              <w:tc>
                <w:tcPr>
                  <w:tcW w:w="342" w:type="pct"/>
                  <w:vAlign w:val="center"/>
                </w:tcPr>
                <w:p w14:paraId="602BBCEB">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夜间</w:t>
                  </w:r>
                </w:p>
              </w:tc>
              <w:tc>
                <w:tcPr>
                  <w:tcW w:w="384" w:type="pct"/>
                  <w:vAlign w:val="center"/>
                </w:tcPr>
                <w:p w14:paraId="2E8B5597">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27.05</w:t>
                  </w:r>
                </w:p>
              </w:tc>
              <w:tc>
                <w:tcPr>
                  <w:tcW w:w="286" w:type="pct"/>
                  <w:vAlign w:val="center"/>
                </w:tcPr>
                <w:p w14:paraId="2F0E3CCB">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26.67</w:t>
                  </w:r>
                </w:p>
              </w:tc>
              <w:tc>
                <w:tcPr>
                  <w:tcW w:w="286" w:type="pct"/>
                  <w:vAlign w:val="center"/>
                </w:tcPr>
                <w:p w14:paraId="1B32BEA9">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24.08</w:t>
                  </w:r>
                </w:p>
              </w:tc>
              <w:tc>
                <w:tcPr>
                  <w:tcW w:w="384" w:type="pct"/>
                  <w:vAlign w:val="center"/>
                </w:tcPr>
                <w:p w14:paraId="77B53D0A">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22.07</w:t>
                  </w:r>
                </w:p>
              </w:tc>
              <w:tc>
                <w:tcPr>
                  <w:tcW w:w="384" w:type="pct"/>
                  <w:vAlign w:val="center"/>
                </w:tcPr>
                <w:p w14:paraId="229E65AA">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20.68</w:t>
                  </w:r>
                </w:p>
              </w:tc>
              <w:tc>
                <w:tcPr>
                  <w:tcW w:w="399" w:type="pct"/>
                  <w:vAlign w:val="center"/>
                </w:tcPr>
                <w:p w14:paraId="28789251">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19.87</w:t>
                  </w:r>
                </w:p>
              </w:tc>
              <w:tc>
                <w:tcPr>
                  <w:tcW w:w="399" w:type="pct"/>
                  <w:vAlign w:val="center"/>
                </w:tcPr>
                <w:p w14:paraId="0A6BDCF1">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19.18</w:t>
                  </w:r>
                </w:p>
              </w:tc>
              <w:tc>
                <w:tcPr>
                  <w:tcW w:w="399" w:type="pct"/>
                  <w:vAlign w:val="center"/>
                </w:tcPr>
                <w:p w14:paraId="4867195F">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17.79</w:t>
                  </w:r>
                </w:p>
              </w:tc>
              <w:tc>
                <w:tcPr>
                  <w:tcW w:w="399" w:type="pct"/>
                  <w:vAlign w:val="center"/>
                </w:tcPr>
                <w:p w14:paraId="28C0159C">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16.78</w:t>
                  </w:r>
                </w:p>
              </w:tc>
              <w:tc>
                <w:tcPr>
                  <w:tcW w:w="399" w:type="pct"/>
                  <w:vAlign w:val="center"/>
                </w:tcPr>
                <w:p w14:paraId="661D95DA">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16.0</w:t>
                  </w:r>
                </w:p>
              </w:tc>
              <w:tc>
                <w:tcPr>
                  <w:tcW w:w="417" w:type="pct"/>
                  <w:vAlign w:val="center"/>
                </w:tcPr>
                <w:p w14:paraId="048D86CB">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15.1</w:t>
                  </w:r>
                </w:p>
              </w:tc>
            </w:tr>
          </w:tbl>
          <w:p w14:paraId="6FA7EB99">
            <w:pPr>
              <w:spacing w:line="360" w:lineRule="auto"/>
              <w:ind w:firstLine="480" w:firstLineChars="200"/>
              <w:rPr>
                <w:rFonts w:hint="default" w:ascii="Times New Roman" w:hAnsi="Times New Roman" w:cs="Times New Roman"/>
                <w:b w:val="0"/>
                <w:bCs w:val="0"/>
                <w:color w:val="auto"/>
                <w:sz w:val="24"/>
                <w:szCs w:val="28"/>
                <w:highlight w:val="none"/>
              </w:rPr>
            </w:pPr>
            <w:r>
              <w:rPr>
                <w:rFonts w:hint="default" w:ascii="Times New Roman" w:hAnsi="Times New Roman" w:cs="Times New Roman"/>
                <w:b w:val="0"/>
                <w:bCs w:val="0"/>
                <w:color w:val="auto"/>
                <w:sz w:val="24"/>
                <w:szCs w:val="28"/>
                <w:highlight w:val="none"/>
              </w:rPr>
              <w:t>从上表</w:t>
            </w:r>
            <w:r>
              <w:rPr>
                <w:rFonts w:hint="default" w:ascii="Times New Roman" w:hAnsi="Times New Roman" w:cs="Times New Roman"/>
                <w:b w:val="0"/>
                <w:bCs w:val="0"/>
                <w:color w:val="auto"/>
                <w:sz w:val="24"/>
                <w:szCs w:val="28"/>
                <w:highlight w:val="none"/>
                <w:lang w:eastAsia="zh-CN"/>
              </w:rPr>
              <w:t>可以</w:t>
            </w:r>
            <w:r>
              <w:rPr>
                <w:rFonts w:hint="default" w:ascii="Times New Roman" w:hAnsi="Times New Roman" w:cs="Times New Roman"/>
                <w:b w:val="0"/>
                <w:bCs w:val="0"/>
                <w:color w:val="auto"/>
                <w:sz w:val="24"/>
                <w:szCs w:val="28"/>
                <w:highlight w:val="none"/>
              </w:rPr>
              <w:t>看出：随着运营期的增长，车流量的增大，交通噪声声级值也随之增强；另一方面，随着距道路边界线距离的增加，交通噪声的影响逐渐减小。</w:t>
            </w:r>
          </w:p>
          <w:p w14:paraId="1EC8A514">
            <w:pPr>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cs="Times New Roman"/>
                <w:b w:val="0"/>
                <w:bCs w:val="0"/>
                <w:color w:val="auto"/>
                <w:sz w:val="24"/>
                <w:szCs w:val="28"/>
                <w:highlight w:val="none"/>
              </w:rPr>
              <w:t>拟建道路为</w:t>
            </w:r>
            <w:r>
              <w:rPr>
                <w:rFonts w:hint="default" w:ascii="Times New Roman" w:hAnsi="Times New Roman" w:cs="Times New Roman"/>
                <w:b w:val="0"/>
                <w:bCs w:val="0"/>
                <w:color w:val="auto"/>
                <w:sz w:val="24"/>
                <w:szCs w:val="28"/>
                <w:highlight w:val="none"/>
                <w:lang w:val="en-US" w:eastAsia="zh-CN"/>
              </w:rPr>
              <w:t>三级公路</w:t>
            </w:r>
            <w:r>
              <w:rPr>
                <w:rFonts w:hint="default" w:ascii="Times New Roman" w:hAnsi="Times New Roman" w:cs="Times New Roman"/>
                <w:b w:val="0"/>
                <w:bCs w:val="0"/>
                <w:color w:val="auto"/>
                <w:sz w:val="24"/>
                <w:szCs w:val="28"/>
                <w:highlight w:val="none"/>
              </w:rPr>
              <w:t>，根据《声环境质量标准》（GB3096-2008），区域执行</w:t>
            </w:r>
            <w:r>
              <w:rPr>
                <w:rFonts w:hint="eastAsia" w:ascii="Times New Roman" w:hAnsi="Times New Roman" w:cs="Times New Roman"/>
                <w:b w:val="0"/>
                <w:bCs w:val="0"/>
                <w:color w:val="auto"/>
                <w:sz w:val="24"/>
                <w:szCs w:val="28"/>
                <w:highlight w:val="none"/>
                <w:lang w:val="en-US" w:eastAsia="zh-CN"/>
              </w:rPr>
              <w:t>1</w:t>
            </w:r>
            <w:r>
              <w:rPr>
                <w:rFonts w:hint="default" w:ascii="Times New Roman" w:hAnsi="Times New Roman" w:cs="Times New Roman"/>
                <w:b w:val="0"/>
                <w:bCs w:val="0"/>
                <w:color w:val="auto"/>
                <w:sz w:val="24"/>
                <w:szCs w:val="28"/>
                <w:highlight w:val="none"/>
              </w:rPr>
              <w:t>类标准</w:t>
            </w:r>
            <w:r>
              <w:rPr>
                <w:rFonts w:hint="default" w:ascii="Times New Roman" w:hAnsi="Times New Roman" w:cs="Times New Roman"/>
                <w:b w:val="0"/>
                <w:bCs w:val="0"/>
                <w:color w:val="auto"/>
                <w:sz w:val="24"/>
                <w:szCs w:val="28"/>
                <w:highlight w:val="none"/>
                <w:lang w:eastAsia="zh-CN"/>
              </w:rPr>
              <w:t>，</w:t>
            </w:r>
            <w:r>
              <w:rPr>
                <w:rFonts w:hint="default" w:ascii="Times New Roman" w:hAnsi="Times New Roman" w:cs="Times New Roman"/>
                <w:color w:val="auto"/>
                <w:kern w:val="0"/>
                <w:sz w:val="24"/>
                <w:szCs w:val="21"/>
                <w:highlight w:val="none"/>
              </w:rPr>
              <w:t>根据</w:t>
            </w:r>
            <w:r>
              <w:rPr>
                <w:rFonts w:hint="default" w:ascii="Times New Roman" w:hAnsi="Times New Roman" w:cs="Times New Roman"/>
                <w:color w:val="auto"/>
                <w:kern w:val="0"/>
                <w:sz w:val="24"/>
                <w:szCs w:val="21"/>
                <w:highlight w:val="none"/>
                <w:lang w:val="en-US" w:eastAsia="zh-CN"/>
              </w:rPr>
              <w:t>上表可知</w:t>
            </w:r>
            <w:r>
              <w:rPr>
                <w:rFonts w:hint="default" w:ascii="Times New Roman" w:hAnsi="Times New Roman" w:cs="Times New Roman"/>
                <w:color w:val="auto"/>
                <w:kern w:val="0"/>
                <w:sz w:val="24"/>
                <w:szCs w:val="21"/>
                <w:highlight w:val="none"/>
              </w:rPr>
              <w:t>，得出以下结论：</w:t>
            </w:r>
            <w:r>
              <w:rPr>
                <w:rFonts w:hint="default" w:ascii="Times New Roman" w:hAnsi="Times New Roman" w:eastAsia="宋体" w:cs="Times New Roman"/>
                <w:color w:val="auto"/>
                <w:kern w:val="0"/>
                <w:sz w:val="24"/>
                <w:szCs w:val="24"/>
                <w:highlight w:val="none"/>
                <w:lang w:val="en-US" w:eastAsia="zh-CN"/>
              </w:rPr>
              <w:t>项目</w:t>
            </w:r>
            <w:r>
              <w:rPr>
                <w:rFonts w:hint="default" w:ascii="Times New Roman" w:hAnsi="Times New Roman" w:eastAsia="宋体" w:cs="Times New Roman"/>
                <w:color w:val="auto"/>
                <w:kern w:val="0"/>
                <w:sz w:val="24"/>
                <w:szCs w:val="24"/>
                <w:highlight w:val="none"/>
              </w:rPr>
              <w:t>营运近期（</w:t>
            </w:r>
            <w:r>
              <w:rPr>
                <w:rFonts w:hint="eastAsia" w:ascii="Times New Roman" w:hAnsi="Times New Roman" w:eastAsia="宋体" w:cs="Times New Roman"/>
                <w:color w:val="auto"/>
                <w:kern w:val="0"/>
                <w:sz w:val="24"/>
                <w:szCs w:val="24"/>
                <w:highlight w:val="none"/>
                <w:lang w:eastAsia="zh-CN"/>
              </w:rPr>
              <w:t>2026年</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eastAsia="zh-CN"/>
              </w:rPr>
              <w:t>、中期</w:t>
            </w:r>
            <w:r>
              <w:rPr>
                <w:rFonts w:hint="default" w:ascii="Times New Roman" w:hAnsi="Times New Roman" w:eastAsia="宋体" w:cs="Times New Roman"/>
                <w:color w:val="auto"/>
                <w:kern w:val="0"/>
                <w:sz w:val="24"/>
                <w:szCs w:val="24"/>
                <w:highlight w:val="none"/>
              </w:rPr>
              <w:t>（</w:t>
            </w:r>
            <w:r>
              <w:rPr>
                <w:rFonts w:hint="eastAsia" w:ascii="Times New Roman" w:hAnsi="Times New Roman" w:eastAsia="宋体" w:cs="Times New Roman"/>
                <w:color w:val="auto"/>
                <w:kern w:val="0"/>
                <w:sz w:val="24"/>
                <w:szCs w:val="24"/>
                <w:highlight w:val="none"/>
                <w:lang w:eastAsia="zh-CN"/>
              </w:rPr>
              <w:t>2032年</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eastAsia="zh-CN"/>
              </w:rPr>
              <w:t>、远</w:t>
            </w:r>
            <w:r>
              <w:rPr>
                <w:rFonts w:hint="default" w:ascii="Times New Roman" w:hAnsi="Times New Roman" w:eastAsia="宋体" w:cs="Times New Roman"/>
                <w:color w:val="auto"/>
                <w:kern w:val="0"/>
                <w:sz w:val="24"/>
                <w:szCs w:val="24"/>
                <w:highlight w:val="none"/>
              </w:rPr>
              <w:t>期（</w:t>
            </w:r>
            <w:r>
              <w:rPr>
                <w:rFonts w:hint="eastAsia" w:ascii="Times New Roman" w:hAnsi="Times New Roman" w:eastAsia="宋体" w:cs="Times New Roman"/>
                <w:color w:val="auto"/>
                <w:kern w:val="0"/>
                <w:sz w:val="24"/>
                <w:szCs w:val="24"/>
                <w:highlight w:val="none"/>
                <w:lang w:eastAsia="zh-CN"/>
              </w:rPr>
              <w:t>2040年</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eastAsia="zh-CN"/>
              </w:rPr>
              <w:t>，区域可以满足《声环境质量标准》（GB3096-2008）</w:t>
            </w:r>
            <w:r>
              <w:rPr>
                <w:rFonts w:hint="eastAsia" w:ascii="Times New Roman" w:hAnsi="Times New Roman" w:eastAsia="宋体" w:cs="Times New Roman"/>
                <w:color w:val="auto"/>
                <w:kern w:val="0"/>
                <w:sz w:val="24"/>
                <w:szCs w:val="24"/>
                <w:highlight w:val="none"/>
                <w:lang w:val="en-US" w:eastAsia="zh-CN"/>
              </w:rPr>
              <w:t>1</w:t>
            </w:r>
            <w:r>
              <w:rPr>
                <w:rFonts w:hint="default" w:ascii="Times New Roman" w:hAnsi="Times New Roman" w:eastAsia="宋体" w:cs="Times New Roman"/>
                <w:color w:val="auto"/>
                <w:kern w:val="0"/>
                <w:sz w:val="24"/>
                <w:szCs w:val="24"/>
                <w:highlight w:val="none"/>
                <w:lang w:eastAsia="zh-CN"/>
              </w:rPr>
              <w:t>类标准</w:t>
            </w:r>
            <w:r>
              <w:rPr>
                <w:rFonts w:hint="default" w:ascii="Times New Roman" w:hAnsi="Times New Roman" w:eastAsia="宋体" w:cs="Times New Roman"/>
                <w:color w:val="auto"/>
                <w:kern w:val="0"/>
                <w:sz w:val="24"/>
                <w:szCs w:val="24"/>
                <w:highlight w:val="none"/>
              </w:rPr>
              <w:t>。</w:t>
            </w:r>
          </w:p>
          <w:p w14:paraId="7406B75E">
            <w:pPr>
              <w:adjustRightInd w:val="0"/>
              <w:snapToGrid w:val="0"/>
              <w:spacing w:line="360" w:lineRule="auto"/>
              <w:ind w:firstLine="482" w:firstLineChars="200"/>
              <w:rPr>
                <w:rFonts w:hint="eastAsia" w:ascii="Times New Roman" w:hAnsi="Times New Roman" w:eastAsia="宋体" w:cs="Times New Roman"/>
                <w:color w:val="auto"/>
                <w:sz w:val="24"/>
                <w:szCs w:val="32"/>
                <w:highlight w:val="none"/>
                <w:lang w:eastAsia="zh-CN"/>
              </w:rPr>
            </w:pPr>
            <w:r>
              <w:rPr>
                <w:rFonts w:hint="default" w:ascii="Times New Roman" w:hAnsi="Times New Roman" w:eastAsia="宋体" w:cs="Times New Roman"/>
                <w:b/>
                <w:bCs/>
                <w:color w:val="auto"/>
                <w:sz w:val="24"/>
                <w:szCs w:val="32"/>
                <w:lang w:val="en-US" w:eastAsia="zh-CN"/>
              </w:rPr>
              <w:t>（2）路段等声级线图</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35"/>
              <w:gridCol w:w="4205"/>
            </w:tblGrid>
            <w:tr w14:paraId="24F49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5" w:type="dxa"/>
                </w:tcPr>
                <w:p w14:paraId="2B9081E3">
                  <w:pPr>
                    <w:jc w:val="center"/>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lang w:eastAsia="zh-CN"/>
                    </w:rPr>
                    <w:drawing>
                      <wp:inline distT="0" distB="0" distL="114300" distR="114300">
                        <wp:extent cx="2540635" cy="3452495"/>
                        <wp:effectExtent l="0" t="0" r="12065" b="14605"/>
                        <wp:docPr id="38" name="图片 38" descr="2026年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26年昼"/>
                                <pic:cNvPicPr>
                                  <a:picLocks noChangeAspect="1"/>
                                </pic:cNvPicPr>
                              </pic:nvPicPr>
                              <pic:blipFill>
                                <a:blip r:embed="rId59"/>
                                <a:stretch>
                                  <a:fillRect/>
                                </a:stretch>
                              </pic:blipFill>
                              <pic:spPr>
                                <a:xfrm>
                                  <a:off x="0" y="0"/>
                                  <a:ext cx="2540635" cy="3452495"/>
                                </a:xfrm>
                                <a:prstGeom prst="rect">
                                  <a:avLst/>
                                </a:prstGeom>
                              </pic:spPr>
                            </pic:pic>
                          </a:graphicData>
                        </a:graphic>
                      </wp:inline>
                    </w:drawing>
                  </w:r>
                </w:p>
              </w:tc>
              <w:tc>
                <w:tcPr>
                  <w:tcW w:w="4225" w:type="dxa"/>
                </w:tcPr>
                <w:p w14:paraId="2A98B404">
                  <w:pPr>
                    <w:jc w:val="center"/>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lang w:eastAsia="zh-CN"/>
                    </w:rPr>
                    <w:drawing>
                      <wp:inline distT="0" distB="0" distL="114300" distR="114300">
                        <wp:extent cx="2529840" cy="3298190"/>
                        <wp:effectExtent l="0" t="0" r="3810" b="16510"/>
                        <wp:docPr id="43" name="图片 43" descr="2026年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026年夜"/>
                                <pic:cNvPicPr>
                                  <a:picLocks noChangeAspect="1"/>
                                </pic:cNvPicPr>
                              </pic:nvPicPr>
                              <pic:blipFill>
                                <a:blip r:embed="rId60"/>
                                <a:stretch>
                                  <a:fillRect/>
                                </a:stretch>
                              </pic:blipFill>
                              <pic:spPr>
                                <a:xfrm>
                                  <a:off x="0" y="0"/>
                                  <a:ext cx="2529840" cy="3298190"/>
                                </a:xfrm>
                                <a:prstGeom prst="rect">
                                  <a:avLst/>
                                </a:prstGeom>
                              </pic:spPr>
                            </pic:pic>
                          </a:graphicData>
                        </a:graphic>
                      </wp:inline>
                    </w:drawing>
                  </w:r>
                </w:p>
              </w:tc>
            </w:tr>
            <w:tr w14:paraId="0B03C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5" w:type="dxa"/>
                  <w:vAlign w:val="center"/>
                </w:tcPr>
                <w:p w14:paraId="58FC5C83">
                  <w:pPr>
                    <w:jc w:val="center"/>
                    <w:rPr>
                      <w:rFonts w:hint="default" w:ascii="Times New Roman" w:hAnsi="Times New Roman" w:cs="Times New Roman"/>
                      <w:b/>
                      <w:bCs/>
                      <w:color w:val="auto"/>
                      <w:highlight w:val="none"/>
                      <w:lang w:eastAsia="zh-CN"/>
                    </w:rPr>
                  </w:pPr>
                  <w:r>
                    <w:rPr>
                      <w:rFonts w:hint="eastAsia" w:ascii="Times New Roman" w:hAnsi="Times New Roman" w:cs="Times New Roman"/>
                      <w:b/>
                      <w:bCs/>
                      <w:color w:val="auto"/>
                      <w:highlight w:val="none"/>
                      <w:lang w:eastAsia="zh-CN"/>
                    </w:rPr>
                    <w:t>2026年</w:t>
                  </w:r>
                  <w:r>
                    <w:rPr>
                      <w:rFonts w:hint="default" w:ascii="Times New Roman" w:hAnsi="Times New Roman" w:cs="Times New Roman"/>
                      <w:b/>
                      <w:bCs/>
                      <w:color w:val="auto"/>
                      <w:highlight w:val="none"/>
                    </w:rPr>
                    <w:t>昼间贡献值</w:t>
                  </w:r>
                </w:p>
              </w:tc>
              <w:tc>
                <w:tcPr>
                  <w:tcW w:w="4225" w:type="dxa"/>
                  <w:vAlign w:val="center"/>
                </w:tcPr>
                <w:p w14:paraId="0909FACD">
                  <w:pPr>
                    <w:jc w:val="center"/>
                    <w:rPr>
                      <w:rFonts w:hint="default" w:ascii="Times New Roman" w:hAnsi="Times New Roman" w:cs="Times New Roman"/>
                      <w:b/>
                      <w:bCs/>
                      <w:color w:val="auto"/>
                      <w:highlight w:val="none"/>
                      <w:lang w:eastAsia="zh-CN"/>
                    </w:rPr>
                  </w:pPr>
                  <w:r>
                    <w:rPr>
                      <w:rFonts w:hint="eastAsia" w:ascii="Times New Roman" w:hAnsi="Times New Roman" w:cs="Times New Roman"/>
                      <w:b/>
                      <w:bCs/>
                      <w:color w:val="auto"/>
                      <w:highlight w:val="none"/>
                      <w:lang w:eastAsia="zh-CN"/>
                    </w:rPr>
                    <w:t>2026年</w:t>
                  </w:r>
                  <w:r>
                    <w:rPr>
                      <w:rFonts w:hint="default" w:ascii="Times New Roman" w:hAnsi="Times New Roman" w:cs="Times New Roman"/>
                      <w:b/>
                      <w:bCs/>
                      <w:color w:val="auto"/>
                      <w:highlight w:val="none"/>
                    </w:rPr>
                    <w:t>夜间贡献值</w:t>
                  </w:r>
                </w:p>
              </w:tc>
            </w:tr>
            <w:tr w14:paraId="7F2F5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5" w:type="dxa"/>
                </w:tcPr>
                <w:p w14:paraId="55A24B77">
                  <w:pPr>
                    <w:jc w:val="center"/>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lang w:eastAsia="zh-CN"/>
                    </w:rPr>
                    <w:drawing>
                      <wp:inline distT="0" distB="0" distL="114300" distR="114300">
                        <wp:extent cx="2550160" cy="3434715"/>
                        <wp:effectExtent l="0" t="0" r="2540" b="13335"/>
                        <wp:docPr id="44" name="图片 44" descr="2032年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032年昼"/>
                                <pic:cNvPicPr>
                                  <a:picLocks noChangeAspect="1"/>
                                </pic:cNvPicPr>
                              </pic:nvPicPr>
                              <pic:blipFill>
                                <a:blip r:embed="rId61"/>
                                <a:stretch>
                                  <a:fillRect/>
                                </a:stretch>
                              </pic:blipFill>
                              <pic:spPr>
                                <a:xfrm>
                                  <a:off x="0" y="0"/>
                                  <a:ext cx="2550160" cy="3434715"/>
                                </a:xfrm>
                                <a:prstGeom prst="rect">
                                  <a:avLst/>
                                </a:prstGeom>
                              </pic:spPr>
                            </pic:pic>
                          </a:graphicData>
                        </a:graphic>
                      </wp:inline>
                    </w:drawing>
                  </w:r>
                </w:p>
              </w:tc>
              <w:tc>
                <w:tcPr>
                  <w:tcW w:w="4225" w:type="dxa"/>
                </w:tcPr>
                <w:p w14:paraId="2236C046">
                  <w:pPr>
                    <w:jc w:val="center"/>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lang w:eastAsia="zh-CN"/>
                    </w:rPr>
                    <w:drawing>
                      <wp:inline distT="0" distB="0" distL="114300" distR="114300">
                        <wp:extent cx="2531745" cy="3096895"/>
                        <wp:effectExtent l="0" t="0" r="1905" b="8255"/>
                        <wp:docPr id="45" name="图片 45" descr="2032年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032年夜"/>
                                <pic:cNvPicPr>
                                  <a:picLocks noChangeAspect="1"/>
                                </pic:cNvPicPr>
                              </pic:nvPicPr>
                              <pic:blipFill>
                                <a:blip r:embed="rId62"/>
                                <a:stretch>
                                  <a:fillRect/>
                                </a:stretch>
                              </pic:blipFill>
                              <pic:spPr>
                                <a:xfrm>
                                  <a:off x="0" y="0"/>
                                  <a:ext cx="2531745" cy="3096895"/>
                                </a:xfrm>
                                <a:prstGeom prst="rect">
                                  <a:avLst/>
                                </a:prstGeom>
                              </pic:spPr>
                            </pic:pic>
                          </a:graphicData>
                        </a:graphic>
                      </wp:inline>
                    </w:drawing>
                  </w:r>
                </w:p>
              </w:tc>
            </w:tr>
            <w:tr w14:paraId="57286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5" w:type="dxa"/>
                  <w:vAlign w:val="center"/>
                </w:tcPr>
                <w:p w14:paraId="4098334E">
                  <w:pPr>
                    <w:jc w:val="center"/>
                    <w:rPr>
                      <w:rFonts w:hint="default" w:ascii="Times New Roman" w:hAnsi="Times New Roman" w:cs="Times New Roman"/>
                      <w:b/>
                      <w:bCs/>
                      <w:color w:val="auto"/>
                      <w:highlight w:val="none"/>
                      <w:lang w:eastAsia="zh-CN"/>
                    </w:rPr>
                  </w:pPr>
                  <w:r>
                    <w:rPr>
                      <w:rFonts w:hint="eastAsia" w:ascii="Times New Roman" w:hAnsi="Times New Roman" w:cs="Times New Roman"/>
                      <w:b/>
                      <w:bCs/>
                      <w:color w:val="auto"/>
                      <w:highlight w:val="none"/>
                      <w:lang w:eastAsia="zh-CN"/>
                    </w:rPr>
                    <w:t>2032年</w:t>
                  </w:r>
                  <w:r>
                    <w:rPr>
                      <w:rFonts w:hint="default" w:ascii="Times New Roman" w:hAnsi="Times New Roman" w:cs="Times New Roman"/>
                      <w:b/>
                      <w:bCs/>
                      <w:color w:val="auto"/>
                      <w:highlight w:val="none"/>
                    </w:rPr>
                    <w:t>昼间贡献值</w:t>
                  </w:r>
                </w:p>
              </w:tc>
              <w:tc>
                <w:tcPr>
                  <w:tcW w:w="4225" w:type="dxa"/>
                  <w:vAlign w:val="center"/>
                </w:tcPr>
                <w:p w14:paraId="371E8E86">
                  <w:pPr>
                    <w:jc w:val="center"/>
                    <w:rPr>
                      <w:rFonts w:hint="default" w:ascii="Times New Roman" w:hAnsi="Times New Roman" w:cs="Times New Roman"/>
                      <w:b/>
                      <w:bCs/>
                      <w:color w:val="auto"/>
                      <w:highlight w:val="none"/>
                      <w:lang w:eastAsia="zh-CN"/>
                    </w:rPr>
                  </w:pPr>
                  <w:r>
                    <w:rPr>
                      <w:rFonts w:hint="eastAsia" w:ascii="Times New Roman" w:hAnsi="Times New Roman" w:cs="Times New Roman"/>
                      <w:b/>
                      <w:bCs/>
                      <w:color w:val="auto"/>
                      <w:highlight w:val="none"/>
                      <w:lang w:eastAsia="zh-CN"/>
                    </w:rPr>
                    <w:t>2032年</w:t>
                  </w:r>
                  <w:r>
                    <w:rPr>
                      <w:rFonts w:hint="default" w:ascii="Times New Roman" w:hAnsi="Times New Roman" w:cs="Times New Roman"/>
                      <w:b/>
                      <w:bCs/>
                      <w:color w:val="auto"/>
                      <w:highlight w:val="none"/>
                    </w:rPr>
                    <w:t>夜间贡献值</w:t>
                  </w:r>
                </w:p>
              </w:tc>
            </w:tr>
            <w:tr w14:paraId="1D607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5" w:type="dxa"/>
                </w:tcPr>
                <w:p w14:paraId="721A574E">
                  <w:pPr>
                    <w:jc w:val="center"/>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lang w:eastAsia="zh-CN"/>
                    </w:rPr>
                    <w:drawing>
                      <wp:inline distT="0" distB="0" distL="114300" distR="114300">
                        <wp:extent cx="2550795" cy="3226435"/>
                        <wp:effectExtent l="0" t="0" r="1905" b="12065"/>
                        <wp:docPr id="52" name="图片 52" descr="2040年昼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040年昼间"/>
                                <pic:cNvPicPr>
                                  <a:picLocks noChangeAspect="1"/>
                                </pic:cNvPicPr>
                              </pic:nvPicPr>
                              <pic:blipFill>
                                <a:blip r:embed="rId63"/>
                                <a:stretch>
                                  <a:fillRect/>
                                </a:stretch>
                              </pic:blipFill>
                              <pic:spPr>
                                <a:xfrm>
                                  <a:off x="0" y="0"/>
                                  <a:ext cx="2550795" cy="3226435"/>
                                </a:xfrm>
                                <a:prstGeom prst="rect">
                                  <a:avLst/>
                                </a:prstGeom>
                              </pic:spPr>
                            </pic:pic>
                          </a:graphicData>
                        </a:graphic>
                      </wp:inline>
                    </w:drawing>
                  </w:r>
                </w:p>
              </w:tc>
              <w:tc>
                <w:tcPr>
                  <w:tcW w:w="4225" w:type="dxa"/>
                </w:tcPr>
                <w:p w14:paraId="5EE86B53">
                  <w:pPr>
                    <w:jc w:val="center"/>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lang w:eastAsia="zh-CN"/>
                    </w:rPr>
                    <w:drawing>
                      <wp:inline distT="0" distB="0" distL="114300" distR="114300">
                        <wp:extent cx="2529205" cy="3296920"/>
                        <wp:effectExtent l="0" t="0" r="4445" b="17780"/>
                        <wp:docPr id="53" name="图片 53" descr="2040年夜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040年夜间"/>
                                <pic:cNvPicPr>
                                  <a:picLocks noChangeAspect="1"/>
                                </pic:cNvPicPr>
                              </pic:nvPicPr>
                              <pic:blipFill>
                                <a:blip r:embed="rId64"/>
                                <a:stretch>
                                  <a:fillRect/>
                                </a:stretch>
                              </pic:blipFill>
                              <pic:spPr>
                                <a:xfrm>
                                  <a:off x="0" y="0"/>
                                  <a:ext cx="2529205" cy="3296920"/>
                                </a:xfrm>
                                <a:prstGeom prst="rect">
                                  <a:avLst/>
                                </a:prstGeom>
                              </pic:spPr>
                            </pic:pic>
                          </a:graphicData>
                        </a:graphic>
                      </wp:inline>
                    </w:drawing>
                  </w:r>
                </w:p>
              </w:tc>
            </w:tr>
            <w:tr w14:paraId="1776D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5" w:type="dxa"/>
                  <w:vAlign w:val="center"/>
                </w:tcPr>
                <w:p w14:paraId="2E152D76">
                  <w:pPr>
                    <w:jc w:val="center"/>
                    <w:rPr>
                      <w:rFonts w:hint="default" w:ascii="Times New Roman" w:hAnsi="Times New Roman" w:cs="Times New Roman"/>
                      <w:b/>
                      <w:bCs/>
                      <w:color w:val="auto"/>
                      <w:highlight w:val="none"/>
                      <w:lang w:eastAsia="zh-CN"/>
                    </w:rPr>
                  </w:pPr>
                  <w:r>
                    <w:rPr>
                      <w:rFonts w:hint="eastAsia" w:ascii="Times New Roman" w:hAnsi="Times New Roman" w:cs="Times New Roman"/>
                      <w:b/>
                      <w:bCs/>
                      <w:color w:val="auto"/>
                      <w:highlight w:val="none"/>
                      <w:lang w:eastAsia="zh-CN"/>
                    </w:rPr>
                    <w:t>2040年</w:t>
                  </w:r>
                  <w:r>
                    <w:rPr>
                      <w:rFonts w:hint="default" w:ascii="Times New Roman" w:hAnsi="Times New Roman" w:cs="Times New Roman"/>
                      <w:b/>
                      <w:bCs/>
                      <w:color w:val="auto"/>
                      <w:highlight w:val="none"/>
                    </w:rPr>
                    <w:t>昼间贡献值</w:t>
                  </w:r>
                </w:p>
              </w:tc>
              <w:tc>
                <w:tcPr>
                  <w:tcW w:w="4225" w:type="dxa"/>
                  <w:vAlign w:val="center"/>
                </w:tcPr>
                <w:p w14:paraId="38CEDC71">
                  <w:pPr>
                    <w:jc w:val="center"/>
                    <w:rPr>
                      <w:rFonts w:hint="default" w:ascii="Times New Roman" w:hAnsi="Times New Roman" w:cs="Times New Roman"/>
                      <w:b/>
                      <w:bCs/>
                      <w:color w:val="auto"/>
                      <w:highlight w:val="none"/>
                      <w:lang w:eastAsia="zh-CN"/>
                    </w:rPr>
                  </w:pPr>
                  <w:r>
                    <w:rPr>
                      <w:rFonts w:hint="eastAsia" w:ascii="Times New Roman" w:hAnsi="Times New Roman" w:cs="Times New Roman"/>
                      <w:b/>
                      <w:bCs/>
                      <w:color w:val="auto"/>
                      <w:highlight w:val="none"/>
                      <w:lang w:eastAsia="zh-CN"/>
                    </w:rPr>
                    <w:t>2040年</w:t>
                  </w:r>
                  <w:r>
                    <w:rPr>
                      <w:rFonts w:hint="default" w:ascii="Times New Roman" w:hAnsi="Times New Roman" w:cs="Times New Roman"/>
                      <w:b/>
                      <w:bCs/>
                      <w:color w:val="auto"/>
                      <w:highlight w:val="none"/>
                    </w:rPr>
                    <w:t>夜间贡献值</w:t>
                  </w:r>
                </w:p>
              </w:tc>
            </w:tr>
          </w:tbl>
          <w:p w14:paraId="45BFA0E5">
            <w:pPr>
              <w:adjustRightInd w:val="0"/>
              <w:snapToGrid w:val="0"/>
              <w:spacing w:line="360" w:lineRule="auto"/>
              <w:ind w:firstLine="422" w:firstLineChars="200"/>
              <w:jc w:val="center"/>
              <w:rPr>
                <w:rFonts w:hint="default" w:ascii="Times New Roman" w:hAnsi="Times New Roman" w:eastAsia="宋体" w:cs="Times New Roman"/>
                <w:color w:val="auto"/>
                <w:sz w:val="24"/>
                <w:szCs w:val="32"/>
                <w:highlight w:val="none"/>
              </w:rPr>
            </w:pPr>
            <w:r>
              <w:rPr>
                <w:rFonts w:hint="default" w:ascii="Times New Roman" w:hAnsi="Times New Roman" w:cs="Times New Roman"/>
                <w:b/>
                <w:color w:val="auto"/>
                <w:highlight w:val="none"/>
              </w:rPr>
              <w:t>图4-</w:t>
            </w:r>
            <w:r>
              <w:rPr>
                <w:rFonts w:hint="default" w:ascii="Times New Roman" w:hAnsi="Times New Roman" w:cs="Times New Roman"/>
                <w:b/>
                <w:color w:val="auto"/>
                <w:highlight w:val="none"/>
                <w:lang w:val="en-US" w:eastAsia="zh-CN"/>
              </w:rPr>
              <w:t>7</w:t>
            </w:r>
            <w:r>
              <w:rPr>
                <w:rFonts w:hint="default" w:ascii="Times New Roman" w:hAnsi="Times New Roman" w:cs="Times New Roman"/>
                <w:b/>
                <w:color w:val="auto"/>
                <w:highlight w:val="none"/>
              </w:rPr>
              <w:t xml:space="preserve">  路段噪声贡献值等声级线图</w:t>
            </w:r>
          </w:p>
          <w:p w14:paraId="69EBC852">
            <w:pPr>
              <w:adjustRightInd w:val="0"/>
              <w:snapToGrid w:val="0"/>
              <w:spacing w:line="360" w:lineRule="auto"/>
              <w:ind w:firstLine="482" w:firstLineChars="200"/>
              <w:rPr>
                <w:rFonts w:hint="default" w:ascii="Times New Roman" w:hAnsi="Times New Roman" w:eastAsia="宋体" w:cs="Times New Roman"/>
                <w:b/>
                <w:bCs/>
                <w:color w:val="auto"/>
                <w:sz w:val="24"/>
                <w:szCs w:val="32"/>
                <w:highlight w:val="none"/>
                <w:lang w:eastAsia="zh-CN"/>
              </w:rPr>
            </w:pPr>
            <w:r>
              <w:rPr>
                <w:rFonts w:hint="default" w:ascii="Times New Roman" w:hAnsi="Times New Roman" w:cs="Times New Roman"/>
                <w:b/>
                <w:bCs/>
                <w:color w:val="auto"/>
                <w:sz w:val="24"/>
                <w:szCs w:val="32"/>
                <w:highlight w:val="none"/>
                <w:lang w:val="en-US" w:eastAsia="zh-CN"/>
              </w:rPr>
              <w:t>5、</w:t>
            </w:r>
            <w:r>
              <w:rPr>
                <w:rFonts w:hint="default" w:ascii="Times New Roman" w:hAnsi="Times New Roman" w:cs="Times New Roman"/>
                <w:b/>
                <w:bCs/>
                <w:color w:val="auto"/>
                <w:sz w:val="24"/>
                <w:szCs w:val="32"/>
                <w:highlight w:val="none"/>
                <w:lang w:eastAsia="zh-CN"/>
              </w:rPr>
              <w:t>固体废物</w:t>
            </w:r>
          </w:p>
          <w:p w14:paraId="15B091BB">
            <w:pPr>
              <w:pStyle w:val="54"/>
              <w:ind w:firstLine="480"/>
              <w:rPr>
                <w:rFonts w:hint="default" w:ascii="Times New Roman" w:hAnsi="Times New Roman" w:cs="Times New Roman"/>
                <w:color w:val="auto"/>
                <w:sz w:val="24"/>
                <w:szCs w:val="32"/>
              </w:rPr>
            </w:pPr>
            <w:r>
              <w:rPr>
                <w:rFonts w:hint="default" w:ascii="Times New Roman" w:hAnsi="Times New Roman" w:cs="Times New Roman"/>
                <w:color w:val="auto"/>
                <w:sz w:val="24"/>
                <w:szCs w:val="32"/>
                <w:highlight w:val="none"/>
              </w:rPr>
              <w:t>道路建成通车后，当地交通更为便捷，给人们日常生活和工作带来了极大</w:t>
            </w:r>
            <w:r>
              <w:rPr>
                <w:rFonts w:hint="eastAsia" w:cs="Times New Roman"/>
                <w:color w:val="auto"/>
                <w:sz w:val="24"/>
                <w:szCs w:val="32"/>
                <w:highlight w:val="none"/>
                <w:lang w:eastAsia="zh-CN"/>
              </w:rPr>
              <w:t>的</w:t>
            </w:r>
            <w:r>
              <w:rPr>
                <w:rFonts w:hint="default" w:ascii="Times New Roman" w:hAnsi="Times New Roman" w:cs="Times New Roman"/>
                <w:color w:val="auto"/>
                <w:sz w:val="24"/>
                <w:szCs w:val="32"/>
                <w:highlight w:val="none"/>
              </w:rPr>
              <w:t>便利，但同时交通垃圾如纸屑、果皮、塑料废弃物等也对沿线周边环境产生不利影响，即增加了道路养护的负</w:t>
            </w:r>
            <w:r>
              <w:rPr>
                <w:rFonts w:hint="default" w:ascii="Times New Roman" w:hAnsi="Times New Roman" w:cs="Times New Roman"/>
                <w:color w:val="auto"/>
                <w:sz w:val="24"/>
                <w:szCs w:val="32"/>
              </w:rPr>
              <w:t>担，又破坏了陆域景观的观赏性。为减轻交通垃圾对环境的影响，在道路两侧设分类垃圾收集箱，最终由环卫部门统一清运处理。</w:t>
            </w:r>
          </w:p>
          <w:p w14:paraId="0BFC2B8F">
            <w:pPr>
              <w:adjustRightInd w:val="0"/>
              <w:snapToGrid w:val="0"/>
              <w:spacing w:line="360" w:lineRule="auto"/>
              <w:ind w:firstLine="482" w:firstLineChars="200"/>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6、</w:t>
            </w:r>
            <w:r>
              <w:rPr>
                <w:rFonts w:hint="default" w:ascii="Times New Roman" w:hAnsi="Times New Roman" w:cs="Times New Roman"/>
                <w:b/>
                <w:bCs/>
                <w:color w:val="auto"/>
                <w:sz w:val="24"/>
                <w:szCs w:val="32"/>
              </w:rPr>
              <w:t>社会环境影响分析</w:t>
            </w:r>
          </w:p>
          <w:p w14:paraId="07E55D07">
            <w:pPr>
              <w:adjustRightInd w:val="0"/>
              <w:snapToGrid w:val="0"/>
              <w:spacing w:line="360" w:lineRule="auto"/>
              <w:ind w:firstLine="480" w:firstLineChars="200"/>
              <w:rPr>
                <w:rFonts w:hint="default" w:ascii="Times New Roman" w:hAnsi="Times New Roman" w:cs="Times New Roman"/>
                <w:b w:val="0"/>
                <w:bCs w:val="0"/>
                <w:color w:val="auto"/>
                <w:sz w:val="24"/>
                <w:szCs w:val="32"/>
                <w:highlight w:val="none"/>
              </w:rPr>
            </w:pPr>
            <w:r>
              <w:rPr>
                <w:rFonts w:hint="default" w:ascii="Times New Roman" w:hAnsi="Times New Roman" w:cs="Times New Roman"/>
                <w:b w:val="0"/>
                <w:bCs w:val="0"/>
                <w:color w:val="auto"/>
                <w:sz w:val="24"/>
                <w:szCs w:val="32"/>
              </w:rPr>
              <w:t>随着项目区域的建设，交通运输车辆日益增多，道路基础设施的迅速建设除满足交通发展的需要外，极大地改善了区域的交通运输条件，改善了当地人民生活条件，加快了经济和文化交流速度；同时，周围良好的交通环境的搭建为区域发展创造了良好的基础条件，是对外商贸流通、人员往来、经济合作、物质文化交流的重要通道，为经济发展创造了条件。总体来说，道路网络格局的形成，为当地居民提供了便</w:t>
            </w:r>
            <w:r>
              <w:rPr>
                <w:rFonts w:hint="default" w:ascii="Times New Roman" w:hAnsi="Times New Roman" w:cs="Times New Roman"/>
                <w:b w:val="0"/>
                <w:bCs w:val="0"/>
                <w:color w:val="auto"/>
                <w:sz w:val="24"/>
                <w:szCs w:val="32"/>
                <w:highlight w:val="none"/>
              </w:rPr>
              <w:t>利的交通，对生活环境的改善和经济的发展有一定积极作用，其社会环境效益显著。</w:t>
            </w:r>
          </w:p>
          <w:p w14:paraId="34CF8804">
            <w:pPr>
              <w:adjustRightInd w:val="0"/>
              <w:snapToGrid w:val="0"/>
              <w:spacing w:line="360" w:lineRule="auto"/>
              <w:ind w:firstLine="480" w:firstLineChars="200"/>
              <w:rPr>
                <w:rFonts w:hint="default" w:ascii="Times New Roman" w:hAnsi="Times New Roman" w:cs="Times New Roman"/>
                <w:b w:val="0"/>
                <w:bCs w:val="0"/>
                <w:color w:val="auto"/>
                <w:sz w:val="24"/>
                <w:szCs w:val="32"/>
              </w:rPr>
            </w:pPr>
          </w:p>
          <w:p w14:paraId="68417F54">
            <w:pPr>
              <w:adjustRightInd w:val="0"/>
              <w:snapToGrid w:val="0"/>
              <w:spacing w:line="360" w:lineRule="auto"/>
              <w:ind w:firstLine="480" w:firstLineChars="200"/>
              <w:rPr>
                <w:rFonts w:hint="default" w:ascii="Times New Roman" w:hAnsi="Times New Roman" w:cs="Times New Roman"/>
                <w:b w:val="0"/>
                <w:bCs w:val="0"/>
                <w:color w:val="auto"/>
                <w:sz w:val="24"/>
                <w:szCs w:val="32"/>
              </w:rPr>
            </w:pPr>
          </w:p>
          <w:p w14:paraId="190DF310">
            <w:pPr>
              <w:adjustRightInd w:val="0"/>
              <w:snapToGrid w:val="0"/>
              <w:spacing w:line="360" w:lineRule="auto"/>
              <w:ind w:firstLine="480" w:firstLineChars="200"/>
              <w:rPr>
                <w:rFonts w:hint="default" w:ascii="Times New Roman" w:hAnsi="Times New Roman" w:cs="Times New Roman"/>
                <w:b w:val="0"/>
                <w:bCs w:val="0"/>
                <w:color w:val="auto"/>
                <w:sz w:val="24"/>
                <w:szCs w:val="32"/>
              </w:rPr>
            </w:pPr>
          </w:p>
          <w:p w14:paraId="3B985AB0">
            <w:pPr>
              <w:adjustRightInd w:val="0"/>
              <w:snapToGrid w:val="0"/>
              <w:spacing w:line="360" w:lineRule="auto"/>
              <w:ind w:firstLine="420" w:firstLineChars="200"/>
              <w:rPr>
                <w:rFonts w:hint="default" w:ascii="Times New Roman" w:hAnsi="Times New Roman" w:cs="Times New Roman"/>
              </w:rPr>
            </w:pPr>
          </w:p>
        </w:tc>
      </w:tr>
      <w:tr w14:paraId="3BA0F8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53" w:hRule="atLeast"/>
          <w:jc w:val="center"/>
        </w:trPr>
        <w:tc>
          <w:tcPr>
            <w:tcW w:w="314" w:type="dxa"/>
            <w:noWrap w:val="0"/>
            <w:tcMar>
              <w:left w:w="28" w:type="dxa"/>
              <w:right w:w="28" w:type="dxa"/>
            </w:tcMar>
            <w:vAlign w:val="center"/>
          </w:tcPr>
          <w:p w14:paraId="255C6240">
            <w:pPr>
              <w:pStyle w:val="27"/>
              <w:adjustRightInd w:val="0"/>
              <w:snapToGrid w:val="0"/>
              <w:spacing w:before="0" w:beforeAutospacing="0" w:after="0" w:afterAutospacing="0"/>
              <w:jc w:val="center"/>
              <w:rPr>
                <w:rFonts w:hint="default" w:ascii="Times New Roman" w:hAnsi="Times New Roman" w:cs="Times New Roman"/>
                <w:b/>
                <w:bCs w:val="0"/>
                <w:color w:val="auto"/>
                <w:spacing w:val="10"/>
                <w:kern w:val="2"/>
              </w:rPr>
            </w:pPr>
            <w:r>
              <w:rPr>
                <w:rFonts w:hint="default" w:ascii="Times New Roman" w:hAnsi="Times New Roman" w:cs="Times New Roman"/>
                <w:b/>
                <w:bCs w:val="0"/>
                <w:color w:val="auto"/>
                <w:spacing w:val="10"/>
                <w:kern w:val="2"/>
              </w:rPr>
              <w:t>选址选线环境合理性分析</w:t>
            </w:r>
          </w:p>
        </w:tc>
        <w:tc>
          <w:tcPr>
            <w:tcW w:w="8666" w:type="dxa"/>
            <w:noWrap w:val="0"/>
            <w:vAlign w:val="top"/>
          </w:tcPr>
          <w:p w14:paraId="04285433">
            <w:pPr>
              <w:pStyle w:val="54"/>
              <w:ind w:firstLine="480"/>
              <w:rPr>
                <w:rFonts w:hint="default" w:ascii="Times New Roman" w:hAnsi="Times New Roman" w:eastAsia="宋体" w:cs="Times New Roman"/>
                <w:b/>
                <w:bCs w:val="0"/>
                <w:sz w:val="24"/>
                <w:highlight w:val="none"/>
                <w:lang w:val="en-US" w:eastAsia="zh-CN"/>
              </w:rPr>
            </w:pPr>
            <w:r>
              <w:rPr>
                <w:rFonts w:hint="eastAsia" w:ascii="Times New Roman" w:hAnsi="Times New Roman" w:eastAsia="宋体" w:cs="Times New Roman"/>
                <w:b/>
                <w:bCs w:val="0"/>
                <w:sz w:val="24"/>
                <w:highlight w:val="none"/>
                <w:lang w:val="en-US" w:eastAsia="zh-CN"/>
              </w:rPr>
              <w:t>1、</w:t>
            </w:r>
            <w:r>
              <w:rPr>
                <w:rFonts w:hint="default" w:ascii="Times New Roman" w:hAnsi="Times New Roman" w:eastAsia="宋体" w:cs="Times New Roman"/>
                <w:b/>
                <w:bCs w:val="0"/>
                <w:sz w:val="24"/>
                <w:highlight w:val="none"/>
                <w:lang w:val="en-US" w:eastAsia="zh-CN"/>
              </w:rPr>
              <w:t>路线</w:t>
            </w:r>
            <w:r>
              <w:rPr>
                <w:rFonts w:hint="eastAsia" w:ascii="Times New Roman" w:hAnsi="Times New Roman" w:eastAsia="宋体" w:cs="Times New Roman"/>
                <w:b/>
                <w:bCs w:val="0"/>
                <w:sz w:val="24"/>
                <w:highlight w:val="none"/>
                <w:lang w:val="en-US" w:eastAsia="zh-CN"/>
              </w:rPr>
              <w:t>选择合理性分析</w:t>
            </w:r>
          </w:p>
          <w:p w14:paraId="4889F2CA">
            <w:pPr>
              <w:pStyle w:val="54"/>
              <w:ind w:firstLine="480"/>
              <w:rPr>
                <w:rFonts w:hint="default" w:ascii="Times New Roman" w:hAnsi="Times New Roman" w:eastAsia="宋体" w:cs="Times New Roman"/>
                <w:bCs/>
                <w:sz w:val="24"/>
                <w:highlight w:val="none"/>
                <w:lang w:val="en-US" w:eastAsia="zh-CN"/>
              </w:rPr>
            </w:pPr>
            <w:r>
              <w:rPr>
                <w:rFonts w:hint="eastAsia" w:cs="Times New Roman"/>
                <w:bCs/>
                <w:sz w:val="24"/>
                <w:highlight w:val="none"/>
                <w:lang w:val="en-US" w:eastAsia="zh-CN"/>
              </w:rPr>
              <w:t>本</w:t>
            </w:r>
            <w:r>
              <w:rPr>
                <w:rFonts w:hint="eastAsia" w:ascii="Times New Roman" w:hAnsi="Times New Roman" w:eastAsia="宋体" w:cs="Times New Roman"/>
                <w:bCs/>
                <w:sz w:val="24"/>
                <w:highlight w:val="none"/>
                <w:lang w:val="en-US" w:eastAsia="zh-CN"/>
              </w:rPr>
              <w:t>项目</w:t>
            </w:r>
            <w:r>
              <w:rPr>
                <w:rFonts w:hint="default" w:ascii="Times New Roman" w:hAnsi="Times New Roman" w:eastAsia="宋体" w:cs="Times New Roman"/>
                <w:bCs/>
                <w:sz w:val="24"/>
                <w:highlight w:val="none"/>
                <w:lang w:val="en-US" w:eastAsia="zh-CN"/>
              </w:rPr>
              <w:t>在现状道路的基础上进行拓宽和</w:t>
            </w:r>
            <w:r>
              <w:rPr>
                <w:rFonts w:hint="eastAsia" w:ascii="Times New Roman" w:hAnsi="Times New Roman" w:eastAsia="宋体" w:cs="Times New Roman"/>
                <w:bCs/>
                <w:sz w:val="24"/>
                <w:highlight w:val="none"/>
                <w:lang w:val="en-US" w:eastAsia="zh-CN"/>
              </w:rPr>
              <w:t>改线</w:t>
            </w:r>
            <w:r>
              <w:rPr>
                <w:rFonts w:hint="default" w:ascii="Times New Roman" w:hAnsi="Times New Roman" w:eastAsia="宋体" w:cs="Times New Roman"/>
                <w:bCs/>
                <w:sz w:val="24"/>
                <w:highlight w:val="none"/>
                <w:lang w:val="en-US" w:eastAsia="zh-CN"/>
              </w:rPr>
              <w:t>，工程选线也是唯一的。</w:t>
            </w:r>
          </w:p>
          <w:p w14:paraId="32525128">
            <w:pPr>
              <w:pStyle w:val="54"/>
              <w:ind w:firstLine="480"/>
              <w:rPr>
                <w:rFonts w:hint="default" w:ascii="Times New Roman" w:hAnsi="Times New Roman" w:eastAsia="宋体" w:cs="Times New Roman"/>
                <w:b/>
                <w:bCs w:val="0"/>
                <w:sz w:val="24"/>
                <w:highlight w:val="none"/>
                <w:lang w:val="en-US" w:eastAsia="zh-CN"/>
              </w:rPr>
            </w:pPr>
            <w:r>
              <w:rPr>
                <w:rFonts w:hint="eastAsia" w:cs="Times New Roman"/>
                <w:b/>
                <w:bCs/>
                <w:color w:val="auto"/>
                <w:sz w:val="24"/>
                <w:szCs w:val="32"/>
                <w:highlight w:val="none"/>
                <w:lang w:val="en-US" w:eastAsia="zh-CN"/>
              </w:rPr>
              <w:t>2</w:t>
            </w:r>
            <w:r>
              <w:rPr>
                <w:rFonts w:hint="default" w:ascii="Times New Roman" w:hAnsi="Times New Roman" w:cs="Times New Roman"/>
                <w:b/>
                <w:bCs/>
                <w:color w:val="auto"/>
                <w:sz w:val="24"/>
                <w:szCs w:val="32"/>
                <w:highlight w:val="none"/>
                <w:lang w:val="en-US" w:eastAsia="zh-CN"/>
              </w:rPr>
              <w:t>、</w:t>
            </w:r>
            <w:r>
              <w:rPr>
                <w:rFonts w:hint="default" w:ascii="Times New Roman" w:hAnsi="Times New Roman" w:eastAsia="宋体" w:cs="Times New Roman"/>
                <w:b/>
                <w:bCs w:val="0"/>
                <w:sz w:val="24"/>
                <w:highlight w:val="none"/>
                <w:lang w:val="en-US" w:eastAsia="zh-CN"/>
              </w:rPr>
              <w:t>取弃土场、临时堆土场设置合理性分析</w:t>
            </w:r>
          </w:p>
          <w:p w14:paraId="3FBD4D6D">
            <w:pPr>
              <w:pStyle w:val="54"/>
              <w:ind w:firstLine="480"/>
              <w:rPr>
                <w:rFonts w:hint="default" w:ascii="Times New Roman" w:hAnsi="Times New Roman" w:eastAsia="宋体" w:cs="Times New Roman"/>
                <w:bCs/>
                <w:sz w:val="24"/>
                <w:highlight w:val="none"/>
                <w:lang w:val="en-US" w:eastAsia="zh-CN"/>
              </w:rPr>
            </w:pPr>
            <w:r>
              <w:rPr>
                <w:rFonts w:hint="eastAsia" w:cs="Times New Roman"/>
                <w:bCs/>
                <w:sz w:val="24"/>
                <w:highlight w:val="none"/>
                <w:lang w:val="en-US" w:eastAsia="zh-CN"/>
              </w:rPr>
              <w:t>根据设计资料，</w:t>
            </w:r>
            <w:r>
              <w:rPr>
                <w:rFonts w:hint="default" w:ascii="Times New Roman" w:hAnsi="Times New Roman" w:eastAsia="宋体" w:cs="Times New Roman"/>
                <w:bCs/>
                <w:sz w:val="24"/>
                <w:highlight w:val="none"/>
                <w:lang w:val="en-US" w:eastAsia="zh-CN"/>
              </w:rPr>
              <w:t>项目不设取（弃）土场，所需借方全部为其他项目多余土方利用或外购，</w:t>
            </w:r>
            <w:r>
              <w:rPr>
                <w:rFonts w:hint="eastAsia" w:cs="Times New Roman"/>
                <w:bCs/>
                <w:sz w:val="24"/>
                <w:highlight w:val="none"/>
                <w:lang w:val="en-US" w:eastAsia="zh-CN"/>
              </w:rPr>
              <w:t>方案要求</w:t>
            </w:r>
            <w:r>
              <w:rPr>
                <w:rFonts w:hint="default" w:ascii="Times New Roman" w:hAnsi="Times New Roman" w:eastAsia="宋体" w:cs="Times New Roman"/>
                <w:bCs/>
                <w:sz w:val="24"/>
                <w:highlight w:val="none"/>
                <w:lang w:val="en-US" w:eastAsia="zh-CN"/>
              </w:rPr>
              <w:t>弃方外运至同期实施项目进行综合利用，不得随意外弃。</w:t>
            </w:r>
          </w:p>
          <w:p w14:paraId="6B92FC99">
            <w:pPr>
              <w:pStyle w:val="54"/>
              <w:ind w:firstLine="480"/>
              <w:rPr>
                <w:rFonts w:hint="default" w:ascii="Times New Roman" w:hAnsi="Times New Roman" w:eastAsia="宋体" w:cs="Times New Roman"/>
                <w:b/>
                <w:bCs w:val="0"/>
                <w:sz w:val="24"/>
                <w:highlight w:val="none"/>
                <w:lang w:val="en-US" w:eastAsia="zh-CN"/>
              </w:rPr>
            </w:pPr>
            <w:r>
              <w:rPr>
                <w:rFonts w:hint="eastAsia" w:cs="Times New Roman"/>
                <w:b/>
                <w:bCs w:val="0"/>
                <w:sz w:val="24"/>
                <w:highlight w:val="none"/>
                <w:lang w:val="en-US" w:eastAsia="zh-CN"/>
              </w:rPr>
              <w:t>3、</w:t>
            </w:r>
            <w:r>
              <w:rPr>
                <w:rFonts w:hint="default" w:ascii="Times New Roman" w:hAnsi="Times New Roman" w:eastAsia="宋体" w:cs="Times New Roman"/>
                <w:b/>
                <w:bCs w:val="0"/>
                <w:sz w:val="24"/>
                <w:highlight w:val="none"/>
                <w:lang w:val="en-US" w:eastAsia="zh-CN"/>
              </w:rPr>
              <w:t>临时堆土场</w:t>
            </w:r>
          </w:p>
          <w:p w14:paraId="324A086F">
            <w:pPr>
              <w:pStyle w:val="54"/>
              <w:ind w:firstLine="480"/>
              <w:rPr>
                <w:rFonts w:hint="default" w:ascii="Times New Roman" w:hAnsi="Times New Roman" w:eastAsia="宋体" w:cs="Times New Roman"/>
                <w:bCs/>
                <w:sz w:val="24"/>
                <w:highlight w:val="none"/>
                <w:lang w:val="en-US" w:eastAsia="zh-CN"/>
              </w:rPr>
            </w:pPr>
            <w:r>
              <w:rPr>
                <w:rFonts w:hint="default" w:ascii="Times New Roman" w:hAnsi="Times New Roman" w:eastAsia="宋体" w:cs="Times New Roman"/>
                <w:bCs/>
                <w:sz w:val="24"/>
                <w:highlight w:val="none"/>
                <w:lang w:val="en-US" w:eastAsia="zh-CN"/>
              </w:rPr>
              <w:t>本项目清基土、排水沟开挖土方及弃方涉及临时堆存，土方堆存于永久占地范围内道路边坡区域，不设置场外临时堆土场。通过采取苫盖、洒水等措施，临时堆土场的设置对所在区域环境空气、地表水环境影响较小。</w:t>
            </w:r>
          </w:p>
          <w:p w14:paraId="1894C56C">
            <w:pPr>
              <w:pStyle w:val="54"/>
              <w:ind w:firstLine="480"/>
              <w:rPr>
                <w:rFonts w:hint="default" w:ascii="Times New Roman" w:hAnsi="Times New Roman" w:eastAsia="宋体" w:cs="Times New Roman"/>
                <w:bCs/>
                <w:sz w:val="24"/>
                <w:highlight w:val="none"/>
                <w:lang w:val="en-US" w:eastAsia="zh-CN"/>
              </w:rPr>
            </w:pPr>
            <w:r>
              <w:rPr>
                <w:rFonts w:hint="default" w:ascii="Times New Roman" w:hAnsi="Times New Roman" w:eastAsia="宋体" w:cs="Times New Roman"/>
                <w:bCs/>
                <w:sz w:val="24"/>
                <w:highlight w:val="none"/>
                <w:lang w:val="en-US" w:eastAsia="zh-CN"/>
              </w:rPr>
              <w:t>综上所述，通过落实前述环境保护措施，本项目临时工程布设对环境影响较小，项目临时工程选址符合环境保护要求。</w:t>
            </w:r>
          </w:p>
          <w:p w14:paraId="7F5F95B4">
            <w:pPr>
              <w:pStyle w:val="54"/>
              <w:ind w:firstLine="480"/>
              <w:rPr>
                <w:rFonts w:hint="default" w:ascii="Times New Roman" w:hAnsi="Times New Roman" w:eastAsia="宋体" w:cs="Times New Roman"/>
                <w:bCs/>
                <w:sz w:val="24"/>
              </w:rPr>
            </w:pPr>
          </w:p>
          <w:p w14:paraId="214EFAAD">
            <w:pPr>
              <w:pStyle w:val="54"/>
              <w:ind w:firstLine="480"/>
              <w:rPr>
                <w:rFonts w:hint="default" w:ascii="Times New Roman" w:hAnsi="Times New Roman" w:eastAsia="宋体" w:cs="Times New Roman"/>
                <w:bCs/>
                <w:sz w:val="24"/>
              </w:rPr>
            </w:pPr>
          </w:p>
          <w:p w14:paraId="3E8419FA">
            <w:pPr>
              <w:pStyle w:val="54"/>
              <w:ind w:firstLine="480"/>
              <w:rPr>
                <w:rFonts w:hint="default" w:ascii="Times New Roman" w:hAnsi="Times New Roman" w:eastAsia="宋体" w:cs="Times New Roman"/>
                <w:bCs/>
                <w:sz w:val="24"/>
              </w:rPr>
            </w:pPr>
          </w:p>
          <w:p w14:paraId="6E71CF81">
            <w:pPr>
              <w:pStyle w:val="54"/>
              <w:ind w:firstLine="480"/>
              <w:rPr>
                <w:rFonts w:hint="default" w:ascii="Times New Roman" w:hAnsi="Times New Roman" w:eastAsia="宋体" w:cs="Times New Roman"/>
                <w:bCs/>
                <w:sz w:val="24"/>
              </w:rPr>
            </w:pPr>
          </w:p>
          <w:p w14:paraId="3F99DED0">
            <w:pPr>
              <w:pStyle w:val="54"/>
              <w:ind w:firstLine="480"/>
              <w:rPr>
                <w:rFonts w:hint="default" w:ascii="Times New Roman" w:hAnsi="Times New Roman" w:eastAsia="宋体" w:cs="Times New Roman"/>
                <w:bCs/>
                <w:sz w:val="24"/>
              </w:rPr>
            </w:pPr>
          </w:p>
          <w:p w14:paraId="467364D6">
            <w:pPr>
              <w:pStyle w:val="54"/>
              <w:ind w:firstLine="480"/>
              <w:rPr>
                <w:rFonts w:hint="default" w:ascii="Times New Roman" w:hAnsi="Times New Roman" w:eastAsia="宋体" w:cs="Times New Roman"/>
                <w:bCs/>
                <w:sz w:val="24"/>
              </w:rPr>
            </w:pPr>
          </w:p>
          <w:p w14:paraId="7902DF53">
            <w:pPr>
              <w:pStyle w:val="54"/>
              <w:ind w:firstLine="480"/>
              <w:rPr>
                <w:rFonts w:hint="default" w:ascii="Times New Roman" w:hAnsi="Times New Roman" w:eastAsia="宋体" w:cs="Times New Roman"/>
                <w:bCs/>
                <w:sz w:val="24"/>
              </w:rPr>
            </w:pPr>
          </w:p>
          <w:p w14:paraId="38979AD7">
            <w:pPr>
              <w:pStyle w:val="54"/>
              <w:ind w:firstLine="480"/>
              <w:rPr>
                <w:rFonts w:hint="default" w:ascii="Times New Roman" w:hAnsi="Times New Roman" w:eastAsia="宋体" w:cs="Times New Roman"/>
                <w:bCs/>
                <w:sz w:val="24"/>
              </w:rPr>
            </w:pPr>
          </w:p>
          <w:p w14:paraId="19626932">
            <w:pPr>
              <w:pStyle w:val="54"/>
              <w:ind w:firstLine="480"/>
              <w:rPr>
                <w:rFonts w:hint="default" w:ascii="Times New Roman" w:hAnsi="Times New Roman" w:eastAsia="宋体" w:cs="Times New Roman"/>
                <w:bCs/>
                <w:sz w:val="24"/>
              </w:rPr>
            </w:pPr>
          </w:p>
          <w:p w14:paraId="148BA7C7">
            <w:pPr>
              <w:pStyle w:val="54"/>
              <w:ind w:firstLine="480"/>
              <w:rPr>
                <w:rFonts w:hint="default" w:ascii="Times New Roman" w:hAnsi="Times New Roman" w:eastAsia="宋体" w:cs="Times New Roman"/>
                <w:bCs/>
                <w:sz w:val="24"/>
              </w:rPr>
            </w:pPr>
          </w:p>
          <w:p w14:paraId="4B71C273">
            <w:pPr>
              <w:pStyle w:val="54"/>
              <w:ind w:firstLine="480"/>
              <w:rPr>
                <w:rFonts w:hint="default" w:ascii="Times New Roman" w:hAnsi="Times New Roman" w:eastAsia="宋体" w:cs="Times New Roman"/>
                <w:bCs/>
                <w:sz w:val="24"/>
              </w:rPr>
            </w:pPr>
          </w:p>
          <w:p w14:paraId="63A68A0F">
            <w:pPr>
              <w:pStyle w:val="54"/>
              <w:ind w:firstLine="480"/>
              <w:rPr>
                <w:rFonts w:hint="default" w:ascii="Times New Roman" w:hAnsi="Times New Roman" w:eastAsia="宋体" w:cs="Times New Roman"/>
                <w:bCs/>
                <w:sz w:val="24"/>
              </w:rPr>
            </w:pPr>
          </w:p>
          <w:p w14:paraId="0C37078D">
            <w:pPr>
              <w:pStyle w:val="54"/>
              <w:ind w:firstLine="480"/>
              <w:rPr>
                <w:rFonts w:hint="default" w:ascii="Times New Roman" w:hAnsi="Times New Roman" w:eastAsia="宋体" w:cs="Times New Roman"/>
                <w:bCs/>
                <w:sz w:val="24"/>
              </w:rPr>
            </w:pPr>
          </w:p>
          <w:p w14:paraId="29A97B9D">
            <w:pPr>
              <w:pStyle w:val="54"/>
              <w:ind w:firstLine="480"/>
              <w:rPr>
                <w:rFonts w:hint="default" w:ascii="Times New Roman" w:hAnsi="Times New Roman" w:eastAsia="宋体" w:cs="Times New Roman"/>
                <w:bCs/>
                <w:sz w:val="24"/>
              </w:rPr>
            </w:pPr>
          </w:p>
          <w:p w14:paraId="24CA16F2">
            <w:pPr>
              <w:pStyle w:val="54"/>
              <w:ind w:firstLine="480"/>
              <w:rPr>
                <w:rFonts w:hint="default" w:ascii="Times New Roman" w:hAnsi="Times New Roman" w:eastAsia="宋体" w:cs="Times New Roman"/>
                <w:bCs/>
                <w:sz w:val="24"/>
              </w:rPr>
            </w:pPr>
          </w:p>
          <w:p w14:paraId="036A49BD">
            <w:pPr>
              <w:pStyle w:val="54"/>
              <w:ind w:firstLine="480"/>
              <w:rPr>
                <w:rFonts w:hint="default" w:ascii="Times New Roman" w:hAnsi="Times New Roman" w:eastAsia="宋体" w:cs="Times New Roman"/>
                <w:bCs/>
                <w:sz w:val="24"/>
              </w:rPr>
            </w:pPr>
          </w:p>
          <w:p w14:paraId="73B8E387">
            <w:pPr>
              <w:pStyle w:val="54"/>
              <w:ind w:firstLine="480"/>
              <w:rPr>
                <w:rFonts w:hint="default" w:ascii="Times New Roman" w:hAnsi="Times New Roman" w:eastAsia="宋体" w:cs="Times New Roman"/>
                <w:bCs/>
                <w:sz w:val="24"/>
              </w:rPr>
            </w:pPr>
          </w:p>
          <w:p w14:paraId="0C223838">
            <w:pPr>
              <w:pStyle w:val="54"/>
              <w:ind w:firstLine="480"/>
              <w:rPr>
                <w:rFonts w:hint="default" w:ascii="Times New Roman" w:hAnsi="Times New Roman" w:eastAsia="宋体" w:cs="Times New Roman"/>
                <w:bCs/>
                <w:sz w:val="24"/>
              </w:rPr>
            </w:pPr>
          </w:p>
          <w:p w14:paraId="78354E2E">
            <w:pPr>
              <w:pStyle w:val="54"/>
              <w:ind w:firstLine="480"/>
              <w:rPr>
                <w:rFonts w:hint="default" w:ascii="Times New Roman" w:hAnsi="Times New Roman" w:eastAsia="宋体" w:cs="Times New Roman"/>
                <w:bCs/>
                <w:sz w:val="24"/>
              </w:rPr>
            </w:pPr>
          </w:p>
          <w:p w14:paraId="2F805E70">
            <w:pPr>
              <w:pStyle w:val="54"/>
              <w:ind w:firstLine="480"/>
              <w:rPr>
                <w:rFonts w:hint="default" w:ascii="Times New Roman" w:hAnsi="Times New Roman" w:eastAsia="宋体" w:cs="Times New Roman"/>
                <w:bCs/>
                <w:sz w:val="24"/>
              </w:rPr>
            </w:pPr>
          </w:p>
          <w:p w14:paraId="7681C2B7">
            <w:pPr>
              <w:adjustRightInd w:val="0"/>
              <w:snapToGrid w:val="0"/>
              <w:spacing w:line="360" w:lineRule="auto"/>
              <w:ind w:firstLine="480" w:firstLineChars="200"/>
              <w:rPr>
                <w:rFonts w:hint="default" w:ascii="Times New Roman" w:hAnsi="Times New Roman" w:cs="Times New Roman"/>
                <w:b w:val="0"/>
                <w:bCs w:val="0"/>
                <w:color w:val="auto"/>
                <w:sz w:val="24"/>
                <w:szCs w:val="32"/>
              </w:rPr>
            </w:pPr>
          </w:p>
        </w:tc>
      </w:tr>
    </w:tbl>
    <w:p w14:paraId="3B8EDB71">
      <w:pPr>
        <w:rPr>
          <w:rFonts w:hint="default" w:ascii="Times New Roman" w:hAnsi="Times New Roman" w:cs="Times New Roman"/>
          <w:color w:val="auto"/>
        </w:rPr>
      </w:pPr>
      <w:r>
        <w:rPr>
          <w:rFonts w:hint="default" w:ascii="Times New Roman" w:hAnsi="Times New Roman" w:cs="Times New Roman"/>
          <w:color w:val="auto"/>
        </w:rPr>
        <w:br w:type="page"/>
      </w:r>
    </w:p>
    <w:p w14:paraId="08994C0C">
      <w:pPr>
        <w:pStyle w:val="27"/>
        <w:jc w:val="center"/>
        <w:rPr>
          <w:rFonts w:hint="default" w:ascii="Times New Roman" w:hAnsi="Times New Roman" w:eastAsia="黑体" w:cs="Times New Roman"/>
          <w:snapToGrid w:val="0"/>
          <w:color w:val="auto"/>
          <w:sz w:val="36"/>
          <w:szCs w:val="36"/>
        </w:rPr>
        <w:sectPr>
          <w:type w:val="continuous"/>
          <w:pgSz w:w="11906" w:h="16838"/>
          <w:pgMar w:top="1440" w:right="1531" w:bottom="1440" w:left="1531" w:header="851" w:footer="1077" w:gutter="0"/>
          <w:pgBorders>
            <w:top w:val="none" w:sz="0" w:space="0"/>
            <w:left w:val="none" w:sz="0" w:space="0"/>
            <w:bottom w:val="none" w:sz="0" w:space="0"/>
            <w:right w:val="none" w:sz="0" w:space="0"/>
          </w:pgBorders>
          <w:pgNumType w:fmt="decimal"/>
          <w:cols w:space="720" w:num="1"/>
          <w:docGrid w:linePitch="312" w:charSpace="0"/>
        </w:sectPr>
      </w:pPr>
    </w:p>
    <w:p w14:paraId="1EC6F88C">
      <w:pPr>
        <w:pStyle w:val="27"/>
        <w:jc w:val="center"/>
        <w:outlineLvl w:val="0"/>
        <w:rPr>
          <w:rFonts w:hint="default" w:ascii="Times New Roman" w:hAnsi="Times New Roman" w:eastAsia="宋体" w:cs="Times New Roman"/>
          <w:b/>
          <w:bCs/>
          <w:snapToGrid w:val="0"/>
          <w:color w:val="auto"/>
          <w:sz w:val="30"/>
          <w:szCs w:val="30"/>
        </w:rPr>
      </w:pPr>
      <w:bookmarkStart w:id="436" w:name="_Toc826"/>
      <w:bookmarkStart w:id="437" w:name="_Toc23609"/>
      <w:bookmarkStart w:id="438" w:name="_Toc31730"/>
      <w:bookmarkStart w:id="439" w:name="_Toc10924"/>
      <w:bookmarkStart w:id="440" w:name="_Toc10693"/>
      <w:r>
        <w:rPr>
          <w:rFonts w:hint="default" w:ascii="Times New Roman" w:hAnsi="Times New Roman" w:eastAsia="宋体" w:cs="Times New Roman"/>
          <w:b/>
          <w:bCs/>
          <w:snapToGrid w:val="0"/>
          <w:color w:val="auto"/>
          <w:sz w:val="30"/>
          <w:szCs w:val="30"/>
        </w:rPr>
        <w:t>五、主要生态环境保护措施</w:t>
      </w:r>
      <w:bookmarkEnd w:id="436"/>
      <w:bookmarkEnd w:id="437"/>
      <w:bookmarkEnd w:id="438"/>
      <w:bookmarkEnd w:id="439"/>
      <w:bookmarkEnd w:id="440"/>
    </w:p>
    <w:tbl>
      <w:tblPr>
        <w:tblStyle w:val="29"/>
        <w:tblW w:w="844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93"/>
        <w:gridCol w:w="7956"/>
      </w:tblGrid>
      <w:tr w14:paraId="0B103C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3" w:hRule="atLeast"/>
          <w:jc w:val="center"/>
        </w:trPr>
        <w:tc>
          <w:tcPr>
            <w:tcW w:w="493" w:type="dxa"/>
            <w:noWrap w:val="0"/>
            <w:tcMar>
              <w:left w:w="28" w:type="dxa"/>
              <w:right w:w="28" w:type="dxa"/>
            </w:tcMar>
            <w:vAlign w:val="center"/>
          </w:tcPr>
          <w:p w14:paraId="5C3B8E2D">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
                <w:bCs w:val="0"/>
                <w:color w:val="auto"/>
                <w:spacing w:val="10"/>
                <w:sz w:val="24"/>
              </w:rPr>
              <w:t>施工期生态环境保护措施</w:t>
            </w:r>
          </w:p>
        </w:tc>
        <w:tc>
          <w:tcPr>
            <w:tcW w:w="7956" w:type="dxa"/>
            <w:noWrap w:val="0"/>
            <w:vAlign w:val="top"/>
          </w:tcPr>
          <w:p w14:paraId="6E616471">
            <w:pPr>
              <w:adjustRightInd w:val="0"/>
              <w:snapToGrid w:val="0"/>
              <w:spacing w:line="360" w:lineRule="auto"/>
              <w:ind w:firstLine="482" w:firstLineChars="200"/>
              <w:rPr>
                <w:rFonts w:hint="default" w:ascii="Times New Roman" w:hAnsi="Times New Roman" w:eastAsia="宋体" w:cs="Times New Roman"/>
                <w:b/>
                <w:bCs/>
                <w:color w:val="auto"/>
                <w:sz w:val="24"/>
                <w:szCs w:val="32"/>
                <w:lang w:eastAsia="zh-CN"/>
              </w:rPr>
            </w:pPr>
            <w:r>
              <w:rPr>
                <w:rFonts w:hint="default" w:ascii="Times New Roman" w:hAnsi="Times New Roman" w:eastAsia="宋体" w:cs="Times New Roman"/>
                <w:b/>
                <w:bCs/>
                <w:color w:val="auto"/>
                <w:sz w:val="24"/>
                <w:szCs w:val="32"/>
                <w:lang w:val="en-US" w:eastAsia="zh-CN"/>
              </w:rPr>
              <w:t>1、</w:t>
            </w:r>
            <w:r>
              <w:rPr>
                <w:rFonts w:hint="default" w:ascii="Times New Roman" w:hAnsi="Times New Roman" w:eastAsia="宋体" w:cs="Times New Roman"/>
                <w:b/>
                <w:bCs/>
                <w:color w:val="auto"/>
                <w:sz w:val="24"/>
                <w:szCs w:val="32"/>
                <w:lang w:eastAsia="zh-CN"/>
              </w:rPr>
              <w:t>生态环境防治措施</w:t>
            </w:r>
          </w:p>
          <w:p w14:paraId="056DA222">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（1）永久基本农田保护措施</w:t>
            </w:r>
          </w:p>
          <w:p w14:paraId="5A4043DC">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施工过程中严格控制施工红线，严禁占用或破坏永久基本农田。</w:t>
            </w:r>
          </w:p>
          <w:p w14:paraId="51929FEF">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（2）自然植被保护措施</w:t>
            </w:r>
          </w:p>
          <w:p w14:paraId="401AEF77">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①保护周边林地</w:t>
            </w:r>
          </w:p>
          <w:p w14:paraId="5BB95481">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施工过程中严格控制施工红线，避免对用地红线以内的林地造成不必要的占用和破坏。</w:t>
            </w:r>
          </w:p>
          <w:p w14:paraId="1015191E">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②消减扬尘促进植物正常生长</w:t>
            </w:r>
          </w:p>
          <w:p w14:paraId="49B2E775">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在施工期减少扬尘污染，以免影响植物光合作用，促进植物正常生长。</w:t>
            </w:r>
          </w:p>
          <w:p w14:paraId="767456FF">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a.洒水降尘</w:t>
            </w:r>
          </w:p>
          <w:p w14:paraId="2225BCD0">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合理安排洒水降尘、人工清扫工作，加强各个作业面的扬尘控制，使扬尘危害一直处于受控状态。</w:t>
            </w:r>
          </w:p>
          <w:p w14:paraId="320EF7EA">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b.粉状材料封闭运输</w:t>
            </w:r>
          </w:p>
          <w:p w14:paraId="495120D7">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粉状材料如水泥、石灰等采用罐装或袋装，装卸尽可能降低落差，轻装慢卸，并设置篷布遮挡，防风防雨。</w:t>
            </w:r>
          </w:p>
          <w:p w14:paraId="1CF7427A">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（3）动物保护措施</w:t>
            </w:r>
          </w:p>
          <w:p w14:paraId="4271707C">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①强化对河道及水环境的保护。施工建设应加强工程管理，尽量减少对河道的堵塞，及时清理河道内建筑垃圾，避免对动物水源造成破坏；</w:t>
            </w:r>
          </w:p>
          <w:p w14:paraId="0038C54C">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②对于施工期间尽量使用低噪声设备，由于许多动物的活动高峰为黄昏及清晨，应尽量减少这两个时段的高噪音作业；</w:t>
            </w:r>
          </w:p>
          <w:p w14:paraId="39E05731">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③工程建设竣工后应及时清理现场，进行绿化，恢复施工范围周边动物的栖息环境；</w:t>
            </w:r>
          </w:p>
          <w:p w14:paraId="77BB2D05">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④应加强对施工单位和工人的宣传教育，特别关注和保护好珍稀野生动物，尤其猛禽等国家重点保护野生动物，严禁投毒、布网、下套（铗）捕捉；</w:t>
            </w:r>
          </w:p>
          <w:p w14:paraId="693420BF">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⑤要特别注意根据不同动物的繁殖与觅食特性，减少人类的干扰。同时通过加强对项目周边居民的科普宣传，共同做好野生动物的保护工作；</w:t>
            </w:r>
          </w:p>
          <w:p w14:paraId="4622FEDA">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⑥建设完善野生动物保护责任制，落实责任人，做好野生动物保护措施，加强对施工人员野生动物保护知识教育和管理，提高施工人员的野生动物保护意识，杜绝施工人员非法破坏野生动物资源行为的发生；</w:t>
            </w:r>
          </w:p>
          <w:p w14:paraId="6EAA0D4E">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⑦施工期间如误伤野生动物或发现野生动物，应立即送往当地林业部门，进行救护与治疗。</w:t>
            </w:r>
          </w:p>
          <w:p w14:paraId="5EE214EB">
            <w:pPr>
              <w:adjustRightInd w:val="0"/>
              <w:snapToGrid w:val="0"/>
              <w:spacing w:line="360" w:lineRule="auto"/>
              <w:ind w:firstLine="482" w:firstLineChars="200"/>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val="en-US" w:eastAsia="zh-CN"/>
              </w:rPr>
              <w:t>生态环境防治措施详见《生态环境影响专项评价》中第</w:t>
            </w:r>
            <w:r>
              <w:rPr>
                <w:rFonts w:hint="eastAsia" w:ascii="Times New Roman" w:hAnsi="Times New Roman" w:eastAsia="宋体" w:cs="Times New Roman"/>
                <w:b/>
                <w:bCs/>
                <w:color w:val="auto"/>
                <w:sz w:val="24"/>
                <w:szCs w:val="32"/>
                <w:lang w:val="en-US" w:eastAsia="zh-CN"/>
              </w:rPr>
              <w:t>五</w:t>
            </w:r>
            <w:r>
              <w:rPr>
                <w:rFonts w:hint="default" w:ascii="Times New Roman" w:hAnsi="Times New Roman" w:eastAsia="宋体" w:cs="Times New Roman"/>
                <w:b/>
                <w:bCs/>
                <w:color w:val="auto"/>
                <w:sz w:val="24"/>
                <w:szCs w:val="32"/>
                <w:lang w:val="en-US" w:eastAsia="zh-CN"/>
              </w:rPr>
              <w:t>章 生态保护对策措施。</w:t>
            </w:r>
          </w:p>
          <w:p w14:paraId="7CF897F8">
            <w:pPr>
              <w:adjustRightInd w:val="0"/>
              <w:snapToGrid w:val="0"/>
              <w:spacing w:line="360" w:lineRule="auto"/>
              <w:ind w:firstLine="482" w:firstLineChars="200"/>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lang w:val="en-US" w:eastAsia="zh-CN"/>
              </w:rPr>
              <w:t>2、</w:t>
            </w:r>
            <w:r>
              <w:rPr>
                <w:rFonts w:hint="default" w:ascii="Times New Roman" w:hAnsi="Times New Roman" w:eastAsia="宋体" w:cs="Times New Roman"/>
                <w:b/>
                <w:bCs/>
                <w:color w:val="auto"/>
                <w:sz w:val="24"/>
                <w:szCs w:val="32"/>
              </w:rPr>
              <w:t>大气环境防治措施</w:t>
            </w:r>
          </w:p>
          <w:p w14:paraId="60B426EA">
            <w:pPr>
              <w:adjustRightInd w:val="0"/>
              <w:snapToGrid w:val="0"/>
              <w:spacing w:line="360" w:lineRule="auto"/>
              <w:ind w:firstLine="480" w:firstLineChars="200"/>
              <w:rPr>
                <w:rFonts w:hint="default" w:ascii="Times New Roman" w:hAnsi="Times New Roman" w:eastAsia="宋体" w:cs="Times New Roman"/>
                <w:sz w:val="24"/>
                <w:szCs w:val="32"/>
              </w:rPr>
            </w:pPr>
            <w:r>
              <w:rPr>
                <w:rFonts w:hint="default" w:ascii="Times New Roman" w:hAnsi="Times New Roman" w:eastAsia="宋体" w:cs="Times New Roman"/>
                <w:sz w:val="24"/>
                <w:szCs w:val="32"/>
              </w:rPr>
              <w:t>项目施工期主要产生的环境影响来自施工扬尘，为减轻扬尘对区域环境空气质量的不利影响，在道路建设过程中应根据设计方案对规划中的公共绿地进行合理绿化，施工单位应严格遵守《安徽省大气污染防治条例</w:t>
            </w:r>
            <w:r>
              <w:rPr>
                <w:rFonts w:hint="default" w:ascii="Times New Roman" w:hAnsi="Times New Roman" w:eastAsia="宋体" w:cs="Times New Roman"/>
                <w:sz w:val="24"/>
                <w:szCs w:val="32"/>
                <w:lang w:eastAsia="zh-CN"/>
              </w:rPr>
              <w:t>》《</w:t>
            </w:r>
            <w:r>
              <w:rPr>
                <w:rFonts w:hint="default" w:ascii="Times New Roman" w:hAnsi="Times New Roman" w:eastAsia="宋体" w:cs="Times New Roman"/>
                <w:sz w:val="24"/>
                <w:szCs w:val="32"/>
              </w:rPr>
              <w:t>安徽省打赢蓝天保卫战三年行动计划实施方案》（皖政</w:t>
            </w:r>
            <w:r>
              <w:rPr>
                <w:rFonts w:hint="eastAsia" w:ascii="Times New Roman" w:hAnsi="Times New Roman" w:eastAsia="宋体" w:cs="Times New Roman"/>
                <w:sz w:val="24"/>
                <w:szCs w:val="32"/>
                <w:lang w:eastAsia="zh-CN"/>
              </w:rPr>
              <w:t>〔2018〕83号</w:t>
            </w:r>
            <w:r>
              <w:rPr>
                <w:rFonts w:hint="default" w:ascii="Times New Roman" w:hAnsi="Times New Roman" w:eastAsia="宋体" w:cs="Times New Roman"/>
                <w:sz w:val="24"/>
                <w:szCs w:val="32"/>
              </w:rPr>
              <w:t>）、安徽省大气办关于印发《安徽省2021年应对气候变化和大气污染防治重点工作任务》的通知（皖大气办</w:t>
            </w:r>
            <w:r>
              <w:rPr>
                <w:rFonts w:hint="default" w:ascii="Times New Roman" w:hAnsi="Times New Roman" w:eastAsia="宋体" w:cs="Times New Roman"/>
                <w:sz w:val="24"/>
                <w:szCs w:val="32"/>
                <w:lang w:eastAsia="zh-CN"/>
              </w:rPr>
              <w:t>〔</w:t>
            </w:r>
            <w:r>
              <w:rPr>
                <w:rFonts w:hint="default" w:ascii="Times New Roman" w:hAnsi="Times New Roman" w:eastAsia="宋体" w:cs="Times New Roman"/>
                <w:sz w:val="24"/>
                <w:szCs w:val="32"/>
              </w:rPr>
              <w:t>2021</w:t>
            </w:r>
            <w:r>
              <w:rPr>
                <w:rFonts w:hint="default" w:ascii="Times New Roman" w:hAnsi="Times New Roman" w:eastAsia="宋体" w:cs="Times New Roman"/>
                <w:sz w:val="24"/>
                <w:szCs w:val="32"/>
                <w:lang w:eastAsia="zh-CN"/>
              </w:rPr>
              <w:t>〕</w:t>
            </w:r>
            <w:r>
              <w:rPr>
                <w:rFonts w:hint="default" w:ascii="Times New Roman" w:hAnsi="Times New Roman" w:eastAsia="宋体" w:cs="Times New Roman"/>
                <w:sz w:val="24"/>
                <w:szCs w:val="32"/>
              </w:rPr>
              <w:t>3号）、《安徽省建筑工程施工和预拌混凝土生产扬尘污染防治标准（试行）</w:t>
            </w:r>
            <w:r>
              <w:rPr>
                <w:rFonts w:hint="default" w:ascii="Times New Roman" w:hAnsi="Times New Roman" w:eastAsia="宋体" w:cs="Times New Roman"/>
                <w:sz w:val="24"/>
                <w:szCs w:val="32"/>
                <w:lang w:eastAsia="zh-CN"/>
              </w:rPr>
              <w:t>》《</w:t>
            </w:r>
            <w:r>
              <w:rPr>
                <w:rFonts w:hint="default" w:ascii="Times New Roman" w:hAnsi="Times New Roman" w:eastAsia="宋体" w:cs="Times New Roman"/>
                <w:sz w:val="24"/>
                <w:szCs w:val="32"/>
              </w:rPr>
              <w:t>关于印发2020年安徽省住建系统大气污染防治工作方案的通知》（建质函﹝2020﹞220号）</w:t>
            </w:r>
            <w:r>
              <w:rPr>
                <w:rFonts w:hint="eastAsia" w:ascii="Times New Roman" w:hAnsi="Times New Roman" w:eastAsia="宋体" w:cs="Times New Roman"/>
                <w:sz w:val="24"/>
                <w:szCs w:val="32"/>
                <w:lang w:val="en-US" w:eastAsia="zh-CN"/>
              </w:rPr>
              <w:t>以及</w:t>
            </w:r>
            <w:r>
              <w:rPr>
                <w:rFonts w:hint="default" w:ascii="Times New Roman" w:hAnsi="Times New Roman" w:eastAsia="宋体" w:cs="Times New Roman"/>
                <w:sz w:val="24"/>
                <w:szCs w:val="32"/>
              </w:rPr>
              <w:t>《六安市大气污染防治行动计划实施细则</w:t>
            </w:r>
            <w:r>
              <w:rPr>
                <w:rFonts w:hint="default" w:ascii="Times New Roman" w:hAnsi="Times New Roman" w:eastAsia="宋体" w:cs="Times New Roman"/>
                <w:sz w:val="24"/>
                <w:szCs w:val="32"/>
                <w:lang w:eastAsia="zh-CN"/>
              </w:rPr>
              <w:t>》《</w:t>
            </w:r>
            <w:r>
              <w:rPr>
                <w:rFonts w:hint="default" w:ascii="Times New Roman" w:hAnsi="Times New Roman" w:eastAsia="宋体" w:cs="Times New Roman"/>
                <w:sz w:val="24"/>
                <w:szCs w:val="32"/>
              </w:rPr>
              <w:t>六安市2021年应对气候变化和大气污染防治重点工作任务》等有关规定进行施工。</w:t>
            </w:r>
          </w:p>
          <w:p w14:paraId="66AFBEC7">
            <w:pPr>
              <w:adjustRightInd w:val="0"/>
              <w:snapToGrid w:val="0"/>
              <w:spacing w:line="360" w:lineRule="auto"/>
              <w:ind w:firstLine="482" w:firstLineChars="200"/>
              <w:rPr>
                <w:rFonts w:hint="default" w:ascii="Times New Roman" w:hAnsi="Times New Roman" w:eastAsia="宋体" w:cs="Times New Roman"/>
                <w:b/>
                <w:bCs/>
                <w:sz w:val="24"/>
                <w:szCs w:val="32"/>
              </w:rPr>
            </w:pPr>
            <w:r>
              <w:rPr>
                <w:rFonts w:hint="default" w:ascii="Times New Roman" w:hAnsi="Times New Roman" w:eastAsia="宋体" w:cs="Times New Roman"/>
                <w:b/>
                <w:bCs/>
                <w:sz w:val="24"/>
                <w:szCs w:val="32"/>
              </w:rPr>
              <w:t>（1）依法申报</w:t>
            </w:r>
          </w:p>
          <w:p w14:paraId="1AD2CB62">
            <w:pPr>
              <w:adjustRightInd w:val="0"/>
              <w:snapToGrid w:val="0"/>
              <w:spacing w:line="360" w:lineRule="auto"/>
              <w:ind w:firstLine="480" w:firstLineChars="200"/>
              <w:rPr>
                <w:rFonts w:hint="default" w:ascii="Times New Roman" w:hAnsi="Times New Roman" w:eastAsia="宋体" w:cs="Times New Roman"/>
                <w:sz w:val="24"/>
                <w:szCs w:val="32"/>
              </w:rPr>
            </w:pPr>
            <w:r>
              <w:rPr>
                <w:rFonts w:hint="default" w:ascii="Times New Roman" w:hAnsi="Times New Roman" w:eastAsia="宋体" w:cs="Times New Roman"/>
                <w:sz w:val="24"/>
                <w:szCs w:val="32"/>
              </w:rPr>
              <w:t>工程建设单位应按照《中华人民共和国环境影响评价法》和《建设项目环境保护管理条例》的相关规定，向当地环境保护行政主管部门提供施工扬尘防治实施方案。工程建设单位应按照下面条款制定施工扬尘污染防治方案，根据施工工序编制施工期内扬尘污染防治任务书，实施扬尘防治全过程管理，责任到每个施工工序。</w:t>
            </w:r>
          </w:p>
          <w:p w14:paraId="58332F0B">
            <w:pPr>
              <w:adjustRightInd w:val="0"/>
              <w:snapToGrid w:val="0"/>
              <w:spacing w:line="360" w:lineRule="auto"/>
              <w:ind w:firstLine="482" w:firstLineChars="200"/>
              <w:rPr>
                <w:rFonts w:hint="default" w:ascii="Times New Roman" w:hAnsi="Times New Roman" w:eastAsia="宋体" w:cs="Times New Roman"/>
                <w:b/>
                <w:bCs/>
                <w:sz w:val="24"/>
                <w:szCs w:val="32"/>
              </w:rPr>
            </w:pPr>
            <w:r>
              <w:rPr>
                <w:rFonts w:hint="default" w:ascii="Times New Roman" w:hAnsi="Times New Roman" w:eastAsia="宋体" w:cs="Times New Roman"/>
                <w:b/>
                <w:bCs/>
                <w:sz w:val="24"/>
                <w:szCs w:val="32"/>
              </w:rPr>
              <w:t>（2）建设工程施工应当符合下列扬尘污染防治要求</w:t>
            </w:r>
          </w:p>
          <w:p w14:paraId="4FFD86BA">
            <w:pPr>
              <w:adjustRightInd w:val="0"/>
              <w:snapToGrid w:val="0"/>
              <w:spacing w:line="360" w:lineRule="auto"/>
              <w:ind w:firstLine="480" w:firstLineChars="200"/>
              <w:rPr>
                <w:rFonts w:hint="default" w:ascii="Times New Roman" w:hAnsi="Times New Roman" w:eastAsia="宋体" w:cs="Times New Roman"/>
                <w:sz w:val="24"/>
                <w:szCs w:val="32"/>
              </w:rPr>
            </w:pPr>
            <w:r>
              <w:rPr>
                <w:rFonts w:hint="default" w:ascii="Times New Roman" w:hAnsi="Times New Roman" w:eastAsia="宋体" w:cs="Times New Roman"/>
                <w:sz w:val="24"/>
                <w:szCs w:val="32"/>
              </w:rPr>
              <w:t>1）施工道路两侧靠近敏感点处均应当设置连续、密闭的围挡，围挡高度不得低于2.0m。</w:t>
            </w:r>
          </w:p>
          <w:p w14:paraId="22DA2572">
            <w:pPr>
              <w:adjustRightInd w:val="0"/>
              <w:snapToGrid w:val="0"/>
              <w:spacing w:line="360" w:lineRule="auto"/>
              <w:ind w:firstLine="480" w:firstLineChars="200"/>
              <w:rPr>
                <w:rFonts w:hint="default" w:ascii="Times New Roman" w:hAnsi="Times New Roman" w:eastAsia="宋体" w:cs="Times New Roman"/>
                <w:sz w:val="24"/>
                <w:szCs w:val="32"/>
              </w:rPr>
            </w:pPr>
            <w:r>
              <w:rPr>
                <w:rFonts w:hint="default" w:ascii="Times New Roman" w:hAnsi="Times New Roman" w:eastAsia="宋体" w:cs="Times New Roman"/>
                <w:sz w:val="24"/>
                <w:szCs w:val="32"/>
              </w:rPr>
              <w:t>2）施工临时场地：施工场地、材料堆场地面、车行道路应当进行硬化等防尘处理；堆场需定期洒水抑尘，以防止扬尘的产生。</w:t>
            </w:r>
          </w:p>
          <w:p w14:paraId="3322FB6E">
            <w:pPr>
              <w:adjustRightInd w:val="0"/>
              <w:snapToGrid w:val="0"/>
              <w:spacing w:line="360" w:lineRule="auto"/>
              <w:ind w:firstLine="480" w:firstLineChars="200"/>
              <w:rPr>
                <w:rFonts w:hint="default" w:ascii="Times New Roman" w:hAnsi="Times New Roman" w:eastAsia="宋体" w:cs="Times New Roman"/>
                <w:sz w:val="24"/>
                <w:szCs w:val="32"/>
              </w:rPr>
            </w:pPr>
            <w:r>
              <w:rPr>
                <w:rFonts w:hint="default" w:ascii="Times New Roman" w:hAnsi="Times New Roman" w:eastAsia="宋体" w:cs="Times New Roman"/>
                <w:sz w:val="24"/>
                <w:szCs w:val="32"/>
              </w:rPr>
              <w:t>3）气象预报风力达到5级以上的天气，不得进行土方挖填和转运或者其他建（构）筑物拆除等作业。</w:t>
            </w:r>
          </w:p>
          <w:p w14:paraId="66B0BAB6">
            <w:pPr>
              <w:adjustRightInd w:val="0"/>
              <w:snapToGrid w:val="0"/>
              <w:spacing w:line="360" w:lineRule="auto"/>
              <w:ind w:firstLine="480" w:firstLineChars="200"/>
              <w:rPr>
                <w:rFonts w:hint="default" w:ascii="Times New Roman" w:hAnsi="Times New Roman" w:eastAsia="宋体" w:cs="Times New Roman"/>
                <w:sz w:val="24"/>
                <w:szCs w:val="32"/>
              </w:rPr>
            </w:pPr>
            <w:r>
              <w:rPr>
                <w:rFonts w:hint="default" w:ascii="Times New Roman" w:hAnsi="Times New Roman" w:eastAsia="宋体" w:cs="Times New Roman"/>
                <w:sz w:val="24"/>
                <w:szCs w:val="32"/>
              </w:rPr>
              <w:t>4）建筑垃圾等无法在48小时内清运完毕的，应当在施工工地内设置临时堆放场；临时堆放场应当采取围挡、遮盖等防尘措施。</w:t>
            </w:r>
          </w:p>
          <w:p w14:paraId="59DC01CD">
            <w:pPr>
              <w:adjustRightInd w:val="0"/>
              <w:snapToGrid w:val="0"/>
              <w:spacing w:line="360" w:lineRule="auto"/>
              <w:ind w:firstLine="480" w:firstLineChars="200"/>
              <w:rPr>
                <w:rFonts w:hint="default" w:ascii="Times New Roman" w:hAnsi="Times New Roman" w:eastAsia="宋体" w:cs="Times New Roman"/>
                <w:sz w:val="24"/>
                <w:szCs w:val="32"/>
              </w:rPr>
            </w:pPr>
            <w:r>
              <w:rPr>
                <w:rFonts w:hint="default" w:ascii="Times New Roman" w:hAnsi="Times New Roman" w:eastAsia="宋体" w:cs="Times New Roman"/>
                <w:sz w:val="24"/>
                <w:szCs w:val="32"/>
              </w:rPr>
              <w:t>5）运输车辆应当在除泥、冲洗干净后方可驶出作业场所，不得使用空气压缩机等易产生扬尘污染的设备清理车辆、设备和物料的尘埃；有条件的，可以设置冲洗槽、排水沟、沉淀池等设施。</w:t>
            </w:r>
          </w:p>
          <w:p w14:paraId="63328B6B">
            <w:pPr>
              <w:adjustRightInd w:val="0"/>
              <w:snapToGrid w:val="0"/>
              <w:spacing w:line="360" w:lineRule="auto"/>
              <w:ind w:firstLine="480" w:firstLineChars="200"/>
              <w:rPr>
                <w:rFonts w:hint="default" w:ascii="Times New Roman" w:hAnsi="Times New Roman" w:eastAsia="宋体" w:cs="Times New Roman"/>
                <w:sz w:val="24"/>
                <w:szCs w:val="32"/>
              </w:rPr>
            </w:pPr>
            <w:r>
              <w:rPr>
                <w:rFonts w:hint="default" w:ascii="Times New Roman" w:hAnsi="Times New Roman" w:eastAsia="宋体" w:cs="Times New Roman"/>
                <w:sz w:val="24"/>
                <w:szCs w:val="32"/>
              </w:rPr>
              <w:t>6）施工现场禁止焚烧沥青、油毡、橡胶、塑料、皮革、垃圾以及其他产生有毒有害烟尘和恶臭气体的物质。</w:t>
            </w:r>
          </w:p>
          <w:p w14:paraId="4938114A">
            <w:pPr>
              <w:adjustRightInd w:val="0"/>
              <w:snapToGrid w:val="0"/>
              <w:spacing w:line="360" w:lineRule="auto"/>
              <w:ind w:firstLine="480" w:firstLineChars="200"/>
              <w:rPr>
                <w:rFonts w:hint="default" w:ascii="Times New Roman" w:hAnsi="Times New Roman" w:eastAsia="宋体" w:cs="Times New Roman"/>
                <w:sz w:val="24"/>
                <w:szCs w:val="32"/>
              </w:rPr>
            </w:pPr>
            <w:r>
              <w:rPr>
                <w:rFonts w:hint="default" w:ascii="Times New Roman" w:hAnsi="Times New Roman" w:eastAsia="宋体" w:cs="Times New Roman"/>
                <w:sz w:val="24"/>
                <w:szCs w:val="32"/>
              </w:rPr>
              <w:t>7）闲置3个月以上的土地，建设单位应当对其裸露泥地进行临时绿化或者铺装。</w:t>
            </w:r>
          </w:p>
          <w:p w14:paraId="17C8B54E">
            <w:pPr>
              <w:adjustRightInd w:val="0"/>
              <w:snapToGrid w:val="0"/>
              <w:spacing w:line="360" w:lineRule="auto"/>
              <w:ind w:firstLine="480" w:firstLineChars="200"/>
              <w:rPr>
                <w:rFonts w:hint="default" w:ascii="Times New Roman" w:hAnsi="Times New Roman" w:eastAsia="宋体" w:cs="Times New Roman"/>
                <w:sz w:val="24"/>
                <w:szCs w:val="32"/>
              </w:rPr>
            </w:pPr>
            <w:r>
              <w:rPr>
                <w:rFonts w:hint="eastAsia" w:ascii="Times New Roman" w:hAnsi="Times New Roman" w:eastAsia="宋体" w:cs="Times New Roman"/>
                <w:sz w:val="24"/>
                <w:szCs w:val="32"/>
                <w:lang w:val="en-US" w:eastAsia="zh-CN"/>
              </w:rPr>
              <w:t>8</w:t>
            </w:r>
            <w:r>
              <w:rPr>
                <w:rFonts w:hint="default" w:ascii="Times New Roman" w:hAnsi="Times New Roman" w:eastAsia="宋体" w:cs="Times New Roman"/>
                <w:sz w:val="24"/>
                <w:szCs w:val="32"/>
              </w:rPr>
              <w:t>）堆放水泥或者其他易飞扬的细颗粒建筑材料，应当密闭存放或者采取覆盖等措施。建（构）筑物内施工材料及垃圾清运，应当采用容器运输，禁止凌空抛撒。</w:t>
            </w:r>
          </w:p>
          <w:p w14:paraId="177BDF0C">
            <w:pPr>
              <w:adjustRightInd w:val="0"/>
              <w:snapToGrid w:val="0"/>
              <w:spacing w:line="360" w:lineRule="auto"/>
              <w:ind w:firstLine="480" w:firstLineChars="200"/>
              <w:rPr>
                <w:rFonts w:hint="default" w:ascii="Times New Roman" w:hAnsi="Times New Roman" w:eastAsia="宋体" w:cs="Times New Roman"/>
                <w:sz w:val="24"/>
                <w:szCs w:val="32"/>
              </w:rPr>
            </w:pPr>
            <w:r>
              <w:rPr>
                <w:rFonts w:hint="eastAsia" w:ascii="Times New Roman" w:hAnsi="Times New Roman" w:eastAsia="宋体" w:cs="Times New Roman"/>
                <w:sz w:val="24"/>
                <w:szCs w:val="32"/>
                <w:lang w:val="en-US" w:eastAsia="zh-CN"/>
              </w:rPr>
              <w:t>9</w:t>
            </w:r>
            <w:r>
              <w:rPr>
                <w:rFonts w:hint="default" w:ascii="Times New Roman" w:hAnsi="Times New Roman" w:eastAsia="宋体" w:cs="Times New Roman"/>
                <w:sz w:val="24"/>
                <w:szCs w:val="32"/>
              </w:rPr>
              <w:t>）加强施工扬尘控制，建筑工程施工现场扬尘污染防治应做到工地周边围挡、物料堆放覆盖、路面硬化、土方开挖湿法作业、出入车辆清洗、渣土车辆密闭运输、非施工区域裸土覆盖、扬尘视频监控系统</w:t>
            </w:r>
            <w:r>
              <w:rPr>
                <w:rFonts w:hint="eastAsia" w:ascii="Times New Roman" w:hAnsi="Times New Roman" w:eastAsia="宋体" w:cs="Times New Roman"/>
                <w:sz w:val="24"/>
                <w:szCs w:val="32"/>
                <w:lang w:eastAsia="zh-CN"/>
              </w:rPr>
              <w:t>“</w:t>
            </w:r>
            <w:r>
              <w:rPr>
                <w:rFonts w:hint="default" w:ascii="Times New Roman" w:hAnsi="Times New Roman" w:eastAsia="宋体" w:cs="Times New Roman"/>
                <w:sz w:val="24"/>
                <w:szCs w:val="32"/>
              </w:rPr>
              <w:t>七个百分百</w:t>
            </w:r>
            <w:r>
              <w:rPr>
                <w:rFonts w:hint="eastAsia" w:ascii="Times New Roman" w:hAnsi="Times New Roman" w:eastAsia="宋体" w:cs="Times New Roman"/>
                <w:sz w:val="24"/>
                <w:szCs w:val="32"/>
                <w:lang w:eastAsia="zh-CN"/>
              </w:rPr>
              <w:t>”</w:t>
            </w:r>
            <w:r>
              <w:rPr>
                <w:rFonts w:hint="default" w:ascii="Times New Roman" w:hAnsi="Times New Roman" w:eastAsia="宋体" w:cs="Times New Roman"/>
                <w:sz w:val="24"/>
                <w:szCs w:val="32"/>
              </w:rPr>
              <w:t>。</w:t>
            </w:r>
          </w:p>
          <w:p w14:paraId="055EA3F0">
            <w:pPr>
              <w:adjustRightInd w:val="0"/>
              <w:snapToGrid w:val="0"/>
              <w:spacing w:line="360" w:lineRule="auto"/>
              <w:ind w:firstLine="480" w:firstLineChars="200"/>
              <w:rPr>
                <w:rFonts w:hint="default" w:ascii="Times New Roman" w:hAnsi="Times New Roman" w:eastAsia="宋体" w:cs="Times New Roman"/>
                <w:sz w:val="24"/>
                <w:szCs w:val="32"/>
              </w:rPr>
            </w:pPr>
            <w:r>
              <w:rPr>
                <w:rFonts w:hint="default" w:ascii="Times New Roman" w:hAnsi="Times New Roman" w:eastAsia="宋体" w:cs="Times New Roman"/>
                <w:sz w:val="24"/>
                <w:szCs w:val="32"/>
              </w:rPr>
              <w:t>1</w:t>
            </w:r>
            <w:r>
              <w:rPr>
                <w:rFonts w:hint="eastAsia" w:ascii="Times New Roman" w:hAnsi="Times New Roman" w:eastAsia="宋体" w:cs="Times New Roman"/>
                <w:sz w:val="24"/>
                <w:szCs w:val="32"/>
                <w:lang w:val="en-US" w:eastAsia="zh-CN"/>
              </w:rPr>
              <w:t>0</w:t>
            </w:r>
            <w:r>
              <w:rPr>
                <w:rFonts w:hint="default" w:ascii="Times New Roman" w:hAnsi="Times New Roman" w:eastAsia="宋体" w:cs="Times New Roman"/>
                <w:sz w:val="24"/>
                <w:szCs w:val="32"/>
              </w:rPr>
              <w:t>）拆除</w:t>
            </w:r>
            <w:r>
              <w:rPr>
                <w:rFonts w:hint="eastAsia" w:ascii="Times New Roman" w:hAnsi="Times New Roman" w:eastAsia="宋体" w:cs="Times New Roman"/>
                <w:sz w:val="24"/>
                <w:szCs w:val="32"/>
                <w:lang w:eastAsia="zh-CN"/>
              </w:rPr>
              <w:t>工程场地</w:t>
            </w:r>
            <w:r>
              <w:rPr>
                <w:rFonts w:hint="default" w:ascii="Times New Roman" w:hAnsi="Times New Roman" w:eastAsia="宋体" w:cs="Times New Roman"/>
                <w:sz w:val="24"/>
                <w:szCs w:val="32"/>
              </w:rPr>
              <w:t>上的围挡应当使用金属或硬质板材材料，严禁使用各类砌筑墙体；拆除作业实行持续加压洒水或者喷淋方式作业；拆除作业后，场地闲置3个月以上的，用地单位对拆除后的裸露地面采取绿化等防尘措施。</w:t>
            </w:r>
          </w:p>
          <w:p w14:paraId="37CB6C3B">
            <w:pPr>
              <w:adjustRightInd w:val="0"/>
              <w:snapToGrid w:val="0"/>
              <w:spacing w:line="360" w:lineRule="auto"/>
              <w:ind w:firstLine="480" w:firstLineChars="200"/>
              <w:rPr>
                <w:rFonts w:hint="default" w:ascii="Times New Roman" w:hAnsi="Times New Roman" w:eastAsia="宋体" w:cs="Times New Roman"/>
                <w:sz w:val="24"/>
                <w:szCs w:val="32"/>
              </w:rPr>
            </w:pPr>
            <w:r>
              <w:rPr>
                <w:rFonts w:hint="default" w:ascii="Times New Roman" w:hAnsi="Times New Roman" w:eastAsia="宋体" w:cs="Times New Roman"/>
                <w:sz w:val="24"/>
                <w:szCs w:val="32"/>
              </w:rPr>
              <w:t>综上所述，采取设置围挡、施工现场洒水等措施，可以有效降低施工期施工扬尘对沿线大气环境的影响。由于施工是暂时的，随着施工的结束，上述环境影响也将消失。因此，在采取上述污染防治措施的情况下，本项目施工期大气污染物排放对沿线敏感点的影响处于可以接受的程度。</w:t>
            </w:r>
          </w:p>
          <w:p w14:paraId="5AEFDC90">
            <w:pPr>
              <w:pStyle w:val="80"/>
              <w:ind w:firstLine="480"/>
              <w:rPr>
                <w:rFonts w:hint="default" w:ascii="Times New Roman" w:hAnsi="Times New Roman" w:cs="Times New Roman"/>
                <w:b/>
                <w:color w:val="auto"/>
                <w:szCs w:val="21"/>
              </w:rPr>
            </w:pPr>
            <w:r>
              <w:rPr>
                <w:rFonts w:hint="default" w:ascii="Times New Roman" w:hAnsi="Times New Roman" w:eastAsia="宋体" w:cs="Times New Roman"/>
              </w:rPr>
              <w:t>施工期扬尘防治措施详见下表。</w:t>
            </w:r>
          </w:p>
          <w:p w14:paraId="2D0538A7">
            <w:pPr>
              <w:autoSpaceDE w:val="0"/>
              <w:autoSpaceDN w:val="0"/>
              <w:adjustRightInd w:val="0"/>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w:t>
            </w:r>
            <w:r>
              <w:rPr>
                <w:rFonts w:hint="default" w:ascii="Times New Roman" w:hAnsi="Times New Roman" w:cs="Times New Roman"/>
                <w:b/>
                <w:color w:val="auto"/>
                <w:szCs w:val="21"/>
                <w:lang w:val="en-US" w:eastAsia="zh-CN"/>
              </w:rPr>
              <w:t>5-1</w:t>
            </w:r>
            <w:r>
              <w:rPr>
                <w:rFonts w:hint="default" w:ascii="Times New Roman" w:hAnsi="Times New Roman" w:cs="Times New Roman"/>
                <w:b/>
                <w:color w:val="auto"/>
                <w:szCs w:val="21"/>
              </w:rPr>
              <w:t xml:space="preserve">  施工期大气污染防治措施一览表</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1145"/>
              <w:gridCol w:w="5843"/>
            </w:tblGrid>
            <w:tr w14:paraId="167AE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742" w:type="dxa"/>
                  <w:tcBorders>
                    <w:top w:val="single" w:color="auto" w:sz="4" w:space="0"/>
                    <w:left w:val="single" w:color="auto" w:sz="4" w:space="0"/>
                    <w:bottom w:val="single" w:color="auto" w:sz="4" w:space="0"/>
                    <w:right w:val="single" w:color="auto" w:sz="4" w:space="0"/>
                  </w:tcBorders>
                  <w:noWrap w:val="0"/>
                  <w:vAlign w:val="center"/>
                </w:tcPr>
                <w:p w14:paraId="73CAA3B0">
                  <w:pPr>
                    <w:autoSpaceDE w:val="0"/>
                    <w:autoSpaceDN w:val="0"/>
                    <w:adjustRightInd w:val="0"/>
                    <w:jc w:val="center"/>
                    <w:rPr>
                      <w:rStyle w:val="81"/>
                      <w:rFonts w:hint="default" w:ascii="Times New Roman" w:hAnsi="Times New Roman" w:cs="Times New Roman"/>
                      <w:b/>
                      <w:color w:val="auto"/>
                    </w:rPr>
                  </w:pPr>
                  <w:r>
                    <w:rPr>
                      <w:rStyle w:val="81"/>
                      <w:rFonts w:hint="default" w:ascii="Times New Roman" w:hAnsi="Times New Roman" w:cs="Times New Roman"/>
                      <w:b/>
                      <w:color w:val="auto"/>
                    </w:rPr>
                    <w:t>控制措施</w:t>
                  </w:r>
                </w:p>
              </w:tc>
              <w:tc>
                <w:tcPr>
                  <w:tcW w:w="6988" w:type="dxa"/>
                  <w:gridSpan w:val="2"/>
                  <w:tcBorders>
                    <w:top w:val="single" w:color="auto" w:sz="4" w:space="0"/>
                    <w:left w:val="single" w:color="auto" w:sz="4" w:space="0"/>
                    <w:bottom w:val="single" w:color="auto" w:sz="4" w:space="0"/>
                    <w:right w:val="single" w:color="auto" w:sz="4" w:space="0"/>
                  </w:tcBorders>
                  <w:noWrap w:val="0"/>
                  <w:vAlign w:val="center"/>
                </w:tcPr>
                <w:p w14:paraId="4834F4E9">
                  <w:pPr>
                    <w:autoSpaceDE w:val="0"/>
                    <w:autoSpaceDN w:val="0"/>
                    <w:adjustRightInd w:val="0"/>
                    <w:jc w:val="center"/>
                    <w:rPr>
                      <w:rStyle w:val="81"/>
                      <w:rFonts w:hint="default" w:ascii="Times New Roman" w:hAnsi="Times New Roman" w:cs="Times New Roman"/>
                      <w:b/>
                      <w:color w:val="auto"/>
                    </w:rPr>
                  </w:pPr>
                  <w:r>
                    <w:rPr>
                      <w:rStyle w:val="81"/>
                      <w:rFonts w:hint="default" w:ascii="Times New Roman" w:hAnsi="Times New Roman" w:cs="Times New Roman"/>
                      <w:b/>
                      <w:color w:val="auto"/>
                    </w:rPr>
                    <w:t>具体实施内容</w:t>
                  </w:r>
                </w:p>
              </w:tc>
            </w:tr>
            <w:tr w14:paraId="2FC93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2" w:type="dxa"/>
                  <w:tcBorders>
                    <w:top w:val="single" w:color="auto" w:sz="4" w:space="0"/>
                    <w:left w:val="single" w:color="auto" w:sz="4" w:space="0"/>
                    <w:bottom w:val="single" w:color="auto" w:sz="4" w:space="0"/>
                    <w:right w:val="single" w:color="auto" w:sz="4" w:space="0"/>
                  </w:tcBorders>
                  <w:noWrap w:val="0"/>
                  <w:vAlign w:val="center"/>
                </w:tcPr>
                <w:p w14:paraId="1FEB0FFA">
                  <w:pPr>
                    <w:autoSpaceDE w:val="0"/>
                    <w:autoSpaceDN w:val="0"/>
                    <w:adjustRightInd w:val="0"/>
                    <w:jc w:val="center"/>
                    <w:rPr>
                      <w:rStyle w:val="81"/>
                      <w:rFonts w:hint="default" w:ascii="Times New Roman" w:hAnsi="Times New Roman" w:cs="Times New Roman"/>
                      <w:b/>
                      <w:color w:val="auto"/>
                    </w:rPr>
                  </w:pPr>
                  <w:r>
                    <w:rPr>
                      <w:rStyle w:val="81"/>
                      <w:rFonts w:hint="default" w:ascii="Times New Roman" w:hAnsi="Times New Roman" w:cs="Times New Roman"/>
                      <w:b/>
                      <w:color w:val="auto"/>
                    </w:rPr>
                    <w:t>封闭围挡</w:t>
                  </w:r>
                </w:p>
              </w:tc>
              <w:tc>
                <w:tcPr>
                  <w:tcW w:w="6988" w:type="dxa"/>
                  <w:gridSpan w:val="2"/>
                  <w:tcBorders>
                    <w:top w:val="single" w:color="auto" w:sz="4" w:space="0"/>
                    <w:left w:val="single" w:color="auto" w:sz="4" w:space="0"/>
                    <w:bottom w:val="single" w:color="auto" w:sz="4" w:space="0"/>
                    <w:right w:val="single" w:color="auto" w:sz="4" w:space="0"/>
                  </w:tcBorders>
                  <w:noWrap w:val="0"/>
                  <w:vAlign w:val="center"/>
                </w:tcPr>
                <w:p w14:paraId="2F09147D">
                  <w:pPr>
                    <w:autoSpaceDE w:val="0"/>
                    <w:autoSpaceDN w:val="0"/>
                    <w:adjustRightInd w:val="0"/>
                    <w:rPr>
                      <w:rStyle w:val="81"/>
                      <w:rFonts w:hint="default" w:ascii="Times New Roman" w:hAnsi="Times New Roman" w:cs="Times New Roman"/>
                      <w:color w:val="auto"/>
                    </w:rPr>
                  </w:pPr>
                  <w:r>
                    <w:rPr>
                      <w:rStyle w:val="81"/>
                      <w:rFonts w:hint="default" w:ascii="Times New Roman" w:hAnsi="Times New Roman" w:cs="Times New Roman"/>
                      <w:color w:val="auto"/>
                    </w:rPr>
                    <w:t>围挡1.8米；围挡底端应设置防溢座，围挡之间及围挡与防溢座之间无缝隙。对于特殊地点无法设置围挡、围栏及防溢座的，应设警示牌。</w:t>
                  </w:r>
                </w:p>
              </w:tc>
            </w:tr>
            <w:tr w14:paraId="4680C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2" w:type="dxa"/>
                  <w:tcBorders>
                    <w:top w:val="single" w:color="auto" w:sz="4" w:space="0"/>
                    <w:left w:val="single" w:color="auto" w:sz="4" w:space="0"/>
                    <w:bottom w:val="single" w:color="auto" w:sz="4" w:space="0"/>
                    <w:right w:val="single" w:color="auto" w:sz="4" w:space="0"/>
                  </w:tcBorders>
                  <w:noWrap w:val="0"/>
                  <w:vAlign w:val="center"/>
                </w:tcPr>
                <w:p w14:paraId="47039FD5">
                  <w:pPr>
                    <w:autoSpaceDE w:val="0"/>
                    <w:autoSpaceDN w:val="0"/>
                    <w:adjustRightInd w:val="0"/>
                    <w:jc w:val="center"/>
                    <w:rPr>
                      <w:rStyle w:val="81"/>
                      <w:rFonts w:hint="default" w:ascii="Times New Roman" w:hAnsi="Times New Roman" w:cs="Times New Roman"/>
                      <w:b/>
                      <w:color w:val="auto"/>
                    </w:rPr>
                  </w:pPr>
                  <w:r>
                    <w:rPr>
                      <w:rStyle w:val="81"/>
                      <w:rFonts w:hint="default" w:ascii="Times New Roman" w:hAnsi="Times New Roman" w:cs="Times New Roman"/>
                      <w:b/>
                      <w:color w:val="auto"/>
                    </w:rPr>
                    <w:t>施工工地道路硬化</w:t>
                  </w:r>
                </w:p>
              </w:tc>
              <w:tc>
                <w:tcPr>
                  <w:tcW w:w="6988" w:type="dxa"/>
                  <w:gridSpan w:val="2"/>
                  <w:tcBorders>
                    <w:top w:val="single" w:color="auto" w:sz="4" w:space="0"/>
                    <w:left w:val="single" w:color="auto" w:sz="4" w:space="0"/>
                    <w:bottom w:val="single" w:color="auto" w:sz="4" w:space="0"/>
                    <w:right w:val="single" w:color="auto" w:sz="4" w:space="0"/>
                  </w:tcBorders>
                  <w:noWrap w:val="0"/>
                  <w:vAlign w:val="center"/>
                </w:tcPr>
                <w:p w14:paraId="3B91DBE8">
                  <w:pPr>
                    <w:autoSpaceDE w:val="0"/>
                    <w:autoSpaceDN w:val="0"/>
                    <w:adjustRightInd w:val="0"/>
                    <w:rPr>
                      <w:rStyle w:val="81"/>
                      <w:rFonts w:hint="default" w:ascii="Times New Roman" w:hAnsi="Times New Roman" w:cs="Times New Roman"/>
                      <w:color w:val="auto"/>
                    </w:rPr>
                  </w:pPr>
                  <w:r>
                    <w:rPr>
                      <w:rStyle w:val="81"/>
                      <w:rFonts w:hint="default" w:ascii="Times New Roman" w:hAnsi="Times New Roman" w:cs="Times New Roman"/>
                      <w:color w:val="auto"/>
                    </w:rPr>
                    <w:t>工地出口应采取铺设水泥混凝土或铺设沥青混凝土，并辅以洒水、喷洒抑尘剂等有效的防尘措施，保持路面清洁，防止机动车扬尘。</w:t>
                  </w:r>
                </w:p>
              </w:tc>
            </w:tr>
            <w:tr w14:paraId="75D3E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2" w:type="dxa"/>
                  <w:vMerge w:val="restart"/>
                  <w:tcBorders>
                    <w:top w:val="single" w:color="auto" w:sz="4" w:space="0"/>
                    <w:left w:val="single" w:color="auto" w:sz="4" w:space="0"/>
                    <w:bottom w:val="single" w:color="auto" w:sz="4" w:space="0"/>
                    <w:right w:val="single" w:color="auto" w:sz="4" w:space="0"/>
                  </w:tcBorders>
                  <w:noWrap w:val="0"/>
                  <w:vAlign w:val="center"/>
                </w:tcPr>
                <w:p w14:paraId="6C0B7877">
                  <w:pPr>
                    <w:autoSpaceDE w:val="0"/>
                    <w:autoSpaceDN w:val="0"/>
                    <w:adjustRightInd w:val="0"/>
                    <w:jc w:val="center"/>
                    <w:rPr>
                      <w:rStyle w:val="81"/>
                      <w:rFonts w:hint="default" w:ascii="Times New Roman" w:hAnsi="Times New Roman" w:cs="Times New Roman"/>
                      <w:b/>
                      <w:color w:val="auto"/>
                    </w:rPr>
                  </w:pPr>
                  <w:r>
                    <w:rPr>
                      <w:rStyle w:val="81"/>
                      <w:rFonts w:hint="default" w:ascii="Times New Roman" w:hAnsi="Times New Roman" w:cs="Times New Roman"/>
                      <w:b/>
                      <w:color w:val="auto"/>
                    </w:rPr>
                    <w:t>材料堆放遮盖措施</w:t>
                  </w:r>
                </w:p>
              </w:tc>
              <w:tc>
                <w:tcPr>
                  <w:tcW w:w="6988" w:type="dxa"/>
                  <w:gridSpan w:val="2"/>
                  <w:tcBorders>
                    <w:top w:val="single" w:color="auto" w:sz="4" w:space="0"/>
                    <w:left w:val="single" w:color="auto" w:sz="4" w:space="0"/>
                    <w:bottom w:val="single" w:color="auto" w:sz="4" w:space="0"/>
                    <w:right w:val="single" w:color="auto" w:sz="4" w:space="0"/>
                  </w:tcBorders>
                  <w:noWrap w:val="0"/>
                  <w:vAlign w:val="center"/>
                </w:tcPr>
                <w:p w14:paraId="6F9C2BE9">
                  <w:pPr>
                    <w:autoSpaceDE w:val="0"/>
                    <w:autoSpaceDN w:val="0"/>
                    <w:adjustRightInd w:val="0"/>
                    <w:rPr>
                      <w:rStyle w:val="81"/>
                      <w:rFonts w:hint="default" w:ascii="Times New Roman" w:hAnsi="Times New Roman" w:eastAsia="宋体" w:cs="Times New Roman"/>
                      <w:color w:val="auto"/>
                      <w:lang w:eastAsia="zh-CN"/>
                    </w:rPr>
                  </w:pPr>
                  <w:r>
                    <w:rPr>
                      <w:rStyle w:val="81"/>
                      <w:rFonts w:hint="default" w:ascii="Times New Roman" w:hAnsi="Times New Roman" w:cs="Times New Roman"/>
                      <w:color w:val="auto"/>
                    </w:rPr>
                    <w:t>A.施工工程中产生的弃土、弃料及其他建筑垃圾，应及时清运。若在工地内堆置超过一周的，则应采取覆盖防尘布、防尘网、定期喷洒抑尘剂、定期喷水压尘等有效防尘措施，防止风蚀起尘及水蚀迁移</w:t>
                  </w:r>
                  <w:r>
                    <w:rPr>
                      <w:rStyle w:val="81"/>
                      <w:rFonts w:hint="default" w:ascii="Times New Roman" w:hAnsi="Times New Roman" w:eastAsia="宋体" w:cs="Times New Roman"/>
                      <w:color w:val="auto"/>
                      <w:lang w:eastAsia="zh-CN"/>
                    </w:rPr>
                    <w:t>。</w:t>
                  </w:r>
                </w:p>
              </w:tc>
            </w:tr>
            <w:tr w14:paraId="4F6EB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2" w:type="dxa"/>
                  <w:vMerge w:val="continue"/>
                  <w:tcBorders>
                    <w:top w:val="single" w:color="auto" w:sz="4" w:space="0"/>
                    <w:left w:val="single" w:color="auto" w:sz="4" w:space="0"/>
                    <w:bottom w:val="single" w:color="auto" w:sz="4" w:space="0"/>
                    <w:right w:val="single" w:color="auto" w:sz="4" w:space="0"/>
                  </w:tcBorders>
                  <w:noWrap w:val="0"/>
                  <w:vAlign w:val="center"/>
                </w:tcPr>
                <w:p w14:paraId="74C23527">
                  <w:pPr>
                    <w:widowControl/>
                    <w:rPr>
                      <w:rStyle w:val="81"/>
                      <w:rFonts w:hint="default" w:ascii="Times New Roman" w:hAnsi="Times New Roman" w:cs="Times New Roman"/>
                      <w:b/>
                      <w:color w:val="auto"/>
                    </w:rPr>
                  </w:pPr>
                </w:p>
              </w:tc>
              <w:tc>
                <w:tcPr>
                  <w:tcW w:w="6988" w:type="dxa"/>
                  <w:gridSpan w:val="2"/>
                  <w:tcBorders>
                    <w:top w:val="single" w:color="auto" w:sz="4" w:space="0"/>
                    <w:left w:val="single" w:color="auto" w:sz="4" w:space="0"/>
                    <w:bottom w:val="single" w:color="auto" w:sz="4" w:space="0"/>
                    <w:right w:val="single" w:color="auto" w:sz="4" w:space="0"/>
                  </w:tcBorders>
                  <w:noWrap w:val="0"/>
                  <w:vAlign w:val="center"/>
                </w:tcPr>
                <w:p w14:paraId="260FA00B">
                  <w:pPr>
                    <w:autoSpaceDE w:val="0"/>
                    <w:autoSpaceDN w:val="0"/>
                    <w:adjustRightInd w:val="0"/>
                    <w:rPr>
                      <w:rStyle w:val="81"/>
                      <w:rFonts w:hint="default" w:ascii="Times New Roman" w:hAnsi="Times New Roman" w:eastAsia="宋体" w:cs="Times New Roman"/>
                      <w:color w:val="auto"/>
                      <w:lang w:eastAsia="zh-CN"/>
                    </w:rPr>
                  </w:pPr>
                  <w:r>
                    <w:rPr>
                      <w:rStyle w:val="81"/>
                      <w:rFonts w:hint="default" w:ascii="Times New Roman" w:hAnsi="Times New Roman" w:cs="Times New Roman"/>
                      <w:color w:val="auto"/>
                    </w:rPr>
                    <w:t>B.施工过程中使用水泥、石灰、砂石、涂料、铺装材料等易产生扬尘的建筑材料，应采取：密闭存储、设置围挡或堆砌围墙、采用防尘布苫盖等防尘措施</w:t>
                  </w:r>
                  <w:r>
                    <w:rPr>
                      <w:rStyle w:val="81"/>
                      <w:rFonts w:hint="default" w:ascii="Times New Roman" w:hAnsi="Times New Roman" w:eastAsia="宋体" w:cs="Times New Roman"/>
                      <w:color w:val="auto"/>
                      <w:lang w:eastAsia="zh-CN"/>
                    </w:rPr>
                    <w:t>。</w:t>
                  </w:r>
                </w:p>
              </w:tc>
            </w:tr>
            <w:tr w14:paraId="18C1F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2" w:type="dxa"/>
                  <w:tcBorders>
                    <w:top w:val="single" w:color="auto" w:sz="4" w:space="0"/>
                    <w:left w:val="single" w:color="auto" w:sz="4" w:space="0"/>
                    <w:bottom w:val="single" w:color="auto" w:sz="4" w:space="0"/>
                    <w:right w:val="single" w:color="auto" w:sz="4" w:space="0"/>
                  </w:tcBorders>
                  <w:noWrap w:val="0"/>
                  <w:vAlign w:val="center"/>
                </w:tcPr>
                <w:p w14:paraId="29A69392">
                  <w:pPr>
                    <w:autoSpaceDE w:val="0"/>
                    <w:autoSpaceDN w:val="0"/>
                    <w:adjustRightInd w:val="0"/>
                    <w:jc w:val="center"/>
                    <w:rPr>
                      <w:rStyle w:val="81"/>
                      <w:rFonts w:hint="default" w:ascii="Times New Roman" w:hAnsi="Times New Roman" w:cs="Times New Roman"/>
                      <w:b/>
                      <w:color w:val="auto"/>
                    </w:rPr>
                  </w:pPr>
                  <w:r>
                    <w:rPr>
                      <w:rStyle w:val="81"/>
                      <w:rFonts w:hint="default" w:ascii="Times New Roman" w:hAnsi="Times New Roman" w:cs="Times New Roman"/>
                      <w:b/>
                      <w:color w:val="auto"/>
                    </w:rPr>
                    <w:t>进出车辆冲洗措施</w:t>
                  </w:r>
                </w:p>
              </w:tc>
              <w:tc>
                <w:tcPr>
                  <w:tcW w:w="6988" w:type="dxa"/>
                  <w:gridSpan w:val="2"/>
                  <w:tcBorders>
                    <w:top w:val="single" w:color="auto" w:sz="4" w:space="0"/>
                    <w:left w:val="single" w:color="auto" w:sz="4" w:space="0"/>
                    <w:bottom w:val="single" w:color="auto" w:sz="4" w:space="0"/>
                    <w:right w:val="single" w:color="auto" w:sz="4" w:space="0"/>
                  </w:tcBorders>
                  <w:noWrap w:val="0"/>
                  <w:vAlign w:val="center"/>
                </w:tcPr>
                <w:p w14:paraId="1B971144">
                  <w:pPr>
                    <w:autoSpaceDE w:val="0"/>
                    <w:autoSpaceDN w:val="0"/>
                    <w:adjustRightInd w:val="0"/>
                    <w:rPr>
                      <w:rStyle w:val="81"/>
                      <w:rFonts w:hint="default" w:ascii="Times New Roman" w:hAnsi="Times New Roman" w:cs="Times New Roman"/>
                      <w:color w:val="auto"/>
                    </w:rPr>
                  </w:pPr>
                  <w:r>
                    <w:rPr>
                      <w:rStyle w:val="81"/>
                      <w:rFonts w:hint="default" w:ascii="Times New Roman" w:hAnsi="Times New Roman" w:cs="Times New Roman"/>
                      <w:color w:val="auto"/>
                    </w:rPr>
                    <w:t>设置洗车平台，完善排水设施，防止泥土粘带。施工期间，应在物料、渣土、垃圾运输车辆的出口内侧设置洗车平台，车辆驶离工地前，应在洗车平台清洗轮胎及车身，不得带泥上路。洗车平台四周应设置防溢座、废水导流渠、废水收集池、</w:t>
                  </w:r>
                  <w:r>
                    <w:rPr>
                      <w:rStyle w:val="81"/>
                      <w:rFonts w:hint="eastAsia" w:ascii="Times New Roman" w:hAnsi="Times New Roman" w:eastAsia="宋体" w:cs="Times New Roman"/>
                      <w:color w:val="auto"/>
                      <w:lang w:eastAsia="zh-CN"/>
                    </w:rPr>
                    <w:t>沉沙池</w:t>
                  </w:r>
                  <w:r>
                    <w:rPr>
                      <w:rStyle w:val="81"/>
                      <w:rFonts w:hint="default" w:ascii="Times New Roman" w:hAnsi="Times New Roman" w:cs="Times New Roman"/>
                      <w:color w:val="auto"/>
                    </w:rPr>
                    <w:t>及其它防治设施，收集洗车、施工以及降水过程中产生的废水和泥浆。工地出口处铺装道路上可见粘带泥土不得超过10米，并应及时清扫冲洗。</w:t>
                  </w:r>
                </w:p>
              </w:tc>
            </w:tr>
            <w:tr w14:paraId="00E65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2" w:type="dxa"/>
                  <w:vMerge w:val="restart"/>
                  <w:tcBorders>
                    <w:top w:val="single" w:color="auto" w:sz="4" w:space="0"/>
                    <w:left w:val="single" w:color="auto" w:sz="4" w:space="0"/>
                    <w:bottom w:val="single" w:color="auto" w:sz="4" w:space="0"/>
                    <w:right w:val="single" w:color="auto" w:sz="4" w:space="0"/>
                  </w:tcBorders>
                  <w:noWrap w:val="0"/>
                  <w:vAlign w:val="center"/>
                </w:tcPr>
                <w:p w14:paraId="24FAAFBC">
                  <w:pPr>
                    <w:autoSpaceDE w:val="0"/>
                    <w:autoSpaceDN w:val="0"/>
                    <w:adjustRightInd w:val="0"/>
                    <w:jc w:val="center"/>
                    <w:rPr>
                      <w:rStyle w:val="81"/>
                      <w:rFonts w:hint="default" w:ascii="Times New Roman" w:hAnsi="Times New Roman" w:cs="Times New Roman"/>
                      <w:b/>
                      <w:color w:val="auto"/>
                    </w:rPr>
                  </w:pPr>
                  <w:r>
                    <w:rPr>
                      <w:rStyle w:val="81"/>
                      <w:rFonts w:hint="default" w:ascii="Times New Roman" w:hAnsi="Times New Roman" w:cs="Times New Roman"/>
                      <w:b/>
                      <w:color w:val="auto"/>
                    </w:rPr>
                    <w:t>工程立面围护措施</w:t>
                  </w:r>
                </w:p>
              </w:tc>
              <w:tc>
                <w:tcPr>
                  <w:tcW w:w="6988" w:type="dxa"/>
                  <w:gridSpan w:val="2"/>
                  <w:tcBorders>
                    <w:top w:val="single" w:color="auto" w:sz="4" w:space="0"/>
                    <w:left w:val="single" w:color="auto" w:sz="4" w:space="0"/>
                    <w:bottom w:val="single" w:color="auto" w:sz="4" w:space="0"/>
                    <w:right w:val="single" w:color="auto" w:sz="4" w:space="0"/>
                  </w:tcBorders>
                  <w:noWrap w:val="0"/>
                  <w:vAlign w:val="center"/>
                </w:tcPr>
                <w:p w14:paraId="01A2FE0E">
                  <w:pPr>
                    <w:autoSpaceDE w:val="0"/>
                    <w:autoSpaceDN w:val="0"/>
                    <w:adjustRightInd w:val="0"/>
                    <w:rPr>
                      <w:rStyle w:val="81"/>
                      <w:rFonts w:hint="default" w:ascii="Times New Roman" w:hAnsi="Times New Roman" w:cs="Times New Roman"/>
                      <w:color w:val="auto"/>
                    </w:rPr>
                  </w:pPr>
                  <w:r>
                    <w:rPr>
                      <w:rStyle w:val="81"/>
                      <w:rFonts w:hint="default" w:ascii="Times New Roman" w:hAnsi="Times New Roman" w:cs="Times New Roman"/>
                      <w:color w:val="auto"/>
                    </w:rPr>
                    <w:t>对于工地内裸露地面，应采取覆盖防尘布、防尘网或铺设礁渣、细石或其他功能相当的材料或植被绿化、晴朗天气视情况每周等</w:t>
                  </w:r>
                  <w:r>
                    <w:rPr>
                      <w:rStyle w:val="81"/>
                      <w:rFonts w:hint="default" w:ascii="Times New Roman" w:hAnsi="Times New Roman" w:eastAsia="宋体" w:cs="Times New Roman"/>
                      <w:color w:val="auto"/>
                      <w:lang w:eastAsia="zh-CN"/>
                    </w:rPr>
                    <w:t>时间</w:t>
                  </w:r>
                  <w:r>
                    <w:rPr>
                      <w:rStyle w:val="81"/>
                      <w:rFonts w:hint="default" w:ascii="Times New Roman" w:hAnsi="Times New Roman" w:cs="Times New Roman"/>
                      <w:color w:val="auto"/>
                    </w:rPr>
                    <w:t>洒水二至七次，扬尘严重时应加大洒水等防尘措施。</w:t>
                  </w:r>
                </w:p>
              </w:tc>
            </w:tr>
            <w:tr w14:paraId="2B177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2" w:type="dxa"/>
                  <w:vMerge w:val="continue"/>
                  <w:tcBorders>
                    <w:top w:val="single" w:color="auto" w:sz="4" w:space="0"/>
                    <w:left w:val="single" w:color="auto" w:sz="4" w:space="0"/>
                    <w:bottom w:val="single" w:color="auto" w:sz="4" w:space="0"/>
                    <w:right w:val="single" w:color="auto" w:sz="4" w:space="0"/>
                  </w:tcBorders>
                  <w:noWrap w:val="0"/>
                  <w:vAlign w:val="center"/>
                </w:tcPr>
                <w:p w14:paraId="2D55EBFE">
                  <w:pPr>
                    <w:widowControl/>
                    <w:rPr>
                      <w:rStyle w:val="81"/>
                      <w:rFonts w:hint="default" w:ascii="Times New Roman" w:hAnsi="Times New Roman" w:cs="Times New Roman"/>
                      <w:b/>
                      <w:color w:val="auto"/>
                    </w:rPr>
                  </w:pPr>
                </w:p>
              </w:tc>
              <w:tc>
                <w:tcPr>
                  <w:tcW w:w="6988" w:type="dxa"/>
                  <w:gridSpan w:val="2"/>
                  <w:tcBorders>
                    <w:top w:val="single" w:color="auto" w:sz="4" w:space="0"/>
                    <w:left w:val="single" w:color="auto" w:sz="4" w:space="0"/>
                    <w:bottom w:val="single" w:color="auto" w:sz="4" w:space="0"/>
                    <w:right w:val="single" w:color="auto" w:sz="4" w:space="0"/>
                  </w:tcBorders>
                  <w:noWrap w:val="0"/>
                  <w:vAlign w:val="center"/>
                </w:tcPr>
                <w:p w14:paraId="68466C64">
                  <w:pPr>
                    <w:autoSpaceDE w:val="0"/>
                    <w:autoSpaceDN w:val="0"/>
                    <w:adjustRightInd w:val="0"/>
                    <w:rPr>
                      <w:rStyle w:val="81"/>
                      <w:rFonts w:hint="default" w:ascii="Times New Roman" w:hAnsi="Times New Roman" w:cs="Times New Roman"/>
                      <w:color w:val="auto"/>
                    </w:rPr>
                  </w:pPr>
                  <w:r>
                    <w:rPr>
                      <w:rStyle w:val="81"/>
                      <w:rFonts w:hint="default" w:ascii="Times New Roman" w:hAnsi="Times New Roman" w:cs="Times New Roman"/>
                      <w:color w:val="auto"/>
                    </w:rPr>
                    <w:t>土方工程遇干燥、易起尘的土方工程作业时，应辅以洒水压尘，尽量缩短起尘操作时间。遇到四级或四级以上大风天气，停止土方作业，作业处覆以防尘网。</w:t>
                  </w:r>
                </w:p>
              </w:tc>
            </w:tr>
            <w:tr w14:paraId="43A80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2" w:type="dxa"/>
                  <w:vMerge w:val="restart"/>
                  <w:tcBorders>
                    <w:top w:val="single" w:color="auto" w:sz="4" w:space="0"/>
                    <w:left w:val="single" w:color="auto" w:sz="4" w:space="0"/>
                    <w:bottom w:val="single" w:color="auto" w:sz="4" w:space="0"/>
                    <w:right w:val="single" w:color="auto" w:sz="4" w:space="0"/>
                  </w:tcBorders>
                  <w:noWrap w:val="0"/>
                  <w:vAlign w:val="center"/>
                </w:tcPr>
                <w:p w14:paraId="128F1B3A">
                  <w:pPr>
                    <w:autoSpaceDE w:val="0"/>
                    <w:autoSpaceDN w:val="0"/>
                    <w:adjustRightInd w:val="0"/>
                    <w:jc w:val="center"/>
                    <w:rPr>
                      <w:rStyle w:val="81"/>
                      <w:rFonts w:hint="default" w:ascii="Times New Roman" w:hAnsi="Times New Roman" w:cs="Times New Roman"/>
                      <w:b/>
                      <w:color w:val="auto"/>
                    </w:rPr>
                  </w:pPr>
                  <w:r>
                    <w:rPr>
                      <w:rStyle w:val="81"/>
                      <w:rFonts w:hint="default" w:ascii="Times New Roman" w:hAnsi="Times New Roman" w:cs="Times New Roman"/>
                      <w:b/>
                      <w:color w:val="auto"/>
                    </w:rPr>
                    <w:t>建筑垃圾清运措施</w:t>
                  </w:r>
                </w:p>
              </w:tc>
              <w:tc>
                <w:tcPr>
                  <w:tcW w:w="6988" w:type="dxa"/>
                  <w:gridSpan w:val="2"/>
                  <w:tcBorders>
                    <w:top w:val="single" w:color="auto" w:sz="4" w:space="0"/>
                    <w:left w:val="single" w:color="auto" w:sz="4" w:space="0"/>
                    <w:bottom w:val="single" w:color="auto" w:sz="4" w:space="0"/>
                    <w:right w:val="single" w:color="auto" w:sz="4" w:space="0"/>
                  </w:tcBorders>
                  <w:noWrap w:val="0"/>
                  <w:vAlign w:val="center"/>
                </w:tcPr>
                <w:p w14:paraId="15B0513F">
                  <w:pPr>
                    <w:autoSpaceDE w:val="0"/>
                    <w:autoSpaceDN w:val="0"/>
                    <w:adjustRightInd w:val="0"/>
                    <w:rPr>
                      <w:rStyle w:val="81"/>
                      <w:rFonts w:hint="default" w:ascii="Times New Roman" w:hAnsi="Times New Roman" w:cs="Times New Roman"/>
                      <w:color w:val="auto"/>
                    </w:rPr>
                  </w:pPr>
                  <w:r>
                    <w:rPr>
                      <w:rStyle w:val="81"/>
                      <w:rFonts w:hint="default" w:ascii="Times New Roman" w:hAnsi="Times New Roman" w:cs="Times New Roman"/>
                      <w:color w:val="auto"/>
                    </w:rPr>
                    <w:t>A.进出工地的物料、渣土、垃圾运输车辆的防尘措施、运输路线和时间。进出工地的物料、渣土、垃圾运输车辆，应尽可能采用密闭车斗，并保证物料不遗撒外漏。若无密闭车斗，物料、垃圾、渣土的装载高度不得超过车辆槽帮上沿，车斗应用苫布遮盖严实。苫布边缘至少要遮住槽帮上沿以下15厘米，保证物料、渣土、垃圾等不露出。车辆应按照批准的路线和时间进行物料、渣土、垃圾的运输。</w:t>
                  </w:r>
                </w:p>
              </w:tc>
            </w:tr>
            <w:tr w14:paraId="6C7D5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2" w:type="dxa"/>
                  <w:vMerge w:val="continue"/>
                  <w:tcBorders>
                    <w:top w:val="single" w:color="auto" w:sz="4" w:space="0"/>
                    <w:left w:val="single" w:color="auto" w:sz="4" w:space="0"/>
                    <w:bottom w:val="single" w:color="auto" w:sz="4" w:space="0"/>
                    <w:right w:val="single" w:color="auto" w:sz="4" w:space="0"/>
                  </w:tcBorders>
                  <w:noWrap w:val="0"/>
                  <w:vAlign w:val="center"/>
                </w:tcPr>
                <w:p w14:paraId="2479FDC5">
                  <w:pPr>
                    <w:widowControl/>
                    <w:rPr>
                      <w:rStyle w:val="81"/>
                      <w:rFonts w:hint="default" w:ascii="Times New Roman" w:hAnsi="Times New Roman" w:cs="Times New Roman"/>
                      <w:color w:val="auto"/>
                    </w:rPr>
                  </w:pPr>
                </w:p>
              </w:tc>
              <w:tc>
                <w:tcPr>
                  <w:tcW w:w="6988" w:type="dxa"/>
                  <w:gridSpan w:val="2"/>
                  <w:tcBorders>
                    <w:top w:val="single" w:color="auto" w:sz="4" w:space="0"/>
                    <w:left w:val="single" w:color="auto" w:sz="4" w:space="0"/>
                    <w:bottom w:val="single" w:color="auto" w:sz="4" w:space="0"/>
                    <w:right w:val="single" w:color="auto" w:sz="4" w:space="0"/>
                  </w:tcBorders>
                  <w:noWrap w:val="0"/>
                  <w:vAlign w:val="center"/>
                </w:tcPr>
                <w:p w14:paraId="52A2F5E8">
                  <w:pPr>
                    <w:autoSpaceDE w:val="0"/>
                    <w:autoSpaceDN w:val="0"/>
                    <w:adjustRightInd w:val="0"/>
                    <w:rPr>
                      <w:rStyle w:val="81"/>
                      <w:rFonts w:hint="default" w:ascii="Times New Roman" w:hAnsi="Times New Roman" w:cs="Times New Roman"/>
                      <w:color w:val="auto"/>
                    </w:rPr>
                  </w:pPr>
                  <w:r>
                    <w:rPr>
                      <w:rStyle w:val="81"/>
                      <w:rFonts w:hint="default" w:ascii="Times New Roman" w:hAnsi="Times New Roman" w:cs="Times New Roman"/>
                      <w:color w:val="auto"/>
                    </w:rPr>
                    <w:t>B.施工工地道路积尘清洁措施。可采用吸尘或水冲洗的方法清洁施工工地道路积尘，不得在未实施洒水等抑尘措施情况下进行直接清扫。</w:t>
                  </w:r>
                </w:p>
              </w:tc>
            </w:tr>
            <w:tr w14:paraId="06217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2" w:type="dxa"/>
                  <w:vMerge w:val="continue"/>
                  <w:tcBorders>
                    <w:top w:val="single" w:color="auto" w:sz="4" w:space="0"/>
                    <w:left w:val="single" w:color="auto" w:sz="4" w:space="0"/>
                    <w:bottom w:val="single" w:color="auto" w:sz="4" w:space="0"/>
                    <w:right w:val="single" w:color="auto" w:sz="4" w:space="0"/>
                  </w:tcBorders>
                  <w:noWrap w:val="0"/>
                  <w:vAlign w:val="center"/>
                </w:tcPr>
                <w:p w14:paraId="1BB0A98B">
                  <w:pPr>
                    <w:widowControl/>
                    <w:rPr>
                      <w:rStyle w:val="81"/>
                      <w:rFonts w:hint="default" w:ascii="Times New Roman" w:hAnsi="Times New Roman" w:cs="Times New Roman"/>
                      <w:color w:val="auto"/>
                    </w:rPr>
                  </w:pPr>
                </w:p>
              </w:tc>
              <w:tc>
                <w:tcPr>
                  <w:tcW w:w="6988" w:type="dxa"/>
                  <w:gridSpan w:val="2"/>
                  <w:tcBorders>
                    <w:top w:val="single" w:color="auto" w:sz="4" w:space="0"/>
                    <w:left w:val="single" w:color="auto" w:sz="4" w:space="0"/>
                    <w:bottom w:val="single" w:color="auto" w:sz="4" w:space="0"/>
                    <w:right w:val="single" w:color="auto" w:sz="4" w:space="0"/>
                  </w:tcBorders>
                  <w:noWrap w:val="0"/>
                  <w:vAlign w:val="center"/>
                </w:tcPr>
                <w:p w14:paraId="6E7A6607">
                  <w:pPr>
                    <w:autoSpaceDE w:val="0"/>
                    <w:autoSpaceDN w:val="0"/>
                    <w:adjustRightInd w:val="0"/>
                    <w:spacing w:line="240" w:lineRule="exact"/>
                    <w:rPr>
                      <w:rStyle w:val="81"/>
                      <w:rFonts w:hint="default" w:ascii="Times New Roman" w:hAnsi="Times New Roman" w:cs="Times New Roman"/>
                      <w:color w:val="auto"/>
                    </w:rPr>
                  </w:pPr>
                  <w:r>
                    <w:rPr>
                      <w:rStyle w:val="81"/>
                      <w:rFonts w:hint="default" w:ascii="Times New Roman" w:hAnsi="Times New Roman" w:cs="Times New Roman"/>
                      <w:color w:val="auto"/>
                    </w:rPr>
                    <w:t>C.施工期间需使用混凝土时，可使用预拌商品混凝土或者进行密闭搅拌并配备防尘除尘装置，不得现场露天搅拌混凝土、消化石灰及拌石灰土等。尽量采用石材、</w:t>
                  </w:r>
                  <w:r>
                    <w:rPr>
                      <w:rStyle w:val="81"/>
                      <w:rFonts w:hint="eastAsia" w:ascii="Times New Roman" w:hAnsi="Times New Roman" w:eastAsia="宋体" w:cs="Times New Roman"/>
                      <w:color w:val="auto"/>
                      <w:lang w:eastAsia="zh-CN"/>
                    </w:rPr>
                    <w:t>木质</w:t>
                  </w:r>
                  <w:r>
                    <w:rPr>
                      <w:rStyle w:val="81"/>
                      <w:rFonts w:hint="default" w:ascii="Times New Roman" w:hAnsi="Times New Roman" w:cs="Times New Roman"/>
                      <w:color w:val="auto"/>
                    </w:rPr>
                    <w:t>等成品或半成品，实施装配式施工。</w:t>
                  </w:r>
                </w:p>
              </w:tc>
            </w:tr>
            <w:tr w14:paraId="02101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2" w:type="dxa"/>
                  <w:vMerge w:val="continue"/>
                  <w:tcBorders>
                    <w:top w:val="single" w:color="auto" w:sz="4" w:space="0"/>
                    <w:left w:val="single" w:color="auto" w:sz="4" w:space="0"/>
                    <w:bottom w:val="single" w:color="auto" w:sz="4" w:space="0"/>
                    <w:right w:val="single" w:color="auto" w:sz="4" w:space="0"/>
                  </w:tcBorders>
                  <w:noWrap w:val="0"/>
                  <w:vAlign w:val="center"/>
                </w:tcPr>
                <w:p w14:paraId="741C30AE">
                  <w:pPr>
                    <w:widowControl/>
                    <w:rPr>
                      <w:rStyle w:val="81"/>
                      <w:rFonts w:hint="default" w:ascii="Times New Roman" w:hAnsi="Times New Roman" w:cs="Times New Roman"/>
                      <w:color w:val="auto"/>
                    </w:rPr>
                  </w:pPr>
                </w:p>
              </w:tc>
              <w:tc>
                <w:tcPr>
                  <w:tcW w:w="6988" w:type="dxa"/>
                  <w:gridSpan w:val="2"/>
                  <w:tcBorders>
                    <w:top w:val="single" w:color="auto" w:sz="4" w:space="0"/>
                    <w:left w:val="single" w:color="auto" w:sz="4" w:space="0"/>
                    <w:bottom w:val="single" w:color="auto" w:sz="4" w:space="0"/>
                    <w:right w:val="single" w:color="auto" w:sz="4" w:space="0"/>
                  </w:tcBorders>
                  <w:noWrap w:val="0"/>
                  <w:vAlign w:val="center"/>
                </w:tcPr>
                <w:p w14:paraId="3D099E16">
                  <w:pPr>
                    <w:autoSpaceDE w:val="0"/>
                    <w:autoSpaceDN w:val="0"/>
                    <w:adjustRightInd w:val="0"/>
                    <w:spacing w:line="240" w:lineRule="exact"/>
                    <w:rPr>
                      <w:rStyle w:val="81"/>
                      <w:rFonts w:hint="default" w:ascii="Times New Roman" w:hAnsi="Times New Roman" w:cs="Times New Roman"/>
                      <w:color w:val="auto"/>
                    </w:rPr>
                  </w:pPr>
                  <w:r>
                    <w:rPr>
                      <w:rStyle w:val="81"/>
                      <w:rFonts w:hint="default" w:ascii="Times New Roman" w:hAnsi="Times New Roman" w:cs="Times New Roman"/>
                      <w:color w:val="auto"/>
                    </w:rPr>
                    <w:t>D.施工期间，工地内从建筑上层将具有粉尘逸散性的物料、渣土或废弃物输送至地面或地下楼层时，可从建筑内部管道或密闭输送管道输送，或者打包装框搬运，不得凌空抛撒。</w:t>
                  </w:r>
                </w:p>
              </w:tc>
            </w:tr>
            <w:tr w14:paraId="6636E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2" w:type="dxa"/>
                  <w:vMerge w:val="continue"/>
                  <w:tcBorders>
                    <w:top w:val="single" w:color="auto" w:sz="4" w:space="0"/>
                    <w:left w:val="single" w:color="auto" w:sz="4" w:space="0"/>
                    <w:bottom w:val="single" w:color="auto" w:sz="4" w:space="0"/>
                    <w:right w:val="single" w:color="auto" w:sz="4" w:space="0"/>
                  </w:tcBorders>
                  <w:noWrap w:val="0"/>
                  <w:vAlign w:val="center"/>
                </w:tcPr>
                <w:p w14:paraId="6349FBE9">
                  <w:pPr>
                    <w:widowControl/>
                    <w:rPr>
                      <w:rStyle w:val="81"/>
                      <w:rFonts w:hint="default" w:ascii="Times New Roman" w:hAnsi="Times New Roman" w:cs="Times New Roman"/>
                      <w:color w:val="auto"/>
                    </w:rPr>
                  </w:pPr>
                </w:p>
              </w:tc>
              <w:tc>
                <w:tcPr>
                  <w:tcW w:w="6988" w:type="dxa"/>
                  <w:gridSpan w:val="2"/>
                  <w:tcBorders>
                    <w:top w:val="single" w:color="auto" w:sz="4" w:space="0"/>
                    <w:left w:val="single" w:color="auto" w:sz="4" w:space="0"/>
                    <w:bottom w:val="single" w:color="auto" w:sz="4" w:space="0"/>
                    <w:right w:val="single" w:color="auto" w:sz="4" w:space="0"/>
                  </w:tcBorders>
                  <w:noWrap w:val="0"/>
                  <w:vAlign w:val="center"/>
                </w:tcPr>
                <w:p w14:paraId="3E11003C">
                  <w:pPr>
                    <w:autoSpaceDE w:val="0"/>
                    <w:autoSpaceDN w:val="0"/>
                    <w:adjustRightInd w:val="0"/>
                    <w:rPr>
                      <w:rStyle w:val="81"/>
                      <w:rFonts w:hint="default" w:ascii="Times New Roman" w:hAnsi="Times New Roman" w:cs="Times New Roman"/>
                      <w:color w:val="auto"/>
                    </w:rPr>
                  </w:pPr>
                  <w:r>
                    <w:rPr>
                      <w:rStyle w:val="81"/>
                      <w:rFonts w:hint="default" w:ascii="Times New Roman" w:hAnsi="Times New Roman" w:cs="Times New Roman"/>
                      <w:color w:val="auto"/>
                    </w:rPr>
                    <w:t>E.工地应有专人负责逸散性材料、垃圾、渣土、裸地等密闭、覆盖、洒水作业以及车辆清洗作业等，并记录扬尘控制措施的实施情况。</w:t>
                  </w:r>
                </w:p>
              </w:tc>
            </w:tr>
            <w:tr w14:paraId="72E02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2" w:type="dxa"/>
                  <w:vMerge w:val="continue"/>
                  <w:tcBorders>
                    <w:top w:val="single" w:color="auto" w:sz="4" w:space="0"/>
                    <w:left w:val="single" w:color="auto" w:sz="4" w:space="0"/>
                    <w:bottom w:val="single" w:color="auto" w:sz="4" w:space="0"/>
                    <w:right w:val="single" w:color="auto" w:sz="4" w:space="0"/>
                  </w:tcBorders>
                  <w:noWrap w:val="0"/>
                  <w:vAlign w:val="center"/>
                </w:tcPr>
                <w:p w14:paraId="0D514982">
                  <w:pPr>
                    <w:widowControl/>
                    <w:rPr>
                      <w:rStyle w:val="81"/>
                      <w:rFonts w:hint="default" w:ascii="Times New Roman" w:hAnsi="Times New Roman" w:cs="Times New Roman"/>
                      <w:color w:val="auto"/>
                    </w:rPr>
                  </w:pPr>
                </w:p>
              </w:tc>
              <w:tc>
                <w:tcPr>
                  <w:tcW w:w="6988" w:type="dxa"/>
                  <w:gridSpan w:val="2"/>
                  <w:tcBorders>
                    <w:top w:val="single" w:color="auto" w:sz="4" w:space="0"/>
                    <w:left w:val="single" w:color="auto" w:sz="4" w:space="0"/>
                    <w:bottom w:val="single" w:color="auto" w:sz="4" w:space="0"/>
                    <w:right w:val="single" w:color="auto" w:sz="4" w:space="0"/>
                  </w:tcBorders>
                  <w:noWrap w:val="0"/>
                  <w:vAlign w:val="center"/>
                </w:tcPr>
                <w:p w14:paraId="7DE5AF21">
                  <w:pPr>
                    <w:autoSpaceDE w:val="0"/>
                    <w:autoSpaceDN w:val="0"/>
                    <w:adjustRightInd w:val="0"/>
                    <w:rPr>
                      <w:rStyle w:val="81"/>
                      <w:rFonts w:hint="default" w:ascii="Times New Roman" w:hAnsi="Times New Roman" w:cs="Times New Roman"/>
                      <w:color w:val="auto"/>
                    </w:rPr>
                  </w:pPr>
                  <w:r>
                    <w:rPr>
                      <w:rStyle w:val="81"/>
                      <w:rFonts w:hint="default" w:ascii="Times New Roman" w:hAnsi="Times New Roman" w:cs="Times New Roman"/>
                      <w:color w:val="auto"/>
                    </w:rPr>
                    <w:t>F.施工单位保洁责任区的范围应根据施工扬尘影响情况确定，一般设在施工工地周围20米范围内。</w:t>
                  </w:r>
                </w:p>
              </w:tc>
            </w:tr>
            <w:tr w14:paraId="6AD77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87" w:type="dxa"/>
                  <w:gridSpan w:val="2"/>
                  <w:tcBorders>
                    <w:top w:val="single" w:color="auto" w:sz="4" w:space="0"/>
                    <w:left w:val="single" w:color="auto" w:sz="4" w:space="0"/>
                    <w:bottom w:val="single" w:color="auto" w:sz="4" w:space="0"/>
                    <w:right w:val="single" w:color="auto" w:sz="4" w:space="0"/>
                  </w:tcBorders>
                  <w:noWrap w:val="0"/>
                  <w:vAlign w:val="center"/>
                </w:tcPr>
                <w:p w14:paraId="27060203">
                  <w:pPr>
                    <w:autoSpaceDE w:val="0"/>
                    <w:autoSpaceDN w:val="0"/>
                    <w:adjustRightInd w:val="0"/>
                    <w:jc w:val="center"/>
                    <w:rPr>
                      <w:rStyle w:val="81"/>
                      <w:rFonts w:hint="default" w:ascii="Times New Roman" w:hAnsi="Times New Roman" w:cs="Times New Roman"/>
                      <w:b/>
                      <w:color w:val="auto"/>
                    </w:rPr>
                  </w:pPr>
                  <w:r>
                    <w:rPr>
                      <w:rStyle w:val="81"/>
                      <w:rFonts w:hint="default" w:ascii="Times New Roman" w:hAnsi="Times New Roman" w:cs="Times New Roman"/>
                      <w:b/>
                      <w:color w:val="auto"/>
                    </w:rPr>
                    <w:t>《20</w:t>
                  </w:r>
                  <w:r>
                    <w:rPr>
                      <w:rStyle w:val="81"/>
                      <w:rFonts w:hint="eastAsia" w:ascii="Times New Roman" w:hAnsi="Times New Roman" w:eastAsia="宋体" w:cs="Times New Roman"/>
                      <w:b/>
                      <w:color w:val="auto"/>
                      <w:lang w:val="en-US" w:eastAsia="zh-CN"/>
                    </w:rPr>
                    <w:t>24</w:t>
                  </w:r>
                  <w:r>
                    <w:rPr>
                      <w:rStyle w:val="81"/>
                      <w:rFonts w:hint="default" w:ascii="Times New Roman" w:hAnsi="Times New Roman" w:cs="Times New Roman"/>
                      <w:b/>
                      <w:color w:val="auto"/>
                    </w:rPr>
                    <w:t>年六安市大气污染防治重点工作任务》要求</w:t>
                  </w:r>
                </w:p>
              </w:tc>
              <w:tc>
                <w:tcPr>
                  <w:tcW w:w="5843" w:type="dxa"/>
                  <w:tcBorders>
                    <w:top w:val="single" w:color="auto" w:sz="4" w:space="0"/>
                    <w:left w:val="single" w:color="auto" w:sz="4" w:space="0"/>
                    <w:bottom w:val="single" w:color="auto" w:sz="4" w:space="0"/>
                    <w:right w:val="single" w:color="auto" w:sz="4" w:space="0"/>
                  </w:tcBorders>
                  <w:noWrap w:val="0"/>
                  <w:vAlign w:val="center"/>
                </w:tcPr>
                <w:p w14:paraId="634AC8DE">
                  <w:pPr>
                    <w:autoSpaceDE w:val="0"/>
                    <w:autoSpaceDN w:val="0"/>
                    <w:adjustRightInd w:val="0"/>
                    <w:rPr>
                      <w:rStyle w:val="81"/>
                      <w:rFonts w:hint="default" w:ascii="Times New Roman" w:hAnsi="Times New Roman" w:cs="Times New Roman"/>
                      <w:color w:val="auto"/>
                    </w:rPr>
                  </w:pPr>
                  <w:r>
                    <w:rPr>
                      <w:rStyle w:val="81"/>
                      <w:rFonts w:hint="default" w:ascii="Times New Roman" w:hAnsi="Times New Roman" w:cs="Times New Roman"/>
                      <w:color w:val="auto"/>
                    </w:rPr>
                    <w:t>实现工地周边封闭围挡、易扬尘物料堆放覆盖、出入车辆冲洗、路面硬化、拆迁工地湿法作业、渣土车辆密闭运输等要求。</w:t>
                  </w:r>
                </w:p>
              </w:tc>
            </w:tr>
            <w:tr w14:paraId="62831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87" w:type="dxa"/>
                  <w:gridSpan w:val="2"/>
                  <w:tcBorders>
                    <w:top w:val="single" w:color="auto" w:sz="4" w:space="0"/>
                    <w:left w:val="single" w:color="auto" w:sz="4" w:space="0"/>
                    <w:bottom w:val="single" w:color="auto" w:sz="4" w:space="0"/>
                    <w:right w:val="single" w:color="auto" w:sz="4" w:space="0"/>
                  </w:tcBorders>
                  <w:noWrap w:val="0"/>
                  <w:vAlign w:val="center"/>
                </w:tcPr>
                <w:p w14:paraId="519CFD83">
                  <w:pPr>
                    <w:autoSpaceDE w:val="0"/>
                    <w:autoSpaceDN w:val="0"/>
                    <w:adjustRightInd w:val="0"/>
                    <w:jc w:val="center"/>
                    <w:rPr>
                      <w:rStyle w:val="81"/>
                      <w:rFonts w:hint="default" w:ascii="Times New Roman" w:hAnsi="Times New Roman" w:cs="Times New Roman"/>
                      <w:b/>
                      <w:color w:val="auto"/>
                    </w:rPr>
                  </w:pPr>
                  <w:r>
                    <w:rPr>
                      <w:rStyle w:val="81"/>
                      <w:rFonts w:hint="default" w:ascii="Times New Roman" w:hAnsi="Times New Roman" w:cs="Times New Roman"/>
                      <w:b/>
                      <w:color w:val="auto"/>
                    </w:rPr>
                    <w:t>《国务院关于印发打赢蓝天保卫战三年行动计划的通知》</w:t>
                  </w:r>
                </w:p>
              </w:tc>
              <w:tc>
                <w:tcPr>
                  <w:tcW w:w="5843" w:type="dxa"/>
                  <w:tcBorders>
                    <w:top w:val="single" w:color="auto" w:sz="4" w:space="0"/>
                    <w:left w:val="single" w:color="auto" w:sz="4" w:space="0"/>
                    <w:bottom w:val="single" w:color="auto" w:sz="4" w:space="0"/>
                    <w:right w:val="single" w:color="auto" w:sz="4" w:space="0"/>
                  </w:tcBorders>
                  <w:noWrap w:val="0"/>
                  <w:vAlign w:val="center"/>
                </w:tcPr>
                <w:p w14:paraId="5DACD509">
                  <w:pPr>
                    <w:autoSpaceDE w:val="0"/>
                    <w:autoSpaceDN w:val="0"/>
                    <w:adjustRightInd w:val="0"/>
                    <w:rPr>
                      <w:rStyle w:val="81"/>
                      <w:rFonts w:hint="default" w:ascii="Times New Roman" w:hAnsi="Times New Roman" w:cs="Times New Roman"/>
                      <w:color w:val="auto"/>
                    </w:rPr>
                  </w:pPr>
                  <w:r>
                    <w:rPr>
                      <w:rStyle w:val="81"/>
                      <w:rFonts w:hint="default" w:ascii="Times New Roman" w:hAnsi="Times New Roman" w:cs="Times New Roman"/>
                      <w:color w:val="auto"/>
                    </w:rPr>
                    <w:t>严格施工扬尘监管。2018年底前，各地建立施工工地管理清单。因地制宜稳步发展装配式建筑。将施工工地扬尘污染防治纳入文明施工管理范畴，建立扬尘控制责任制度，扬尘治理费用列入工程造价。重点区域建筑施工工地要做到工地周边围挡、物料堆放覆盖、土方开挖湿法作业、路面硬化、出入车辆清洗、渣土车辆密闭运输，安装在线监测和视频监控设备，并与当地有关主管部门联网。将扬尘管理工作不到位的不良信息纳入建筑市场信用管理体系，情节严重的，列入建筑市场主体</w:t>
                  </w:r>
                  <w:r>
                    <w:rPr>
                      <w:rStyle w:val="81"/>
                      <w:rFonts w:hint="eastAsia" w:ascii="Times New Roman" w:hAnsi="Times New Roman" w:eastAsia="宋体" w:cs="Times New Roman"/>
                      <w:color w:val="auto"/>
                      <w:lang w:eastAsia="zh-CN"/>
                    </w:rPr>
                    <w:t>“</w:t>
                  </w:r>
                  <w:r>
                    <w:rPr>
                      <w:rStyle w:val="81"/>
                      <w:rFonts w:hint="default" w:ascii="Times New Roman" w:hAnsi="Times New Roman" w:cs="Times New Roman"/>
                      <w:color w:val="auto"/>
                    </w:rPr>
                    <w:t>黑名单</w:t>
                  </w:r>
                  <w:r>
                    <w:rPr>
                      <w:rStyle w:val="81"/>
                      <w:rFonts w:hint="eastAsia" w:ascii="Times New Roman" w:hAnsi="Times New Roman" w:eastAsia="宋体" w:cs="Times New Roman"/>
                      <w:color w:val="auto"/>
                      <w:lang w:eastAsia="zh-CN"/>
                    </w:rPr>
                    <w:t>”</w:t>
                  </w:r>
                  <w:r>
                    <w:rPr>
                      <w:rStyle w:val="81"/>
                      <w:rFonts w:hint="default" w:ascii="Times New Roman" w:hAnsi="Times New Roman" w:cs="Times New Roman"/>
                      <w:color w:val="auto"/>
                    </w:rPr>
                    <w:t>。加强道路扬尘综合整治。大力推进道路清扫保洁机械化作业，提高道路机械化清扫率，2020年底前，地级及以上城市建成区达到70%以上，县城达到60%以上，重点区域要显著提高。严格渣土运输车辆规范化管理，渣土运输车要密闭。</w:t>
                  </w:r>
                </w:p>
              </w:tc>
            </w:tr>
          </w:tbl>
          <w:p w14:paraId="10659C71">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rPr>
              <w:t>建设单位在严格落实以上措施后，施工期产生的大气污染将得到有效控制，对施工人员以及周边的影响基本在人们可接受范围之内，对区域大气环境影响不大。同时施工期大气环境影响是暂时的、局部的，随着施工的结束而结束。</w:t>
            </w:r>
          </w:p>
          <w:p w14:paraId="2B29D863">
            <w:pPr>
              <w:adjustRightInd w:val="0"/>
              <w:snapToGrid w:val="0"/>
              <w:spacing w:line="360" w:lineRule="auto"/>
              <w:ind w:firstLine="482" w:firstLineChars="200"/>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3、</w:t>
            </w:r>
            <w:r>
              <w:rPr>
                <w:rFonts w:hint="default" w:ascii="Times New Roman" w:hAnsi="Times New Roman" w:cs="Times New Roman"/>
                <w:b/>
                <w:bCs/>
                <w:color w:val="auto"/>
                <w:sz w:val="24"/>
                <w:szCs w:val="32"/>
              </w:rPr>
              <w:t>水环境保护措施</w:t>
            </w:r>
          </w:p>
          <w:p w14:paraId="3C18966C">
            <w:pPr>
              <w:adjustRightInd w:val="0"/>
              <w:snapToGrid w:val="0"/>
              <w:spacing w:line="360" w:lineRule="auto"/>
              <w:ind w:firstLine="482" w:firstLineChars="200"/>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（1）管理措施</w:t>
            </w:r>
          </w:p>
          <w:p w14:paraId="641E4949">
            <w:pPr>
              <w:adjustRightInd w:val="0"/>
              <w:snapToGrid w:val="0"/>
              <w:spacing w:line="360" w:lineRule="auto"/>
              <w:ind w:firstLine="480" w:firstLineChars="20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项目避免在暴雨天施工，暴雨期应采取应急措施，尽量用覆盖物覆盖新挖的陡坡，防止冲刷和</w:t>
            </w:r>
            <w:r>
              <w:rPr>
                <w:rFonts w:hint="default" w:ascii="Times New Roman" w:hAnsi="Times New Roman" w:cs="Times New Roman"/>
                <w:color w:val="auto"/>
                <w:sz w:val="24"/>
                <w:szCs w:val="32"/>
                <w:lang w:eastAsia="zh-CN"/>
              </w:rPr>
              <w:t>崩塌</w:t>
            </w:r>
            <w:r>
              <w:rPr>
                <w:rFonts w:hint="default" w:ascii="Times New Roman" w:hAnsi="Times New Roman" w:cs="Times New Roman"/>
                <w:color w:val="auto"/>
                <w:sz w:val="24"/>
                <w:szCs w:val="32"/>
              </w:rPr>
              <w:t>。</w:t>
            </w:r>
          </w:p>
          <w:p w14:paraId="1BC4B494">
            <w:pPr>
              <w:adjustRightInd w:val="0"/>
              <w:snapToGrid w:val="0"/>
              <w:spacing w:line="360" w:lineRule="auto"/>
              <w:ind w:firstLine="480" w:firstLineChars="20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开展施工场所和营地的水环境保护教育，让施工人员理解水保护的重要性；加强施工管理和工程监理工作，防止发生水上交通安全事故；严格检查施工机械，防止油料泄漏污染水体。施工材料如油料等不宜</w:t>
            </w:r>
            <w:r>
              <w:rPr>
                <w:rFonts w:hint="default" w:ascii="Times New Roman" w:hAnsi="Times New Roman" w:cs="Times New Roman"/>
                <w:color w:val="auto"/>
                <w:sz w:val="24"/>
                <w:szCs w:val="32"/>
                <w:lang w:val="en-US" w:eastAsia="zh-CN"/>
              </w:rPr>
              <w:t>露天堆放、远离河道</w:t>
            </w:r>
            <w:r>
              <w:rPr>
                <w:rFonts w:hint="default" w:ascii="Times New Roman" w:hAnsi="Times New Roman" w:cs="Times New Roman"/>
                <w:color w:val="auto"/>
                <w:sz w:val="24"/>
                <w:szCs w:val="32"/>
              </w:rPr>
              <w:t>。</w:t>
            </w:r>
          </w:p>
          <w:p w14:paraId="057378B0">
            <w:pPr>
              <w:adjustRightInd w:val="0"/>
              <w:snapToGrid w:val="0"/>
              <w:spacing w:line="360" w:lineRule="auto"/>
              <w:ind w:firstLine="482" w:firstLineChars="200"/>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（2）施工期生活污水处理措施</w:t>
            </w:r>
          </w:p>
          <w:p w14:paraId="22E7B201">
            <w:pPr>
              <w:adjustRightInd w:val="0"/>
              <w:snapToGrid w:val="0"/>
              <w:spacing w:line="360" w:lineRule="auto"/>
              <w:ind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本项目施工期施工人员生活污水经化粪池处理后用于农肥</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rPr>
              <w:t>施工人员生活污水不会对周边区域地表水造成不利影响。</w:t>
            </w:r>
          </w:p>
          <w:p w14:paraId="6BB3662B">
            <w:pPr>
              <w:adjustRightInd w:val="0"/>
              <w:snapToGrid w:val="0"/>
              <w:spacing w:line="360" w:lineRule="auto"/>
              <w:ind w:firstLine="482" w:firstLineChars="200"/>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（3）施工期生产废水处理措施</w:t>
            </w:r>
          </w:p>
          <w:p w14:paraId="1FC4857D">
            <w:pPr>
              <w:adjustRightInd w:val="0"/>
              <w:snapToGrid w:val="0"/>
              <w:spacing w:line="360" w:lineRule="auto"/>
              <w:ind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rPr>
              <w:t>施工期主要包括车辆冲洗废水、地面冲洗废水和部分机械设备的淋洗废水，</w:t>
            </w:r>
            <w:r>
              <w:rPr>
                <w:rFonts w:hint="default" w:ascii="Times New Roman" w:hAnsi="Times New Roman" w:cs="Times New Roman"/>
                <w:color w:val="auto"/>
                <w:sz w:val="24"/>
                <w:szCs w:val="32"/>
                <w:lang w:val="en-US" w:eastAsia="zh-CN"/>
              </w:rPr>
              <w:t>水量少</w:t>
            </w:r>
            <w:r>
              <w:rPr>
                <w:rFonts w:hint="default" w:ascii="Times New Roman" w:hAnsi="Times New Roman" w:cs="Times New Roman"/>
                <w:color w:val="auto"/>
                <w:sz w:val="24"/>
                <w:szCs w:val="32"/>
              </w:rPr>
              <w:t>，如果直接排放将会影响受纳水体水质。要求设置车辆冲洗平台和截流排水沟，废水经临时隔油沉淀池处理后回用，可以</w:t>
            </w:r>
            <w:r>
              <w:rPr>
                <w:rFonts w:hint="default" w:ascii="Times New Roman" w:hAnsi="Times New Roman" w:cs="Times New Roman"/>
                <w:color w:val="auto"/>
                <w:sz w:val="24"/>
                <w:szCs w:val="32"/>
                <w:highlight w:val="none"/>
              </w:rPr>
              <w:t>用作施工区洒水抑尘，清洗车辆等。</w:t>
            </w:r>
          </w:p>
          <w:p w14:paraId="5527A648">
            <w:pPr>
              <w:adjustRightInd w:val="0"/>
              <w:snapToGrid w:val="0"/>
              <w:spacing w:line="360" w:lineRule="auto"/>
              <w:ind w:firstLine="482" w:firstLineChars="200"/>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4、</w:t>
            </w:r>
            <w:r>
              <w:rPr>
                <w:rFonts w:hint="default" w:ascii="Times New Roman" w:hAnsi="Times New Roman" w:cs="Times New Roman"/>
                <w:b/>
                <w:bCs/>
                <w:color w:val="auto"/>
                <w:sz w:val="24"/>
                <w:szCs w:val="32"/>
              </w:rPr>
              <w:t>声环境保护措施</w:t>
            </w:r>
          </w:p>
          <w:p w14:paraId="59FDC2CD">
            <w:pPr>
              <w:pStyle w:val="54"/>
              <w:ind w:firstLine="480"/>
              <w:rPr>
                <w:rFonts w:hint="default" w:ascii="Times New Roman" w:hAnsi="Times New Roman" w:cs="Times New Roman"/>
                <w:color w:val="auto"/>
                <w:sz w:val="24"/>
                <w:szCs w:val="18"/>
              </w:rPr>
            </w:pPr>
            <w:r>
              <w:rPr>
                <w:rFonts w:hint="eastAsia" w:cs="Times New Roman"/>
                <w:color w:val="auto"/>
                <w:sz w:val="24"/>
                <w:szCs w:val="18"/>
                <w:lang w:val="en-US" w:eastAsia="zh-CN"/>
              </w:rPr>
              <w:t>根据调查，本项目沿线200m范围内居民点均已拆迁，施工期主要为运输是对运输路线沿线较近居民造成一定程度的影响，</w:t>
            </w:r>
            <w:r>
              <w:rPr>
                <w:rFonts w:hint="default" w:ascii="Times New Roman" w:hAnsi="Times New Roman" w:cs="Times New Roman"/>
                <w:color w:val="auto"/>
                <w:sz w:val="24"/>
                <w:szCs w:val="18"/>
              </w:rPr>
              <w:t>为了减少噪声不必要的影响，建议施工单位采取以下措施：</w:t>
            </w:r>
          </w:p>
          <w:p w14:paraId="4B5BC17E">
            <w:pPr>
              <w:pStyle w:val="54"/>
              <w:ind w:firstLine="48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（1）合理安排施工运输车辆的行走路线和行走时间</w:t>
            </w:r>
          </w:p>
          <w:p w14:paraId="63A33166">
            <w:pPr>
              <w:pStyle w:val="54"/>
              <w:ind w:firstLine="48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施工运输车辆，尤其是大型运输车辆，应按照有关部门的规定，确定合理运输路线和时间，运输车辆要绕避沿线敏感点。</w:t>
            </w:r>
          </w:p>
          <w:p w14:paraId="7AB66B8F">
            <w:pPr>
              <w:pStyle w:val="54"/>
              <w:ind w:firstLine="48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w:t>
            </w:r>
            <w:r>
              <w:rPr>
                <w:rFonts w:hint="eastAsia" w:cs="Times New Roman"/>
                <w:b/>
                <w:bCs/>
                <w:color w:val="auto"/>
                <w:sz w:val="24"/>
                <w:szCs w:val="18"/>
                <w:lang w:val="en-US" w:eastAsia="zh-CN"/>
              </w:rPr>
              <w:t>2</w:t>
            </w:r>
            <w:r>
              <w:rPr>
                <w:rFonts w:hint="default" w:ascii="Times New Roman" w:hAnsi="Times New Roman" w:cs="Times New Roman"/>
                <w:b/>
                <w:bCs/>
                <w:color w:val="auto"/>
                <w:sz w:val="24"/>
                <w:szCs w:val="18"/>
              </w:rPr>
              <w:t>）加强环境管理，</w:t>
            </w:r>
            <w:r>
              <w:rPr>
                <w:rFonts w:hint="eastAsia" w:cs="Times New Roman"/>
                <w:b/>
                <w:bCs/>
                <w:color w:val="auto"/>
                <w:sz w:val="24"/>
                <w:szCs w:val="18"/>
                <w:lang w:val="en-US" w:eastAsia="zh-CN"/>
              </w:rPr>
              <w:t>落实运输</w:t>
            </w:r>
            <w:r>
              <w:rPr>
                <w:rFonts w:hint="default" w:ascii="Times New Roman" w:hAnsi="Times New Roman" w:cs="Times New Roman"/>
                <w:b/>
                <w:bCs/>
                <w:color w:val="auto"/>
                <w:sz w:val="24"/>
                <w:szCs w:val="18"/>
              </w:rPr>
              <w:t>管理制度</w:t>
            </w:r>
          </w:p>
          <w:p w14:paraId="19E58180">
            <w:pPr>
              <w:pStyle w:val="54"/>
              <w:ind w:firstLine="48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施工单位要</w:t>
            </w:r>
            <w:r>
              <w:rPr>
                <w:rFonts w:hint="eastAsia" w:cs="Times New Roman"/>
                <w:color w:val="auto"/>
                <w:sz w:val="24"/>
                <w:szCs w:val="18"/>
                <w:lang w:val="en-US" w:eastAsia="zh-CN"/>
              </w:rPr>
              <w:t>加强运输车辆员工教育，在途经居民区时，应减速慢行、禁止鸣笛</w:t>
            </w:r>
            <w:r>
              <w:rPr>
                <w:rFonts w:hint="default" w:ascii="Times New Roman" w:hAnsi="Times New Roman" w:cs="Times New Roman"/>
                <w:color w:val="auto"/>
                <w:sz w:val="24"/>
                <w:szCs w:val="18"/>
              </w:rPr>
              <w:t>。</w:t>
            </w:r>
          </w:p>
          <w:p w14:paraId="18005B36">
            <w:pPr>
              <w:pStyle w:val="54"/>
              <w:ind w:firstLine="48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采取上述措施后，工程噪声对环境的影响在可接受范围内。</w:t>
            </w:r>
          </w:p>
          <w:p w14:paraId="773E2147">
            <w:pPr>
              <w:adjustRightInd w:val="0"/>
              <w:snapToGrid w:val="0"/>
              <w:spacing w:line="360" w:lineRule="auto"/>
              <w:ind w:firstLine="482" w:firstLineChars="200"/>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5、</w:t>
            </w:r>
            <w:r>
              <w:rPr>
                <w:rFonts w:hint="default" w:ascii="Times New Roman" w:hAnsi="Times New Roman" w:cs="Times New Roman"/>
                <w:b/>
                <w:bCs/>
                <w:color w:val="auto"/>
                <w:sz w:val="24"/>
                <w:szCs w:val="32"/>
              </w:rPr>
              <w:t>固体废物保护措施</w:t>
            </w:r>
          </w:p>
          <w:p w14:paraId="48ADE10C">
            <w:pPr>
              <w:adjustRightInd w:val="0"/>
              <w:snapToGrid w:val="0"/>
              <w:spacing w:line="360" w:lineRule="auto"/>
              <w:ind w:firstLine="480" w:firstLineChars="200"/>
              <w:rPr>
                <w:rFonts w:hint="default" w:ascii="Times New Roman" w:hAnsi="Times New Roman" w:cs="Times New Roman"/>
                <w:b w:val="0"/>
                <w:bCs w:val="0"/>
                <w:color w:val="auto"/>
                <w:sz w:val="24"/>
                <w:szCs w:val="32"/>
              </w:rPr>
            </w:pPr>
            <w:r>
              <w:rPr>
                <w:rFonts w:hint="default" w:ascii="Times New Roman" w:hAnsi="Times New Roman" w:cs="Times New Roman"/>
                <w:b w:val="0"/>
                <w:bCs w:val="0"/>
                <w:color w:val="auto"/>
                <w:sz w:val="24"/>
                <w:szCs w:val="32"/>
              </w:rPr>
              <w:t>为降低和消除施工固体废物对环境的影响，</w:t>
            </w:r>
            <w:r>
              <w:rPr>
                <w:rFonts w:hint="default" w:ascii="Times New Roman" w:hAnsi="Times New Roman" w:cs="Times New Roman"/>
                <w:b w:val="0"/>
                <w:bCs w:val="0"/>
                <w:color w:val="auto"/>
                <w:sz w:val="24"/>
                <w:szCs w:val="32"/>
                <w:lang w:val="en-US" w:eastAsia="zh-CN"/>
              </w:rPr>
              <w:t>建设单位应严格执行</w:t>
            </w:r>
            <w:r>
              <w:rPr>
                <w:rFonts w:hint="default" w:ascii="Times New Roman" w:hAnsi="Times New Roman" w:eastAsia="宋体" w:cs="Times New Roman"/>
                <w:b w:val="0"/>
                <w:bCs w:val="0"/>
                <w:color w:val="auto"/>
                <w:sz w:val="24"/>
                <w:szCs w:val="32"/>
                <w:lang w:val="en-US" w:eastAsia="zh-CN"/>
              </w:rPr>
              <w:t>《六安市建筑垃圾管</w:t>
            </w:r>
            <w:r>
              <w:rPr>
                <w:rFonts w:hint="default" w:ascii="Times New Roman" w:hAnsi="Times New Roman" w:cs="Times New Roman"/>
                <w:b w:val="0"/>
                <w:bCs w:val="0"/>
                <w:color w:val="auto"/>
                <w:sz w:val="24"/>
                <w:szCs w:val="32"/>
                <w:lang w:val="en-US" w:eastAsia="zh-CN"/>
              </w:rPr>
              <w:t>理办法》的有关规定，并</w:t>
            </w:r>
            <w:r>
              <w:rPr>
                <w:rFonts w:hint="default" w:ascii="Times New Roman" w:hAnsi="Times New Roman" w:cs="Times New Roman"/>
                <w:b w:val="0"/>
                <w:bCs w:val="0"/>
                <w:color w:val="auto"/>
                <w:sz w:val="24"/>
                <w:szCs w:val="32"/>
              </w:rPr>
              <w:t>采取以下措施：</w:t>
            </w:r>
          </w:p>
          <w:p w14:paraId="3A21873E">
            <w:pPr>
              <w:adjustRightInd w:val="0"/>
              <w:snapToGrid w:val="0"/>
              <w:spacing w:line="360" w:lineRule="auto"/>
              <w:ind w:firstLine="480" w:firstLineChars="200"/>
              <w:rPr>
                <w:rFonts w:hint="default" w:ascii="Times New Roman" w:hAnsi="Times New Roman" w:cs="Times New Roman"/>
                <w:color w:val="auto"/>
                <w:sz w:val="24"/>
                <w:szCs w:val="32"/>
              </w:rPr>
            </w:pPr>
            <w:r>
              <w:rPr>
                <w:rFonts w:hint="default" w:ascii="Times New Roman" w:hAnsi="Times New Roman" w:cs="Times New Roman"/>
                <w:b w:val="0"/>
                <w:bCs w:val="0"/>
                <w:color w:val="auto"/>
                <w:sz w:val="24"/>
                <w:szCs w:val="32"/>
              </w:rPr>
              <w:t>（1）按计划和施工操作规程</w:t>
            </w:r>
            <w:r>
              <w:rPr>
                <w:rFonts w:hint="default" w:ascii="Times New Roman" w:hAnsi="Times New Roman" w:cs="Times New Roman"/>
                <w:b w:val="0"/>
                <w:bCs w:val="0"/>
                <w:color w:val="auto"/>
                <w:sz w:val="24"/>
                <w:szCs w:val="32"/>
                <w:lang w:val="en-US" w:eastAsia="zh-CN"/>
              </w:rPr>
              <w:t>作业</w:t>
            </w:r>
            <w:r>
              <w:rPr>
                <w:rFonts w:hint="default" w:ascii="Times New Roman" w:hAnsi="Times New Roman" w:cs="Times New Roman"/>
                <w:b w:val="0"/>
                <w:bCs w:val="0"/>
                <w:color w:val="auto"/>
                <w:sz w:val="24"/>
                <w:szCs w:val="32"/>
              </w:rPr>
              <w:t>，严格控制环境污染</w:t>
            </w:r>
            <w:r>
              <w:rPr>
                <w:rFonts w:hint="default" w:ascii="Times New Roman" w:hAnsi="Times New Roman" w:cs="Times New Roman"/>
                <w:b w:val="0"/>
                <w:bCs w:val="0"/>
                <w:color w:val="auto"/>
                <w:sz w:val="24"/>
                <w:szCs w:val="32"/>
                <w:lang w:eastAsia="zh-CN"/>
              </w:rPr>
              <w:t>物排放</w:t>
            </w:r>
            <w:r>
              <w:rPr>
                <w:rFonts w:hint="default" w:ascii="Times New Roman" w:hAnsi="Times New Roman" w:cs="Times New Roman"/>
                <w:b w:val="0"/>
                <w:bCs w:val="0"/>
                <w:color w:val="auto"/>
                <w:sz w:val="24"/>
                <w:szCs w:val="32"/>
              </w:rPr>
              <w:t>。</w:t>
            </w:r>
            <w:r>
              <w:rPr>
                <w:rFonts w:hint="default" w:ascii="Times New Roman" w:hAnsi="Times New Roman" w:cs="Times New Roman"/>
                <w:b w:val="0"/>
                <w:bCs w:val="0"/>
                <w:color w:val="auto"/>
                <w:sz w:val="24"/>
                <w:szCs w:val="32"/>
                <w:lang w:val="en-US" w:eastAsia="zh-CN"/>
              </w:rPr>
              <w:t>做到</w:t>
            </w:r>
            <w:r>
              <w:rPr>
                <w:rFonts w:hint="default" w:ascii="Times New Roman" w:hAnsi="Times New Roman" w:cs="Times New Roman"/>
                <w:b w:val="0"/>
                <w:bCs w:val="0"/>
                <w:color w:val="auto"/>
                <w:sz w:val="24"/>
                <w:szCs w:val="32"/>
              </w:rPr>
              <w:t>按施工计划运输建筑材料，</w:t>
            </w:r>
            <w:r>
              <w:rPr>
                <w:rFonts w:hint="default" w:ascii="Times New Roman" w:hAnsi="Times New Roman" w:cs="Times New Roman"/>
                <w:b w:val="0"/>
                <w:bCs w:val="0"/>
                <w:color w:val="auto"/>
                <w:sz w:val="24"/>
                <w:szCs w:val="32"/>
                <w:lang w:val="en-US" w:eastAsia="zh-CN"/>
              </w:rPr>
              <w:t>尽量做到不</w:t>
            </w:r>
            <w:r>
              <w:rPr>
                <w:rFonts w:hint="default" w:ascii="Times New Roman" w:hAnsi="Times New Roman" w:cs="Times New Roman"/>
                <w:b w:val="0"/>
                <w:bCs w:val="0"/>
                <w:color w:val="auto"/>
                <w:sz w:val="24"/>
                <w:szCs w:val="32"/>
              </w:rPr>
              <w:t>剩余</w:t>
            </w:r>
            <w:r>
              <w:rPr>
                <w:rFonts w:hint="default" w:ascii="Times New Roman" w:hAnsi="Times New Roman" w:cs="Times New Roman"/>
                <w:b w:val="0"/>
                <w:bCs w:val="0"/>
                <w:color w:val="auto"/>
                <w:sz w:val="24"/>
                <w:szCs w:val="32"/>
                <w:lang w:val="en-US" w:eastAsia="zh-CN"/>
              </w:rPr>
              <w:t>，</w:t>
            </w:r>
            <w:r>
              <w:rPr>
                <w:rFonts w:hint="default" w:ascii="Times New Roman" w:hAnsi="Times New Roman" w:cs="Times New Roman"/>
                <w:b w:val="0"/>
                <w:bCs w:val="0"/>
                <w:color w:val="auto"/>
                <w:sz w:val="24"/>
                <w:szCs w:val="32"/>
              </w:rPr>
              <w:t>避免堆存</w:t>
            </w:r>
            <w:r>
              <w:rPr>
                <w:rFonts w:hint="default" w:ascii="Times New Roman" w:hAnsi="Times New Roman" w:cs="Times New Roman"/>
                <w:b w:val="0"/>
                <w:bCs w:val="0"/>
                <w:color w:val="auto"/>
                <w:sz w:val="24"/>
                <w:szCs w:val="32"/>
                <w:lang w:eastAsia="zh-CN"/>
              </w:rPr>
              <w:t>；</w:t>
            </w:r>
            <w:r>
              <w:rPr>
                <w:rFonts w:hint="default" w:ascii="Times New Roman" w:hAnsi="Times New Roman" w:cs="Times New Roman"/>
                <w:b w:val="0"/>
                <w:bCs w:val="0"/>
                <w:color w:val="auto"/>
                <w:sz w:val="24"/>
                <w:szCs w:val="32"/>
              </w:rPr>
              <w:t>对于剩余的</w:t>
            </w:r>
            <w:r>
              <w:rPr>
                <w:rFonts w:hint="default" w:ascii="Times New Roman" w:hAnsi="Times New Roman" w:cs="Times New Roman"/>
                <w:b w:val="0"/>
                <w:bCs w:val="0"/>
                <w:color w:val="auto"/>
                <w:sz w:val="24"/>
                <w:szCs w:val="32"/>
                <w:lang w:val="en-US" w:eastAsia="zh-CN"/>
              </w:rPr>
              <w:t>少量</w:t>
            </w:r>
            <w:r>
              <w:rPr>
                <w:rFonts w:hint="default" w:ascii="Times New Roman" w:hAnsi="Times New Roman" w:cs="Times New Roman"/>
                <w:b w:val="0"/>
                <w:bCs w:val="0"/>
                <w:color w:val="auto"/>
                <w:sz w:val="24"/>
                <w:szCs w:val="32"/>
              </w:rPr>
              <w:t>建筑材料应及时运走，用于其</w:t>
            </w:r>
            <w:r>
              <w:rPr>
                <w:rFonts w:hint="default" w:ascii="Times New Roman" w:hAnsi="Times New Roman" w:cs="Times New Roman"/>
                <w:color w:val="auto"/>
                <w:sz w:val="24"/>
                <w:szCs w:val="32"/>
              </w:rPr>
              <w:t>余路段。</w:t>
            </w:r>
          </w:p>
          <w:p w14:paraId="75BE311D">
            <w:pPr>
              <w:adjustRightInd w:val="0"/>
              <w:snapToGrid w:val="0"/>
              <w:spacing w:line="360" w:lineRule="auto"/>
              <w:ind w:firstLine="480" w:firstLineChars="20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w:t>
            </w:r>
            <w:r>
              <w:rPr>
                <w:rFonts w:hint="default" w:ascii="Times New Roman" w:hAnsi="Times New Roman" w:cs="Times New Roman"/>
                <w:color w:val="auto"/>
                <w:sz w:val="24"/>
                <w:szCs w:val="32"/>
                <w:lang w:val="en-US" w:eastAsia="zh-CN"/>
              </w:rPr>
              <w:t>本项目不设取、弃土场，路基开挖、材料运输、基础工程等施工中产生的弃土外运至同期实施项目进行综合利用，不得随意外弃，施工剩余废料等优先用于本项目道路建设，包装废弃物回收利用，剩余废弃物按照市容部门要求进行清运处置</w:t>
            </w:r>
            <w:r>
              <w:rPr>
                <w:rFonts w:hint="default" w:ascii="Times New Roman" w:hAnsi="Times New Roman" w:cs="Times New Roman"/>
                <w:color w:val="auto"/>
                <w:sz w:val="24"/>
                <w:szCs w:val="32"/>
              </w:rPr>
              <w:t>。</w:t>
            </w:r>
          </w:p>
          <w:p w14:paraId="7511BBE5">
            <w:pPr>
              <w:adjustRightInd w:val="0"/>
              <w:snapToGrid w:val="0"/>
              <w:spacing w:line="360" w:lineRule="auto"/>
              <w:ind w:firstLine="480" w:firstLineChars="200"/>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3</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施工人员生活垃圾经分类收集后，由当地环卫部门统一外运处置。垃圾清运选择环卫部门认证的清运车辆进行运输，封闭运输且不得超量运载。垃圾收集设备需严格管理，防止垃圾渗滤液下渗引发地下水污染事故。</w:t>
            </w:r>
          </w:p>
          <w:p w14:paraId="2C0D6561">
            <w:pPr>
              <w:adjustRightInd w:val="0"/>
              <w:snapToGrid w:val="0"/>
              <w:spacing w:line="360" w:lineRule="auto"/>
              <w:ind w:firstLine="480" w:firstLineChars="200"/>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w:t>
            </w:r>
            <w:r>
              <w:rPr>
                <w:rFonts w:hint="eastAsia" w:ascii="Times New Roman" w:hAnsi="Times New Roman" w:cs="Times New Roman"/>
                <w:color w:val="auto"/>
                <w:sz w:val="24"/>
                <w:szCs w:val="32"/>
                <w:lang w:val="en-US" w:eastAsia="zh-CN"/>
              </w:rPr>
              <w:t>4</w:t>
            </w:r>
            <w:r>
              <w:rPr>
                <w:rFonts w:hint="default" w:ascii="Times New Roman" w:hAnsi="Times New Roman" w:cs="Times New Roman"/>
                <w:color w:val="auto"/>
                <w:sz w:val="24"/>
                <w:szCs w:val="32"/>
                <w:lang w:val="en-US" w:eastAsia="zh-CN"/>
              </w:rPr>
              <w:t>）固体废物由施工单位或承建单位和环境卫生主管部门联系外运，渣土运输过程中严格执行《六安市建筑垃圾管理办法》（2019年）的规定：</w:t>
            </w:r>
          </w:p>
          <w:p w14:paraId="0DAB5784">
            <w:pPr>
              <w:adjustRightInd w:val="0"/>
              <w:snapToGrid w:val="0"/>
              <w:spacing w:line="360" w:lineRule="auto"/>
              <w:ind w:firstLine="480" w:firstLineChars="200"/>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A.建设、施工单位或者运输单位应在工程项目开工前到区城市管理部门申请办理建筑垃圾处置核准手续；</w:t>
            </w:r>
          </w:p>
          <w:p w14:paraId="339B451F">
            <w:pPr>
              <w:adjustRightInd w:val="0"/>
              <w:snapToGrid w:val="0"/>
              <w:spacing w:line="360" w:lineRule="auto"/>
              <w:ind w:firstLine="480" w:firstLineChars="200"/>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B.建设、施工单位应当制定建筑垃圾扬尘污染防治方案，在施工工地采取封闭、围挡、覆盖、喷淋、道路硬化、车辆冲洗、分段作业、择时施工、绿化等防尘抑尘措施；</w:t>
            </w:r>
          </w:p>
          <w:p w14:paraId="6839DEC7">
            <w:pPr>
              <w:adjustRightInd w:val="0"/>
              <w:snapToGrid w:val="0"/>
              <w:spacing w:line="360" w:lineRule="auto"/>
              <w:ind w:firstLine="480" w:firstLineChars="200"/>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C.建筑垃圾运输实行规模化和企业化管理，运输车辆具有密闭设施，并安装车辆卫星定位装置；</w:t>
            </w:r>
          </w:p>
          <w:p w14:paraId="43C93A71">
            <w:pPr>
              <w:adjustRightInd w:val="0"/>
              <w:snapToGrid w:val="0"/>
              <w:spacing w:line="360" w:lineRule="auto"/>
              <w:ind w:firstLine="480" w:firstLineChars="200"/>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D.运输车辆应按照规定的时间、路线运输，并保持车辆整洁、密闭运输，不得沿途泄漏、遗撒。</w:t>
            </w:r>
          </w:p>
          <w:p w14:paraId="4E96FB4F">
            <w:pPr>
              <w:adjustRightInd w:val="0"/>
              <w:snapToGrid w:val="0"/>
              <w:spacing w:line="360" w:lineRule="auto"/>
              <w:ind w:firstLine="480" w:firstLineChars="200"/>
              <w:rPr>
                <w:rFonts w:hint="default" w:ascii="Times New Roman" w:hAnsi="Times New Roman" w:cs="Times New Roman"/>
                <w:color w:val="auto"/>
                <w:sz w:val="24"/>
                <w:szCs w:val="32"/>
                <w:lang w:val="en-US" w:eastAsia="zh-CN"/>
              </w:rPr>
            </w:pPr>
            <w:r>
              <w:rPr>
                <w:rFonts w:hint="eastAsia" w:ascii="Times New Roman" w:hAnsi="Times New Roman" w:cs="Times New Roman"/>
                <w:color w:val="auto"/>
                <w:sz w:val="24"/>
                <w:szCs w:val="32"/>
                <w:lang w:val="en-US" w:eastAsia="zh-CN"/>
              </w:rPr>
              <w:t>（5）拆迁建筑物的拆除废渣尽量为本项目回填利用，本项目考虑废渣尽量综合利用于道路填筑，其他不能利用部分全部由沿线乡镇负责协调利用于沿线村组道路填方。</w:t>
            </w:r>
          </w:p>
          <w:p w14:paraId="07A108BD">
            <w:pPr>
              <w:adjustRightInd w:val="0"/>
              <w:snapToGrid w:val="0"/>
              <w:spacing w:line="360" w:lineRule="auto"/>
              <w:ind w:firstLine="482" w:firstLineChars="200"/>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lang w:val="en-US" w:eastAsia="zh-CN"/>
              </w:rPr>
              <w:t>6、水土流失防治措施</w:t>
            </w:r>
          </w:p>
          <w:p w14:paraId="0E8E1C2B">
            <w:pPr>
              <w:adjustRightInd w:val="0"/>
              <w:snapToGrid w:val="0"/>
              <w:spacing w:line="360" w:lineRule="auto"/>
              <w:ind w:firstLine="480" w:firstLineChars="200"/>
              <w:rPr>
                <w:rFonts w:hint="eastAsia"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本项目不属于露天采矿项目，选址无法避让桐柏山-大别山国家级水土流失重点预防区，</w:t>
            </w:r>
            <w:r>
              <w:rPr>
                <w:rFonts w:hint="eastAsia" w:ascii="Times New Roman" w:hAnsi="Times New Roman" w:eastAsia="宋体" w:cs="Times New Roman"/>
                <w:color w:val="auto"/>
                <w:sz w:val="24"/>
                <w:szCs w:val="32"/>
                <w:lang w:val="en-US" w:eastAsia="zh-CN"/>
              </w:rPr>
              <w:t>设计</w:t>
            </w:r>
            <w:r>
              <w:rPr>
                <w:rFonts w:hint="default" w:ascii="Times New Roman" w:hAnsi="Times New Roman" w:eastAsia="宋体" w:cs="Times New Roman"/>
                <w:color w:val="auto"/>
                <w:sz w:val="24"/>
                <w:szCs w:val="32"/>
                <w:lang w:val="en-US" w:eastAsia="zh-CN"/>
              </w:rPr>
              <w:t>水土流失防治标准为一级，</w:t>
            </w:r>
            <w:r>
              <w:rPr>
                <w:rFonts w:hint="eastAsia" w:ascii="Times New Roman" w:hAnsi="Times New Roman" w:eastAsia="宋体" w:cs="Times New Roman"/>
                <w:color w:val="auto"/>
                <w:sz w:val="24"/>
                <w:szCs w:val="32"/>
                <w:lang w:val="en-US" w:eastAsia="zh-CN"/>
              </w:rPr>
              <w:t>施工需</w:t>
            </w:r>
            <w:r>
              <w:rPr>
                <w:rFonts w:hint="default" w:ascii="Times New Roman" w:hAnsi="Times New Roman" w:eastAsia="宋体" w:cs="Times New Roman"/>
                <w:color w:val="auto"/>
                <w:sz w:val="24"/>
                <w:szCs w:val="32"/>
                <w:lang w:val="en-US" w:eastAsia="zh-CN"/>
              </w:rPr>
              <w:t>按照避免高挖方、大填方的原则，配套完善的排水系统，避免在雨季开挖回填施工，严格控制施工作业带宽度，施工现场布设围挡</w:t>
            </w:r>
            <w:r>
              <w:rPr>
                <w:rFonts w:hint="eastAsia" w:ascii="Times New Roman" w:hAnsi="Times New Roman" w:eastAsia="宋体" w:cs="Times New Roman"/>
                <w:color w:val="auto"/>
                <w:sz w:val="24"/>
                <w:szCs w:val="32"/>
                <w:lang w:val="en-US" w:eastAsia="zh-CN"/>
              </w:rPr>
              <w:t>。</w:t>
            </w:r>
          </w:p>
          <w:p w14:paraId="34DC8873">
            <w:pPr>
              <w:adjustRightInd w:val="0"/>
              <w:snapToGrid w:val="0"/>
              <w:spacing w:line="360" w:lineRule="auto"/>
              <w:ind w:firstLine="480" w:firstLineChars="200"/>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且主体已设计水土保持措施，能够更有效地防治项目区施工过程造成的水土流失</w:t>
            </w:r>
            <w:r>
              <w:rPr>
                <w:rFonts w:hint="eastAsia" w:ascii="Times New Roman" w:hAnsi="Times New Roman" w:eastAsia="宋体" w:cs="Times New Roman"/>
                <w:color w:val="auto"/>
                <w:sz w:val="24"/>
                <w:szCs w:val="32"/>
                <w:lang w:val="en-US" w:eastAsia="zh-CN"/>
              </w:rPr>
              <w:t>，具体如下：</w:t>
            </w:r>
          </w:p>
          <w:p w14:paraId="58782750">
            <w:pPr>
              <w:adjustRightInd w:val="0"/>
              <w:snapToGrid w:val="0"/>
              <w:spacing w:line="360" w:lineRule="auto"/>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lang w:val="en-US" w:eastAsia="zh-CN"/>
              </w:rPr>
              <w:t>（1）工程措施：对工程占地范围内宜进行表土剥离的区域采取表土剥离措施；</w:t>
            </w:r>
          </w:p>
          <w:p w14:paraId="7390DA0B">
            <w:pPr>
              <w:adjustRightInd w:val="0"/>
              <w:snapToGrid w:val="0"/>
              <w:spacing w:line="360" w:lineRule="auto"/>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lang w:val="en-US" w:eastAsia="zh-CN"/>
              </w:rPr>
              <w:t>（2）植物措施：道路边坡的绿化美化措施等。</w:t>
            </w:r>
          </w:p>
          <w:p w14:paraId="00F25FC2">
            <w:pPr>
              <w:adjustRightInd w:val="0"/>
              <w:snapToGrid w:val="0"/>
              <w:spacing w:line="360" w:lineRule="auto"/>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lang w:val="en-US" w:eastAsia="zh-CN"/>
              </w:rPr>
              <w:t>（3）临时措施：路基施工中填方路肩边缘顺路肩设置挡水土埂、边坡排水以及表土剥离临时堆土拦挡、防护措施；路基施工过程中边坡临时苫盖措施等。</w:t>
            </w:r>
          </w:p>
          <w:p w14:paraId="147EB82C">
            <w:pPr>
              <w:adjustRightInd w:val="0"/>
              <w:snapToGrid w:val="0"/>
              <w:spacing w:line="360" w:lineRule="auto"/>
              <w:ind w:firstLine="482" w:firstLineChars="200"/>
              <w:rPr>
                <w:rFonts w:hint="default" w:ascii="Times New Roman" w:hAnsi="Times New Roman" w:cs="Times New Roman"/>
                <w:b/>
                <w:bCs/>
                <w:color w:val="auto"/>
                <w:sz w:val="24"/>
                <w:szCs w:val="32"/>
              </w:rPr>
            </w:pPr>
            <w:r>
              <w:rPr>
                <w:rFonts w:hint="default" w:ascii="Times New Roman" w:hAnsi="Times New Roman" w:eastAsia="宋体" w:cs="Times New Roman"/>
                <w:b/>
                <w:bCs/>
                <w:color w:val="auto"/>
                <w:sz w:val="24"/>
                <w:szCs w:val="32"/>
                <w:lang w:val="en-US" w:eastAsia="zh-CN"/>
              </w:rPr>
              <w:t>7、</w:t>
            </w:r>
            <w:r>
              <w:rPr>
                <w:rFonts w:hint="default" w:ascii="Times New Roman" w:hAnsi="Times New Roman" w:cs="Times New Roman"/>
                <w:b/>
                <w:bCs/>
                <w:color w:val="auto"/>
                <w:sz w:val="24"/>
                <w:szCs w:val="32"/>
              </w:rPr>
              <w:t>社会环境保护措施</w:t>
            </w:r>
          </w:p>
          <w:p w14:paraId="56952BA4">
            <w:pPr>
              <w:adjustRightInd w:val="0"/>
              <w:snapToGrid w:val="0"/>
              <w:spacing w:line="360" w:lineRule="auto"/>
              <w:ind w:firstLine="480" w:firstLineChars="20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施工过程中与已建道路交叉时，采取措施合理安排工期做好疏导工作，保持道路顺畅。在过往行人密集区搭建临时人行通道，给行人提供方便和安全保障。此外，在道路施工前期施工单位对周边居民进行公告，并在主要路段和路口设置警示标志，</w:t>
            </w:r>
            <w:r>
              <w:rPr>
                <w:rFonts w:hint="default" w:ascii="Times New Roman" w:hAnsi="Times New Roman" w:cs="Times New Roman"/>
                <w:color w:val="auto"/>
                <w:sz w:val="24"/>
                <w:szCs w:val="32"/>
                <w:highlight w:val="none"/>
              </w:rPr>
              <w:t>提前告知当地群众施工期间出行可绕行的路线，保证</w:t>
            </w:r>
            <w:r>
              <w:rPr>
                <w:rFonts w:hint="default" w:ascii="Times New Roman" w:hAnsi="Times New Roman" w:cs="Times New Roman"/>
                <w:b w:val="0"/>
                <w:bCs w:val="0"/>
                <w:color w:val="auto"/>
                <w:sz w:val="24"/>
                <w:szCs w:val="32"/>
                <w:highlight w:val="none"/>
                <w:lang w:val="en-US" w:eastAsia="zh-CN"/>
              </w:rPr>
              <w:t>居</w:t>
            </w:r>
            <w:r>
              <w:rPr>
                <w:rFonts w:hint="default" w:ascii="Times New Roman" w:hAnsi="Times New Roman" w:cs="Times New Roman"/>
                <w:b w:val="0"/>
                <w:bCs w:val="0"/>
                <w:color w:val="auto"/>
                <w:sz w:val="24"/>
                <w:szCs w:val="32"/>
                <w:highlight w:val="none"/>
              </w:rPr>
              <w:t>民</w:t>
            </w:r>
            <w:r>
              <w:rPr>
                <w:rFonts w:hint="default" w:ascii="Times New Roman" w:hAnsi="Times New Roman" w:cs="Times New Roman"/>
                <w:color w:val="auto"/>
                <w:sz w:val="24"/>
                <w:szCs w:val="32"/>
                <w:highlight w:val="none"/>
              </w:rPr>
              <w:t>出行安全方便，对外来车辆可于主要路口设置绕行线路公告。</w:t>
            </w:r>
          </w:p>
        </w:tc>
      </w:tr>
      <w:tr w14:paraId="36B756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3" w:type="dxa"/>
            <w:noWrap w:val="0"/>
            <w:tcMar>
              <w:left w:w="28" w:type="dxa"/>
              <w:right w:w="28" w:type="dxa"/>
            </w:tcMar>
            <w:vAlign w:val="center"/>
          </w:tcPr>
          <w:p w14:paraId="64D2EDCC">
            <w:pPr>
              <w:adjustRightInd w:val="0"/>
              <w:snapToGrid w:val="0"/>
              <w:jc w:val="center"/>
              <w:rPr>
                <w:rFonts w:hint="default" w:ascii="Times New Roman" w:hAnsi="Times New Roman" w:cs="Times New Roman"/>
                <w:bCs/>
                <w:color w:val="auto"/>
                <w:spacing w:val="10"/>
                <w:szCs w:val="21"/>
              </w:rPr>
            </w:pPr>
            <w:r>
              <w:rPr>
                <w:rFonts w:hint="default" w:ascii="Times New Roman" w:hAnsi="Times New Roman" w:cs="Times New Roman"/>
                <w:b/>
                <w:bCs w:val="0"/>
                <w:color w:val="auto"/>
                <w:spacing w:val="10"/>
                <w:sz w:val="24"/>
                <w:szCs w:val="24"/>
              </w:rPr>
              <w:t>运营期生态环境保护措施</w:t>
            </w:r>
          </w:p>
        </w:tc>
        <w:tc>
          <w:tcPr>
            <w:tcW w:w="7956" w:type="dxa"/>
            <w:noWrap w:val="0"/>
            <w:vAlign w:val="top"/>
          </w:tcPr>
          <w:p w14:paraId="1A7B7F73">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大气环境保护措施</w:t>
            </w:r>
          </w:p>
          <w:p w14:paraId="694E5ABC">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本项目营运期的大气污染物主要来自机动车尾气、沿线运载散装物料的货车在运输过程中因货物裸露产生的扬尘以及道路扬尘。</w:t>
            </w:r>
          </w:p>
          <w:p w14:paraId="4A17FC81">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（1）对汽车排放尾气进行抽查，限制尾气排放超标车辆上路；</w:t>
            </w:r>
          </w:p>
          <w:p w14:paraId="615BDCA1">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（2）加强货车车辆管理，要求货车车辆必须进行遮盖，减少道路扬尘；</w:t>
            </w:r>
          </w:p>
          <w:p w14:paraId="67CAE128">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）在道路两侧多植树，既可以净化吸收车辆尾气污染物，又可以美化环境和道路沿线景观；</w:t>
            </w:r>
          </w:p>
          <w:p w14:paraId="6C2A4D37">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）根据路线长度，全线配备1辆洒水清扫车，定期进行洒水和路面清扫</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每天不少于2次</w:t>
            </w:r>
            <w:r>
              <w:rPr>
                <w:rFonts w:hint="default" w:ascii="Times New Roman" w:hAnsi="Times New Roman" w:eastAsia="宋体" w:cs="Times New Roman"/>
                <w:color w:val="auto"/>
                <w:sz w:val="24"/>
                <w:szCs w:val="24"/>
              </w:rPr>
              <w:t>。</w:t>
            </w:r>
          </w:p>
          <w:p w14:paraId="159622EB">
            <w:pPr>
              <w:adjustRightInd w:val="0"/>
              <w:snapToGrid w:val="0"/>
              <w:spacing w:line="360" w:lineRule="auto"/>
              <w:ind w:firstLine="480" w:firstLineChars="200"/>
              <w:rPr>
                <w:rFonts w:hint="default" w:ascii="Times New Roman" w:hAnsi="Times New Roman" w:cs="Times New Roman"/>
                <w:color w:val="auto"/>
              </w:rPr>
            </w:pPr>
            <w:r>
              <w:rPr>
                <w:rFonts w:hint="default" w:ascii="Times New Roman" w:hAnsi="Times New Roman" w:eastAsia="宋体" w:cs="Times New Roman"/>
                <w:color w:val="auto"/>
                <w:sz w:val="24"/>
                <w:szCs w:val="24"/>
              </w:rPr>
              <w:t>通过上述措施，可最大限度减缓汽车尾气及道路扬尘对项目所在区域大气环境的影响。</w:t>
            </w:r>
          </w:p>
          <w:p w14:paraId="02609C6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水环境保护措施</w:t>
            </w:r>
          </w:p>
          <w:p w14:paraId="113C217F">
            <w:pPr>
              <w:numPr>
                <w:ilvl w:val="0"/>
                <w:numId w:val="3"/>
              </w:num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营运期对水体产生影响主要来自：暴雨冲刷路面，形成地面径流污染水体。其中路面雨水径流是造成道路沿线水环境污染的主要形式，它有可能携带路面扬尘，尾气排放物及汽车漏油等污染物进入水体。道路路面径流中的主要污染物为COD、石油类、SS等污染物。</w:t>
            </w:r>
          </w:p>
          <w:p w14:paraId="47C7D577">
            <w:pPr>
              <w:numPr>
                <w:ilvl w:val="0"/>
                <w:numId w:val="3"/>
              </w:num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道路路面冲刷物的浓度集中在降水初期，降水15分钟内污染物随降水时间增加浓度增大，随后逐渐</w:t>
            </w:r>
            <w:r>
              <w:rPr>
                <w:rFonts w:hint="default" w:ascii="Times New Roman" w:hAnsi="Times New Roman" w:eastAsia="宋体" w:cs="Times New Roman"/>
                <w:color w:val="auto"/>
                <w:sz w:val="24"/>
                <w:szCs w:val="24"/>
                <w:lang w:eastAsia="zh-CN"/>
              </w:rPr>
              <w:t>减少</w:t>
            </w:r>
            <w:r>
              <w:rPr>
                <w:rFonts w:hint="default" w:ascii="Times New Roman" w:hAnsi="Times New Roman" w:eastAsia="宋体" w:cs="Times New Roman"/>
                <w:color w:val="auto"/>
                <w:sz w:val="24"/>
                <w:szCs w:val="24"/>
              </w:rPr>
              <w:t>，在前2小时暴雨径流对地表水水体会产生影响。但两小时后，暴雨径流对水体的影响会逐渐减弱。</w:t>
            </w:r>
          </w:p>
          <w:p w14:paraId="15BBBAE1">
            <w:pPr>
              <w:numPr>
                <w:ilvl w:val="0"/>
                <w:numId w:val="3"/>
              </w:num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运营期加强对道路排水系统设施的维护管理，确保排水系统畅通，冲刷雨水经过收集后进入</w:t>
            </w:r>
            <w:r>
              <w:rPr>
                <w:rFonts w:hint="default" w:ascii="Times New Roman" w:hAnsi="Times New Roman" w:eastAsia="宋体" w:cs="Times New Roman"/>
                <w:color w:val="auto"/>
                <w:sz w:val="24"/>
                <w:szCs w:val="24"/>
                <w:lang w:val="en-US" w:eastAsia="zh-CN"/>
              </w:rPr>
              <w:t>排水沟</w:t>
            </w:r>
            <w:r>
              <w:rPr>
                <w:rFonts w:hint="default" w:ascii="Times New Roman" w:hAnsi="Times New Roman" w:eastAsia="宋体" w:cs="Times New Roman"/>
                <w:color w:val="auto"/>
                <w:sz w:val="24"/>
                <w:szCs w:val="24"/>
              </w:rPr>
              <w:t>。</w:t>
            </w:r>
          </w:p>
          <w:p w14:paraId="7FEC5E4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3、声环境保护措施</w:t>
            </w:r>
          </w:p>
          <w:p w14:paraId="7DBD54A8">
            <w:pPr>
              <w:spacing w:line="360" w:lineRule="auto"/>
              <w:ind w:firstLine="480" w:firstLineChars="200"/>
              <w:rPr>
                <w:rFonts w:hint="default" w:ascii="Times New Roman" w:hAnsi="Times New Roman" w:cs="Times New Roman"/>
                <w:color w:val="auto"/>
                <w:kern w:val="0"/>
                <w:sz w:val="24"/>
                <w:szCs w:val="21"/>
                <w:highlight w:val="none"/>
              </w:rPr>
            </w:pPr>
            <w:r>
              <w:rPr>
                <w:rFonts w:hint="eastAsia" w:ascii="Times New Roman" w:hAnsi="Times New Roman" w:cs="Times New Roman"/>
                <w:color w:val="auto"/>
                <w:kern w:val="0"/>
                <w:sz w:val="24"/>
                <w:szCs w:val="21"/>
                <w:highlight w:val="none"/>
                <w:lang w:val="en-US" w:eastAsia="zh-CN"/>
              </w:rPr>
              <w:t>根据调查，本项目评价范围内居民点已全部进行搬迁，</w:t>
            </w:r>
            <w:r>
              <w:rPr>
                <w:rFonts w:hint="default" w:ascii="Times New Roman" w:hAnsi="Times New Roman" w:cs="Times New Roman"/>
                <w:color w:val="auto"/>
                <w:kern w:val="0"/>
                <w:sz w:val="24"/>
                <w:szCs w:val="21"/>
                <w:highlight w:val="none"/>
              </w:rPr>
              <w:t>可完全消除拟建公路的噪声影响。</w:t>
            </w:r>
          </w:p>
          <w:p w14:paraId="27DEC41E">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固体废物</w:t>
            </w:r>
            <w:r>
              <w:rPr>
                <w:rFonts w:hint="default" w:ascii="Times New Roman" w:hAnsi="Times New Roman" w:eastAsia="宋体" w:cs="Times New Roman"/>
                <w:b/>
                <w:bCs/>
                <w:color w:val="auto"/>
                <w:sz w:val="24"/>
                <w:szCs w:val="24"/>
                <w:lang w:val="en-US" w:eastAsia="zh-CN"/>
              </w:rPr>
              <w:t>防治</w:t>
            </w:r>
            <w:r>
              <w:rPr>
                <w:rFonts w:hint="default" w:ascii="Times New Roman" w:hAnsi="Times New Roman" w:eastAsia="宋体" w:cs="Times New Roman"/>
                <w:b/>
                <w:bCs/>
                <w:color w:val="auto"/>
                <w:sz w:val="24"/>
                <w:szCs w:val="24"/>
              </w:rPr>
              <w:t>措施</w:t>
            </w:r>
          </w:p>
          <w:p w14:paraId="35669272">
            <w:pPr>
              <w:adjustRightInd w:val="0"/>
              <w:snapToGrid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（1）加强保洁，定时清扫道路、垃圾、尘土，保持道路、桥面干净卫生；</w:t>
            </w:r>
          </w:p>
          <w:p w14:paraId="52667AE9">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（2）加强宣传，增强司乘人员和来往行人的环保意识，做到不丢弃垃圾、废物。</w:t>
            </w:r>
          </w:p>
          <w:p w14:paraId="5875A792">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rPr>
              <w:t>生态环境保护措施</w:t>
            </w:r>
          </w:p>
          <w:p w14:paraId="645F3189">
            <w:pPr>
              <w:adjustRightInd w:val="0"/>
              <w:snapToGrid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项目建成后，通过道路边坡绿化带的建设，将起到沿线生态量增加和良好的景观效果。总体而言，由于道路新建段两侧开发力度大，</w:t>
            </w:r>
            <w:r>
              <w:rPr>
                <w:rFonts w:hint="eastAsia" w:ascii="Times New Roman" w:hAnsi="Times New Roman" w:eastAsia="宋体" w:cs="Times New Roman"/>
                <w:color w:val="auto"/>
                <w:sz w:val="24"/>
                <w:szCs w:val="24"/>
                <w:lang w:val="en-US" w:eastAsia="zh-CN"/>
              </w:rPr>
              <w:t>生物多样性</w:t>
            </w:r>
            <w:r>
              <w:rPr>
                <w:rFonts w:hint="default" w:ascii="Times New Roman" w:hAnsi="Times New Roman" w:eastAsia="宋体" w:cs="Times New Roman"/>
                <w:color w:val="auto"/>
                <w:sz w:val="24"/>
                <w:szCs w:val="24"/>
                <w:lang w:val="en-US" w:eastAsia="zh-CN"/>
              </w:rPr>
              <w:t>程度低，建成后基本不会对区域生态环境造成不良影响。</w:t>
            </w:r>
          </w:p>
          <w:p w14:paraId="7F7633AC">
            <w:pPr>
              <w:adjustRightInd w:val="0"/>
              <w:snapToGrid w:val="0"/>
              <w:spacing w:line="360" w:lineRule="auto"/>
              <w:ind w:firstLine="482" w:firstLineChars="200"/>
              <w:rPr>
                <w:rFonts w:hint="default"/>
              </w:rPr>
            </w:pPr>
            <w:r>
              <w:rPr>
                <w:rFonts w:hint="default" w:ascii="Times New Roman" w:hAnsi="Times New Roman" w:eastAsia="宋体" w:cs="Times New Roman"/>
                <w:b/>
                <w:bCs/>
                <w:color w:val="auto"/>
                <w:sz w:val="24"/>
                <w:szCs w:val="24"/>
                <w:lang w:val="en-US" w:eastAsia="zh-CN"/>
              </w:rPr>
              <w:t>详见《生态环境影响专项评价》中第</w:t>
            </w:r>
            <w:r>
              <w:rPr>
                <w:rFonts w:hint="eastAsia" w:ascii="Times New Roman" w:hAnsi="Times New Roman" w:eastAsia="宋体" w:cs="Times New Roman"/>
                <w:b/>
                <w:bCs/>
                <w:color w:val="auto"/>
                <w:sz w:val="24"/>
                <w:szCs w:val="24"/>
                <w:lang w:val="en-US" w:eastAsia="zh-CN"/>
              </w:rPr>
              <w:t>五</w:t>
            </w:r>
            <w:r>
              <w:rPr>
                <w:rFonts w:hint="default" w:ascii="Times New Roman" w:hAnsi="Times New Roman" w:eastAsia="宋体" w:cs="Times New Roman"/>
                <w:b/>
                <w:bCs/>
                <w:color w:val="auto"/>
                <w:sz w:val="24"/>
                <w:szCs w:val="24"/>
                <w:lang w:val="en-US" w:eastAsia="zh-CN"/>
              </w:rPr>
              <w:t>章 生态保护对策措施。</w:t>
            </w:r>
          </w:p>
        </w:tc>
      </w:tr>
      <w:tr w14:paraId="011050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5" w:hRule="atLeast"/>
          <w:jc w:val="center"/>
        </w:trPr>
        <w:tc>
          <w:tcPr>
            <w:tcW w:w="493" w:type="dxa"/>
            <w:noWrap w:val="0"/>
            <w:tcMar>
              <w:left w:w="28" w:type="dxa"/>
              <w:right w:w="28" w:type="dxa"/>
            </w:tcMar>
            <w:vAlign w:val="center"/>
          </w:tcPr>
          <w:p w14:paraId="51E13329">
            <w:pPr>
              <w:adjustRightInd w:val="0"/>
              <w:snapToGrid w:val="0"/>
              <w:jc w:val="center"/>
              <w:rPr>
                <w:rFonts w:hint="default" w:ascii="Times New Roman" w:hAnsi="Times New Roman" w:cs="Times New Roman" w:eastAsiaTheme="minorEastAsia"/>
                <w:b/>
                <w:bCs w:val="0"/>
                <w:color w:val="auto"/>
                <w:spacing w:val="10"/>
                <w:sz w:val="24"/>
                <w:szCs w:val="24"/>
                <w:lang w:val="en-US" w:eastAsia="zh-CN"/>
              </w:rPr>
            </w:pPr>
            <w:r>
              <w:rPr>
                <w:rFonts w:hint="default" w:ascii="Times New Roman" w:hAnsi="Times New Roman" w:cs="Times New Roman"/>
                <w:b/>
                <w:bCs w:val="0"/>
                <w:color w:val="auto"/>
                <w:spacing w:val="10"/>
                <w:sz w:val="24"/>
                <w:szCs w:val="24"/>
                <w:lang w:val="en-US" w:eastAsia="zh-CN"/>
              </w:rPr>
              <w:t>其他</w:t>
            </w:r>
          </w:p>
        </w:tc>
        <w:tc>
          <w:tcPr>
            <w:tcW w:w="7956" w:type="dxa"/>
            <w:noWrap w:val="0"/>
            <w:vAlign w:val="top"/>
          </w:tcPr>
          <w:p w14:paraId="7B31655B">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bCs/>
                <w:sz w:val="24"/>
                <w:szCs w:val="32"/>
              </w:rPr>
            </w:pPr>
            <w:r>
              <w:rPr>
                <w:rFonts w:hint="default" w:ascii="Times New Roman" w:hAnsi="Times New Roman" w:eastAsia="宋体" w:cs="Times New Roman"/>
                <w:b/>
                <w:bCs/>
                <w:sz w:val="24"/>
                <w:szCs w:val="32"/>
                <w:lang w:val="en-US" w:eastAsia="zh-CN"/>
              </w:rPr>
              <w:t>1、环境管理</w:t>
            </w:r>
          </w:p>
          <w:p w14:paraId="3B041768">
            <w:pPr>
              <w:adjustRightInd w:val="0"/>
              <w:snapToGrid w:val="0"/>
              <w:spacing w:line="360" w:lineRule="auto"/>
              <w:ind w:firstLine="480" w:firstLineChars="200"/>
              <w:rPr>
                <w:rFonts w:hint="default" w:ascii="Times New Roman" w:hAnsi="Times New Roman" w:eastAsia="宋体" w:cs="Times New Roman"/>
                <w:sz w:val="24"/>
                <w:szCs w:val="32"/>
                <w:lang w:val="en-US" w:eastAsia="zh-CN"/>
              </w:rPr>
            </w:pPr>
            <w:r>
              <w:rPr>
                <w:rFonts w:hint="default" w:ascii="Times New Roman" w:hAnsi="Times New Roman" w:eastAsia="宋体" w:cs="Times New Roman"/>
                <w:sz w:val="24"/>
                <w:szCs w:val="32"/>
                <w:lang w:val="en-US" w:eastAsia="zh-CN"/>
              </w:rPr>
              <w:t>本项目环境保护管理计划可分为施工期和营运期两部分。</w:t>
            </w:r>
          </w:p>
          <w:p w14:paraId="10C1452E">
            <w:pPr>
              <w:adjustRightInd w:val="0"/>
              <w:snapToGrid w:val="0"/>
              <w:jc w:val="cente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表5-</w:t>
            </w:r>
            <w:r>
              <w:rPr>
                <w:rFonts w:hint="eastAsia" w:ascii="Times New Roman" w:hAnsi="Times New Roman" w:eastAsia="宋体" w:cs="Times New Roman"/>
                <w:b/>
                <w:bCs/>
                <w:lang w:val="en-US" w:eastAsia="zh-CN"/>
              </w:rPr>
              <w:t>2</w:t>
            </w:r>
            <w:r>
              <w:rPr>
                <w:rFonts w:hint="default" w:ascii="Times New Roman" w:hAnsi="Times New Roman" w:eastAsia="宋体" w:cs="Times New Roman"/>
                <w:b/>
                <w:bCs/>
                <w:lang w:val="en-US" w:eastAsia="zh-CN"/>
              </w:rPr>
              <w:t xml:space="preserve">  环境管理计划</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8"/>
              <w:gridCol w:w="6090"/>
              <w:gridCol w:w="662"/>
            </w:tblGrid>
            <w:tr w14:paraId="79819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dxa"/>
                  <w:noWrap w:val="0"/>
                  <w:vAlign w:val="center"/>
                </w:tcPr>
                <w:p w14:paraId="567E263A">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环境</w:t>
                  </w:r>
                </w:p>
                <w:p w14:paraId="0771CEC5">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问题</w:t>
                  </w:r>
                </w:p>
              </w:tc>
              <w:tc>
                <w:tcPr>
                  <w:tcW w:w="6090" w:type="dxa"/>
                  <w:noWrap w:val="0"/>
                  <w:vAlign w:val="center"/>
                </w:tcPr>
                <w:p w14:paraId="5425003A">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管理目标</w:t>
                  </w:r>
                </w:p>
              </w:tc>
              <w:tc>
                <w:tcPr>
                  <w:tcW w:w="662" w:type="dxa"/>
                  <w:noWrap w:val="0"/>
                  <w:vAlign w:val="center"/>
                </w:tcPr>
                <w:p w14:paraId="10C00B65">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实施机构</w:t>
                  </w:r>
                </w:p>
              </w:tc>
            </w:tr>
            <w:tr w14:paraId="4A1D7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30" w:type="dxa"/>
                  <w:gridSpan w:val="3"/>
                  <w:noWrap w:val="0"/>
                  <w:vAlign w:val="center"/>
                </w:tcPr>
                <w:p w14:paraId="6ADB173C">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bCs/>
                      <w:color w:val="auto"/>
                      <w:szCs w:val="21"/>
                      <w:lang w:val="en-US" w:eastAsia="zh-CN"/>
                    </w:rPr>
                    <w:t>施工期</w:t>
                  </w:r>
                </w:p>
              </w:tc>
            </w:tr>
            <w:tr w14:paraId="682E0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dxa"/>
                  <w:noWrap w:val="0"/>
                  <w:vAlign w:val="center"/>
                </w:tcPr>
                <w:p w14:paraId="4BC1DD43">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rPr>
                    <w:t>施工噪声</w:t>
                  </w:r>
                  <w:r>
                    <w:rPr>
                      <w:rFonts w:hint="default" w:ascii="Times New Roman" w:hAnsi="Times New Roman" w:eastAsia="宋体" w:cs="Times New Roman"/>
                      <w:b/>
                      <w:bCs/>
                      <w:szCs w:val="21"/>
                      <w:lang w:val="en-US" w:eastAsia="zh-CN"/>
                    </w:rPr>
                    <w:t>污染</w:t>
                  </w:r>
                </w:p>
              </w:tc>
              <w:tc>
                <w:tcPr>
                  <w:tcW w:w="6090" w:type="dxa"/>
                  <w:noWrap w:val="0"/>
                  <w:vAlign w:val="center"/>
                </w:tcPr>
                <w:p w14:paraId="649B6D01">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szCs w:val="21"/>
                    </w:rPr>
                  </w:pPr>
                  <w:r>
                    <w:rPr>
                      <w:rFonts w:hint="default" w:ascii="Times New Roman" w:hAnsi="Times New Roman" w:eastAsia="宋体" w:cs="Times New Roman"/>
                      <w:color w:val="auto"/>
                      <w:sz w:val="21"/>
                      <w:szCs w:val="21"/>
                      <w:highlight w:val="none"/>
                    </w:rPr>
                    <w:t>合理选择运输路线，并尽量在昼间进行运输，以减少对运输道路两侧居民夜间休息的影响；此外，在途经居民区时，应减速慢行、禁止鸣笛</w:t>
                  </w:r>
                </w:p>
              </w:tc>
              <w:tc>
                <w:tcPr>
                  <w:tcW w:w="662" w:type="dxa"/>
                  <w:vMerge w:val="restart"/>
                  <w:noWrap w:val="0"/>
                  <w:vAlign w:val="center"/>
                </w:tcPr>
                <w:p w14:paraId="5BCACCF4">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承建单位</w:t>
                  </w:r>
                </w:p>
              </w:tc>
            </w:tr>
            <w:tr w14:paraId="1F39B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dxa"/>
                  <w:noWrap w:val="0"/>
                  <w:vAlign w:val="center"/>
                </w:tcPr>
                <w:p w14:paraId="5650F48E">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bCs/>
                      <w:szCs w:val="21"/>
                      <w:lang w:eastAsia="zh-CN"/>
                    </w:rPr>
                  </w:pPr>
                  <w:r>
                    <w:rPr>
                      <w:rFonts w:hint="default" w:ascii="Times New Roman" w:hAnsi="Times New Roman" w:eastAsia="宋体" w:cs="Times New Roman"/>
                      <w:b/>
                      <w:bCs/>
                      <w:szCs w:val="21"/>
                      <w:lang w:eastAsia="zh-CN"/>
                    </w:rPr>
                    <w:t>地表水污染</w:t>
                  </w:r>
                </w:p>
              </w:tc>
              <w:tc>
                <w:tcPr>
                  <w:tcW w:w="6090" w:type="dxa"/>
                  <w:noWrap w:val="0"/>
                  <w:vAlign w:val="center"/>
                </w:tcPr>
                <w:p w14:paraId="4496959A">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szCs w:val="21"/>
                      <w:lang w:eastAsia="zh-CN"/>
                    </w:rPr>
                  </w:pPr>
                  <w:r>
                    <w:rPr>
                      <w:rFonts w:hint="default" w:ascii="Times New Roman" w:hAnsi="Times New Roman" w:eastAsia="宋体" w:cs="Times New Roman"/>
                      <w:color w:val="auto"/>
                      <w:sz w:val="21"/>
                      <w:szCs w:val="21"/>
                      <w:highlight w:val="none"/>
                    </w:rPr>
                    <w:t>加强环境管理和监督，固体废物选择合理的堆放地点，并设置相应的措施防止雨水冲刷；施工废水设置沉淀池处理后回用</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Cs w:val="21"/>
                      <w:highlight w:val="none"/>
                    </w:rPr>
                    <w:t>施工生活污水</w:t>
                  </w:r>
                  <w:r>
                    <w:rPr>
                      <w:rFonts w:hint="default" w:ascii="Times New Roman" w:hAnsi="Times New Roman" w:eastAsia="宋体" w:cs="Times New Roman"/>
                      <w:color w:val="auto"/>
                      <w:szCs w:val="21"/>
                      <w:highlight w:val="none"/>
                      <w:lang w:val="en-US" w:eastAsia="zh-CN"/>
                    </w:rPr>
                    <w:t>经</w:t>
                  </w:r>
                  <w:r>
                    <w:rPr>
                      <w:rFonts w:hint="default" w:ascii="Times New Roman" w:hAnsi="Times New Roman" w:eastAsia="宋体" w:cs="Times New Roman"/>
                      <w:color w:val="auto"/>
                      <w:szCs w:val="21"/>
                      <w:highlight w:val="none"/>
                    </w:rPr>
                    <w:t>化粪池</w:t>
                  </w:r>
                  <w:r>
                    <w:rPr>
                      <w:rFonts w:hint="default" w:ascii="Times New Roman" w:hAnsi="Times New Roman" w:eastAsia="宋体" w:cs="Times New Roman"/>
                      <w:color w:val="auto"/>
                      <w:szCs w:val="21"/>
                      <w:highlight w:val="none"/>
                      <w:lang w:val="en-US" w:eastAsia="zh-CN"/>
                    </w:rPr>
                    <w:t>预</w:t>
                  </w:r>
                  <w:r>
                    <w:rPr>
                      <w:rFonts w:hint="default" w:ascii="Times New Roman" w:hAnsi="Times New Roman" w:eastAsia="宋体" w:cs="Times New Roman"/>
                      <w:color w:val="auto"/>
                      <w:szCs w:val="21"/>
                      <w:highlight w:val="none"/>
                    </w:rPr>
                    <w:t>处理</w:t>
                  </w:r>
                  <w:r>
                    <w:rPr>
                      <w:rFonts w:hint="default" w:ascii="Times New Roman" w:hAnsi="Times New Roman" w:eastAsia="宋体" w:cs="Times New Roman"/>
                      <w:color w:val="auto"/>
                      <w:szCs w:val="21"/>
                      <w:highlight w:val="none"/>
                      <w:lang w:val="en-US" w:eastAsia="zh-CN"/>
                    </w:rPr>
                    <w:t>后</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lang w:val="en-US" w:eastAsia="zh-CN"/>
                    </w:rPr>
                    <w:t>定期清掏做农肥</w:t>
                  </w:r>
                  <w:r>
                    <w:rPr>
                      <w:rFonts w:hint="default" w:ascii="Times New Roman" w:hAnsi="Times New Roman" w:eastAsia="宋体" w:cs="Times New Roman"/>
                      <w:color w:val="auto"/>
                      <w:szCs w:val="21"/>
                      <w:highlight w:val="none"/>
                      <w:lang w:eastAsia="zh-CN"/>
                    </w:rPr>
                    <w:t>。</w:t>
                  </w:r>
                </w:p>
              </w:tc>
              <w:tc>
                <w:tcPr>
                  <w:tcW w:w="662" w:type="dxa"/>
                  <w:vMerge w:val="continue"/>
                  <w:noWrap w:val="0"/>
                  <w:vAlign w:val="center"/>
                </w:tcPr>
                <w:p w14:paraId="71B169BE">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val="0"/>
                      <w:bCs w:val="0"/>
                      <w:color w:val="auto"/>
                      <w:szCs w:val="21"/>
                      <w:lang w:val="en-US" w:eastAsia="zh-CN"/>
                    </w:rPr>
                  </w:pPr>
                </w:p>
              </w:tc>
            </w:tr>
            <w:tr w14:paraId="7F4BA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dxa"/>
                  <w:noWrap w:val="0"/>
                  <w:vAlign w:val="center"/>
                </w:tcPr>
                <w:p w14:paraId="6789A117">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rPr>
                    <w:t>空气</w:t>
                  </w:r>
                </w:p>
                <w:p w14:paraId="5B9EB9AA">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rPr>
                    <w:t>污染</w:t>
                  </w:r>
                </w:p>
              </w:tc>
              <w:tc>
                <w:tcPr>
                  <w:tcW w:w="6090" w:type="dxa"/>
                  <w:noWrap w:val="0"/>
                  <w:vAlign w:val="center"/>
                </w:tcPr>
                <w:p w14:paraId="72EBCDD2">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①</w:t>
                  </w:r>
                  <w:r>
                    <w:rPr>
                      <w:rFonts w:hint="default" w:ascii="Times New Roman" w:hAnsi="Times New Roman" w:eastAsia="宋体" w:cs="Times New Roman"/>
                      <w:color w:val="auto"/>
                      <w:sz w:val="21"/>
                      <w:szCs w:val="21"/>
                      <w:highlight w:val="none"/>
                    </w:rPr>
                    <w:t>施工场地定期洒水；严格施工扬尘监管，做到</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六</w:t>
                  </w:r>
                  <w:r>
                    <w:rPr>
                      <w:rFonts w:hint="default" w:ascii="Times New Roman" w:hAnsi="Times New Roman" w:eastAsia="宋体" w:cs="Times New Roman"/>
                      <w:color w:val="auto"/>
                      <w:sz w:val="21"/>
                      <w:szCs w:val="21"/>
                      <w:highlight w:val="none"/>
                    </w:rPr>
                    <w:t>个百分百</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p>
                <w:p w14:paraId="53844762">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②</w:t>
                  </w:r>
                  <w:r>
                    <w:rPr>
                      <w:rFonts w:hint="default" w:ascii="Times New Roman" w:hAnsi="Times New Roman" w:eastAsia="宋体" w:cs="Times New Roman"/>
                      <w:color w:val="auto"/>
                      <w:sz w:val="21"/>
                      <w:szCs w:val="21"/>
                      <w:highlight w:val="none"/>
                    </w:rPr>
                    <w:t>水泥、砂、石灰等易洒落散装物料运输和临时存放，应采取防风遮盖措施，以减少扬尘，施工工地周围应当设置连续、密闭的围挡，围挡高度不得低于2.0米。施工期间，建筑结构脚手架外侧设置密目式安全立网。</w:t>
                  </w:r>
                </w:p>
                <w:p w14:paraId="4C565785">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③</w:t>
                  </w:r>
                  <w:r>
                    <w:rPr>
                      <w:rFonts w:hint="default" w:ascii="Times New Roman" w:hAnsi="Times New Roman" w:eastAsia="宋体" w:cs="Times New Roman"/>
                      <w:color w:val="auto"/>
                      <w:sz w:val="21"/>
                      <w:szCs w:val="21"/>
                      <w:highlight w:val="none"/>
                    </w:rPr>
                    <w:t>施工工地内作业区加工场、材料堆场地面、车行道路应当进行硬化等防尘处理。应有专人负责逸散性材料、垃圾、渣土、裸地等密闭、覆盖、洒水作业以及车辆清洗作业等，并记录扬尘控制措施的实施情况。</w:t>
                  </w:r>
                </w:p>
                <w:p w14:paraId="5F2F2928">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④</w:t>
                  </w:r>
                  <w:r>
                    <w:rPr>
                      <w:rFonts w:hint="default" w:ascii="Times New Roman" w:hAnsi="Times New Roman" w:eastAsia="宋体" w:cs="Times New Roman"/>
                      <w:color w:val="auto"/>
                      <w:sz w:val="21"/>
                      <w:szCs w:val="21"/>
                      <w:highlight w:val="none"/>
                    </w:rPr>
                    <w:t>气象预报风力达到5级以上的天气，不得进行土方挖填和转运、爆破、房屋或者其他建（构）筑物拆除等作业。</w:t>
                  </w:r>
                </w:p>
                <w:p w14:paraId="723BD73B">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⑤</w:t>
                  </w:r>
                  <w:r>
                    <w:rPr>
                      <w:rFonts w:hint="default" w:ascii="Times New Roman" w:hAnsi="Times New Roman" w:eastAsia="宋体" w:cs="Times New Roman"/>
                      <w:color w:val="auto"/>
                      <w:sz w:val="21"/>
                      <w:szCs w:val="21"/>
                      <w:highlight w:val="none"/>
                    </w:rPr>
                    <w:t>弃土、弃料、建筑垃圾等无法在48小时内清运完毕的，应当在施工工地内设置临时堆放场；临时堆放场应当采取围挡、遮盖等防尘措施。</w:t>
                  </w:r>
                </w:p>
                <w:p w14:paraId="562C863B">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⑥</w:t>
                  </w:r>
                  <w:r>
                    <w:rPr>
                      <w:rFonts w:hint="default" w:ascii="Times New Roman" w:hAnsi="Times New Roman" w:eastAsia="宋体" w:cs="Times New Roman"/>
                      <w:color w:val="auto"/>
                      <w:sz w:val="21"/>
                      <w:szCs w:val="21"/>
                      <w:highlight w:val="none"/>
                    </w:rPr>
                    <w:t>运输车辆应当在除泥、冲洗干净后方可驶出作业场所，不得使用空气压缩机等易产生扬尘污染的设备清理车辆、设备和物料的尘埃；有条件的，可以设置冲洗槽、排水沟、沉淀池等设施。</w:t>
                  </w:r>
                </w:p>
                <w:p w14:paraId="0B5B769B">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⑦</w:t>
                  </w:r>
                  <w:r>
                    <w:rPr>
                      <w:rFonts w:hint="default" w:ascii="Times New Roman" w:hAnsi="Times New Roman" w:eastAsia="宋体" w:cs="Times New Roman"/>
                      <w:color w:val="auto"/>
                      <w:sz w:val="21"/>
                      <w:szCs w:val="21"/>
                      <w:highlight w:val="none"/>
                    </w:rPr>
                    <w:t>施工单位配备一定数量的洒水车，对路段内的施工道路或临时道路经常进行洒水处理，以减轻扬尘污染。</w:t>
                  </w:r>
                </w:p>
                <w:p w14:paraId="7D587042">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⑧</w:t>
                  </w:r>
                  <w:r>
                    <w:rPr>
                      <w:rFonts w:hint="default" w:ascii="Times New Roman" w:hAnsi="Times New Roman" w:eastAsia="宋体" w:cs="Times New Roman"/>
                      <w:color w:val="auto"/>
                      <w:sz w:val="21"/>
                      <w:szCs w:val="21"/>
                      <w:highlight w:val="none"/>
                    </w:rPr>
                    <w:t>严格按照《六安市重污染天气应急预案（202</w:t>
                  </w: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年修订）》执行，当发布重污染天气预警时，启动相应预警</w:t>
                  </w:r>
                  <w:r>
                    <w:rPr>
                      <w:rFonts w:hint="eastAsia" w:ascii="Times New Roman" w:hAnsi="Times New Roman" w:eastAsia="宋体" w:cs="Times New Roman"/>
                      <w:color w:val="auto"/>
                      <w:sz w:val="21"/>
                      <w:szCs w:val="21"/>
                      <w:highlight w:val="none"/>
                      <w:lang w:eastAsia="zh-CN"/>
                    </w:rPr>
                    <w:t>响应</w:t>
                  </w:r>
                  <w:r>
                    <w:rPr>
                      <w:rFonts w:hint="default" w:ascii="Times New Roman" w:hAnsi="Times New Roman" w:eastAsia="宋体" w:cs="Times New Roman"/>
                      <w:color w:val="auto"/>
                      <w:sz w:val="21"/>
                      <w:szCs w:val="21"/>
                      <w:highlight w:val="none"/>
                    </w:rPr>
                    <w:t>措施。</w:t>
                  </w:r>
                </w:p>
              </w:tc>
              <w:tc>
                <w:tcPr>
                  <w:tcW w:w="662" w:type="dxa"/>
                  <w:vMerge w:val="continue"/>
                  <w:noWrap w:val="0"/>
                  <w:vAlign w:val="center"/>
                </w:tcPr>
                <w:p w14:paraId="34977626">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val="0"/>
                      <w:bCs w:val="0"/>
                      <w:color w:val="auto"/>
                      <w:szCs w:val="21"/>
                      <w:lang w:val="en-US" w:eastAsia="zh-CN"/>
                    </w:rPr>
                  </w:pPr>
                </w:p>
              </w:tc>
            </w:tr>
            <w:tr w14:paraId="098AB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dxa"/>
                  <w:noWrap w:val="0"/>
                  <w:vAlign w:val="center"/>
                </w:tcPr>
                <w:p w14:paraId="05B5AFC0">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rPr>
                    <w:t>生态</w:t>
                  </w:r>
                </w:p>
                <w:p w14:paraId="17043FCF">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rPr>
                    <w:t>环境</w:t>
                  </w:r>
                </w:p>
              </w:tc>
              <w:tc>
                <w:tcPr>
                  <w:tcW w:w="6090" w:type="dxa"/>
                  <w:noWrap w:val="0"/>
                  <w:vAlign w:val="center"/>
                </w:tcPr>
                <w:p w14:paraId="71C9526F">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①严禁施工和生活污水直接排入水体；</w:t>
                  </w:r>
                </w:p>
                <w:p w14:paraId="28B1437F">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②严格制定科学的施工方案，及时进行绿化工作；</w:t>
                  </w:r>
                </w:p>
                <w:p w14:paraId="195C0CC1">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③设立专门的监督机构，派专人不定期巡查，专门处理各种破坏生态环境的事件；</w:t>
                  </w:r>
                </w:p>
                <w:p w14:paraId="290CBEBC">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④减少破坏植被树木，施工现场有条不紊、及时清理垃圾；</w:t>
                  </w:r>
                </w:p>
                <w:p w14:paraId="1065D943">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⑤对施工人员加强宣传、管理和监督，严禁在生态保护红线范围内进行施工活动。</w:t>
                  </w:r>
                </w:p>
              </w:tc>
              <w:tc>
                <w:tcPr>
                  <w:tcW w:w="662" w:type="dxa"/>
                  <w:vMerge w:val="continue"/>
                  <w:noWrap w:val="0"/>
                  <w:vAlign w:val="center"/>
                </w:tcPr>
                <w:p w14:paraId="53698123">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val="0"/>
                      <w:bCs w:val="0"/>
                      <w:color w:val="auto"/>
                      <w:szCs w:val="21"/>
                      <w:lang w:val="en-US" w:eastAsia="zh-CN"/>
                    </w:rPr>
                  </w:pPr>
                </w:p>
              </w:tc>
            </w:tr>
            <w:tr w14:paraId="5D15D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30" w:type="dxa"/>
                  <w:gridSpan w:val="3"/>
                  <w:noWrap w:val="0"/>
                  <w:vAlign w:val="center"/>
                </w:tcPr>
                <w:p w14:paraId="08F09098">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bCs/>
                      <w:color w:val="auto"/>
                      <w:szCs w:val="21"/>
                      <w:lang w:val="en-US" w:eastAsia="zh-CN"/>
                    </w:rPr>
                    <w:t>营运期</w:t>
                  </w:r>
                </w:p>
              </w:tc>
            </w:tr>
            <w:tr w14:paraId="0E1A8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dxa"/>
                  <w:noWrap w:val="0"/>
                  <w:vAlign w:val="center"/>
                </w:tcPr>
                <w:p w14:paraId="1DBC9A03">
                  <w:pPr>
                    <w:keepNext w:val="0"/>
                    <w:keepLines w:val="0"/>
                    <w:pageBreakBefore w:val="0"/>
                    <w:widowControl/>
                    <w:suppressLineNumbers w:val="0"/>
                    <w:kinsoku/>
                    <w:wordWrap/>
                    <w:overflowPunct/>
                    <w:topLinePunct w:val="0"/>
                    <w:autoSpaceDE/>
                    <w:autoSpaceDN/>
                    <w:bidi w:val="0"/>
                    <w:spacing w:line="260" w:lineRule="exact"/>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噪声</w:t>
                  </w:r>
                </w:p>
                <w:p w14:paraId="09A1373C">
                  <w:pPr>
                    <w:keepNext w:val="0"/>
                    <w:keepLines w:val="0"/>
                    <w:pageBreakBefore w:val="0"/>
                    <w:widowControl/>
                    <w:suppressLineNumbers w:val="0"/>
                    <w:kinsoku/>
                    <w:wordWrap/>
                    <w:overflowPunct/>
                    <w:topLinePunct w:val="0"/>
                    <w:autoSpaceDE/>
                    <w:autoSpaceDN/>
                    <w:bidi w:val="0"/>
                    <w:spacing w:line="260" w:lineRule="exact"/>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color w:val="auto"/>
                      <w:sz w:val="21"/>
                      <w:szCs w:val="21"/>
                      <w:highlight w:val="none"/>
                    </w:rPr>
                    <w:t>污染</w:t>
                  </w:r>
                </w:p>
              </w:tc>
              <w:tc>
                <w:tcPr>
                  <w:tcW w:w="6090" w:type="dxa"/>
                  <w:noWrap w:val="0"/>
                  <w:vAlign w:val="center"/>
                </w:tcPr>
                <w:p w14:paraId="25A6E268">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b w:val="0"/>
                      <w:bCs w:val="0"/>
                      <w:color w:val="auto"/>
                      <w:szCs w:val="21"/>
                    </w:rPr>
                  </w:pPr>
                  <w:r>
                    <w:rPr>
                      <w:rFonts w:hint="default" w:ascii="Times New Roman" w:hAnsi="Times New Roman" w:eastAsia="宋体" w:cs="Times New Roman"/>
                      <w:color w:val="auto"/>
                      <w:sz w:val="21"/>
                      <w:szCs w:val="21"/>
                      <w:highlight w:val="none"/>
                    </w:rPr>
                    <w:t>加强交通管理，禁止噪声过大的破旧车上路。禁止夜间超重超载车上路；控制车辆速度和车流量。</w:t>
                  </w:r>
                </w:p>
              </w:tc>
              <w:tc>
                <w:tcPr>
                  <w:tcW w:w="662" w:type="dxa"/>
                  <w:vMerge w:val="restart"/>
                  <w:noWrap w:val="0"/>
                  <w:vAlign w:val="center"/>
                </w:tcPr>
                <w:p w14:paraId="23C31313">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项目运行单位</w:t>
                  </w:r>
                </w:p>
              </w:tc>
            </w:tr>
            <w:tr w14:paraId="6F830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dxa"/>
                  <w:noWrap w:val="0"/>
                  <w:vAlign w:val="center"/>
                </w:tcPr>
                <w:p w14:paraId="7A362176">
                  <w:pPr>
                    <w:keepNext w:val="0"/>
                    <w:keepLines w:val="0"/>
                    <w:pageBreakBefore w:val="0"/>
                    <w:widowControl/>
                    <w:suppressLineNumbers w:val="0"/>
                    <w:kinsoku/>
                    <w:wordWrap/>
                    <w:overflowPunct/>
                    <w:topLinePunct w:val="0"/>
                    <w:autoSpaceDE/>
                    <w:autoSpaceDN/>
                    <w:bidi w:val="0"/>
                    <w:spacing w:line="260" w:lineRule="exact"/>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lang w:eastAsia="zh-CN"/>
                    </w:rPr>
                    <w:t>地表水污染</w:t>
                  </w:r>
                </w:p>
              </w:tc>
              <w:tc>
                <w:tcPr>
                  <w:tcW w:w="6090" w:type="dxa"/>
                  <w:noWrap w:val="0"/>
                  <w:vAlign w:val="center"/>
                </w:tcPr>
                <w:p w14:paraId="275BD4B3">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 w:val="21"/>
                      <w:szCs w:val="21"/>
                      <w:highlight w:val="none"/>
                    </w:rPr>
                    <w:t>加强对道路排水系统设施的维护管理，</w:t>
                  </w:r>
                  <w:r>
                    <w:rPr>
                      <w:rFonts w:hint="default" w:ascii="Times New Roman" w:hAnsi="Times New Roman" w:eastAsia="宋体" w:cs="Times New Roman"/>
                      <w:b w:val="0"/>
                      <w:bCs w:val="0"/>
                      <w:color w:val="auto"/>
                      <w:sz w:val="21"/>
                      <w:szCs w:val="21"/>
                      <w:highlight w:val="none"/>
                      <w:lang w:val="en-US" w:eastAsia="zh-CN"/>
                    </w:rPr>
                    <w:t>保持</w:t>
                  </w:r>
                  <w:r>
                    <w:rPr>
                      <w:rFonts w:hint="default" w:ascii="Times New Roman" w:hAnsi="Times New Roman" w:eastAsia="宋体" w:cs="Times New Roman"/>
                      <w:b w:val="0"/>
                      <w:bCs w:val="0"/>
                      <w:color w:val="auto"/>
                      <w:sz w:val="21"/>
                      <w:szCs w:val="21"/>
                      <w:highlight w:val="none"/>
                    </w:rPr>
                    <w:t>排水系统畅通</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确保道路不直接进入</w:t>
                  </w:r>
                  <w:r>
                    <w:rPr>
                      <w:rFonts w:hint="eastAsia" w:ascii="Times New Roman" w:hAnsi="Times New Roman" w:eastAsia="宋体" w:cs="Times New Roman"/>
                      <w:b w:val="0"/>
                      <w:bCs w:val="0"/>
                      <w:color w:val="auto"/>
                      <w:sz w:val="21"/>
                      <w:szCs w:val="21"/>
                      <w:highlight w:val="none"/>
                      <w:lang w:val="en-US" w:eastAsia="zh-CN"/>
                    </w:rPr>
                    <w:t>周边</w:t>
                  </w:r>
                  <w:r>
                    <w:rPr>
                      <w:rFonts w:hint="default" w:ascii="Times New Roman" w:hAnsi="Times New Roman" w:eastAsia="宋体" w:cs="Times New Roman"/>
                      <w:b w:val="0"/>
                      <w:bCs w:val="0"/>
                      <w:color w:val="auto"/>
                      <w:sz w:val="21"/>
                      <w:szCs w:val="21"/>
                      <w:highlight w:val="none"/>
                      <w:lang w:val="en-US" w:eastAsia="zh-CN"/>
                    </w:rPr>
                    <w:t>水体。</w:t>
                  </w:r>
                </w:p>
              </w:tc>
              <w:tc>
                <w:tcPr>
                  <w:tcW w:w="662" w:type="dxa"/>
                  <w:vMerge w:val="continue"/>
                  <w:noWrap w:val="0"/>
                  <w:vAlign w:val="center"/>
                </w:tcPr>
                <w:p w14:paraId="0882061F">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val="0"/>
                      <w:bCs w:val="0"/>
                      <w:color w:val="auto"/>
                      <w:szCs w:val="21"/>
                      <w:lang w:val="en-US" w:eastAsia="zh-CN"/>
                    </w:rPr>
                  </w:pPr>
                </w:p>
              </w:tc>
            </w:tr>
            <w:tr w14:paraId="2B691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dxa"/>
                  <w:noWrap w:val="0"/>
                  <w:vAlign w:val="center"/>
                </w:tcPr>
                <w:p w14:paraId="73EF5572">
                  <w:pPr>
                    <w:keepNext w:val="0"/>
                    <w:keepLines w:val="0"/>
                    <w:pageBreakBefore w:val="0"/>
                    <w:widowControl/>
                    <w:suppressLineNumbers w:val="0"/>
                    <w:kinsoku/>
                    <w:wordWrap/>
                    <w:overflowPunct/>
                    <w:topLinePunct w:val="0"/>
                    <w:autoSpaceDE/>
                    <w:autoSpaceDN/>
                    <w:bidi w:val="0"/>
                    <w:spacing w:line="260" w:lineRule="exact"/>
                    <w:jc w:val="center"/>
                    <w:textAlignment w:val="auto"/>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auto"/>
                      <w:sz w:val="21"/>
                      <w:szCs w:val="21"/>
                      <w:highlight w:val="none"/>
                    </w:rPr>
                    <w:t>环境空气污染</w:t>
                  </w:r>
                </w:p>
              </w:tc>
              <w:tc>
                <w:tcPr>
                  <w:tcW w:w="6090" w:type="dxa"/>
                  <w:noWrap w:val="0"/>
                  <w:vAlign w:val="center"/>
                </w:tcPr>
                <w:p w14:paraId="774D3C26">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①</w:t>
                  </w:r>
                  <w:r>
                    <w:rPr>
                      <w:rFonts w:hint="default" w:ascii="Times New Roman" w:hAnsi="Times New Roman" w:eastAsia="宋体" w:cs="Times New Roman"/>
                      <w:color w:val="auto"/>
                      <w:sz w:val="21"/>
                      <w:szCs w:val="21"/>
                      <w:highlight w:val="none"/>
                    </w:rPr>
                    <w:t>执行机动车尾气减排政策，降低汽车尾气排放量。</w:t>
                  </w:r>
                </w:p>
                <w:p w14:paraId="6780034F">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②</w:t>
                  </w:r>
                  <w:r>
                    <w:rPr>
                      <w:rFonts w:hint="default" w:ascii="Times New Roman" w:hAnsi="Times New Roman" w:eastAsia="宋体" w:cs="Times New Roman"/>
                      <w:color w:val="auto"/>
                      <w:sz w:val="21"/>
                      <w:szCs w:val="21"/>
                      <w:highlight w:val="none"/>
                    </w:rPr>
                    <w:t>加强绿化，路边和路面绿化选择种植一些对二氧化硫、氮氧化物有吸收作用的植物。</w:t>
                  </w:r>
                </w:p>
                <w:p w14:paraId="66C0F09B">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③</w:t>
                  </w:r>
                  <w:r>
                    <w:rPr>
                      <w:rFonts w:hint="default" w:ascii="Times New Roman" w:hAnsi="Times New Roman" w:eastAsia="宋体" w:cs="Times New Roman"/>
                      <w:color w:val="auto"/>
                      <w:sz w:val="21"/>
                      <w:szCs w:val="21"/>
                      <w:highlight w:val="none"/>
                    </w:rPr>
                    <w:t>加强路面清扫和洒水。</w:t>
                  </w:r>
                </w:p>
              </w:tc>
              <w:tc>
                <w:tcPr>
                  <w:tcW w:w="662" w:type="dxa"/>
                  <w:vMerge w:val="continue"/>
                  <w:noWrap w:val="0"/>
                  <w:vAlign w:val="center"/>
                </w:tcPr>
                <w:p w14:paraId="087494EA">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val="0"/>
                      <w:bCs w:val="0"/>
                      <w:color w:val="auto"/>
                      <w:kern w:val="2"/>
                      <w:sz w:val="21"/>
                      <w:szCs w:val="21"/>
                      <w:lang w:val="en-US" w:eastAsia="zh-CN" w:bidi="ar-SA"/>
                    </w:rPr>
                  </w:pPr>
                </w:p>
              </w:tc>
            </w:tr>
            <w:tr w14:paraId="77DFF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dxa"/>
                  <w:noWrap w:val="0"/>
                  <w:vAlign w:val="center"/>
                </w:tcPr>
                <w:p w14:paraId="286088FA">
                  <w:pPr>
                    <w:pStyle w:val="68"/>
                    <w:keepNext w:val="0"/>
                    <w:keepLines w:val="0"/>
                    <w:pageBreakBefore w:val="0"/>
                    <w:kinsoku/>
                    <w:wordWrap/>
                    <w:overflowPunct/>
                    <w:topLinePunct w:val="0"/>
                    <w:autoSpaceDE/>
                    <w:autoSpaceDN/>
                    <w:bidi w:val="0"/>
                    <w:spacing w:line="260" w:lineRule="exact"/>
                    <w:ind w:firstLine="0" w:firstLineChars="0"/>
                    <w:textAlignment w:val="auto"/>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auto"/>
                      <w:sz w:val="21"/>
                      <w:szCs w:val="21"/>
                      <w:highlight w:val="none"/>
                    </w:rPr>
                    <w:t>固体废弃物污染</w:t>
                  </w:r>
                </w:p>
              </w:tc>
              <w:tc>
                <w:tcPr>
                  <w:tcW w:w="6090" w:type="dxa"/>
                  <w:noWrap w:val="0"/>
                  <w:vAlign w:val="center"/>
                </w:tcPr>
                <w:p w14:paraId="32BD8799">
                  <w:pPr>
                    <w:pStyle w:val="68"/>
                    <w:keepNext w:val="0"/>
                    <w:keepLines w:val="0"/>
                    <w:pageBreakBefore w:val="0"/>
                    <w:kinsoku/>
                    <w:wordWrap/>
                    <w:overflowPunct/>
                    <w:topLinePunct w:val="0"/>
                    <w:autoSpaceDE/>
                    <w:autoSpaceDN/>
                    <w:bidi w:val="0"/>
                    <w:spacing w:line="260" w:lineRule="exact"/>
                    <w:ind w:firstLine="0" w:firstLineChars="0"/>
                    <w:jc w:val="left"/>
                    <w:textAlignment w:val="auto"/>
                    <w:rPr>
                      <w:rFonts w:hint="default" w:ascii="Times New Roman" w:hAnsi="Times New Roman" w:eastAsia="宋体" w:cs="Times New Roman"/>
                      <w:b w:val="0"/>
                      <w:bCs w:val="0"/>
                      <w:color w:val="auto"/>
                      <w:szCs w:val="21"/>
                    </w:rPr>
                  </w:pPr>
                  <w:r>
                    <w:rPr>
                      <w:rFonts w:hint="default" w:ascii="Times New Roman" w:hAnsi="Times New Roman" w:eastAsia="宋体" w:cs="Times New Roman"/>
                      <w:color w:val="auto"/>
                      <w:sz w:val="21"/>
                      <w:szCs w:val="21"/>
                      <w:highlight w:val="none"/>
                      <w:lang w:eastAsia="zh-CN"/>
                    </w:rPr>
                    <w:t>制定</w:t>
                  </w:r>
                  <w:r>
                    <w:rPr>
                      <w:rFonts w:hint="default" w:ascii="Times New Roman" w:hAnsi="Times New Roman" w:eastAsia="宋体" w:cs="Times New Roman"/>
                      <w:color w:val="auto"/>
                      <w:sz w:val="21"/>
                      <w:szCs w:val="21"/>
                      <w:highlight w:val="none"/>
                    </w:rPr>
                    <w:t>禁止乱丢废弃物的规定，合理处理回收物</w:t>
                  </w:r>
                </w:p>
              </w:tc>
              <w:tc>
                <w:tcPr>
                  <w:tcW w:w="662" w:type="dxa"/>
                  <w:vMerge w:val="continue"/>
                  <w:noWrap w:val="0"/>
                  <w:vAlign w:val="center"/>
                </w:tcPr>
                <w:p w14:paraId="5CCDF892">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val="0"/>
                      <w:bCs w:val="0"/>
                      <w:color w:val="auto"/>
                      <w:szCs w:val="21"/>
                      <w:lang w:val="en-US" w:eastAsia="zh-CN"/>
                    </w:rPr>
                  </w:pPr>
                </w:p>
              </w:tc>
            </w:tr>
            <w:tr w14:paraId="02B7F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dxa"/>
                  <w:noWrap w:val="0"/>
                  <w:vAlign w:val="center"/>
                </w:tcPr>
                <w:p w14:paraId="6829D033">
                  <w:pPr>
                    <w:pStyle w:val="68"/>
                    <w:keepNext w:val="0"/>
                    <w:keepLines w:val="0"/>
                    <w:pageBreakBefore w:val="0"/>
                    <w:kinsoku/>
                    <w:wordWrap/>
                    <w:overflowPunct/>
                    <w:topLinePunct w:val="0"/>
                    <w:autoSpaceDE/>
                    <w:autoSpaceDN/>
                    <w:bidi w:val="0"/>
                    <w:spacing w:line="260" w:lineRule="exact"/>
                    <w:ind w:firstLine="0" w:firstLineChars="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生态</w:t>
                  </w:r>
                </w:p>
                <w:p w14:paraId="71FB377A">
                  <w:pPr>
                    <w:pStyle w:val="68"/>
                    <w:keepNext w:val="0"/>
                    <w:keepLines w:val="0"/>
                    <w:pageBreakBefore w:val="0"/>
                    <w:kinsoku/>
                    <w:wordWrap/>
                    <w:overflowPunct/>
                    <w:topLinePunct w:val="0"/>
                    <w:autoSpaceDE/>
                    <w:autoSpaceDN/>
                    <w:bidi w:val="0"/>
                    <w:spacing w:line="260" w:lineRule="exact"/>
                    <w:ind w:firstLine="0" w:firstLineChars="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环境</w:t>
                  </w:r>
                </w:p>
              </w:tc>
              <w:tc>
                <w:tcPr>
                  <w:tcW w:w="6090" w:type="dxa"/>
                  <w:noWrap w:val="0"/>
                  <w:vAlign w:val="center"/>
                </w:tcPr>
                <w:p w14:paraId="4D4070AD">
                  <w:pPr>
                    <w:pStyle w:val="68"/>
                    <w:keepNext w:val="0"/>
                    <w:keepLines w:val="0"/>
                    <w:pageBreakBefore w:val="0"/>
                    <w:kinsoku/>
                    <w:wordWrap/>
                    <w:overflowPunct/>
                    <w:topLinePunct w:val="0"/>
                    <w:autoSpaceDE/>
                    <w:autoSpaceDN/>
                    <w:bidi w:val="0"/>
                    <w:spacing w:line="260" w:lineRule="exact"/>
                    <w:ind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检查道路绿化美化工程的养护状况，对缺苗或保存率达不到要求的提出补救措施，尽早恢复沿线景观；完善和维修路基防护工程和排水系统。</w:t>
                  </w:r>
                </w:p>
              </w:tc>
              <w:tc>
                <w:tcPr>
                  <w:tcW w:w="662" w:type="dxa"/>
                  <w:vMerge w:val="continue"/>
                  <w:noWrap w:val="0"/>
                  <w:vAlign w:val="center"/>
                </w:tcPr>
                <w:p w14:paraId="7F73F0DE">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val="0"/>
                      <w:bCs w:val="0"/>
                      <w:color w:val="auto"/>
                      <w:szCs w:val="21"/>
                      <w:lang w:val="en-US" w:eastAsia="zh-CN"/>
                    </w:rPr>
                  </w:pPr>
                </w:p>
              </w:tc>
            </w:tr>
            <w:tr w14:paraId="551E3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dxa"/>
                  <w:noWrap w:val="0"/>
                  <w:vAlign w:val="center"/>
                </w:tcPr>
                <w:p w14:paraId="1EE6F517">
                  <w:pPr>
                    <w:keepNext w:val="0"/>
                    <w:keepLines w:val="0"/>
                    <w:pageBreakBefore w:val="0"/>
                    <w:widowControl/>
                    <w:suppressLineNumbers w:val="0"/>
                    <w:kinsoku/>
                    <w:wordWrap/>
                    <w:overflowPunct/>
                    <w:topLinePunct w:val="0"/>
                    <w:autoSpaceDE/>
                    <w:autoSpaceDN/>
                    <w:bidi w:val="0"/>
                    <w:spacing w:line="260" w:lineRule="exact"/>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rPr>
                    <w:t>环境</w:t>
                  </w:r>
                </w:p>
                <w:p w14:paraId="1E33889B">
                  <w:pPr>
                    <w:keepNext w:val="0"/>
                    <w:keepLines w:val="0"/>
                    <w:pageBreakBefore w:val="0"/>
                    <w:widowControl/>
                    <w:suppressLineNumbers w:val="0"/>
                    <w:kinsoku/>
                    <w:wordWrap/>
                    <w:overflowPunct/>
                    <w:topLinePunct w:val="0"/>
                    <w:autoSpaceDE/>
                    <w:autoSpaceDN/>
                    <w:bidi w:val="0"/>
                    <w:spacing w:line="260" w:lineRule="exact"/>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rPr>
                    <w:t>监测</w:t>
                  </w:r>
                </w:p>
              </w:tc>
              <w:tc>
                <w:tcPr>
                  <w:tcW w:w="6090" w:type="dxa"/>
                  <w:noWrap w:val="0"/>
                  <w:vAlign w:val="center"/>
                </w:tcPr>
                <w:p w14:paraId="6E4882B9">
                  <w:pPr>
                    <w:keepNext w:val="0"/>
                    <w:keepLines w:val="0"/>
                    <w:pageBreakBefore w:val="0"/>
                    <w:kinsoku/>
                    <w:wordWrap/>
                    <w:overflowPunct/>
                    <w:topLinePunct w:val="0"/>
                    <w:autoSpaceDE/>
                    <w:autoSpaceDN/>
                    <w:bidi w:val="0"/>
                    <w:adjustRightInd w:val="0"/>
                    <w:snapToGrid w:val="0"/>
                    <w:spacing w:line="260" w:lineRule="exact"/>
                    <w:jc w:val="left"/>
                    <w:textAlignment w:val="auto"/>
                    <w:rPr>
                      <w:rFonts w:hint="default" w:ascii="Times New Roman" w:hAnsi="Times New Roman" w:eastAsia="宋体" w:cs="Times New Roman"/>
                      <w:b w:val="0"/>
                      <w:bCs w:val="0"/>
                      <w:color w:val="auto"/>
                      <w:szCs w:val="21"/>
                      <w:lang w:eastAsia="zh-CN"/>
                    </w:rPr>
                  </w:pPr>
                  <w:r>
                    <w:rPr>
                      <w:rFonts w:hint="default" w:ascii="Times New Roman" w:hAnsi="Times New Roman" w:eastAsia="宋体" w:cs="Times New Roman"/>
                      <w:b w:val="0"/>
                      <w:bCs w:val="0"/>
                      <w:color w:val="auto"/>
                      <w:szCs w:val="21"/>
                    </w:rPr>
                    <w:t>气、声环境监测规范按照</w:t>
                  </w:r>
                  <w:r>
                    <w:rPr>
                      <w:rFonts w:hint="default" w:ascii="Times New Roman" w:hAnsi="Times New Roman" w:eastAsia="宋体" w:cs="Times New Roman"/>
                      <w:b w:val="0"/>
                      <w:bCs w:val="0"/>
                      <w:color w:val="auto"/>
                      <w:szCs w:val="21"/>
                      <w:lang w:eastAsia="zh-CN"/>
                    </w:rPr>
                    <w:t>生态环境部</w:t>
                  </w:r>
                  <w:r>
                    <w:rPr>
                      <w:rFonts w:hint="default" w:ascii="Times New Roman" w:hAnsi="Times New Roman" w:eastAsia="宋体" w:cs="Times New Roman"/>
                      <w:b w:val="0"/>
                      <w:bCs w:val="0"/>
                      <w:color w:val="auto"/>
                      <w:szCs w:val="21"/>
                    </w:rPr>
                    <w:t>颁布的监测标准、方法执行</w:t>
                  </w:r>
                  <w:r>
                    <w:rPr>
                      <w:rFonts w:hint="default" w:ascii="Times New Roman" w:hAnsi="Times New Roman" w:eastAsia="宋体" w:cs="Times New Roman"/>
                      <w:b w:val="0"/>
                      <w:bCs w:val="0"/>
                      <w:color w:val="auto"/>
                      <w:szCs w:val="21"/>
                      <w:lang w:eastAsia="zh-CN"/>
                    </w:rPr>
                    <w:t>。</w:t>
                  </w:r>
                </w:p>
              </w:tc>
              <w:tc>
                <w:tcPr>
                  <w:tcW w:w="662" w:type="dxa"/>
                  <w:noWrap w:val="0"/>
                  <w:vAlign w:val="center"/>
                </w:tcPr>
                <w:p w14:paraId="1FF0BE87">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环境监测单位</w:t>
                  </w:r>
                </w:p>
              </w:tc>
            </w:tr>
          </w:tbl>
          <w:p w14:paraId="73B4B110">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eastAsia="zh-CN"/>
              </w:rPr>
              <w:t>2、环境监测</w:t>
            </w:r>
          </w:p>
          <w:p w14:paraId="68123992">
            <w:pPr>
              <w:adjustRightInd w:val="0"/>
              <w:snapToGrid w:val="0"/>
              <w:spacing w:line="360" w:lineRule="auto"/>
              <w:ind w:firstLine="480" w:firstLineChars="200"/>
              <w:rPr>
                <w:rFonts w:hint="default" w:ascii="Times New Roman" w:hAnsi="Times New Roman" w:cs="Times New Roman"/>
                <w:color w:val="auto"/>
                <w:lang w:val="en-US" w:eastAsia="zh-CN"/>
              </w:rPr>
            </w:pPr>
            <w:r>
              <w:rPr>
                <w:rFonts w:hint="default" w:ascii="Times New Roman" w:hAnsi="Times New Roman" w:cs="Times New Roman"/>
                <w:b w:val="0"/>
                <w:bCs w:val="0"/>
                <w:color w:val="auto"/>
                <w:sz w:val="24"/>
                <w:szCs w:val="32"/>
                <w:lang w:val="en-US" w:eastAsia="zh-CN"/>
              </w:rPr>
              <w:t>制定环境监测计划的</w:t>
            </w:r>
            <w:r>
              <w:rPr>
                <w:rFonts w:hint="eastAsia" w:ascii="Times New Roman" w:hAnsi="Times New Roman" w:cs="Times New Roman"/>
                <w:b w:val="0"/>
                <w:bCs w:val="0"/>
                <w:color w:val="auto"/>
                <w:sz w:val="24"/>
                <w:szCs w:val="32"/>
                <w:lang w:val="en-US" w:eastAsia="zh-CN"/>
              </w:rPr>
              <w:t>目的是</w:t>
            </w:r>
            <w:r>
              <w:rPr>
                <w:rFonts w:hint="default" w:ascii="Times New Roman" w:hAnsi="Times New Roman" w:cs="Times New Roman"/>
                <w:b w:val="0"/>
                <w:bCs w:val="0"/>
                <w:color w:val="auto"/>
                <w:sz w:val="24"/>
                <w:szCs w:val="32"/>
                <w:lang w:val="en-US" w:eastAsia="zh-CN"/>
              </w:rPr>
              <w:t>监督各项措施的落实。道路环境影响主要在施工期和运营期。</w:t>
            </w:r>
          </w:p>
          <w:p w14:paraId="57C1CF75">
            <w:pPr>
              <w:adjustRightInd w:val="0"/>
              <w:snapToGrid w:val="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表5-</w:t>
            </w:r>
            <w:r>
              <w:rPr>
                <w:rFonts w:hint="eastAsia"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lang w:val="en-US" w:eastAsia="zh-CN"/>
              </w:rPr>
              <w:t xml:space="preserve">  环境监测计划</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1647"/>
              <w:gridCol w:w="2651"/>
              <w:gridCol w:w="2649"/>
            </w:tblGrid>
            <w:tr w14:paraId="11C3B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dxa"/>
                  <w:noWrap w:val="0"/>
                  <w:vAlign w:val="center"/>
                </w:tcPr>
                <w:p w14:paraId="57F49BFC">
                  <w:pPr>
                    <w:adjustRightInd w:val="0"/>
                    <w:snapToGrid w:val="0"/>
                    <w:spacing w:line="240" w:lineRule="auto"/>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环境要素</w:t>
                  </w:r>
                </w:p>
              </w:tc>
              <w:tc>
                <w:tcPr>
                  <w:tcW w:w="1647" w:type="dxa"/>
                  <w:noWrap w:val="0"/>
                  <w:vAlign w:val="center"/>
                </w:tcPr>
                <w:p w14:paraId="4D195EBB">
                  <w:pPr>
                    <w:adjustRightInd w:val="0"/>
                    <w:snapToGrid w:val="0"/>
                    <w:spacing w:line="240" w:lineRule="auto"/>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监测项目</w:t>
                  </w:r>
                </w:p>
              </w:tc>
              <w:tc>
                <w:tcPr>
                  <w:tcW w:w="2651" w:type="dxa"/>
                  <w:noWrap w:val="0"/>
                  <w:vAlign w:val="center"/>
                </w:tcPr>
                <w:p w14:paraId="4FB646FE">
                  <w:pPr>
                    <w:adjustRightInd w:val="0"/>
                    <w:snapToGrid w:val="0"/>
                    <w:spacing w:line="240" w:lineRule="auto"/>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监测点位</w:t>
                  </w:r>
                </w:p>
              </w:tc>
              <w:tc>
                <w:tcPr>
                  <w:tcW w:w="2649" w:type="dxa"/>
                  <w:noWrap w:val="0"/>
                  <w:vAlign w:val="center"/>
                </w:tcPr>
                <w:p w14:paraId="2DC17CEC">
                  <w:pPr>
                    <w:adjustRightInd w:val="0"/>
                    <w:snapToGrid w:val="0"/>
                    <w:spacing w:line="240" w:lineRule="auto"/>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监测频次</w:t>
                  </w:r>
                </w:p>
              </w:tc>
            </w:tr>
            <w:tr w14:paraId="354E7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27" w:type="dxa"/>
                  <w:gridSpan w:val="4"/>
                  <w:noWrap w:val="0"/>
                  <w:vAlign w:val="center"/>
                </w:tcPr>
                <w:p w14:paraId="6DDF2D39">
                  <w:pPr>
                    <w:adjustRightInd w:val="0"/>
                    <w:snapToGrid w:val="0"/>
                    <w:spacing w:line="240" w:lineRule="auto"/>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施工期</w:t>
                  </w:r>
                </w:p>
              </w:tc>
            </w:tr>
            <w:tr w14:paraId="240B6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dxa"/>
                  <w:noWrap w:val="0"/>
                  <w:vAlign w:val="center"/>
                </w:tcPr>
                <w:p w14:paraId="44441A8B">
                  <w:pPr>
                    <w:adjustRightInd w:val="0"/>
                    <w:snapToGrid w:val="0"/>
                    <w:spacing w:line="240" w:lineRule="auto"/>
                    <w:jc w:val="center"/>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color w:val="auto"/>
                      <w:szCs w:val="21"/>
                      <w:lang w:val="en-US" w:eastAsia="zh-CN"/>
                    </w:rPr>
                    <w:t>空气环境</w:t>
                  </w:r>
                </w:p>
              </w:tc>
              <w:tc>
                <w:tcPr>
                  <w:tcW w:w="1647" w:type="dxa"/>
                  <w:noWrap w:val="0"/>
                  <w:vAlign w:val="center"/>
                </w:tcPr>
                <w:p w14:paraId="094BC081">
                  <w:pPr>
                    <w:adjustRightInd w:val="0"/>
                    <w:snapToGri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Cs w:val="21"/>
                    </w:rPr>
                    <w:t>PM</w:t>
                  </w:r>
                  <w:r>
                    <w:rPr>
                      <w:rFonts w:hint="default" w:ascii="Times New Roman" w:hAnsi="Times New Roman" w:eastAsia="宋体" w:cs="Times New Roman"/>
                      <w:color w:val="auto"/>
                      <w:szCs w:val="21"/>
                      <w:vertAlign w:val="subscript"/>
                    </w:rPr>
                    <w:t>2.5</w:t>
                  </w:r>
                  <w:r>
                    <w:rPr>
                      <w:rFonts w:hint="default" w:ascii="Times New Roman" w:hAnsi="Times New Roman" w:eastAsia="宋体" w:cs="Times New Roman"/>
                      <w:color w:val="auto"/>
                      <w:szCs w:val="21"/>
                    </w:rPr>
                    <w:t>、PM</w:t>
                  </w:r>
                  <w:r>
                    <w:rPr>
                      <w:rFonts w:hint="default" w:ascii="Times New Roman" w:hAnsi="Times New Roman" w:eastAsia="宋体" w:cs="Times New Roman"/>
                      <w:color w:val="auto"/>
                      <w:szCs w:val="21"/>
                      <w:vertAlign w:val="subscript"/>
                    </w:rPr>
                    <w:t>10</w:t>
                  </w:r>
                </w:p>
              </w:tc>
              <w:tc>
                <w:tcPr>
                  <w:tcW w:w="2651" w:type="dxa"/>
                  <w:noWrap w:val="0"/>
                  <w:vAlign w:val="center"/>
                </w:tcPr>
                <w:p w14:paraId="10994846">
                  <w:pPr>
                    <w:adjustRightInd w:val="0"/>
                    <w:snapToGrid w:val="0"/>
                    <w:spacing w:line="240" w:lineRule="auto"/>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color w:val="auto"/>
                      <w:szCs w:val="21"/>
                      <w:lang w:val="en-US" w:eastAsia="zh-CN"/>
                    </w:rPr>
                    <w:t>/</w:t>
                  </w:r>
                </w:p>
              </w:tc>
              <w:tc>
                <w:tcPr>
                  <w:tcW w:w="2649" w:type="dxa"/>
                  <w:noWrap w:val="0"/>
                  <w:vAlign w:val="center"/>
                </w:tcPr>
                <w:p w14:paraId="49E8FB42">
                  <w:pPr>
                    <w:adjustRightInd w:val="0"/>
                    <w:snapToGrid w:val="0"/>
                    <w:spacing w:line="240" w:lineRule="auto"/>
                    <w:jc w:val="center"/>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1次/季</w:t>
                  </w:r>
                </w:p>
                <w:p w14:paraId="6D60B02B">
                  <w:pPr>
                    <w:adjustRightInd w:val="0"/>
                    <w:snapToGrid w:val="0"/>
                    <w:spacing w:line="240" w:lineRule="auto"/>
                    <w:jc w:val="center"/>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（具体视施工情况而变化）</w:t>
                  </w:r>
                </w:p>
              </w:tc>
            </w:tr>
            <w:tr w14:paraId="4FCD2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dxa"/>
                  <w:noWrap w:val="0"/>
                  <w:vAlign w:val="center"/>
                </w:tcPr>
                <w:p w14:paraId="4F836E36">
                  <w:pPr>
                    <w:adjustRightInd w:val="0"/>
                    <w:snapToGrid w:val="0"/>
                    <w:jc w:val="center"/>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szCs w:val="21"/>
                      <w:lang w:val="en-US" w:eastAsia="zh-CN"/>
                    </w:rPr>
                    <w:t>生态环境</w:t>
                  </w:r>
                </w:p>
              </w:tc>
              <w:tc>
                <w:tcPr>
                  <w:tcW w:w="1647" w:type="dxa"/>
                  <w:noWrap w:val="0"/>
                  <w:vAlign w:val="center"/>
                </w:tcPr>
                <w:p w14:paraId="57808DC5">
                  <w:pPr>
                    <w:adjustRightInd w:val="0"/>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植物群落变化、生境质量变化</w:t>
                  </w:r>
                </w:p>
              </w:tc>
              <w:tc>
                <w:tcPr>
                  <w:tcW w:w="2651" w:type="dxa"/>
                  <w:noWrap w:val="0"/>
                  <w:vAlign w:val="center"/>
                </w:tcPr>
                <w:p w14:paraId="7C6F1772">
                  <w:pPr>
                    <w:adjustRightInd w:val="0"/>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道路两侧、评价范围内</w:t>
                  </w:r>
                </w:p>
              </w:tc>
              <w:tc>
                <w:tcPr>
                  <w:tcW w:w="2649" w:type="dxa"/>
                  <w:noWrap w:val="0"/>
                  <w:vAlign w:val="center"/>
                </w:tcPr>
                <w:p w14:paraId="27AA1AA7">
                  <w:pPr>
                    <w:adjustRightInd w:val="0"/>
                    <w:snapToGrid w:val="0"/>
                    <w:jc w:val="center"/>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2次/1年</w:t>
                  </w:r>
                </w:p>
                <w:p w14:paraId="3E30AD09">
                  <w:pPr>
                    <w:adjustRightInd w:val="0"/>
                    <w:snapToGrid w:val="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Cs w:val="21"/>
                      <w:lang w:val="en-US" w:eastAsia="zh-CN"/>
                    </w:rPr>
                    <w:t>（具体视施工情况而变化）</w:t>
                  </w:r>
                </w:p>
              </w:tc>
            </w:tr>
            <w:tr w14:paraId="57175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27" w:type="dxa"/>
                  <w:gridSpan w:val="4"/>
                  <w:noWrap w:val="0"/>
                  <w:vAlign w:val="center"/>
                </w:tcPr>
                <w:p w14:paraId="033F3661">
                  <w:pPr>
                    <w:adjustRightInd w:val="0"/>
                    <w:snapToGrid w:val="0"/>
                    <w:spacing w:line="240" w:lineRule="auto"/>
                    <w:jc w:val="center"/>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bCs/>
                      <w:color w:val="auto"/>
                      <w:szCs w:val="21"/>
                      <w:lang w:val="en-US" w:eastAsia="zh-CN"/>
                    </w:rPr>
                    <w:t>营运期</w:t>
                  </w:r>
                </w:p>
              </w:tc>
            </w:tr>
            <w:tr w14:paraId="08891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dxa"/>
                  <w:noWrap w:val="0"/>
                  <w:vAlign w:val="center"/>
                </w:tcPr>
                <w:p w14:paraId="14F7D7F7">
                  <w:pPr>
                    <w:adjustRightInd w:val="0"/>
                    <w:snapToGrid w:val="0"/>
                    <w:jc w:val="center"/>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生态</w:t>
                  </w:r>
                </w:p>
              </w:tc>
              <w:tc>
                <w:tcPr>
                  <w:tcW w:w="1647" w:type="dxa"/>
                  <w:noWrap w:val="0"/>
                  <w:vAlign w:val="center"/>
                </w:tcPr>
                <w:p w14:paraId="77EBA242">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生态修复效果、沿线生物多样性</w:t>
                  </w:r>
                </w:p>
              </w:tc>
              <w:tc>
                <w:tcPr>
                  <w:tcW w:w="2651" w:type="dxa"/>
                  <w:noWrap w:val="0"/>
                  <w:vAlign w:val="center"/>
                </w:tcPr>
                <w:p w14:paraId="536D06FC">
                  <w:pPr>
                    <w:adjustRightInd w:val="0"/>
                    <w:snapToGrid w:val="0"/>
                    <w:jc w:val="center"/>
                    <w:rPr>
                      <w:rFonts w:hint="default" w:ascii="Times New Roman" w:hAnsi="Times New Roman" w:eastAsia="宋体" w:cs="Times New Roman"/>
                      <w:szCs w:val="21"/>
                      <w:lang w:eastAsia="zh-CN"/>
                    </w:rPr>
                  </w:pPr>
                  <w:r>
                    <w:rPr>
                      <w:rFonts w:hint="default" w:ascii="Times New Roman" w:hAnsi="Times New Roman" w:eastAsia="宋体" w:cs="Times New Roman"/>
                      <w:szCs w:val="21"/>
                      <w:lang w:eastAsia="zh-CN"/>
                    </w:rPr>
                    <w:t>公路绿化区域、评价范围内</w:t>
                  </w:r>
                </w:p>
              </w:tc>
              <w:tc>
                <w:tcPr>
                  <w:tcW w:w="2649" w:type="dxa"/>
                  <w:noWrap w:val="0"/>
                  <w:vAlign w:val="center"/>
                </w:tcPr>
                <w:p w14:paraId="62E4227A">
                  <w:pPr>
                    <w:adjustRightInd w:val="0"/>
                    <w:snapToGrid w:val="0"/>
                    <w:jc w:val="center"/>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2次/年</w:t>
                  </w:r>
                </w:p>
              </w:tc>
            </w:tr>
          </w:tbl>
          <w:p w14:paraId="4F356531">
            <w:pPr>
              <w:rPr>
                <w:rFonts w:hint="default" w:ascii="Times New Roman" w:hAnsi="Times New Roman" w:cs="Times New Roman"/>
                <w:lang w:val="en-US" w:eastAsia="zh-CN"/>
              </w:rPr>
            </w:pPr>
          </w:p>
        </w:tc>
      </w:tr>
      <w:tr w14:paraId="5360FC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493" w:type="dxa"/>
            <w:noWrap w:val="0"/>
            <w:vAlign w:val="center"/>
          </w:tcPr>
          <w:p w14:paraId="1DBE7744">
            <w:pPr>
              <w:adjustRightInd w:val="0"/>
              <w:snapToGrid w:val="0"/>
              <w:jc w:val="center"/>
              <w:rPr>
                <w:rFonts w:hint="default" w:ascii="Times New Roman" w:hAnsi="Times New Roman" w:cs="Times New Roman"/>
                <w:b/>
                <w:bCs w:val="0"/>
                <w:color w:val="auto"/>
                <w:sz w:val="24"/>
                <w:szCs w:val="24"/>
              </w:rPr>
            </w:pPr>
            <w:r>
              <w:rPr>
                <w:rFonts w:hint="default" w:ascii="Times New Roman" w:hAnsi="Times New Roman" w:cs="Times New Roman"/>
                <w:b/>
                <w:bCs w:val="0"/>
                <w:color w:val="auto"/>
                <w:sz w:val="24"/>
                <w:szCs w:val="24"/>
              </w:rPr>
              <w:t>环保投资</w:t>
            </w:r>
          </w:p>
        </w:tc>
        <w:tc>
          <w:tcPr>
            <w:tcW w:w="7956" w:type="dxa"/>
            <w:noWrap w:val="0"/>
            <w:vAlign w:val="top"/>
          </w:tcPr>
          <w:p w14:paraId="4A2D340E">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3、</w:t>
            </w:r>
            <w:r>
              <w:rPr>
                <w:rFonts w:hint="default" w:ascii="Times New Roman" w:hAnsi="Times New Roman" w:cs="Times New Roman"/>
                <w:b/>
                <w:bCs/>
                <w:color w:val="auto"/>
                <w:sz w:val="24"/>
                <w:szCs w:val="32"/>
              </w:rPr>
              <w:t>环保投资一览表</w:t>
            </w:r>
          </w:p>
          <w:p w14:paraId="27B55A74">
            <w:pPr>
              <w:adjustRightInd w:val="0"/>
              <w:snapToGrid w:val="0"/>
              <w:spacing w:line="360" w:lineRule="auto"/>
              <w:ind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项目总投资</w:t>
            </w:r>
            <w:r>
              <w:rPr>
                <w:rFonts w:hint="eastAsia" w:ascii="Times New Roman" w:hAnsi="Times New Roman" w:cs="Times New Roman"/>
                <w:color w:val="auto"/>
                <w:sz w:val="24"/>
                <w:szCs w:val="32"/>
                <w:highlight w:val="none"/>
                <w:lang w:val="en-US" w:eastAsia="zh-CN"/>
              </w:rPr>
              <w:t>2830</w:t>
            </w:r>
            <w:r>
              <w:rPr>
                <w:rFonts w:hint="default" w:ascii="Times New Roman" w:hAnsi="Times New Roman" w:cs="Times New Roman"/>
                <w:color w:val="auto"/>
                <w:sz w:val="24"/>
                <w:szCs w:val="32"/>
                <w:highlight w:val="none"/>
              </w:rPr>
              <w:t>万元，环保投资</w:t>
            </w:r>
            <w:r>
              <w:rPr>
                <w:rFonts w:hint="eastAsia" w:ascii="Times New Roman" w:hAnsi="Times New Roman" w:cs="Times New Roman"/>
                <w:color w:val="auto"/>
                <w:sz w:val="24"/>
                <w:szCs w:val="32"/>
                <w:highlight w:val="none"/>
                <w:lang w:val="en-US" w:eastAsia="zh-CN"/>
              </w:rPr>
              <w:t>107</w:t>
            </w:r>
            <w:r>
              <w:rPr>
                <w:rFonts w:hint="default" w:ascii="Times New Roman" w:hAnsi="Times New Roman" w:cs="Times New Roman"/>
                <w:color w:val="auto"/>
                <w:sz w:val="24"/>
                <w:szCs w:val="32"/>
                <w:highlight w:val="none"/>
              </w:rPr>
              <w:t>万元，</w:t>
            </w:r>
            <w:r>
              <w:rPr>
                <w:rFonts w:hint="default" w:ascii="Times New Roman" w:hAnsi="Times New Roman" w:cs="Times New Roman"/>
                <w:color w:val="auto"/>
                <w:sz w:val="24"/>
                <w:szCs w:val="32"/>
                <w:highlight w:val="none"/>
                <w:lang w:eastAsia="zh-CN"/>
              </w:rPr>
              <w:t>环保投资占比为</w:t>
            </w:r>
            <w:r>
              <w:rPr>
                <w:rFonts w:hint="eastAsia" w:ascii="Times New Roman" w:hAnsi="Times New Roman" w:cs="Times New Roman"/>
                <w:color w:val="auto"/>
                <w:sz w:val="24"/>
                <w:szCs w:val="32"/>
                <w:highlight w:val="none"/>
                <w:lang w:val="en-US" w:eastAsia="zh-CN"/>
              </w:rPr>
              <w:t>3.78</w:t>
            </w:r>
            <w:r>
              <w:rPr>
                <w:rFonts w:hint="default" w:ascii="Times New Roman" w:hAnsi="Times New Roman" w:cs="Times New Roman"/>
                <w:color w:val="auto"/>
                <w:sz w:val="24"/>
                <w:szCs w:val="32"/>
                <w:highlight w:val="none"/>
                <w:lang w:val="en-US" w:eastAsia="zh-CN"/>
              </w:rPr>
              <w:t>%，主要用于治理废气、噪声、固体废物、生态环境、环境管理与监测。</w:t>
            </w:r>
            <w:r>
              <w:rPr>
                <w:rFonts w:hint="default" w:ascii="Times New Roman" w:hAnsi="Times New Roman" w:cs="Times New Roman"/>
                <w:color w:val="auto"/>
                <w:sz w:val="24"/>
                <w:szCs w:val="32"/>
                <w:highlight w:val="none"/>
              </w:rPr>
              <w:t>详见下表。</w:t>
            </w:r>
          </w:p>
          <w:p w14:paraId="1D1EA651">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表5-</w:t>
            </w:r>
            <w:r>
              <w:rPr>
                <w:rFonts w:hint="default" w:ascii="Times New Roman" w:hAnsi="Times New Roman" w:cs="Times New Roman"/>
                <w:b/>
                <w:bCs/>
                <w:color w:val="auto"/>
                <w:lang w:val="en-US" w:eastAsia="zh-CN"/>
              </w:rPr>
              <w:t>4</w:t>
            </w:r>
            <w:r>
              <w:rPr>
                <w:rFonts w:hint="default" w:ascii="Times New Roman" w:hAnsi="Times New Roman" w:cs="Times New Roman"/>
                <w:b/>
                <w:bCs/>
                <w:color w:val="auto"/>
              </w:rPr>
              <w:t xml:space="preserve"> </w:t>
            </w:r>
            <w:r>
              <w:rPr>
                <w:rFonts w:hint="default" w:ascii="Times New Roman" w:hAnsi="Times New Roman" w:cs="Times New Roman"/>
                <w:b/>
                <w:bCs/>
                <w:color w:val="auto"/>
                <w:lang w:val="en-US" w:eastAsia="zh-CN"/>
              </w:rPr>
              <w:t xml:space="preserve"> </w:t>
            </w:r>
            <w:r>
              <w:rPr>
                <w:rFonts w:hint="default" w:ascii="Times New Roman" w:hAnsi="Times New Roman" w:cs="Times New Roman"/>
                <w:b/>
                <w:bCs/>
                <w:color w:val="auto"/>
              </w:rPr>
              <w:t>环保措施和投资一览表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939"/>
              <w:gridCol w:w="5285"/>
              <w:gridCol w:w="1005"/>
            </w:tblGrid>
            <w:tr w14:paraId="6B26C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dxa"/>
                  <w:noWrap w:val="0"/>
                  <w:vAlign w:val="center"/>
                </w:tcPr>
                <w:p w14:paraId="3753AC25">
                  <w:pPr>
                    <w:adjustRightInd w:val="0"/>
                    <w:snapToGrid w:val="0"/>
                    <w:jc w:val="center"/>
                    <w:rPr>
                      <w:rFonts w:hint="default" w:ascii="Times New Roman" w:hAnsi="Times New Roman" w:eastAsia="宋体" w:cs="Times New Roman"/>
                      <w:b/>
                      <w:bCs/>
                      <w:color w:val="auto"/>
                      <w:szCs w:val="21"/>
                      <w:lang w:eastAsia="zh-CN"/>
                    </w:rPr>
                  </w:pPr>
                  <w:r>
                    <w:rPr>
                      <w:rFonts w:hint="default" w:ascii="Times New Roman" w:hAnsi="Times New Roman" w:cs="Times New Roman"/>
                      <w:b/>
                      <w:bCs/>
                      <w:color w:val="auto"/>
                      <w:szCs w:val="21"/>
                      <w:lang w:eastAsia="zh-CN"/>
                    </w:rPr>
                    <w:t>分类</w:t>
                  </w:r>
                </w:p>
              </w:tc>
              <w:tc>
                <w:tcPr>
                  <w:tcW w:w="939" w:type="dxa"/>
                  <w:noWrap w:val="0"/>
                  <w:vAlign w:val="center"/>
                </w:tcPr>
                <w:p w14:paraId="27DC4C9F">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项目</w:t>
                  </w:r>
                </w:p>
              </w:tc>
              <w:tc>
                <w:tcPr>
                  <w:tcW w:w="5285" w:type="dxa"/>
                  <w:noWrap w:val="0"/>
                  <w:vAlign w:val="center"/>
                </w:tcPr>
                <w:p w14:paraId="388AFF73">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环保措施</w:t>
                  </w:r>
                </w:p>
              </w:tc>
              <w:tc>
                <w:tcPr>
                  <w:tcW w:w="1005" w:type="dxa"/>
                  <w:noWrap w:val="0"/>
                  <w:vAlign w:val="center"/>
                </w:tcPr>
                <w:p w14:paraId="18EDA0E6">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金额</w:t>
                  </w:r>
                </w:p>
                <w:p w14:paraId="7A150C7A">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（万元）</w:t>
                  </w:r>
                </w:p>
              </w:tc>
            </w:tr>
            <w:tr w14:paraId="6E761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498" w:type="dxa"/>
                  <w:vMerge w:val="restart"/>
                  <w:noWrap w:val="0"/>
                  <w:vAlign w:val="center"/>
                </w:tcPr>
                <w:p w14:paraId="77FD3DFA">
                  <w:pPr>
                    <w:adjustRightInd w:val="0"/>
                    <w:snapToGrid w:val="0"/>
                    <w:jc w:val="center"/>
                    <w:rPr>
                      <w:rFonts w:hint="default" w:ascii="Times New Roman" w:hAnsi="Times New Roman" w:eastAsia="宋体" w:cs="Times New Roman"/>
                      <w:b/>
                      <w:bCs/>
                      <w:color w:val="auto"/>
                      <w:szCs w:val="21"/>
                      <w:lang w:eastAsia="zh-CN"/>
                    </w:rPr>
                  </w:pPr>
                  <w:r>
                    <w:rPr>
                      <w:rFonts w:hint="default" w:ascii="Times New Roman" w:hAnsi="Times New Roman" w:cs="Times New Roman"/>
                      <w:b/>
                      <w:bCs/>
                      <w:color w:val="auto"/>
                      <w:szCs w:val="21"/>
                      <w:lang w:eastAsia="zh-CN"/>
                    </w:rPr>
                    <w:t>施工期</w:t>
                  </w:r>
                </w:p>
              </w:tc>
              <w:tc>
                <w:tcPr>
                  <w:tcW w:w="939" w:type="dxa"/>
                  <w:noWrap w:val="0"/>
                  <w:vAlign w:val="center"/>
                </w:tcPr>
                <w:p w14:paraId="3E4DD1C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大气</w:t>
                  </w:r>
                </w:p>
                <w:p w14:paraId="6C3E1532">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环境</w:t>
                  </w:r>
                </w:p>
              </w:tc>
              <w:tc>
                <w:tcPr>
                  <w:tcW w:w="5285" w:type="dxa"/>
                  <w:noWrap w:val="0"/>
                  <w:vAlign w:val="center"/>
                </w:tcPr>
                <w:p w14:paraId="06B2E2B4">
                  <w:pPr>
                    <w:adjustRightInd w:val="0"/>
                    <w:snapToGrid w:val="0"/>
                    <w:jc w:val="left"/>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临时围挡、防尘网、喷淋洒水装置、出入车辆冲洗装置。</w:t>
                  </w:r>
                </w:p>
              </w:tc>
              <w:tc>
                <w:tcPr>
                  <w:tcW w:w="1005" w:type="dxa"/>
                  <w:noWrap w:val="0"/>
                  <w:vAlign w:val="center"/>
                </w:tcPr>
                <w:p w14:paraId="5ED81A85">
                  <w:pPr>
                    <w:adjustRightInd w:val="0"/>
                    <w:snapToGrid w:val="0"/>
                    <w:jc w:val="center"/>
                    <w:rPr>
                      <w:rFonts w:hint="default" w:ascii="Times New Roman" w:hAnsi="Times New Roman" w:eastAsia="宋体" w:cs="Times New Roman"/>
                      <w:b w:val="0"/>
                      <w:bCs w:val="0"/>
                      <w:color w:val="auto"/>
                      <w:szCs w:val="21"/>
                      <w:lang w:val="en-US" w:eastAsia="zh-CN"/>
                    </w:rPr>
                  </w:pPr>
                  <w:r>
                    <w:rPr>
                      <w:rFonts w:hint="eastAsia" w:ascii="Times New Roman" w:hAnsi="Times New Roman" w:cs="Times New Roman"/>
                      <w:b w:val="0"/>
                      <w:bCs w:val="0"/>
                      <w:color w:val="auto"/>
                      <w:szCs w:val="21"/>
                      <w:lang w:val="en-US" w:eastAsia="zh-CN"/>
                    </w:rPr>
                    <w:t>8</w:t>
                  </w:r>
                </w:p>
              </w:tc>
            </w:tr>
            <w:tr w14:paraId="22E75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dxa"/>
                  <w:vMerge w:val="continue"/>
                  <w:noWrap w:val="0"/>
                  <w:vAlign w:val="center"/>
                </w:tcPr>
                <w:p w14:paraId="0E6DD49A">
                  <w:pPr>
                    <w:adjustRightInd w:val="0"/>
                    <w:snapToGrid w:val="0"/>
                    <w:jc w:val="center"/>
                    <w:rPr>
                      <w:rFonts w:hint="default" w:ascii="Times New Roman" w:hAnsi="Times New Roman" w:cs="Times New Roman"/>
                      <w:b/>
                      <w:bCs/>
                      <w:color w:val="auto"/>
                      <w:szCs w:val="21"/>
                    </w:rPr>
                  </w:pPr>
                </w:p>
              </w:tc>
              <w:tc>
                <w:tcPr>
                  <w:tcW w:w="939" w:type="dxa"/>
                  <w:noWrap w:val="0"/>
                  <w:vAlign w:val="center"/>
                </w:tcPr>
                <w:p w14:paraId="6FBED99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水环境</w:t>
                  </w:r>
                </w:p>
              </w:tc>
              <w:tc>
                <w:tcPr>
                  <w:tcW w:w="5285" w:type="dxa"/>
                  <w:noWrap w:val="0"/>
                  <w:vAlign w:val="center"/>
                </w:tcPr>
                <w:p w14:paraId="203D2946">
                  <w:pPr>
                    <w:adjustRightInd w:val="0"/>
                    <w:snapToGrid w:val="0"/>
                    <w:jc w:val="left"/>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rPr>
                    <w:t>排水沟、隔油池、沉淀池</w:t>
                  </w:r>
                  <w:r>
                    <w:rPr>
                      <w:rFonts w:hint="default" w:ascii="Times New Roman" w:hAnsi="Times New Roman" w:cs="Times New Roman"/>
                      <w:color w:val="auto"/>
                      <w:szCs w:val="21"/>
                      <w:lang w:eastAsia="zh-CN"/>
                    </w:rPr>
                    <w:t>。</w:t>
                  </w:r>
                </w:p>
              </w:tc>
              <w:tc>
                <w:tcPr>
                  <w:tcW w:w="1005" w:type="dxa"/>
                  <w:noWrap w:val="0"/>
                  <w:vAlign w:val="center"/>
                </w:tcPr>
                <w:p w14:paraId="70F6E80C">
                  <w:pPr>
                    <w:adjustRightInd w:val="0"/>
                    <w:snapToGrid w:val="0"/>
                    <w:jc w:val="center"/>
                    <w:rPr>
                      <w:rFonts w:hint="default" w:ascii="Times New Roman" w:hAnsi="Times New Roman" w:eastAsia="宋体" w:cs="Times New Roman"/>
                      <w:b w:val="0"/>
                      <w:bCs w:val="0"/>
                      <w:color w:val="auto"/>
                      <w:szCs w:val="21"/>
                      <w:lang w:val="en-US" w:eastAsia="zh-CN"/>
                    </w:rPr>
                  </w:pPr>
                  <w:r>
                    <w:rPr>
                      <w:rFonts w:hint="eastAsia" w:ascii="Times New Roman" w:hAnsi="Times New Roman" w:cs="Times New Roman"/>
                      <w:b w:val="0"/>
                      <w:bCs w:val="0"/>
                      <w:color w:val="auto"/>
                      <w:szCs w:val="21"/>
                      <w:lang w:val="en-US" w:eastAsia="zh-CN"/>
                    </w:rPr>
                    <w:t>5</w:t>
                  </w:r>
                </w:p>
              </w:tc>
            </w:tr>
            <w:tr w14:paraId="135C8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dxa"/>
                  <w:vMerge w:val="continue"/>
                  <w:noWrap w:val="0"/>
                  <w:vAlign w:val="center"/>
                </w:tcPr>
                <w:p w14:paraId="25E79884">
                  <w:pPr>
                    <w:adjustRightInd w:val="0"/>
                    <w:snapToGrid w:val="0"/>
                    <w:jc w:val="center"/>
                    <w:rPr>
                      <w:rFonts w:hint="default" w:ascii="Times New Roman" w:hAnsi="Times New Roman" w:cs="Times New Roman"/>
                      <w:b/>
                      <w:bCs/>
                      <w:color w:val="auto"/>
                      <w:szCs w:val="21"/>
                    </w:rPr>
                  </w:pPr>
                </w:p>
              </w:tc>
              <w:tc>
                <w:tcPr>
                  <w:tcW w:w="939" w:type="dxa"/>
                  <w:noWrap w:val="0"/>
                  <w:vAlign w:val="center"/>
                </w:tcPr>
                <w:p w14:paraId="352FEF25">
                  <w:pPr>
                    <w:adjustRightInd w:val="0"/>
                    <w:snapToGrid w:val="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rPr>
                    <w:t>固废</w:t>
                  </w:r>
                </w:p>
              </w:tc>
              <w:tc>
                <w:tcPr>
                  <w:tcW w:w="5285" w:type="dxa"/>
                  <w:noWrap w:val="0"/>
                  <w:vAlign w:val="center"/>
                </w:tcPr>
                <w:p w14:paraId="074D19DA">
                  <w:pPr>
                    <w:adjustRightInd w:val="0"/>
                    <w:snapToGrid w:val="0"/>
                    <w:jc w:val="left"/>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弃方外运至同期实施项目进行综合利用，不得随意外弃；拆迁建筑垃圾、老路破除弃渣、施工材料包装物、其他施工过</w:t>
                  </w:r>
                  <w:r>
                    <w:rPr>
                      <w:rFonts w:hint="eastAsia" w:ascii="Times New Roman" w:hAnsi="Times New Roman" w:cs="Times New Roman"/>
                      <w:color w:val="auto"/>
                      <w:szCs w:val="21"/>
                      <w:highlight w:val="none"/>
                      <w:lang w:eastAsia="zh-CN"/>
                    </w:rPr>
                    <w:t>程中</w:t>
                  </w:r>
                  <w:r>
                    <w:rPr>
                      <w:rFonts w:hint="default" w:ascii="Times New Roman" w:hAnsi="Times New Roman" w:cs="Times New Roman"/>
                      <w:color w:val="auto"/>
                      <w:szCs w:val="21"/>
                      <w:highlight w:val="none"/>
                      <w:lang w:eastAsia="zh-CN"/>
                    </w:rPr>
                    <w:t>产生的建筑垃圾，应优先资源化回收利用和出售，不能利用的外运至同期实施项目进行综合利用，不得随意外弃；生活垃圾委托环卫部门处置。</w:t>
                  </w:r>
                </w:p>
              </w:tc>
              <w:tc>
                <w:tcPr>
                  <w:tcW w:w="1005" w:type="dxa"/>
                  <w:noWrap w:val="0"/>
                  <w:vAlign w:val="center"/>
                </w:tcPr>
                <w:p w14:paraId="3F2C47C4">
                  <w:pPr>
                    <w:adjustRightInd w:val="0"/>
                    <w:snapToGrid w:val="0"/>
                    <w:jc w:val="center"/>
                    <w:rPr>
                      <w:rFonts w:hint="default" w:ascii="Times New Roman" w:hAnsi="Times New Roman" w:eastAsia="宋体" w:cs="Times New Roman"/>
                      <w:b w:val="0"/>
                      <w:bCs w:val="0"/>
                      <w:color w:val="auto"/>
                      <w:szCs w:val="21"/>
                      <w:lang w:val="en-US" w:eastAsia="zh-CN"/>
                    </w:rPr>
                  </w:pPr>
                  <w:r>
                    <w:rPr>
                      <w:rFonts w:hint="eastAsia" w:ascii="Times New Roman" w:hAnsi="Times New Roman" w:cs="Times New Roman"/>
                      <w:b w:val="0"/>
                      <w:bCs w:val="0"/>
                      <w:color w:val="auto"/>
                      <w:szCs w:val="21"/>
                      <w:lang w:val="en-US" w:eastAsia="zh-CN"/>
                    </w:rPr>
                    <w:t>5</w:t>
                  </w:r>
                </w:p>
              </w:tc>
            </w:tr>
            <w:tr w14:paraId="0CFC2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dxa"/>
                  <w:vMerge w:val="continue"/>
                  <w:noWrap w:val="0"/>
                  <w:vAlign w:val="center"/>
                </w:tcPr>
                <w:p w14:paraId="07DFBFC1">
                  <w:pPr>
                    <w:adjustRightInd w:val="0"/>
                    <w:snapToGrid w:val="0"/>
                    <w:jc w:val="center"/>
                    <w:rPr>
                      <w:rFonts w:hint="default" w:ascii="Times New Roman" w:hAnsi="Times New Roman" w:eastAsia="宋体" w:cs="Times New Roman"/>
                      <w:b/>
                      <w:bCs/>
                      <w:color w:val="auto"/>
                      <w:szCs w:val="21"/>
                      <w:lang w:eastAsia="zh-CN"/>
                    </w:rPr>
                  </w:pPr>
                </w:p>
              </w:tc>
              <w:tc>
                <w:tcPr>
                  <w:tcW w:w="939" w:type="dxa"/>
                  <w:noWrap w:val="0"/>
                  <w:vAlign w:val="center"/>
                </w:tcPr>
                <w:p w14:paraId="4B2D165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水土</w:t>
                  </w:r>
                </w:p>
                <w:p w14:paraId="4A33873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eastAsia="zh-CN"/>
                    </w:rPr>
                    <w:t>流失</w:t>
                  </w:r>
                </w:p>
              </w:tc>
              <w:tc>
                <w:tcPr>
                  <w:tcW w:w="5285" w:type="dxa"/>
                  <w:noWrap w:val="0"/>
                  <w:vAlign w:val="center"/>
                </w:tcPr>
                <w:p w14:paraId="0D489C20">
                  <w:pPr>
                    <w:adjustRightInd w:val="0"/>
                    <w:snapToGrid w:val="0"/>
                    <w:jc w:val="left"/>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土地整治、临时苫盖等水土保持措施。</w:t>
                  </w:r>
                </w:p>
              </w:tc>
              <w:tc>
                <w:tcPr>
                  <w:tcW w:w="1005" w:type="dxa"/>
                  <w:noWrap w:val="0"/>
                  <w:vAlign w:val="center"/>
                </w:tcPr>
                <w:p w14:paraId="7D13CF6A">
                  <w:pPr>
                    <w:adjustRightInd w:val="0"/>
                    <w:snapToGrid w:val="0"/>
                    <w:jc w:val="center"/>
                    <w:rPr>
                      <w:rFonts w:hint="default" w:ascii="Times New Roman" w:hAnsi="Times New Roman" w:eastAsia="宋体" w:cs="Times New Roman"/>
                      <w:b w:val="0"/>
                      <w:bCs w:val="0"/>
                      <w:color w:val="auto"/>
                      <w:szCs w:val="21"/>
                      <w:lang w:val="en-US" w:eastAsia="zh-CN"/>
                    </w:rPr>
                  </w:pPr>
                  <w:r>
                    <w:rPr>
                      <w:rFonts w:hint="eastAsia" w:ascii="Times New Roman" w:hAnsi="Times New Roman" w:cs="Times New Roman"/>
                      <w:b w:val="0"/>
                      <w:bCs w:val="0"/>
                      <w:color w:val="auto"/>
                      <w:szCs w:val="21"/>
                      <w:lang w:val="en-US" w:eastAsia="zh-CN"/>
                    </w:rPr>
                    <w:t>5</w:t>
                  </w:r>
                </w:p>
              </w:tc>
            </w:tr>
            <w:tr w14:paraId="2C270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498" w:type="dxa"/>
                  <w:vMerge w:val="continue"/>
                  <w:noWrap w:val="0"/>
                  <w:vAlign w:val="center"/>
                </w:tcPr>
                <w:p w14:paraId="320D5DE3">
                  <w:pPr>
                    <w:adjustRightInd w:val="0"/>
                    <w:snapToGrid w:val="0"/>
                    <w:jc w:val="center"/>
                    <w:rPr>
                      <w:rFonts w:hint="default" w:ascii="Times New Roman" w:hAnsi="Times New Roman" w:cs="Times New Roman"/>
                      <w:b/>
                      <w:bCs/>
                      <w:color w:val="auto"/>
                      <w:szCs w:val="21"/>
                    </w:rPr>
                  </w:pPr>
                </w:p>
              </w:tc>
              <w:tc>
                <w:tcPr>
                  <w:tcW w:w="939" w:type="dxa"/>
                  <w:noWrap w:val="0"/>
                  <w:vAlign w:val="center"/>
                </w:tcPr>
                <w:p w14:paraId="3B4947B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生态</w:t>
                  </w:r>
                </w:p>
                <w:p w14:paraId="64A00912">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环境</w:t>
                  </w:r>
                </w:p>
              </w:tc>
              <w:tc>
                <w:tcPr>
                  <w:tcW w:w="5285" w:type="dxa"/>
                  <w:noWrap w:val="0"/>
                  <w:vAlign w:val="center"/>
                </w:tcPr>
                <w:p w14:paraId="10B8F4B6">
                  <w:pPr>
                    <w:adjustRightInd w:val="0"/>
                    <w:snapToGrid w:val="0"/>
                    <w:jc w:val="left"/>
                    <w:rPr>
                      <w:rFonts w:hint="default" w:ascii="Times New Roman" w:hAnsi="Times New Roman" w:cs="Times New Roman" w:eastAsiaTheme="minorEastAsia"/>
                      <w:color w:val="auto"/>
                      <w:szCs w:val="21"/>
                      <w:lang w:eastAsia="zh-CN"/>
                    </w:rPr>
                  </w:pPr>
                  <w:r>
                    <w:rPr>
                      <w:rFonts w:hint="default" w:ascii="Times New Roman" w:hAnsi="Times New Roman" w:cs="Times New Roman"/>
                      <w:color w:val="auto"/>
                      <w:szCs w:val="21"/>
                      <w:lang w:eastAsia="zh-CN"/>
                    </w:rPr>
                    <w:t>绿化带建设、土地整治、临时苫盖等水土保持措施。</w:t>
                  </w:r>
                </w:p>
              </w:tc>
              <w:tc>
                <w:tcPr>
                  <w:tcW w:w="1005" w:type="dxa"/>
                  <w:noWrap w:val="0"/>
                  <w:vAlign w:val="center"/>
                </w:tcPr>
                <w:p w14:paraId="72EA4976">
                  <w:pPr>
                    <w:adjustRightInd w:val="0"/>
                    <w:snapToGrid w:val="0"/>
                    <w:jc w:val="center"/>
                    <w:rPr>
                      <w:rFonts w:hint="default" w:ascii="Times New Roman" w:hAnsi="Times New Roman" w:eastAsia="宋体" w:cs="Times New Roman"/>
                      <w:b w:val="0"/>
                      <w:bCs w:val="0"/>
                      <w:color w:val="auto"/>
                      <w:szCs w:val="21"/>
                      <w:lang w:val="en-US" w:eastAsia="zh-CN"/>
                    </w:rPr>
                  </w:pPr>
                  <w:r>
                    <w:rPr>
                      <w:rFonts w:hint="eastAsia" w:ascii="Times New Roman" w:hAnsi="Times New Roman" w:cs="Times New Roman"/>
                      <w:b w:val="0"/>
                      <w:bCs w:val="0"/>
                      <w:color w:val="auto"/>
                      <w:szCs w:val="21"/>
                      <w:lang w:val="en-US" w:eastAsia="zh-CN"/>
                    </w:rPr>
                    <w:t>20</w:t>
                  </w:r>
                </w:p>
              </w:tc>
            </w:tr>
            <w:tr w14:paraId="01B6F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dxa"/>
                  <w:vMerge w:val="restart"/>
                  <w:noWrap w:val="0"/>
                  <w:vAlign w:val="center"/>
                </w:tcPr>
                <w:p w14:paraId="44FA21FC">
                  <w:pPr>
                    <w:adjustRightInd w:val="0"/>
                    <w:snapToGrid w:val="0"/>
                    <w:jc w:val="center"/>
                    <w:rPr>
                      <w:rFonts w:hint="default" w:ascii="Times New Roman" w:hAnsi="Times New Roman" w:eastAsia="宋体" w:cs="Times New Roman"/>
                      <w:b/>
                      <w:bCs/>
                      <w:color w:val="auto"/>
                      <w:szCs w:val="21"/>
                      <w:lang w:eastAsia="zh-CN"/>
                    </w:rPr>
                  </w:pPr>
                  <w:r>
                    <w:rPr>
                      <w:rFonts w:hint="default" w:ascii="Times New Roman" w:hAnsi="Times New Roman" w:cs="Times New Roman"/>
                      <w:b/>
                      <w:bCs/>
                      <w:color w:val="auto"/>
                      <w:szCs w:val="21"/>
                      <w:lang w:eastAsia="zh-CN"/>
                    </w:rPr>
                    <w:t>运营期</w:t>
                  </w:r>
                </w:p>
              </w:tc>
              <w:tc>
                <w:tcPr>
                  <w:tcW w:w="939" w:type="dxa"/>
                  <w:noWrap w:val="0"/>
                  <w:vAlign w:val="center"/>
                </w:tcPr>
                <w:p w14:paraId="43BD732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废气</w:t>
                  </w:r>
                </w:p>
              </w:tc>
              <w:tc>
                <w:tcPr>
                  <w:tcW w:w="5285" w:type="dxa"/>
                  <w:noWrap w:val="0"/>
                  <w:vAlign w:val="center"/>
                </w:tcPr>
                <w:p w14:paraId="488FDBB1">
                  <w:pPr>
                    <w:adjustRightInd w:val="0"/>
                    <w:snapToGrid w:val="0"/>
                    <w:jc w:val="left"/>
                    <w:rPr>
                      <w:rFonts w:hint="default" w:ascii="Times New Roman" w:hAnsi="Times New Roman" w:cs="Times New Roman" w:eastAsiaTheme="minorEastAsia"/>
                      <w:b w:val="0"/>
                      <w:bCs w:val="0"/>
                      <w:color w:val="auto"/>
                      <w:szCs w:val="21"/>
                      <w:lang w:val="en-US" w:eastAsia="zh-CN"/>
                    </w:rPr>
                  </w:pPr>
                  <w:r>
                    <w:rPr>
                      <w:rFonts w:hint="default" w:ascii="Times New Roman" w:hAnsi="Times New Roman" w:cs="Times New Roman"/>
                      <w:b w:val="0"/>
                      <w:bCs w:val="0"/>
                      <w:color w:val="auto"/>
                      <w:szCs w:val="21"/>
                    </w:rPr>
                    <w:t>配备洒水清扫车，每天对路面进行洒水和清扫</w:t>
                  </w:r>
                  <w:r>
                    <w:rPr>
                      <w:rFonts w:hint="default" w:ascii="Times New Roman" w:hAnsi="Times New Roman" w:cs="Times New Roman"/>
                      <w:b w:val="0"/>
                      <w:bCs w:val="0"/>
                      <w:color w:val="auto"/>
                      <w:szCs w:val="21"/>
                      <w:lang w:eastAsia="zh-CN"/>
                    </w:rPr>
                    <w:t>。</w:t>
                  </w:r>
                </w:p>
              </w:tc>
              <w:tc>
                <w:tcPr>
                  <w:tcW w:w="1005" w:type="dxa"/>
                  <w:noWrap w:val="0"/>
                  <w:vAlign w:val="center"/>
                </w:tcPr>
                <w:p w14:paraId="2802401C">
                  <w:pPr>
                    <w:adjustRightInd w:val="0"/>
                    <w:snapToGrid w:val="0"/>
                    <w:jc w:val="center"/>
                    <w:rPr>
                      <w:rFonts w:hint="default" w:ascii="Times New Roman" w:hAnsi="Times New Roman" w:eastAsia="宋体" w:cs="Times New Roman"/>
                      <w:b w:val="0"/>
                      <w:bCs w:val="0"/>
                      <w:color w:val="auto"/>
                      <w:szCs w:val="21"/>
                      <w:lang w:val="en-US" w:eastAsia="zh-CN"/>
                    </w:rPr>
                  </w:pPr>
                  <w:r>
                    <w:rPr>
                      <w:rFonts w:hint="eastAsia" w:ascii="Times New Roman" w:hAnsi="Times New Roman" w:cs="Times New Roman"/>
                      <w:b w:val="0"/>
                      <w:bCs w:val="0"/>
                      <w:color w:val="auto"/>
                      <w:szCs w:val="21"/>
                      <w:lang w:val="en-US" w:eastAsia="zh-CN"/>
                    </w:rPr>
                    <w:t>5</w:t>
                  </w:r>
                </w:p>
              </w:tc>
            </w:tr>
            <w:tr w14:paraId="09699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dxa"/>
                  <w:vMerge w:val="continue"/>
                  <w:noWrap w:val="0"/>
                  <w:vAlign w:val="center"/>
                </w:tcPr>
                <w:p w14:paraId="530FDE5B">
                  <w:pPr>
                    <w:adjustRightInd w:val="0"/>
                    <w:snapToGrid w:val="0"/>
                    <w:jc w:val="center"/>
                    <w:rPr>
                      <w:rFonts w:hint="default" w:ascii="Times New Roman" w:hAnsi="Times New Roman" w:cs="Times New Roman"/>
                      <w:color w:val="auto"/>
                      <w:szCs w:val="21"/>
                    </w:rPr>
                  </w:pPr>
                </w:p>
              </w:tc>
              <w:tc>
                <w:tcPr>
                  <w:tcW w:w="939" w:type="dxa"/>
                  <w:noWrap w:val="0"/>
                  <w:vAlign w:val="center"/>
                </w:tcPr>
                <w:p w14:paraId="3060E990">
                  <w:pPr>
                    <w:keepNext w:val="0"/>
                    <w:keepLines w:val="0"/>
                    <w:widowControl/>
                    <w:suppressLineNumbers w:val="0"/>
                    <w:jc w:val="center"/>
                    <w:rPr>
                      <w:rFonts w:hint="default" w:ascii="Times New Roman" w:hAnsi="Times New Roman" w:cs="Times New Roman"/>
                      <w:color w:val="auto"/>
                      <w:szCs w:val="21"/>
                    </w:rPr>
                  </w:pPr>
                  <w:r>
                    <w:rPr>
                      <w:rFonts w:hint="default" w:ascii="Times New Roman" w:hAnsi="Times New Roman" w:eastAsia="宋体" w:cs="Times New Roman"/>
                      <w:color w:val="auto"/>
                      <w:kern w:val="0"/>
                      <w:sz w:val="21"/>
                      <w:szCs w:val="21"/>
                      <w:lang w:val="en-US" w:eastAsia="zh-CN" w:bidi="ar"/>
                    </w:rPr>
                    <w:t>废水</w:t>
                  </w:r>
                </w:p>
              </w:tc>
              <w:tc>
                <w:tcPr>
                  <w:tcW w:w="5285" w:type="dxa"/>
                  <w:noWrap w:val="0"/>
                  <w:vAlign w:val="center"/>
                </w:tcPr>
                <w:p w14:paraId="1CFBBA71">
                  <w:pPr>
                    <w:adjustRightInd w:val="0"/>
                    <w:snapToGrid w:val="0"/>
                    <w:jc w:val="left"/>
                    <w:rPr>
                      <w:rFonts w:hint="default" w:ascii="Times New Roman" w:hAnsi="Times New Roman" w:cs="Times New Roman" w:eastAsiaTheme="minorEastAsia"/>
                      <w:b w:val="0"/>
                      <w:bCs w:val="0"/>
                      <w:color w:val="auto"/>
                      <w:szCs w:val="21"/>
                      <w:lang w:eastAsia="zh-CN"/>
                    </w:rPr>
                  </w:pPr>
                  <w:r>
                    <w:rPr>
                      <w:rFonts w:hint="default" w:ascii="Times New Roman" w:hAnsi="Times New Roman" w:cs="Times New Roman"/>
                      <w:b w:val="0"/>
                      <w:bCs w:val="0"/>
                      <w:color w:val="auto"/>
                      <w:szCs w:val="21"/>
                      <w:lang w:val="en-US" w:eastAsia="zh-CN"/>
                    </w:rPr>
                    <w:t>道路排水沟</w:t>
                  </w:r>
                  <w:r>
                    <w:rPr>
                      <w:rFonts w:hint="default" w:ascii="Times New Roman" w:hAnsi="Times New Roman" w:cs="Times New Roman"/>
                      <w:b w:val="0"/>
                      <w:bCs w:val="0"/>
                      <w:color w:val="auto"/>
                      <w:szCs w:val="21"/>
                      <w:lang w:eastAsia="zh-CN"/>
                    </w:rPr>
                    <w:t>。</w:t>
                  </w:r>
                </w:p>
              </w:tc>
              <w:tc>
                <w:tcPr>
                  <w:tcW w:w="1005" w:type="dxa"/>
                  <w:noWrap w:val="0"/>
                  <w:vAlign w:val="center"/>
                </w:tcPr>
                <w:p w14:paraId="54BEFC1F">
                  <w:pPr>
                    <w:adjustRightInd w:val="0"/>
                    <w:snapToGrid w:val="0"/>
                    <w:jc w:val="center"/>
                    <w:rPr>
                      <w:rFonts w:hint="default" w:ascii="Times New Roman" w:hAnsi="Times New Roman" w:eastAsia="宋体" w:cs="Times New Roman"/>
                      <w:b w:val="0"/>
                      <w:bCs w:val="0"/>
                      <w:color w:val="auto"/>
                      <w:szCs w:val="21"/>
                      <w:lang w:val="en-US" w:eastAsia="zh-CN"/>
                    </w:rPr>
                  </w:pPr>
                  <w:r>
                    <w:rPr>
                      <w:rFonts w:hint="eastAsia" w:ascii="Times New Roman" w:hAnsi="Times New Roman" w:cs="Times New Roman"/>
                      <w:b w:val="0"/>
                      <w:bCs w:val="0"/>
                      <w:color w:val="auto"/>
                      <w:szCs w:val="21"/>
                      <w:lang w:val="en-US" w:eastAsia="zh-CN"/>
                    </w:rPr>
                    <w:t>4</w:t>
                  </w:r>
                </w:p>
              </w:tc>
            </w:tr>
            <w:tr w14:paraId="1123E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dxa"/>
                  <w:vMerge w:val="continue"/>
                  <w:noWrap w:val="0"/>
                  <w:vAlign w:val="center"/>
                </w:tcPr>
                <w:p w14:paraId="255A02DE">
                  <w:pPr>
                    <w:adjustRightInd w:val="0"/>
                    <w:snapToGrid w:val="0"/>
                    <w:jc w:val="center"/>
                    <w:rPr>
                      <w:rFonts w:hint="default" w:ascii="Times New Roman" w:hAnsi="Times New Roman" w:cs="Times New Roman"/>
                      <w:color w:val="auto"/>
                      <w:szCs w:val="21"/>
                    </w:rPr>
                  </w:pPr>
                </w:p>
              </w:tc>
              <w:tc>
                <w:tcPr>
                  <w:tcW w:w="939" w:type="dxa"/>
                  <w:noWrap w:val="0"/>
                  <w:vAlign w:val="center"/>
                </w:tcPr>
                <w:p w14:paraId="09EF487F">
                  <w:pPr>
                    <w:keepNext w:val="0"/>
                    <w:keepLines w:val="0"/>
                    <w:widowControl/>
                    <w:suppressLineNumbers w:val="0"/>
                    <w:jc w:val="center"/>
                    <w:rPr>
                      <w:rFonts w:hint="default" w:ascii="Times New Roman" w:hAnsi="Times New Roman" w:cs="Times New Roman"/>
                      <w:color w:val="auto"/>
                      <w:szCs w:val="21"/>
                    </w:rPr>
                  </w:pPr>
                  <w:r>
                    <w:rPr>
                      <w:rFonts w:hint="default" w:ascii="Times New Roman" w:hAnsi="Times New Roman" w:eastAsia="宋体" w:cs="Times New Roman"/>
                      <w:color w:val="auto"/>
                      <w:kern w:val="0"/>
                      <w:sz w:val="21"/>
                      <w:szCs w:val="21"/>
                      <w:lang w:val="en-US" w:eastAsia="zh-CN" w:bidi="ar"/>
                    </w:rPr>
                    <w:t>噪声</w:t>
                  </w:r>
                </w:p>
              </w:tc>
              <w:tc>
                <w:tcPr>
                  <w:tcW w:w="5285" w:type="dxa"/>
                  <w:noWrap w:val="0"/>
                  <w:vAlign w:val="center"/>
                </w:tcPr>
                <w:p w14:paraId="0795F0E7">
                  <w:pPr>
                    <w:adjustRightInd w:val="0"/>
                    <w:snapToGrid w:val="0"/>
                    <w:jc w:val="left"/>
                    <w:rPr>
                      <w:rFonts w:hint="default" w:ascii="Times New Roman" w:hAnsi="Times New Roman" w:cs="Times New Roman" w:eastAsiaTheme="minorEastAsia"/>
                      <w:b w:val="0"/>
                      <w:bCs w:val="0"/>
                      <w:color w:val="auto"/>
                      <w:szCs w:val="21"/>
                      <w:lang w:eastAsia="zh-CN"/>
                    </w:rPr>
                  </w:pPr>
                  <w:r>
                    <w:rPr>
                      <w:rFonts w:hint="default" w:ascii="Times New Roman" w:hAnsi="Times New Roman" w:cs="Times New Roman"/>
                      <w:b w:val="0"/>
                      <w:bCs w:val="0"/>
                      <w:color w:val="auto"/>
                      <w:szCs w:val="21"/>
                    </w:rPr>
                    <w:t>道路警示标志，道路维修保养</w:t>
                  </w:r>
                  <w:r>
                    <w:rPr>
                      <w:rFonts w:hint="default" w:ascii="Times New Roman" w:hAnsi="Times New Roman" w:cs="Times New Roman"/>
                      <w:b w:val="0"/>
                      <w:bCs w:val="0"/>
                      <w:color w:val="auto"/>
                      <w:szCs w:val="21"/>
                      <w:lang w:eastAsia="zh-CN"/>
                    </w:rPr>
                    <w:t>。</w:t>
                  </w:r>
                </w:p>
              </w:tc>
              <w:tc>
                <w:tcPr>
                  <w:tcW w:w="1005" w:type="dxa"/>
                  <w:noWrap w:val="0"/>
                  <w:vAlign w:val="center"/>
                </w:tcPr>
                <w:p w14:paraId="0FA702F3">
                  <w:pPr>
                    <w:adjustRightInd w:val="0"/>
                    <w:snapToGrid w:val="0"/>
                    <w:jc w:val="center"/>
                    <w:rPr>
                      <w:rFonts w:hint="default" w:ascii="Times New Roman" w:hAnsi="Times New Roman" w:eastAsia="宋体" w:cs="Times New Roman"/>
                      <w:b w:val="0"/>
                      <w:bCs w:val="0"/>
                      <w:color w:val="auto"/>
                      <w:szCs w:val="21"/>
                      <w:lang w:val="en-US" w:eastAsia="zh-CN"/>
                    </w:rPr>
                  </w:pPr>
                  <w:r>
                    <w:rPr>
                      <w:rFonts w:hint="eastAsia" w:ascii="Times New Roman" w:hAnsi="Times New Roman" w:cs="Times New Roman"/>
                      <w:b w:val="0"/>
                      <w:bCs w:val="0"/>
                      <w:color w:val="auto"/>
                      <w:szCs w:val="21"/>
                      <w:lang w:val="en-US" w:eastAsia="zh-CN"/>
                    </w:rPr>
                    <w:t>5</w:t>
                  </w:r>
                </w:p>
              </w:tc>
            </w:tr>
            <w:tr w14:paraId="36CF7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dxa"/>
                  <w:vMerge w:val="continue"/>
                  <w:noWrap w:val="0"/>
                  <w:vAlign w:val="center"/>
                </w:tcPr>
                <w:p w14:paraId="37C6E10F">
                  <w:pPr>
                    <w:adjustRightInd w:val="0"/>
                    <w:snapToGrid w:val="0"/>
                    <w:jc w:val="center"/>
                    <w:rPr>
                      <w:rFonts w:hint="default" w:ascii="Times New Roman" w:hAnsi="Times New Roman" w:cs="Times New Roman"/>
                      <w:color w:val="auto"/>
                      <w:szCs w:val="21"/>
                    </w:rPr>
                  </w:pPr>
                </w:p>
              </w:tc>
              <w:tc>
                <w:tcPr>
                  <w:tcW w:w="939" w:type="dxa"/>
                  <w:noWrap w:val="0"/>
                  <w:vAlign w:val="center"/>
                </w:tcPr>
                <w:p w14:paraId="38CC8782">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szCs w:val="21"/>
                    </w:rPr>
                    <w:t>固废</w:t>
                  </w:r>
                </w:p>
              </w:tc>
              <w:tc>
                <w:tcPr>
                  <w:tcW w:w="5285" w:type="dxa"/>
                  <w:noWrap w:val="0"/>
                  <w:vAlign w:val="center"/>
                </w:tcPr>
                <w:p w14:paraId="2DABF832">
                  <w:pPr>
                    <w:adjustRightInd w:val="0"/>
                    <w:snapToGrid w:val="0"/>
                    <w:jc w:val="left"/>
                    <w:rPr>
                      <w:rFonts w:hint="default" w:ascii="Times New Roman" w:hAnsi="Times New Roman" w:cs="Times New Roman" w:eastAsiaTheme="minorEastAsia"/>
                      <w:b w:val="0"/>
                      <w:bCs w:val="0"/>
                      <w:color w:val="auto"/>
                      <w:kern w:val="2"/>
                      <w:sz w:val="21"/>
                      <w:szCs w:val="21"/>
                      <w:lang w:val="en-US" w:eastAsia="zh-CN" w:bidi="ar-SA"/>
                    </w:rPr>
                  </w:pPr>
                  <w:r>
                    <w:rPr>
                      <w:rFonts w:hint="default" w:ascii="Times New Roman" w:hAnsi="Times New Roman" w:cs="Times New Roman"/>
                      <w:b w:val="0"/>
                      <w:bCs w:val="0"/>
                      <w:color w:val="auto"/>
                      <w:szCs w:val="21"/>
                      <w:lang w:eastAsia="zh-CN"/>
                    </w:rPr>
                    <w:t>由</w:t>
                  </w:r>
                  <w:r>
                    <w:rPr>
                      <w:rFonts w:hint="default" w:ascii="Times New Roman" w:hAnsi="Times New Roman" w:cs="Times New Roman"/>
                      <w:b w:val="0"/>
                      <w:bCs w:val="0"/>
                      <w:color w:val="auto"/>
                      <w:szCs w:val="21"/>
                    </w:rPr>
                    <w:t>环卫部门统一清运</w:t>
                  </w:r>
                  <w:r>
                    <w:rPr>
                      <w:rFonts w:hint="default" w:ascii="Times New Roman" w:hAnsi="Times New Roman" w:cs="Times New Roman"/>
                      <w:b w:val="0"/>
                      <w:bCs w:val="0"/>
                      <w:color w:val="auto"/>
                      <w:szCs w:val="21"/>
                      <w:lang w:eastAsia="zh-CN"/>
                    </w:rPr>
                    <w:t>。</w:t>
                  </w:r>
                </w:p>
              </w:tc>
              <w:tc>
                <w:tcPr>
                  <w:tcW w:w="1005" w:type="dxa"/>
                  <w:noWrap w:val="0"/>
                  <w:vAlign w:val="center"/>
                </w:tcPr>
                <w:p w14:paraId="56B7A9E2">
                  <w:pPr>
                    <w:adjustRightInd w:val="0"/>
                    <w:snapToGrid w:val="0"/>
                    <w:jc w:val="center"/>
                    <w:rPr>
                      <w:rFonts w:hint="default" w:ascii="Times New Roman" w:hAnsi="Times New Roman" w:cs="Times New Roman"/>
                      <w:b w:val="0"/>
                      <w:bCs w:val="0"/>
                      <w:color w:val="auto"/>
                      <w:kern w:val="2"/>
                      <w:sz w:val="21"/>
                      <w:szCs w:val="21"/>
                      <w:lang w:val="en-US" w:eastAsia="zh-CN" w:bidi="ar-SA"/>
                    </w:rPr>
                  </w:pPr>
                  <w:r>
                    <w:rPr>
                      <w:rFonts w:hint="eastAsia" w:ascii="Times New Roman" w:hAnsi="Times New Roman" w:cs="Times New Roman"/>
                      <w:b w:val="0"/>
                      <w:bCs w:val="0"/>
                      <w:color w:val="auto"/>
                      <w:szCs w:val="21"/>
                      <w:lang w:val="en-US" w:eastAsia="zh-CN"/>
                    </w:rPr>
                    <w:t>5</w:t>
                  </w:r>
                </w:p>
              </w:tc>
            </w:tr>
            <w:tr w14:paraId="1A67B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dxa"/>
                  <w:vMerge w:val="continue"/>
                  <w:noWrap w:val="0"/>
                  <w:vAlign w:val="center"/>
                </w:tcPr>
                <w:p w14:paraId="52C53C57">
                  <w:pPr>
                    <w:adjustRightInd w:val="0"/>
                    <w:snapToGrid w:val="0"/>
                    <w:jc w:val="center"/>
                    <w:rPr>
                      <w:rFonts w:hint="default" w:ascii="Times New Roman" w:hAnsi="Times New Roman" w:cs="Times New Roman"/>
                      <w:color w:val="auto"/>
                      <w:szCs w:val="21"/>
                    </w:rPr>
                  </w:pPr>
                </w:p>
              </w:tc>
              <w:tc>
                <w:tcPr>
                  <w:tcW w:w="939" w:type="dxa"/>
                  <w:noWrap w:val="0"/>
                  <w:vAlign w:val="center"/>
                </w:tcPr>
                <w:p w14:paraId="066FE21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生态</w:t>
                  </w:r>
                </w:p>
                <w:p w14:paraId="75E372FA">
                  <w:pPr>
                    <w:adjustRightInd w:val="0"/>
                    <w:snapToGrid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szCs w:val="21"/>
                    </w:rPr>
                    <w:t>环境</w:t>
                  </w:r>
                </w:p>
              </w:tc>
              <w:tc>
                <w:tcPr>
                  <w:tcW w:w="5285" w:type="dxa"/>
                  <w:noWrap w:val="0"/>
                  <w:vAlign w:val="center"/>
                </w:tcPr>
                <w:p w14:paraId="7E4CCF91">
                  <w:pPr>
                    <w:adjustRightInd w:val="0"/>
                    <w:snapToGrid w:val="0"/>
                    <w:jc w:val="left"/>
                    <w:rPr>
                      <w:rFonts w:hint="default" w:ascii="Times New Roman" w:hAnsi="Times New Roman" w:cs="Times New Roman" w:eastAsiaTheme="minorEastAsia"/>
                      <w:b w:val="0"/>
                      <w:bCs w:val="0"/>
                      <w:color w:val="auto"/>
                      <w:szCs w:val="21"/>
                      <w:lang w:eastAsia="zh-CN"/>
                    </w:rPr>
                  </w:pPr>
                  <w:r>
                    <w:rPr>
                      <w:rFonts w:hint="default" w:ascii="Times New Roman" w:hAnsi="Times New Roman" w:cs="Times New Roman"/>
                      <w:b w:val="0"/>
                      <w:bCs w:val="0"/>
                      <w:color w:val="auto"/>
                      <w:szCs w:val="21"/>
                    </w:rPr>
                    <w:t>道路两侧种植树木、草坪等</w:t>
                  </w:r>
                  <w:r>
                    <w:rPr>
                      <w:rFonts w:hint="default" w:ascii="Times New Roman" w:hAnsi="Times New Roman" w:cs="Times New Roman"/>
                      <w:b w:val="0"/>
                      <w:bCs w:val="0"/>
                      <w:color w:val="auto"/>
                      <w:szCs w:val="21"/>
                      <w:lang w:eastAsia="zh-CN"/>
                    </w:rPr>
                    <w:t>。</w:t>
                  </w:r>
                </w:p>
              </w:tc>
              <w:tc>
                <w:tcPr>
                  <w:tcW w:w="1005" w:type="dxa"/>
                  <w:noWrap w:val="0"/>
                  <w:vAlign w:val="center"/>
                </w:tcPr>
                <w:p w14:paraId="6780A49A">
                  <w:pPr>
                    <w:adjustRightInd w:val="0"/>
                    <w:snapToGrid w:val="0"/>
                    <w:jc w:val="center"/>
                    <w:rPr>
                      <w:rFonts w:hint="default" w:ascii="Times New Roman" w:hAnsi="Times New Roman" w:cs="Times New Roman"/>
                      <w:b w:val="0"/>
                      <w:bCs w:val="0"/>
                      <w:color w:val="auto"/>
                      <w:szCs w:val="21"/>
                      <w:lang w:val="en-US" w:eastAsia="zh-CN"/>
                    </w:rPr>
                  </w:pPr>
                  <w:r>
                    <w:rPr>
                      <w:rFonts w:hint="eastAsia" w:ascii="Times New Roman" w:hAnsi="Times New Roman" w:cs="Times New Roman"/>
                      <w:b w:val="0"/>
                      <w:bCs w:val="0"/>
                      <w:color w:val="auto"/>
                      <w:szCs w:val="21"/>
                      <w:lang w:val="en-US" w:eastAsia="zh-CN"/>
                    </w:rPr>
                    <w:t>20</w:t>
                  </w:r>
                </w:p>
              </w:tc>
            </w:tr>
            <w:tr w14:paraId="21BB7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7" w:type="dxa"/>
                  <w:gridSpan w:val="2"/>
                  <w:vMerge w:val="restart"/>
                  <w:noWrap w:val="0"/>
                  <w:vAlign w:val="center"/>
                </w:tcPr>
                <w:p w14:paraId="5F977566">
                  <w:pPr>
                    <w:adjustRightInd w:val="0"/>
                    <w:snapToGrid w:val="0"/>
                    <w:jc w:val="center"/>
                    <w:rPr>
                      <w:rFonts w:hint="default" w:ascii="Times New Roman" w:hAnsi="Times New Roman" w:cs="Times New Roman" w:eastAsiaTheme="minorEastAsia"/>
                      <w:b/>
                      <w:bCs/>
                      <w:color w:val="auto"/>
                      <w:szCs w:val="21"/>
                      <w:lang w:val="en-US" w:eastAsia="zh-CN"/>
                    </w:rPr>
                  </w:pPr>
                  <w:r>
                    <w:rPr>
                      <w:rFonts w:hint="default" w:ascii="Times New Roman" w:hAnsi="Times New Roman" w:cs="Times New Roman"/>
                      <w:b/>
                      <w:bCs/>
                      <w:color w:val="auto"/>
                      <w:szCs w:val="21"/>
                      <w:lang w:val="en-US" w:eastAsia="zh-CN"/>
                    </w:rPr>
                    <w:t>其他</w:t>
                  </w:r>
                </w:p>
              </w:tc>
              <w:tc>
                <w:tcPr>
                  <w:tcW w:w="5285" w:type="dxa"/>
                  <w:noWrap w:val="0"/>
                  <w:vAlign w:val="center"/>
                </w:tcPr>
                <w:p w14:paraId="267F0EA4">
                  <w:pPr>
                    <w:adjustRightInd w:val="0"/>
                    <w:snapToGrid w:val="0"/>
                    <w:jc w:val="center"/>
                    <w:rPr>
                      <w:rFonts w:hint="default" w:ascii="Times New Roman" w:hAnsi="Times New Roman" w:cs="Times New Roman"/>
                      <w:b w:val="0"/>
                      <w:bCs w:val="0"/>
                      <w:color w:val="auto"/>
                      <w:szCs w:val="21"/>
                    </w:rPr>
                  </w:pPr>
                  <w:r>
                    <w:rPr>
                      <w:rFonts w:hint="default" w:ascii="Times New Roman" w:hAnsi="Times New Roman" w:eastAsia="宋体" w:cs="Times New Roman"/>
                      <w:szCs w:val="21"/>
                    </w:rPr>
                    <w:t>环境监测</w:t>
                  </w:r>
                </w:p>
              </w:tc>
              <w:tc>
                <w:tcPr>
                  <w:tcW w:w="1005" w:type="dxa"/>
                  <w:noWrap w:val="0"/>
                  <w:vAlign w:val="center"/>
                </w:tcPr>
                <w:p w14:paraId="02DCD2B7">
                  <w:pPr>
                    <w:adjustRightInd w:val="0"/>
                    <w:snapToGrid w:val="0"/>
                    <w:jc w:val="center"/>
                    <w:rPr>
                      <w:rFonts w:hint="default"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5</w:t>
                  </w:r>
                </w:p>
              </w:tc>
            </w:tr>
            <w:tr w14:paraId="29910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7" w:type="dxa"/>
                  <w:gridSpan w:val="2"/>
                  <w:vMerge w:val="continue"/>
                  <w:noWrap w:val="0"/>
                  <w:vAlign w:val="center"/>
                </w:tcPr>
                <w:p w14:paraId="0650EC1C">
                  <w:pPr>
                    <w:adjustRightInd w:val="0"/>
                    <w:snapToGrid w:val="0"/>
                    <w:jc w:val="center"/>
                    <w:rPr>
                      <w:rFonts w:hint="default" w:ascii="Times New Roman" w:hAnsi="Times New Roman" w:cs="Times New Roman"/>
                      <w:b/>
                      <w:bCs/>
                      <w:color w:val="auto"/>
                      <w:szCs w:val="21"/>
                    </w:rPr>
                  </w:pPr>
                </w:p>
              </w:tc>
              <w:tc>
                <w:tcPr>
                  <w:tcW w:w="5285" w:type="dxa"/>
                  <w:noWrap w:val="0"/>
                  <w:vAlign w:val="center"/>
                </w:tcPr>
                <w:p w14:paraId="0612824E">
                  <w:pPr>
                    <w:adjustRightInd w:val="0"/>
                    <w:snapToGrid w:val="0"/>
                    <w:jc w:val="center"/>
                    <w:rPr>
                      <w:rFonts w:hint="default" w:ascii="Times New Roman" w:hAnsi="Times New Roman" w:cs="Times New Roman"/>
                      <w:b w:val="0"/>
                      <w:bCs w:val="0"/>
                      <w:color w:val="auto"/>
                      <w:szCs w:val="21"/>
                    </w:rPr>
                  </w:pPr>
                  <w:r>
                    <w:rPr>
                      <w:rFonts w:hint="default" w:ascii="Times New Roman" w:hAnsi="Times New Roman" w:eastAsia="宋体" w:cs="Times New Roman"/>
                      <w:szCs w:val="21"/>
                    </w:rPr>
                    <w:t>环境保护标示牌</w:t>
                  </w:r>
                </w:p>
              </w:tc>
              <w:tc>
                <w:tcPr>
                  <w:tcW w:w="1005" w:type="dxa"/>
                  <w:noWrap w:val="0"/>
                  <w:vAlign w:val="center"/>
                </w:tcPr>
                <w:p w14:paraId="46C0BCAD">
                  <w:pPr>
                    <w:adjustRightInd w:val="0"/>
                    <w:snapToGrid w:val="0"/>
                    <w:jc w:val="center"/>
                    <w:rPr>
                      <w:rFonts w:hint="default" w:ascii="Times New Roman" w:hAnsi="Times New Roman"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5</w:t>
                  </w:r>
                </w:p>
              </w:tc>
            </w:tr>
            <w:tr w14:paraId="10B78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7" w:type="dxa"/>
                  <w:gridSpan w:val="2"/>
                  <w:vMerge w:val="continue"/>
                  <w:noWrap w:val="0"/>
                  <w:vAlign w:val="center"/>
                </w:tcPr>
                <w:p w14:paraId="224BED19">
                  <w:pPr>
                    <w:adjustRightInd w:val="0"/>
                    <w:snapToGrid w:val="0"/>
                    <w:jc w:val="center"/>
                    <w:rPr>
                      <w:rFonts w:hint="default" w:ascii="Times New Roman" w:hAnsi="Times New Roman" w:cs="Times New Roman"/>
                      <w:b/>
                      <w:bCs/>
                      <w:color w:val="auto"/>
                      <w:szCs w:val="21"/>
                    </w:rPr>
                  </w:pPr>
                </w:p>
              </w:tc>
              <w:tc>
                <w:tcPr>
                  <w:tcW w:w="5285" w:type="dxa"/>
                  <w:noWrap w:val="0"/>
                  <w:vAlign w:val="center"/>
                </w:tcPr>
                <w:p w14:paraId="0E91B9BD">
                  <w:pPr>
                    <w:adjustRightInd w:val="0"/>
                    <w:snapToGrid w:val="0"/>
                    <w:jc w:val="center"/>
                    <w:rPr>
                      <w:rFonts w:hint="default" w:ascii="Times New Roman" w:hAnsi="Times New Roman" w:cs="Times New Roman"/>
                      <w:b w:val="0"/>
                      <w:bCs w:val="0"/>
                      <w:color w:val="auto"/>
                      <w:szCs w:val="21"/>
                    </w:rPr>
                  </w:pPr>
                  <w:r>
                    <w:rPr>
                      <w:rFonts w:hint="default" w:ascii="Times New Roman" w:hAnsi="Times New Roman" w:eastAsia="宋体" w:cs="Times New Roman"/>
                      <w:szCs w:val="21"/>
                    </w:rPr>
                    <w:t>人员培训</w:t>
                  </w:r>
                </w:p>
              </w:tc>
              <w:tc>
                <w:tcPr>
                  <w:tcW w:w="1005" w:type="dxa"/>
                  <w:noWrap w:val="0"/>
                  <w:vAlign w:val="center"/>
                </w:tcPr>
                <w:p w14:paraId="59225F7B">
                  <w:pPr>
                    <w:adjustRightInd w:val="0"/>
                    <w:snapToGrid w:val="0"/>
                    <w:jc w:val="center"/>
                    <w:rPr>
                      <w:rFonts w:hint="default" w:ascii="Times New Roman" w:hAnsi="Times New Roman"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5</w:t>
                  </w:r>
                </w:p>
              </w:tc>
            </w:tr>
            <w:tr w14:paraId="7C1D9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7" w:type="dxa"/>
                  <w:gridSpan w:val="2"/>
                  <w:vMerge w:val="continue"/>
                  <w:noWrap w:val="0"/>
                  <w:vAlign w:val="center"/>
                </w:tcPr>
                <w:p w14:paraId="0AA7BEC7">
                  <w:pPr>
                    <w:adjustRightInd w:val="0"/>
                    <w:snapToGrid w:val="0"/>
                    <w:jc w:val="center"/>
                    <w:rPr>
                      <w:rFonts w:hint="default" w:ascii="Times New Roman" w:hAnsi="Times New Roman" w:cs="Times New Roman"/>
                      <w:b/>
                      <w:bCs/>
                      <w:color w:val="auto"/>
                      <w:szCs w:val="21"/>
                    </w:rPr>
                  </w:pPr>
                </w:p>
              </w:tc>
              <w:tc>
                <w:tcPr>
                  <w:tcW w:w="5285" w:type="dxa"/>
                  <w:noWrap w:val="0"/>
                  <w:vAlign w:val="center"/>
                </w:tcPr>
                <w:p w14:paraId="3FCE9D32">
                  <w:pPr>
                    <w:adjustRightInd w:val="0"/>
                    <w:snapToGrid w:val="0"/>
                    <w:jc w:val="center"/>
                    <w:rPr>
                      <w:rFonts w:hint="default" w:ascii="Times New Roman" w:hAnsi="Times New Roman" w:cs="Times New Roman"/>
                      <w:b w:val="0"/>
                      <w:bCs w:val="0"/>
                      <w:color w:val="auto"/>
                      <w:szCs w:val="21"/>
                    </w:rPr>
                  </w:pPr>
                  <w:r>
                    <w:rPr>
                      <w:rFonts w:hint="default" w:ascii="Times New Roman" w:hAnsi="Times New Roman" w:eastAsia="宋体" w:cs="Times New Roman"/>
                      <w:b w:val="0"/>
                      <w:bCs w:val="0"/>
                      <w:color w:val="auto"/>
                      <w:szCs w:val="21"/>
                    </w:rPr>
                    <w:t>宣传教育</w:t>
                  </w:r>
                </w:p>
              </w:tc>
              <w:tc>
                <w:tcPr>
                  <w:tcW w:w="1005" w:type="dxa"/>
                  <w:noWrap w:val="0"/>
                  <w:vAlign w:val="center"/>
                </w:tcPr>
                <w:p w14:paraId="2325AF7F">
                  <w:pPr>
                    <w:adjustRightInd w:val="0"/>
                    <w:snapToGrid w:val="0"/>
                    <w:jc w:val="center"/>
                    <w:rPr>
                      <w:rFonts w:hint="default" w:ascii="Times New Roman" w:hAnsi="Times New Roman"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5</w:t>
                  </w:r>
                </w:p>
              </w:tc>
            </w:tr>
            <w:tr w14:paraId="3AFCF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7" w:type="dxa"/>
                  <w:gridSpan w:val="2"/>
                  <w:vMerge w:val="continue"/>
                  <w:noWrap w:val="0"/>
                  <w:vAlign w:val="center"/>
                </w:tcPr>
                <w:p w14:paraId="3FD38A28">
                  <w:pPr>
                    <w:adjustRightInd w:val="0"/>
                    <w:snapToGrid w:val="0"/>
                    <w:jc w:val="center"/>
                    <w:rPr>
                      <w:rFonts w:hint="default" w:ascii="Times New Roman" w:hAnsi="Times New Roman" w:cs="Times New Roman"/>
                      <w:b/>
                      <w:bCs/>
                      <w:color w:val="auto"/>
                      <w:szCs w:val="21"/>
                    </w:rPr>
                  </w:pPr>
                </w:p>
              </w:tc>
              <w:tc>
                <w:tcPr>
                  <w:tcW w:w="5285" w:type="dxa"/>
                  <w:noWrap w:val="0"/>
                  <w:vAlign w:val="center"/>
                </w:tcPr>
                <w:p w14:paraId="7991A852">
                  <w:pPr>
                    <w:adjustRightInd w:val="0"/>
                    <w:snapToGrid w:val="0"/>
                    <w:jc w:val="center"/>
                    <w:rPr>
                      <w:rFonts w:hint="default" w:ascii="Times New Roman" w:hAnsi="Times New Roman" w:cs="Times New Roman"/>
                      <w:color w:val="auto"/>
                      <w:szCs w:val="21"/>
                    </w:rPr>
                  </w:pPr>
                  <w:r>
                    <w:rPr>
                      <w:rFonts w:hint="default" w:ascii="Times New Roman" w:hAnsi="Times New Roman" w:eastAsia="宋体" w:cs="Times New Roman"/>
                      <w:b w:val="0"/>
                      <w:bCs w:val="0"/>
                      <w:color w:val="auto"/>
                      <w:szCs w:val="21"/>
                    </w:rPr>
                    <w:t>环境保护管理</w:t>
                  </w:r>
                </w:p>
              </w:tc>
              <w:tc>
                <w:tcPr>
                  <w:tcW w:w="1005" w:type="dxa"/>
                  <w:noWrap w:val="0"/>
                  <w:vAlign w:val="center"/>
                </w:tcPr>
                <w:p w14:paraId="18796A6F">
                  <w:pPr>
                    <w:adjustRightInd w:val="0"/>
                    <w:snapToGrid w:val="0"/>
                    <w:jc w:val="center"/>
                    <w:rPr>
                      <w:rFonts w:hint="default" w:ascii="Times New Roman" w:hAnsi="Times New Roman" w:cs="Times New Roman" w:eastAsiaTheme="minorEastAsia"/>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5</w:t>
                  </w:r>
                </w:p>
              </w:tc>
            </w:tr>
            <w:tr w14:paraId="3836B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2" w:type="dxa"/>
                  <w:gridSpan w:val="3"/>
                  <w:noWrap w:val="0"/>
                  <w:vAlign w:val="center"/>
                </w:tcPr>
                <w:p w14:paraId="6881B0DD">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合计</w:t>
                  </w:r>
                </w:p>
              </w:tc>
              <w:tc>
                <w:tcPr>
                  <w:tcW w:w="1005" w:type="dxa"/>
                  <w:noWrap w:val="0"/>
                  <w:vAlign w:val="center"/>
                </w:tcPr>
                <w:p w14:paraId="1A0641CB">
                  <w:pPr>
                    <w:adjustRightInd w:val="0"/>
                    <w:snapToGrid w:val="0"/>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107</w:t>
                  </w:r>
                </w:p>
              </w:tc>
            </w:tr>
          </w:tbl>
          <w:p w14:paraId="3DAD5E36">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1C08BD76">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71A521FC">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2F059DB7">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695177AB">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33DB86BF">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264E3EF3">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5217ADBD">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26E228B7">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70AFCBA3">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5B0DDDE6">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7CE95095">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6A1C2857">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16873DCE">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027DBDC4">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5B0CDABA">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1E2F2490">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0B8F0CE5">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1BEE7ACD">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16BBC1EE">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34876589">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74BD3EFE">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5170F8CB">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7EF4A241">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199F0463">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68CCCD04">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0B76E1F0">
            <w:pPr>
              <w:adjustRightInd w:val="0"/>
              <w:snapToGrid w:val="0"/>
              <w:spacing w:line="360" w:lineRule="auto"/>
              <w:ind w:firstLine="480" w:firstLineChars="200"/>
              <w:rPr>
                <w:rFonts w:hint="default" w:ascii="Times New Roman" w:hAnsi="Times New Roman" w:cs="Times New Roman"/>
                <w:color w:val="auto"/>
                <w:sz w:val="24"/>
                <w:szCs w:val="32"/>
                <w:highlight w:val="none"/>
                <w:lang w:val="en-US" w:eastAsia="zh-CN"/>
              </w:rPr>
            </w:pPr>
          </w:p>
          <w:p w14:paraId="7D669698">
            <w:pPr>
              <w:adjustRightInd w:val="0"/>
              <w:snapToGrid w:val="0"/>
              <w:spacing w:line="360" w:lineRule="auto"/>
              <w:rPr>
                <w:rFonts w:hint="default" w:ascii="Times New Roman" w:hAnsi="Times New Roman" w:cs="Times New Roman"/>
                <w:bCs/>
                <w:color w:val="auto"/>
                <w:spacing w:val="10"/>
                <w:szCs w:val="21"/>
              </w:rPr>
            </w:pPr>
          </w:p>
        </w:tc>
      </w:tr>
    </w:tbl>
    <w:p w14:paraId="76226BB6">
      <w:pPr>
        <w:rPr>
          <w:rFonts w:hint="default" w:ascii="Times New Roman" w:hAnsi="Times New Roman" w:cs="Times New Roman"/>
          <w:color w:val="auto"/>
        </w:rPr>
        <w:sectPr>
          <w:pgSz w:w="11907" w:h="16840"/>
          <w:pgMar w:top="1440" w:right="1797" w:bottom="1440" w:left="1797" w:header="851" w:footer="1077" w:gutter="0"/>
          <w:pgBorders>
            <w:top w:val="none" w:sz="0" w:space="0"/>
            <w:left w:val="none" w:sz="0" w:space="0"/>
            <w:bottom w:val="none" w:sz="0" w:space="0"/>
            <w:right w:val="none" w:sz="0" w:space="0"/>
          </w:pgBorders>
          <w:pgNumType w:fmt="decimal"/>
          <w:cols w:space="720" w:num="1"/>
          <w:docGrid w:linePitch="312" w:charSpace="0"/>
        </w:sectPr>
      </w:pPr>
    </w:p>
    <w:p w14:paraId="5ED3D6CE">
      <w:pPr>
        <w:pStyle w:val="27"/>
        <w:jc w:val="center"/>
        <w:outlineLvl w:val="0"/>
        <w:rPr>
          <w:rFonts w:hint="default" w:ascii="Times New Roman" w:hAnsi="Times New Roman" w:eastAsia="宋体" w:cs="Times New Roman"/>
          <w:b/>
          <w:bCs/>
          <w:snapToGrid w:val="0"/>
          <w:color w:val="auto"/>
          <w:sz w:val="30"/>
          <w:szCs w:val="30"/>
        </w:rPr>
      </w:pPr>
      <w:bookmarkStart w:id="441" w:name="_Toc10005"/>
      <w:bookmarkStart w:id="442" w:name="_Toc23517"/>
      <w:bookmarkStart w:id="443" w:name="_Toc2310"/>
      <w:bookmarkStart w:id="444" w:name="_Toc20790"/>
      <w:bookmarkStart w:id="445" w:name="_Toc459"/>
      <w:r>
        <w:rPr>
          <w:rFonts w:hint="default" w:ascii="Times New Roman" w:hAnsi="Times New Roman" w:eastAsia="宋体" w:cs="Times New Roman"/>
          <w:b/>
          <w:bCs/>
          <w:snapToGrid w:val="0"/>
          <w:color w:val="auto"/>
          <w:sz w:val="30"/>
          <w:szCs w:val="30"/>
        </w:rPr>
        <w:t>六、生态环境保护措施监督检查清单</w:t>
      </w:r>
      <w:bookmarkEnd w:id="441"/>
      <w:bookmarkEnd w:id="442"/>
      <w:bookmarkEnd w:id="443"/>
      <w:bookmarkEnd w:id="444"/>
      <w:bookmarkEnd w:id="445"/>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9"/>
        <w:gridCol w:w="2713"/>
        <w:gridCol w:w="1938"/>
        <w:gridCol w:w="1512"/>
        <w:gridCol w:w="1511"/>
      </w:tblGrid>
      <w:tr w14:paraId="4A2D94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79" w:type="dxa"/>
            <w:vMerge w:val="restart"/>
            <w:tcBorders>
              <w:tl2br w:val="single" w:color="auto" w:sz="4" w:space="0"/>
            </w:tcBorders>
            <w:noWrap w:val="0"/>
            <w:vAlign w:val="top"/>
          </w:tcPr>
          <w:p w14:paraId="142285EA">
            <w:pPr>
              <w:pStyle w:val="27"/>
              <w:adjustRightInd w:val="0"/>
              <w:snapToGrid w:val="0"/>
              <w:spacing w:before="72" w:beforeLines="30" w:beforeAutospacing="0" w:after="0" w:afterAutospacing="0"/>
              <w:jc w:val="right"/>
              <w:outlineLvl w:val="0"/>
              <w:rPr>
                <w:rFonts w:hint="default" w:ascii="Times New Roman" w:hAnsi="Times New Roman" w:eastAsia="宋体" w:cs="Times New Roman"/>
                <w:b/>
                <w:bCs/>
                <w:color w:val="auto"/>
                <w:kern w:val="2"/>
                <w:sz w:val="135"/>
                <w:szCs w:val="21"/>
              </w:rPr>
            </w:pPr>
            <w:bookmarkStart w:id="446" w:name="_Toc8245"/>
            <w:bookmarkStart w:id="447" w:name="_Toc17579"/>
            <w:bookmarkStart w:id="448" w:name="_Toc10405"/>
            <w:bookmarkStart w:id="449" w:name="_Toc29035"/>
            <w:bookmarkStart w:id="450" w:name="_Toc19346"/>
            <w:r>
              <w:rPr>
                <w:rFonts w:hint="default" w:ascii="Times New Roman" w:hAnsi="Times New Roman" w:eastAsia="宋体" w:cs="Times New Roman"/>
                <w:b/>
                <w:bCs/>
                <w:color w:val="auto"/>
                <w:kern w:val="2"/>
                <w:sz w:val="21"/>
                <w:szCs w:val="21"/>
              </w:rPr>
              <w:t>内容</w:t>
            </w:r>
            <w:bookmarkEnd w:id="446"/>
            <w:bookmarkEnd w:id="447"/>
            <w:bookmarkEnd w:id="448"/>
            <w:bookmarkEnd w:id="449"/>
            <w:bookmarkEnd w:id="450"/>
            <w:r>
              <w:rPr>
                <w:rFonts w:hint="default" w:ascii="Times New Roman" w:hAnsi="Times New Roman" w:eastAsia="宋体" w:cs="Times New Roman"/>
                <w:b/>
                <w:bCs/>
                <w:color w:val="auto"/>
                <w:kern w:val="2"/>
                <w:sz w:val="135"/>
                <w:szCs w:val="21"/>
              </w:rPr>
              <w:t xml:space="preserve"> </w:t>
            </w:r>
          </w:p>
          <w:p w14:paraId="0E901D26">
            <w:pPr>
              <w:pStyle w:val="27"/>
              <w:adjustRightInd w:val="0"/>
              <w:snapToGrid w:val="0"/>
              <w:spacing w:before="0" w:beforeAutospacing="0" w:after="0" w:afterAutospacing="0"/>
              <w:outlineLvl w:val="0"/>
              <w:rPr>
                <w:rFonts w:hint="default" w:ascii="Times New Roman" w:hAnsi="Times New Roman" w:eastAsia="宋体" w:cs="Times New Roman"/>
                <w:b/>
                <w:bCs/>
                <w:color w:val="auto"/>
                <w:kern w:val="2"/>
                <w:sz w:val="21"/>
                <w:szCs w:val="21"/>
              </w:rPr>
            </w:pPr>
            <w:bookmarkStart w:id="451" w:name="_Toc18582"/>
            <w:bookmarkStart w:id="452" w:name="_Toc408"/>
            <w:bookmarkStart w:id="453" w:name="_Toc3604"/>
            <w:bookmarkStart w:id="454" w:name="_Toc2017"/>
            <w:bookmarkStart w:id="455" w:name="_Toc12580"/>
            <w:r>
              <w:rPr>
                <w:rFonts w:hint="default" w:ascii="Times New Roman" w:hAnsi="Times New Roman" w:eastAsia="宋体" w:cs="Times New Roman"/>
                <w:b/>
                <w:bCs/>
                <w:color w:val="auto"/>
                <w:kern w:val="2"/>
                <w:sz w:val="21"/>
                <w:szCs w:val="21"/>
              </w:rPr>
              <w:t>要素</w:t>
            </w:r>
            <w:bookmarkEnd w:id="451"/>
            <w:bookmarkEnd w:id="452"/>
            <w:bookmarkEnd w:id="453"/>
            <w:bookmarkEnd w:id="454"/>
            <w:bookmarkEnd w:id="455"/>
          </w:p>
        </w:tc>
        <w:tc>
          <w:tcPr>
            <w:tcW w:w="4651" w:type="dxa"/>
            <w:gridSpan w:val="2"/>
            <w:noWrap w:val="0"/>
            <w:vAlign w:val="center"/>
          </w:tcPr>
          <w:p w14:paraId="109AAD85">
            <w:pPr>
              <w:pStyle w:val="27"/>
              <w:adjustRightInd w:val="0"/>
              <w:snapToGrid w:val="0"/>
              <w:spacing w:before="0" w:beforeAutospacing="0" w:after="0" w:afterAutospacing="0"/>
              <w:jc w:val="center"/>
              <w:outlineLvl w:val="0"/>
              <w:rPr>
                <w:rFonts w:hint="default" w:ascii="Times New Roman" w:hAnsi="Times New Roman" w:eastAsia="宋体" w:cs="Times New Roman"/>
                <w:b/>
                <w:bCs/>
                <w:color w:val="auto"/>
                <w:kern w:val="2"/>
                <w:sz w:val="21"/>
                <w:szCs w:val="21"/>
              </w:rPr>
            </w:pPr>
            <w:bookmarkStart w:id="456" w:name="_Toc2000"/>
            <w:bookmarkStart w:id="457" w:name="_Toc11707"/>
            <w:bookmarkStart w:id="458" w:name="_Toc10102"/>
            <w:bookmarkStart w:id="459" w:name="_Toc539"/>
            <w:bookmarkStart w:id="460" w:name="_Toc9506"/>
            <w:r>
              <w:rPr>
                <w:rFonts w:hint="default" w:ascii="Times New Roman" w:hAnsi="Times New Roman" w:eastAsia="宋体" w:cs="Times New Roman"/>
                <w:b/>
                <w:bCs/>
                <w:color w:val="auto"/>
                <w:kern w:val="2"/>
                <w:sz w:val="21"/>
                <w:szCs w:val="21"/>
              </w:rPr>
              <w:t>施工期</w:t>
            </w:r>
            <w:bookmarkEnd w:id="456"/>
            <w:bookmarkEnd w:id="457"/>
            <w:bookmarkEnd w:id="458"/>
            <w:bookmarkEnd w:id="459"/>
            <w:bookmarkEnd w:id="460"/>
          </w:p>
        </w:tc>
        <w:tc>
          <w:tcPr>
            <w:tcW w:w="3023" w:type="dxa"/>
            <w:gridSpan w:val="2"/>
            <w:noWrap w:val="0"/>
            <w:vAlign w:val="center"/>
          </w:tcPr>
          <w:p w14:paraId="7CB731B6">
            <w:pPr>
              <w:pStyle w:val="27"/>
              <w:adjustRightInd w:val="0"/>
              <w:snapToGrid w:val="0"/>
              <w:spacing w:before="0" w:beforeAutospacing="0" w:after="0" w:afterAutospacing="0"/>
              <w:jc w:val="center"/>
              <w:outlineLvl w:val="0"/>
              <w:rPr>
                <w:rFonts w:hint="default" w:ascii="Times New Roman" w:hAnsi="Times New Roman" w:eastAsia="宋体" w:cs="Times New Roman"/>
                <w:b/>
                <w:bCs/>
                <w:color w:val="auto"/>
                <w:kern w:val="2"/>
                <w:sz w:val="21"/>
                <w:szCs w:val="21"/>
              </w:rPr>
            </w:pPr>
            <w:bookmarkStart w:id="461" w:name="_Toc13080"/>
            <w:bookmarkStart w:id="462" w:name="_Toc4832"/>
            <w:bookmarkStart w:id="463" w:name="_Toc1307"/>
            <w:bookmarkStart w:id="464" w:name="_Toc17080"/>
            <w:bookmarkStart w:id="465" w:name="_Toc23903"/>
            <w:r>
              <w:rPr>
                <w:rFonts w:hint="default" w:ascii="Times New Roman" w:hAnsi="Times New Roman" w:eastAsia="宋体" w:cs="Times New Roman"/>
                <w:b/>
                <w:bCs/>
                <w:color w:val="auto"/>
                <w:kern w:val="2"/>
                <w:sz w:val="21"/>
                <w:szCs w:val="21"/>
              </w:rPr>
              <w:t>运营期</w:t>
            </w:r>
            <w:bookmarkEnd w:id="461"/>
            <w:bookmarkEnd w:id="462"/>
            <w:bookmarkEnd w:id="463"/>
            <w:bookmarkEnd w:id="464"/>
            <w:bookmarkEnd w:id="465"/>
          </w:p>
        </w:tc>
      </w:tr>
      <w:tr w14:paraId="3252E0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79" w:type="dxa"/>
            <w:vMerge w:val="continue"/>
            <w:tcBorders>
              <w:tl2br w:val="single" w:color="auto" w:sz="4" w:space="0"/>
            </w:tcBorders>
            <w:noWrap w:val="0"/>
            <w:vAlign w:val="top"/>
          </w:tcPr>
          <w:p w14:paraId="701E42EA">
            <w:pPr>
              <w:pStyle w:val="27"/>
              <w:adjustRightInd w:val="0"/>
              <w:snapToGrid w:val="0"/>
              <w:spacing w:before="0" w:beforeAutospacing="0" w:after="0" w:afterAutospacing="0"/>
              <w:ind w:firstLine="840"/>
              <w:jc w:val="center"/>
              <w:outlineLvl w:val="0"/>
              <w:rPr>
                <w:rFonts w:hint="default" w:ascii="Times New Roman" w:hAnsi="Times New Roman" w:eastAsia="宋体" w:cs="Times New Roman"/>
                <w:b/>
                <w:bCs/>
                <w:color w:val="auto"/>
                <w:kern w:val="2"/>
                <w:sz w:val="21"/>
                <w:szCs w:val="21"/>
              </w:rPr>
            </w:pPr>
          </w:p>
        </w:tc>
        <w:tc>
          <w:tcPr>
            <w:tcW w:w="2713" w:type="dxa"/>
            <w:noWrap w:val="0"/>
            <w:vAlign w:val="center"/>
          </w:tcPr>
          <w:p w14:paraId="60F21110">
            <w:pPr>
              <w:pStyle w:val="27"/>
              <w:adjustRightInd w:val="0"/>
              <w:snapToGrid w:val="0"/>
              <w:spacing w:before="0" w:beforeAutospacing="0" w:after="0" w:afterAutospacing="0"/>
              <w:jc w:val="center"/>
              <w:outlineLvl w:val="0"/>
              <w:rPr>
                <w:rFonts w:hint="default" w:ascii="Times New Roman" w:hAnsi="Times New Roman" w:eastAsia="宋体" w:cs="Times New Roman"/>
                <w:b/>
                <w:bCs/>
                <w:color w:val="auto"/>
                <w:kern w:val="2"/>
                <w:sz w:val="21"/>
                <w:szCs w:val="21"/>
              </w:rPr>
            </w:pPr>
            <w:bookmarkStart w:id="466" w:name="_Toc19636"/>
            <w:bookmarkStart w:id="467" w:name="_Toc6841"/>
            <w:bookmarkStart w:id="468" w:name="_Toc10606"/>
            <w:bookmarkStart w:id="469" w:name="_Toc27106"/>
            <w:bookmarkStart w:id="470" w:name="_Toc274"/>
            <w:r>
              <w:rPr>
                <w:rFonts w:hint="default" w:ascii="Times New Roman" w:hAnsi="Times New Roman" w:eastAsia="宋体" w:cs="Times New Roman"/>
                <w:b/>
                <w:bCs/>
                <w:color w:val="auto"/>
                <w:kern w:val="2"/>
                <w:sz w:val="21"/>
                <w:szCs w:val="21"/>
              </w:rPr>
              <w:t>环境保护措施</w:t>
            </w:r>
            <w:bookmarkEnd w:id="466"/>
            <w:bookmarkEnd w:id="467"/>
            <w:bookmarkEnd w:id="468"/>
            <w:bookmarkEnd w:id="469"/>
            <w:bookmarkEnd w:id="470"/>
          </w:p>
        </w:tc>
        <w:tc>
          <w:tcPr>
            <w:tcW w:w="1938" w:type="dxa"/>
            <w:noWrap w:val="0"/>
            <w:vAlign w:val="center"/>
          </w:tcPr>
          <w:p w14:paraId="0CF84D81">
            <w:pPr>
              <w:pStyle w:val="27"/>
              <w:adjustRightInd w:val="0"/>
              <w:snapToGrid w:val="0"/>
              <w:spacing w:before="0" w:beforeAutospacing="0" w:after="0" w:afterAutospacing="0"/>
              <w:jc w:val="center"/>
              <w:outlineLvl w:val="0"/>
              <w:rPr>
                <w:rFonts w:hint="default" w:ascii="Times New Roman" w:hAnsi="Times New Roman" w:eastAsia="宋体" w:cs="Times New Roman"/>
                <w:b/>
                <w:bCs/>
                <w:color w:val="auto"/>
                <w:kern w:val="2"/>
                <w:sz w:val="21"/>
                <w:szCs w:val="21"/>
              </w:rPr>
            </w:pPr>
            <w:bookmarkStart w:id="471" w:name="_Toc27411"/>
            <w:bookmarkStart w:id="472" w:name="_Toc5327"/>
            <w:bookmarkStart w:id="473" w:name="_Toc29043"/>
            <w:bookmarkStart w:id="474" w:name="_Toc20101"/>
            <w:bookmarkStart w:id="475" w:name="_Toc18207"/>
            <w:r>
              <w:rPr>
                <w:rFonts w:hint="default" w:ascii="Times New Roman" w:hAnsi="Times New Roman" w:eastAsia="宋体" w:cs="Times New Roman"/>
                <w:b/>
                <w:bCs/>
                <w:color w:val="auto"/>
                <w:kern w:val="2"/>
                <w:sz w:val="21"/>
                <w:szCs w:val="21"/>
              </w:rPr>
              <w:t>验收要求</w:t>
            </w:r>
            <w:bookmarkEnd w:id="471"/>
            <w:bookmarkEnd w:id="472"/>
            <w:bookmarkEnd w:id="473"/>
            <w:bookmarkEnd w:id="474"/>
            <w:bookmarkEnd w:id="475"/>
          </w:p>
        </w:tc>
        <w:tc>
          <w:tcPr>
            <w:tcW w:w="1512" w:type="dxa"/>
            <w:noWrap w:val="0"/>
            <w:vAlign w:val="center"/>
          </w:tcPr>
          <w:p w14:paraId="20E2DD6E">
            <w:pPr>
              <w:pStyle w:val="27"/>
              <w:adjustRightInd w:val="0"/>
              <w:snapToGrid w:val="0"/>
              <w:spacing w:before="0" w:beforeAutospacing="0" w:after="0" w:afterAutospacing="0"/>
              <w:jc w:val="center"/>
              <w:outlineLvl w:val="0"/>
              <w:rPr>
                <w:rFonts w:hint="default" w:ascii="Times New Roman" w:hAnsi="Times New Roman" w:eastAsia="宋体" w:cs="Times New Roman"/>
                <w:b/>
                <w:bCs/>
                <w:color w:val="auto"/>
                <w:kern w:val="2"/>
                <w:sz w:val="21"/>
                <w:szCs w:val="21"/>
              </w:rPr>
            </w:pPr>
            <w:bookmarkStart w:id="476" w:name="_Toc11877"/>
            <w:bookmarkStart w:id="477" w:name="_Toc656"/>
            <w:bookmarkStart w:id="478" w:name="_Toc9129"/>
            <w:bookmarkStart w:id="479" w:name="_Toc31022"/>
            <w:bookmarkStart w:id="480" w:name="_Toc9022"/>
            <w:r>
              <w:rPr>
                <w:rFonts w:hint="default" w:ascii="Times New Roman" w:hAnsi="Times New Roman" w:eastAsia="宋体" w:cs="Times New Roman"/>
                <w:b/>
                <w:bCs/>
                <w:color w:val="auto"/>
                <w:kern w:val="2"/>
                <w:sz w:val="21"/>
                <w:szCs w:val="21"/>
              </w:rPr>
              <w:t>环境保护措施</w:t>
            </w:r>
            <w:bookmarkEnd w:id="476"/>
            <w:bookmarkEnd w:id="477"/>
            <w:bookmarkEnd w:id="478"/>
            <w:bookmarkEnd w:id="479"/>
            <w:bookmarkEnd w:id="480"/>
          </w:p>
        </w:tc>
        <w:tc>
          <w:tcPr>
            <w:tcW w:w="1511" w:type="dxa"/>
            <w:noWrap w:val="0"/>
            <w:vAlign w:val="center"/>
          </w:tcPr>
          <w:p w14:paraId="74177BA4">
            <w:pPr>
              <w:pStyle w:val="27"/>
              <w:adjustRightInd w:val="0"/>
              <w:snapToGrid w:val="0"/>
              <w:spacing w:before="0" w:beforeAutospacing="0" w:after="0" w:afterAutospacing="0"/>
              <w:jc w:val="center"/>
              <w:outlineLvl w:val="0"/>
              <w:rPr>
                <w:rFonts w:hint="default" w:ascii="Times New Roman" w:hAnsi="Times New Roman" w:eastAsia="宋体" w:cs="Times New Roman"/>
                <w:b/>
                <w:bCs/>
                <w:color w:val="auto"/>
                <w:kern w:val="2"/>
                <w:sz w:val="21"/>
                <w:szCs w:val="21"/>
              </w:rPr>
            </w:pPr>
            <w:bookmarkStart w:id="481" w:name="_Toc1097"/>
            <w:bookmarkStart w:id="482" w:name="_Toc16081"/>
            <w:bookmarkStart w:id="483" w:name="_Toc20206"/>
            <w:bookmarkStart w:id="484" w:name="_Toc21897"/>
            <w:bookmarkStart w:id="485" w:name="_Toc21385"/>
            <w:r>
              <w:rPr>
                <w:rFonts w:hint="default" w:ascii="Times New Roman" w:hAnsi="Times New Roman" w:eastAsia="宋体" w:cs="Times New Roman"/>
                <w:b/>
                <w:bCs/>
                <w:color w:val="auto"/>
                <w:kern w:val="2"/>
                <w:sz w:val="21"/>
                <w:szCs w:val="21"/>
              </w:rPr>
              <w:t>验收要求</w:t>
            </w:r>
            <w:bookmarkEnd w:id="481"/>
            <w:bookmarkEnd w:id="482"/>
            <w:bookmarkEnd w:id="483"/>
            <w:bookmarkEnd w:id="484"/>
            <w:bookmarkEnd w:id="485"/>
          </w:p>
        </w:tc>
      </w:tr>
      <w:tr w14:paraId="24BF01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79" w:type="dxa"/>
            <w:noWrap w:val="0"/>
            <w:vAlign w:val="center"/>
          </w:tcPr>
          <w:p w14:paraId="16D2013D">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陆生</w:t>
            </w:r>
          </w:p>
          <w:p w14:paraId="141CB741">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生态</w:t>
            </w:r>
          </w:p>
        </w:tc>
        <w:tc>
          <w:tcPr>
            <w:tcW w:w="2713" w:type="dxa"/>
            <w:noWrap w:val="0"/>
            <w:vAlign w:val="center"/>
          </w:tcPr>
          <w:p w14:paraId="5C585C18">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①对占地范围内乔木进行移植，后期可用于绿化带植被。</w:t>
            </w:r>
          </w:p>
          <w:p w14:paraId="3D7CB2D5">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②</w:t>
            </w:r>
            <w:r>
              <w:rPr>
                <w:rFonts w:hint="default" w:ascii="Times New Roman" w:hAnsi="Times New Roman" w:eastAsia="宋体" w:cs="Times New Roman"/>
                <w:color w:val="auto"/>
                <w:szCs w:val="21"/>
              </w:rPr>
              <w:t>表土保存、后期表土回覆。</w:t>
            </w:r>
          </w:p>
          <w:p w14:paraId="39BF6BAC">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③</w:t>
            </w:r>
            <w:r>
              <w:rPr>
                <w:rFonts w:hint="default" w:ascii="Times New Roman" w:hAnsi="Times New Roman" w:eastAsia="宋体" w:cs="Times New Roman"/>
                <w:color w:val="auto"/>
                <w:szCs w:val="21"/>
              </w:rPr>
              <w:t>加强施工人员环保意识，避免施工作业、施工车辆等损坏植被。</w:t>
            </w:r>
          </w:p>
          <w:p w14:paraId="14659BB3">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④</w:t>
            </w:r>
            <w:r>
              <w:rPr>
                <w:rFonts w:hint="default" w:ascii="Times New Roman" w:hAnsi="Times New Roman" w:eastAsia="宋体" w:cs="Times New Roman"/>
                <w:color w:val="auto"/>
                <w:szCs w:val="21"/>
              </w:rPr>
              <w:t>土地整治、设置排水沟、沉沙池、堆土表面采用彩条布进行苫盖等水土保持措施。</w:t>
            </w:r>
          </w:p>
        </w:tc>
        <w:tc>
          <w:tcPr>
            <w:tcW w:w="1938" w:type="dxa"/>
            <w:noWrap w:val="0"/>
            <w:vAlign w:val="center"/>
          </w:tcPr>
          <w:p w14:paraId="2CEE9C5A">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进行适当绿化补偿、表土与土层区分堆放和回填</w:t>
            </w:r>
          </w:p>
        </w:tc>
        <w:tc>
          <w:tcPr>
            <w:tcW w:w="1512" w:type="dxa"/>
            <w:noWrap w:val="0"/>
            <w:vAlign w:val="center"/>
          </w:tcPr>
          <w:p w14:paraId="2824DDFF">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绿化养护，设置合理的绿化种植植被种类组合</w:t>
            </w:r>
          </w:p>
        </w:tc>
        <w:tc>
          <w:tcPr>
            <w:tcW w:w="1511" w:type="dxa"/>
            <w:noWrap w:val="0"/>
            <w:vAlign w:val="center"/>
          </w:tcPr>
          <w:p w14:paraId="2D74D27D">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绿化符合要求</w:t>
            </w:r>
          </w:p>
        </w:tc>
      </w:tr>
      <w:tr w14:paraId="7423C8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79" w:type="dxa"/>
            <w:noWrap w:val="0"/>
            <w:vAlign w:val="center"/>
          </w:tcPr>
          <w:p w14:paraId="702BA310">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水生</w:t>
            </w:r>
          </w:p>
          <w:p w14:paraId="560DC56A">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生态</w:t>
            </w:r>
          </w:p>
        </w:tc>
        <w:tc>
          <w:tcPr>
            <w:tcW w:w="2713" w:type="dxa"/>
            <w:noWrap w:val="0"/>
            <w:vAlign w:val="center"/>
          </w:tcPr>
          <w:p w14:paraId="75606406">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避免施工废水、废渣等进入水体</w:t>
            </w:r>
          </w:p>
        </w:tc>
        <w:tc>
          <w:tcPr>
            <w:tcW w:w="1938" w:type="dxa"/>
            <w:noWrap w:val="0"/>
            <w:vAlign w:val="center"/>
          </w:tcPr>
          <w:p w14:paraId="77187072">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w:t>
            </w:r>
          </w:p>
        </w:tc>
        <w:tc>
          <w:tcPr>
            <w:tcW w:w="1512" w:type="dxa"/>
            <w:noWrap w:val="0"/>
            <w:vAlign w:val="center"/>
          </w:tcPr>
          <w:p w14:paraId="73C25581">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511" w:type="dxa"/>
            <w:noWrap w:val="0"/>
            <w:vAlign w:val="center"/>
          </w:tcPr>
          <w:p w14:paraId="562E61D8">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r>
      <w:tr w14:paraId="6D33F1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79" w:type="dxa"/>
            <w:noWrap w:val="0"/>
            <w:vAlign w:val="center"/>
          </w:tcPr>
          <w:p w14:paraId="75E17AB3">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地表水环境</w:t>
            </w:r>
          </w:p>
        </w:tc>
        <w:tc>
          <w:tcPr>
            <w:tcW w:w="2713" w:type="dxa"/>
            <w:noWrap w:val="0"/>
            <w:vAlign w:val="center"/>
          </w:tcPr>
          <w:p w14:paraId="1F68649C">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①设置临时隔油沉淀池，施工废水</w:t>
            </w:r>
            <w:r>
              <w:rPr>
                <w:rFonts w:hint="default" w:ascii="Times New Roman" w:hAnsi="Times New Roman" w:cs="Times New Roman"/>
                <w:color w:val="auto"/>
                <w:szCs w:val="21"/>
                <w:highlight w:val="none"/>
                <w:lang w:val="en-US" w:eastAsia="zh-CN"/>
              </w:rPr>
              <w:t>隔油</w:t>
            </w:r>
            <w:r>
              <w:rPr>
                <w:rFonts w:hint="default" w:ascii="Times New Roman" w:hAnsi="Times New Roman" w:cs="Times New Roman"/>
                <w:color w:val="auto"/>
                <w:szCs w:val="21"/>
                <w:highlight w:val="none"/>
              </w:rPr>
              <w:t>沉淀回用；</w:t>
            </w:r>
          </w:p>
          <w:p w14:paraId="532F1261">
            <w:pPr>
              <w:adjustRightInd w:val="0"/>
              <w:snapToGrid w:val="0"/>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rPr>
              <w:t>②施工生活污水</w:t>
            </w:r>
            <w:r>
              <w:rPr>
                <w:rFonts w:hint="default" w:ascii="Times New Roman" w:hAnsi="Times New Roman" w:cs="Times New Roman"/>
                <w:color w:val="auto"/>
                <w:szCs w:val="21"/>
                <w:highlight w:val="none"/>
                <w:lang w:val="en-US" w:eastAsia="zh-CN"/>
              </w:rPr>
              <w:t>经</w:t>
            </w:r>
            <w:r>
              <w:rPr>
                <w:rFonts w:hint="default" w:ascii="Times New Roman" w:hAnsi="Times New Roman" w:cs="Times New Roman"/>
                <w:color w:val="auto"/>
                <w:szCs w:val="21"/>
                <w:highlight w:val="none"/>
              </w:rPr>
              <w:t>化粪池处理</w:t>
            </w:r>
            <w:r>
              <w:rPr>
                <w:rFonts w:hint="default" w:ascii="Times New Roman" w:hAnsi="Times New Roman" w:cs="Times New Roman"/>
                <w:color w:val="auto"/>
                <w:szCs w:val="21"/>
                <w:highlight w:val="none"/>
                <w:lang w:val="en-US" w:eastAsia="zh-CN"/>
              </w:rPr>
              <w:t>后定期清掏做农肥</w:t>
            </w:r>
            <w:r>
              <w:rPr>
                <w:rFonts w:hint="default" w:ascii="Times New Roman" w:hAnsi="Times New Roman" w:cs="Times New Roman"/>
                <w:color w:val="auto"/>
                <w:szCs w:val="21"/>
                <w:highlight w:val="none"/>
                <w:lang w:eastAsia="zh-CN"/>
              </w:rPr>
              <w:t>；</w:t>
            </w:r>
          </w:p>
          <w:p w14:paraId="36740E8E">
            <w:pPr>
              <w:adjustRightInd w:val="0"/>
              <w:snapToGrid w:val="0"/>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zCs w:val="21"/>
                <w:highlight w:val="none"/>
                <w:lang w:eastAsia="zh-CN"/>
              </w:rPr>
              <w:t>施工结束后用土填平沉淀池，恢复地表植被。</w:t>
            </w:r>
          </w:p>
        </w:tc>
        <w:tc>
          <w:tcPr>
            <w:tcW w:w="1938" w:type="dxa"/>
            <w:noWrap w:val="0"/>
            <w:vAlign w:val="center"/>
          </w:tcPr>
          <w:p w14:paraId="452291C1">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①施工废水不外排；</w:t>
            </w:r>
          </w:p>
          <w:p w14:paraId="0144A100">
            <w:pPr>
              <w:adjustRightInd w:val="0"/>
              <w:snapToGrid w:val="0"/>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rPr>
              <w:t>②施工人员生活污水经化粪池处理</w:t>
            </w:r>
            <w:r>
              <w:rPr>
                <w:rFonts w:hint="default" w:ascii="Times New Roman" w:hAnsi="Times New Roman" w:cs="Times New Roman"/>
                <w:color w:val="auto"/>
                <w:szCs w:val="21"/>
                <w:highlight w:val="none"/>
                <w:lang w:val="en-US" w:eastAsia="zh-CN"/>
              </w:rPr>
              <w:t>后定期清掏做农肥</w:t>
            </w:r>
            <w:r>
              <w:rPr>
                <w:rFonts w:hint="default" w:ascii="Times New Roman" w:hAnsi="Times New Roman" w:cs="Times New Roman"/>
                <w:color w:val="auto"/>
                <w:szCs w:val="21"/>
                <w:highlight w:val="none"/>
                <w:lang w:eastAsia="zh-CN"/>
              </w:rPr>
              <w:t>；</w:t>
            </w:r>
          </w:p>
          <w:p w14:paraId="37E7D203">
            <w:pPr>
              <w:adjustRightInd w:val="0"/>
              <w:snapToGrid w:val="0"/>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zCs w:val="21"/>
                <w:highlight w:val="none"/>
                <w:lang w:eastAsia="zh-CN"/>
              </w:rPr>
              <w:t>施工结束后用土填平沉淀池，恢复地表植被。</w:t>
            </w:r>
          </w:p>
        </w:tc>
        <w:tc>
          <w:tcPr>
            <w:tcW w:w="1512" w:type="dxa"/>
            <w:noWrap w:val="0"/>
            <w:vAlign w:val="center"/>
          </w:tcPr>
          <w:p w14:paraId="658E0C87">
            <w:pPr>
              <w:adjustRightInd w:val="0"/>
              <w:snapToGrid w:val="0"/>
              <w:jc w:val="center"/>
              <w:rPr>
                <w:rFonts w:hint="default" w:ascii="Times New Roman" w:hAnsi="Times New Roman" w:eastAsia="宋体" w:cs="Times New Roman"/>
                <w:color w:val="auto"/>
                <w:szCs w:val="21"/>
              </w:rPr>
            </w:pPr>
            <w:r>
              <w:rPr>
                <w:rFonts w:hint="default" w:ascii="Times New Roman" w:hAnsi="Times New Roman" w:cs="Times New Roman"/>
                <w:snapToGrid w:val="0"/>
                <w:color w:val="auto"/>
                <w:szCs w:val="21"/>
                <w:highlight w:val="none"/>
              </w:rPr>
              <w:t>路面径流经道路两侧</w:t>
            </w:r>
            <w:r>
              <w:rPr>
                <w:rFonts w:hint="default" w:ascii="Times New Roman" w:hAnsi="Times New Roman" w:cs="Times New Roman"/>
                <w:snapToGrid w:val="0"/>
                <w:color w:val="auto"/>
                <w:szCs w:val="21"/>
                <w:highlight w:val="none"/>
                <w:lang w:val="en-US" w:eastAsia="zh-CN"/>
              </w:rPr>
              <w:t>排水沟</w:t>
            </w:r>
            <w:r>
              <w:rPr>
                <w:rFonts w:hint="default" w:ascii="Times New Roman" w:hAnsi="Times New Roman" w:cs="Times New Roman"/>
                <w:snapToGrid w:val="0"/>
                <w:color w:val="auto"/>
                <w:szCs w:val="21"/>
                <w:highlight w:val="none"/>
              </w:rPr>
              <w:t>收集后，排入附近水体。</w:t>
            </w:r>
          </w:p>
        </w:tc>
        <w:tc>
          <w:tcPr>
            <w:tcW w:w="1511" w:type="dxa"/>
            <w:noWrap w:val="0"/>
            <w:vAlign w:val="center"/>
          </w:tcPr>
          <w:p w14:paraId="1D54BF00">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highlight w:val="none"/>
              </w:rPr>
              <w:t>雨水</w:t>
            </w:r>
            <w:r>
              <w:rPr>
                <w:rFonts w:hint="default" w:ascii="Times New Roman" w:hAnsi="Times New Roman" w:cs="Times New Roman"/>
                <w:color w:val="auto"/>
                <w:szCs w:val="21"/>
                <w:highlight w:val="none"/>
                <w:lang w:val="en-US" w:eastAsia="zh-CN"/>
              </w:rPr>
              <w:t>经</w:t>
            </w:r>
            <w:r>
              <w:rPr>
                <w:rFonts w:hint="default" w:ascii="Times New Roman" w:hAnsi="Times New Roman" w:cs="Times New Roman"/>
                <w:color w:val="auto"/>
                <w:szCs w:val="21"/>
                <w:highlight w:val="none"/>
              </w:rPr>
              <w:t>排水沟就近排入天然水体</w:t>
            </w:r>
          </w:p>
        </w:tc>
      </w:tr>
      <w:tr w14:paraId="789407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79" w:type="dxa"/>
            <w:noWrap w:val="0"/>
            <w:vAlign w:val="center"/>
          </w:tcPr>
          <w:p w14:paraId="0D93A461">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地下水及土壤环境</w:t>
            </w:r>
          </w:p>
        </w:tc>
        <w:tc>
          <w:tcPr>
            <w:tcW w:w="2713" w:type="dxa"/>
            <w:noWrap w:val="0"/>
            <w:vAlign w:val="center"/>
          </w:tcPr>
          <w:p w14:paraId="70348ED4">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lang w:val="en-US" w:eastAsia="zh-CN"/>
              </w:rPr>
              <w:t>/</w:t>
            </w:r>
          </w:p>
        </w:tc>
        <w:tc>
          <w:tcPr>
            <w:tcW w:w="1938" w:type="dxa"/>
            <w:noWrap w:val="0"/>
            <w:vAlign w:val="center"/>
          </w:tcPr>
          <w:p w14:paraId="1E3EF9AB">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lang w:val="en-US" w:eastAsia="zh-CN"/>
              </w:rPr>
              <w:t>/</w:t>
            </w:r>
          </w:p>
        </w:tc>
        <w:tc>
          <w:tcPr>
            <w:tcW w:w="1512" w:type="dxa"/>
            <w:noWrap w:val="0"/>
            <w:vAlign w:val="center"/>
          </w:tcPr>
          <w:p w14:paraId="1B7E947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eastAsia="宋体" w:cs="Times New Roman"/>
                <w:color w:val="auto"/>
                <w:szCs w:val="21"/>
                <w:lang w:val="en-US" w:eastAsia="zh-CN"/>
              </w:rPr>
              <w:t>/</w:t>
            </w:r>
          </w:p>
        </w:tc>
        <w:tc>
          <w:tcPr>
            <w:tcW w:w="1511" w:type="dxa"/>
            <w:noWrap w:val="0"/>
            <w:vAlign w:val="center"/>
          </w:tcPr>
          <w:p w14:paraId="0171F680">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lang w:val="en-US" w:eastAsia="zh-CN"/>
              </w:rPr>
              <w:t>/</w:t>
            </w:r>
          </w:p>
        </w:tc>
      </w:tr>
      <w:tr w14:paraId="128062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79" w:type="dxa"/>
            <w:noWrap w:val="0"/>
            <w:vAlign w:val="center"/>
          </w:tcPr>
          <w:p w14:paraId="5F01340D">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声环境</w:t>
            </w:r>
          </w:p>
        </w:tc>
        <w:tc>
          <w:tcPr>
            <w:tcW w:w="2713" w:type="dxa"/>
            <w:noWrap w:val="0"/>
            <w:vAlign w:val="center"/>
          </w:tcPr>
          <w:p w14:paraId="0A48C6DE">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①</w:t>
            </w:r>
            <w:r>
              <w:rPr>
                <w:rFonts w:hint="default" w:ascii="Times New Roman" w:hAnsi="Times New Roman" w:eastAsia="宋体" w:cs="Times New Roman"/>
                <w:color w:val="auto"/>
                <w:szCs w:val="21"/>
              </w:rPr>
              <w:t>合理安排施工运输车辆的行走路线和行走时间</w:t>
            </w:r>
          </w:p>
        </w:tc>
        <w:tc>
          <w:tcPr>
            <w:tcW w:w="1938" w:type="dxa"/>
            <w:noWrap w:val="0"/>
            <w:vAlign w:val="center"/>
          </w:tcPr>
          <w:p w14:paraId="271E3664">
            <w:pPr>
              <w:adjustRightInd w:val="0"/>
              <w:snapToGrid w:val="0"/>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val="en-US" w:eastAsia="zh-CN"/>
              </w:rPr>
              <w:t>/</w:t>
            </w:r>
          </w:p>
        </w:tc>
        <w:tc>
          <w:tcPr>
            <w:tcW w:w="1512" w:type="dxa"/>
            <w:noWrap w:val="0"/>
            <w:vAlign w:val="center"/>
          </w:tcPr>
          <w:p w14:paraId="2E36AA3C">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加强交通管理</w:t>
            </w:r>
          </w:p>
        </w:tc>
        <w:tc>
          <w:tcPr>
            <w:tcW w:w="1511" w:type="dxa"/>
            <w:noWrap w:val="0"/>
            <w:vAlign w:val="center"/>
          </w:tcPr>
          <w:p w14:paraId="0E0B8AEE">
            <w:pPr>
              <w:adjustRightInd w:val="0"/>
              <w:snapToGrid w:val="0"/>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val="en-US" w:eastAsia="zh-CN"/>
              </w:rPr>
              <w:t>/</w:t>
            </w:r>
          </w:p>
        </w:tc>
      </w:tr>
      <w:tr w14:paraId="2CB117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79" w:type="dxa"/>
            <w:noWrap w:val="0"/>
            <w:vAlign w:val="center"/>
          </w:tcPr>
          <w:p w14:paraId="034D2164">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振动</w:t>
            </w:r>
          </w:p>
        </w:tc>
        <w:tc>
          <w:tcPr>
            <w:tcW w:w="2713" w:type="dxa"/>
            <w:noWrap w:val="0"/>
            <w:vAlign w:val="center"/>
          </w:tcPr>
          <w:p w14:paraId="7AA0C9E1">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val="en-US" w:eastAsia="zh-CN"/>
              </w:rPr>
              <w:t>/</w:t>
            </w:r>
          </w:p>
        </w:tc>
        <w:tc>
          <w:tcPr>
            <w:tcW w:w="1938" w:type="dxa"/>
            <w:noWrap w:val="0"/>
            <w:vAlign w:val="center"/>
          </w:tcPr>
          <w:p w14:paraId="3CBD8940">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w:t>
            </w:r>
          </w:p>
        </w:tc>
        <w:tc>
          <w:tcPr>
            <w:tcW w:w="1512" w:type="dxa"/>
            <w:noWrap w:val="0"/>
            <w:vAlign w:val="center"/>
          </w:tcPr>
          <w:p w14:paraId="10897F6B">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w:t>
            </w:r>
          </w:p>
        </w:tc>
        <w:tc>
          <w:tcPr>
            <w:tcW w:w="1511" w:type="dxa"/>
            <w:noWrap w:val="0"/>
            <w:vAlign w:val="center"/>
          </w:tcPr>
          <w:p w14:paraId="079193E9">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w:t>
            </w:r>
          </w:p>
        </w:tc>
      </w:tr>
      <w:tr w14:paraId="53F9B5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79" w:type="dxa"/>
            <w:noWrap w:val="0"/>
            <w:vAlign w:val="center"/>
          </w:tcPr>
          <w:p w14:paraId="63757313">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大气</w:t>
            </w:r>
          </w:p>
          <w:p w14:paraId="402402FF">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环境</w:t>
            </w:r>
          </w:p>
        </w:tc>
        <w:tc>
          <w:tcPr>
            <w:tcW w:w="2713" w:type="dxa"/>
            <w:noWrap w:val="0"/>
            <w:vAlign w:val="center"/>
          </w:tcPr>
          <w:p w14:paraId="3C7F7F8A">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①施工场地定期洒水；</w:t>
            </w:r>
          </w:p>
          <w:p w14:paraId="7F554BCA">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②严格施工扬尘监管，做到</w:t>
            </w:r>
            <w:r>
              <w:rPr>
                <w:rFonts w:hint="eastAsia" w:ascii="Times New Roman" w:hAnsi="Times New Roman" w:eastAsia="宋体" w:cs="Times New Roman"/>
                <w:color w:val="auto"/>
                <w:szCs w:val="21"/>
                <w:lang w:eastAsia="zh-CN"/>
              </w:rPr>
              <w:t>“</w:t>
            </w:r>
            <w:r>
              <w:rPr>
                <w:rFonts w:hint="eastAsia" w:ascii="Times New Roman" w:hAnsi="Times New Roman" w:eastAsia="宋体" w:cs="Times New Roman"/>
                <w:color w:val="auto"/>
                <w:szCs w:val="21"/>
                <w:lang w:val="en-US" w:eastAsia="zh-CN"/>
              </w:rPr>
              <w:t>六</w:t>
            </w:r>
            <w:r>
              <w:rPr>
                <w:rFonts w:hint="default" w:ascii="Times New Roman" w:hAnsi="Times New Roman" w:eastAsia="宋体" w:cs="Times New Roman"/>
                <w:color w:val="auto"/>
                <w:szCs w:val="21"/>
              </w:rPr>
              <w:t>个百分百</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w:t>
            </w:r>
          </w:p>
          <w:p w14:paraId="5D388F4A">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③采取围挡、遮盖等防尘措施；</w:t>
            </w:r>
          </w:p>
          <w:p w14:paraId="286032E0">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④运输其他易产生扬尘污染物料的单位和个人，应当采用密闭化车辆运输加强路面、交通设施的养护管理，保障道路畅通，加强对车辆的管理。</w:t>
            </w:r>
          </w:p>
          <w:p w14:paraId="3B23A457">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⑤严格按照《六安市重污染天气应急预案（2020年修订）》执行，当发布重污染天气预警时，启动相应预警</w:t>
            </w:r>
            <w:r>
              <w:rPr>
                <w:rFonts w:hint="eastAsia" w:ascii="Times New Roman" w:hAnsi="Times New Roman" w:eastAsia="宋体" w:cs="Times New Roman"/>
                <w:color w:val="auto"/>
                <w:szCs w:val="21"/>
                <w:lang w:eastAsia="zh-CN"/>
              </w:rPr>
              <w:t>响应</w:t>
            </w:r>
            <w:r>
              <w:rPr>
                <w:rFonts w:hint="default" w:ascii="Times New Roman" w:hAnsi="Times New Roman" w:eastAsia="宋体" w:cs="Times New Roman"/>
                <w:color w:val="auto"/>
                <w:szCs w:val="21"/>
              </w:rPr>
              <w:t>措施。</w:t>
            </w:r>
          </w:p>
        </w:tc>
        <w:tc>
          <w:tcPr>
            <w:tcW w:w="1938" w:type="dxa"/>
            <w:noWrap w:val="0"/>
            <w:vAlign w:val="center"/>
          </w:tcPr>
          <w:p w14:paraId="23D62393">
            <w:pPr>
              <w:adjustRightInd w:val="0"/>
              <w:snapToGrid w:val="0"/>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颗粒物排放执行</w:t>
            </w:r>
            <w:r>
              <w:rPr>
                <w:rFonts w:hint="default" w:ascii="Times New Roman" w:hAnsi="Times New Roman" w:eastAsia="宋体" w:cs="Times New Roman"/>
                <w:color w:val="auto"/>
                <w:szCs w:val="21"/>
              </w:rPr>
              <w:t>《施工场地颗粒物排放标准》（DB34/4811-2024）表1排放要求</w:t>
            </w:r>
            <w:r>
              <w:rPr>
                <w:rFonts w:hint="eastAsia" w:ascii="Times New Roman" w:hAnsi="Times New Roman" w:eastAsia="宋体" w:cs="Times New Roman"/>
                <w:color w:val="auto"/>
                <w:szCs w:val="21"/>
                <w:lang w:eastAsia="zh-CN"/>
              </w:rPr>
              <w:t>，</w:t>
            </w:r>
            <w:r>
              <w:rPr>
                <w:rFonts w:hint="eastAsia" w:ascii="Times New Roman" w:hAnsi="Times New Roman" w:eastAsia="宋体" w:cs="Times New Roman"/>
                <w:color w:val="auto"/>
                <w:szCs w:val="21"/>
                <w:lang w:val="en-US" w:eastAsia="zh-CN"/>
              </w:rPr>
              <w:t>氮氧化物排放执行</w:t>
            </w:r>
            <w:r>
              <w:rPr>
                <w:rFonts w:hint="default" w:ascii="Times New Roman" w:hAnsi="Times New Roman" w:eastAsia="宋体" w:cs="Times New Roman"/>
                <w:color w:val="auto"/>
                <w:szCs w:val="21"/>
              </w:rPr>
              <w:t>《大气污染物综合排放标准》（GB16297-1996）无组织监控浓度限值</w:t>
            </w:r>
          </w:p>
        </w:tc>
        <w:tc>
          <w:tcPr>
            <w:tcW w:w="1512" w:type="dxa"/>
            <w:noWrap w:val="0"/>
            <w:vAlign w:val="center"/>
          </w:tcPr>
          <w:p w14:paraId="134C9A16">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加强道路管理、路面养护；道路沿线进行绿化</w:t>
            </w:r>
          </w:p>
        </w:tc>
        <w:tc>
          <w:tcPr>
            <w:tcW w:w="1511" w:type="dxa"/>
            <w:noWrap w:val="0"/>
            <w:vAlign w:val="center"/>
          </w:tcPr>
          <w:p w14:paraId="3588A7F5">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不降低周围环境空气质量功能区</w:t>
            </w:r>
          </w:p>
        </w:tc>
      </w:tr>
      <w:tr w14:paraId="147280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79" w:type="dxa"/>
            <w:noWrap w:val="0"/>
            <w:vAlign w:val="center"/>
          </w:tcPr>
          <w:p w14:paraId="2F6840B3">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固体</w:t>
            </w:r>
          </w:p>
          <w:p w14:paraId="6947A2CF">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废物</w:t>
            </w:r>
          </w:p>
        </w:tc>
        <w:tc>
          <w:tcPr>
            <w:tcW w:w="2713" w:type="dxa"/>
            <w:noWrap w:val="0"/>
            <w:vAlign w:val="center"/>
          </w:tcPr>
          <w:p w14:paraId="7DC6E3DA">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弃方外运至同期实施项目进行综合利用，不得随意外弃；拆迁建筑垃圾、老路破除弃渣</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施工材料包装物、其他施工过</w:t>
            </w:r>
            <w:r>
              <w:rPr>
                <w:rFonts w:hint="eastAsia" w:ascii="Times New Roman" w:hAnsi="Times New Roman" w:eastAsia="宋体" w:cs="Times New Roman"/>
                <w:color w:val="auto"/>
                <w:szCs w:val="21"/>
                <w:highlight w:val="none"/>
                <w:lang w:eastAsia="zh-CN"/>
              </w:rPr>
              <w:t>程中</w:t>
            </w:r>
            <w:r>
              <w:rPr>
                <w:rFonts w:hint="default" w:ascii="Times New Roman" w:hAnsi="Times New Roman" w:eastAsia="宋体" w:cs="Times New Roman"/>
                <w:color w:val="auto"/>
                <w:szCs w:val="21"/>
                <w:highlight w:val="none"/>
              </w:rPr>
              <w:t>产生的建筑垃圾，应优先资源化回收利用和出售，不能利用的外运至同期实施项目进行综合利用，不得随意外弃；生活垃圾委托环卫部门处置。</w:t>
            </w:r>
          </w:p>
        </w:tc>
        <w:tc>
          <w:tcPr>
            <w:tcW w:w="1938" w:type="dxa"/>
            <w:noWrap w:val="0"/>
            <w:vAlign w:val="center"/>
          </w:tcPr>
          <w:p w14:paraId="0AA40AE2">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无害化、资源化</w:t>
            </w:r>
          </w:p>
        </w:tc>
        <w:tc>
          <w:tcPr>
            <w:tcW w:w="1512" w:type="dxa"/>
            <w:noWrap w:val="0"/>
            <w:vAlign w:val="center"/>
          </w:tcPr>
          <w:p w14:paraId="0E9A94A5">
            <w:pPr>
              <w:pStyle w:val="68"/>
              <w:ind w:firstLine="0" w:firstLineChars="0"/>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highlight w:val="none"/>
              </w:rPr>
              <w:t>垃圾由环卫部门定期清运处置</w:t>
            </w:r>
          </w:p>
        </w:tc>
        <w:tc>
          <w:tcPr>
            <w:tcW w:w="1511" w:type="dxa"/>
            <w:noWrap w:val="0"/>
            <w:vAlign w:val="center"/>
          </w:tcPr>
          <w:p w14:paraId="3DBAE335">
            <w:pPr>
              <w:pStyle w:val="68"/>
              <w:ind w:firstLine="0" w:firstLineChars="0"/>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highlight w:val="none"/>
              </w:rPr>
              <w:t>规范收集和外运处置，避免二次污染</w:t>
            </w:r>
          </w:p>
        </w:tc>
      </w:tr>
      <w:tr w14:paraId="40C840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79" w:type="dxa"/>
            <w:noWrap w:val="0"/>
            <w:vAlign w:val="center"/>
          </w:tcPr>
          <w:p w14:paraId="2DD91E42">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电磁环境</w:t>
            </w:r>
          </w:p>
        </w:tc>
        <w:tc>
          <w:tcPr>
            <w:tcW w:w="2713" w:type="dxa"/>
            <w:noWrap w:val="0"/>
            <w:vAlign w:val="center"/>
          </w:tcPr>
          <w:p w14:paraId="01ABF181">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w:t>
            </w:r>
          </w:p>
        </w:tc>
        <w:tc>
          <w:tcPr>
            <w:tcW w:w="1938" w:type="dxa"/>
            <w:noWrap w:val="0"/>
            <w:vAlign w:val="center"/>
          </w:tcPr>
          <w:p w14:paraId="6DF09470">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w:t>
            </w:r>
          </w:p>
        </w:tc>
        <w:tc>
          <w:tcPr>
            <w:tcW w:w="1512" w:type="dxa"/>
            <w:noWrap w:val="0"/>
            <w:vAlign w:val="center"/>
          </w:tcPr>
          <w:p w14:paraId="5809FCE4">
            <w:pPr>
              <w:adjustRightInd w:val="0"/>
              <w:snapToGrid w:val="0"/>
              <w:jc w:val="center"/>
              <w:rPr>
                <w:rFonts w:hint="default" w:ascii="Times New Roman" w:hAnsi="Times New Roman" w:cs="Times New Roman"/>
                <w:color w:val="auto"/>
                <w:highlight w:val="none"/>
              </w:rPr>
            </w:pPr>
            <w:r>
              <w:rPr>
                <w:rFonts w:hint="default" w:ascii="Times New Roman" w:hAnsi="Times New Roman" w:eastAsia="宋体" w:cs="Times New Roman"/>
                <w:color w:val="auto"/>
                <w:szCs w:val="21"/>
                <w:lang w:val="en-US" w:eastAsia="zh-CN"/>
              </w:rPr>
              <w:t>/</w:t>
            </w:r>
          </w:p>
        </w:tc>
        <w:tc>
          <w:tcPr>
            <w:tcW w:w="1511" w:type="dxa"/>
            <w:noWrap w:val="0"/>
            <w:vAlign w:val="center"/>
          </w:tcPr>
          <w:p w14:paraId="77D66E28">
            <w:pPr>
              <w:adjustRightInd w:val="0"/>
              <w:snapToGrid w:val="0"/>
              <w:jc w:val="center"/>
              <w:rPr>
                <w:rFonts w:hint="default" w:ascii="Times New Roman" w:hAnsi="Times New Roman" w:cs="Times New Roman"/>
                <w:color w:val="auto"/>
                <w:highlight w:val="none"/>
              </w:rPr>
            </w:pPr>
            <w:r>
              <w:rPr>
                <w:rFonts w:hint="default" w:ascii="Times New Roman" w:hAnsi="Times New Roman" w:eastAsia="宋体" w:cs="Times New Roman"/>
                <w:color w:val="auto"/>
                <w:szCs w:val="21"/>
                <w:lang w:val="en-US" w:eastAsia="zh-CN"/>
              </w:rPr>
              <w:t>/</w:t>
            </w:r>
          </w:p>
        </w:tc>
      </w:tr>
      <w:tr w14:paraId="0762F2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79" w:type="dxa"/>
            <w:noWrap w:val="0"/>
            <w:vAlign w:val="center"/>
          </w:tcPr>
          <w:p w14:paraId="7BB6D42D">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环境</w:t>
            </w:r>
          </w:p>
          <w:p w14:paraId="56A94C8A">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风险</w:t>
            </w:r>
          </w:p>
        </w:tc>
        <w:tc>
          <w:tcPr>
            <w:tcW w:w="2713" w:type="dxa"/>
            <w:noWrap w:val="0"/>
            <w:vAlign w:val="center"/>
          </w:tcPr>
          <w:p w14:paraId="31582A0A">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938" w:type="dxa"/>
            <w:noWrap w:val="0"/>
            <w:vAlign w:val="center"/>
          </w:tcPr>
          <w:p w14:paraId="4B43A2DB">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512" w:type="dxa"/>
            <w:noWrap w:val="0"/>
            <w:vAlign w:val="center"/>
          </w:tcPr>
          <w:p w14:paraId="31B4A609">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511" w:type="dxa"/>
            <w:noWrap w:val="0"/>
            <w:vAlign w:val="center"/>
          </w:tcPr>
          <w:p w14:paraId="26561315">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val="en-US" w:eastAsia="zh-CN"/>
              </w:rPr>
              <w:t>/</w:t>
            </w:r>
          </w:p>
        </w:tc>
      </w:tr>
      <w:tr w14:paraId="5F3DF3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79" w:type="dxa"/>
            <w:noWrap w:val="0"/>
            <w:vAlign w:val="center"/>
          </w:tcPr>
          <w:p w14:paraId="49591A5A">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环境</w:t>
            </w:r>
          </w:p>
          <w:p w14:paraId="0303396C">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监测</w:t>
            </w:r>
          </w:p>
        </w:tc>
        <w:tc>
          <w:tcPr>
            <w:tcW w:w="2713" w:type="dxa"/>
            <w:noWrap w:val="0"/>
            <w:vAlign w:val="center"/>
          </w:tcPr>
          <w:p w14:paraId="5342EB39">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环境空气监测</w:t>
            </w:r>
          </w:p>
        </w:tc>
        <w:tc>
          <w:tcPr>
            <w:tcW w:w="1938" w:type="dxa"/>
            <w:noWrap w:val="0"/>
            <w:vAlign w:val="center"/>
          </w:tcPr>
          <w:p w14:paraId="7C1924DC">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监测时间和频次达到环评要求、监测结果真实可靠</w:t>
            </w:r>
          </w:p>
        </w:tc>
        <w:tc>
          <w:tcPr>
            <w:tcW w:w="1512" w:type="dxa"/>
            <w:noWrap w:val="0"/>
            <w:vAlign w:val="center"/>
          </w:tcPr>
          <w:p w14:paraId="72DCC174">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1511" w:type="dxa"/>
            <w:noWrap w:val="0"/>
            <w:vAlign w:val="center"/>
          </w:tcPr>
          <w:p w14:paraId="066451A6">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r>
      <w:tr w14:paraId="33F91D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79" w:type="dxa"/>
            <w:noWrap w:val="0"/>
            <w:vAlign w:val="center"/>
          </w:tcPr>
          <w:p w14:paraId="75964932">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其他</w:t>
            </w:r>
          </w:p>
        </w:tc>
        <w:tc>
          <w:tcPr>
            <w:tcW w:w="2713" w:type="dxa"/>
            <w:noWrap w:val="0"/>
            <w:vAlign w:val="center"/>
          </w:tcPr>
          <w:p w14:paraId="54526035">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1938" w:type="dxa"/>
            <w:noWrap w:val="0"/>
            <w:vAlign w:val="center"/>
          </w:tcPr>
          <w:p w14:paraId="77E00BCD">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1512" w:type="dxa"/>
            <w:noWrap w:val="0"/>
            <w:vAlign w:val="center"/>
          </w:tcPr>
          <w:p w14:paraId="27B43075">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1511" w:type="dxa"/>
            <w:noWrap w:val="0"/>
            <w:vAlign w:val="center"/>
          </w:tcPr>
          <w:p w14:paraId="5DDE1ECD">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r>
    </w:tbl>
    <w:p w14:paraId="6FCD49FF">
      <w:pPr>
        <w:pStyle w:val="27"/>
        <w:jc w:val="center"/>
        <w:outlineLvl w:val="0"/>
        <w:rPr>
          <w:rFonts w:hint="default" w:ascii="Times New Roman" w:hAnsi="Times New Roman" w:eastAsia="宋体" w:cs="Times New Roman"/>
          <w:b/>
          <w:bCs/>
          <w:snapToGrid w:val="0"/>
          <w:color w:val="auto"/>
          <w:sz w:val="30"/>
          <w:szCs w:val="30"/>
        </w:rPr>
      </w:pPr>
      <w:r>
        <w:rPr>
          <w:rFonts w:hint="default" w:ascii="Times New Roman" w:hAnsi="Times New Roman" w:eastAsia="黑体" w:cs="Times New Roman"/>
          <w:snapToGrid w:val="0"/>
          <w:color w:val="auto"/>
          <w:sz w:val="30"/>
          <w:szCs w:val="30"/>
        </w:rPr>
        <w:br w:type="page"/>
      </w:r>
      <w:bookmarkStart w:id="486" w:name="_Toc16435"/>
      <w:bookmarkStart w:id="487" w:name="_Toc12360"/>
      <w:bookmarkStart w:id="488" w:name="_Toc9605"/>
      <w:bookmarkStart w:id="489" w:name="_Toc29532"/>
      <w:bookmarkStart w:id="490" w:name="_Toc31215"/>
      <w:r>
        <w:rPr>
          <w:rFonts w:hint="default" w:ascii="Times New Roman" w:hAnsi="Times New Roman" w:eastAsia="宋体" w:cs="Times New Roman"/>
          <w:b/>
          <w:bCs/>
          <w:snapToGrid w:val="0"/>
          <w:color w:val="auto"/>
          <w:sz w:val="30"/>
          <w:szCs w:val="30"/>
        </w:rPr>
        <w:t>七、结论</w:t>
      </w:r>
      <w:bookmarkEnd w:id="486"/>
      <w:bookmarkEnd w:id="487"/>
      <w:bookmarkEnd w:id="488"/>
      <w:bookmarkEnd w:id="489"/>
      <w:bookmarkEnd w:id="490"/>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60B55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48" w:hRule="atLeast"/>
          <w:jc w:val="center"/>
        </w:trPr>
        <w:tc>
          <w:tcPr>
            <w:tcW w:w="8522" w:type="dxa"/>
            <w:noWrap w:val="0"/>
            <w:vAlign w:val="center"/>
          </w:tcPr>
          <w:p w14:paraId="39B2CEB6">
            <w:pPr>
              <w:autoSpaceDE w:val="0"/>
              <w:autoSpaceDN w:val="0"/>
              <w:adjustRightInd w:val="0"/>
              <w:snapToGrid w:val="0"/>
              <w:spacing w:before="240" w:beforeLines="100" w:line="360" w:lineRule="auto"/>
              <w:ind w:firstLine="480" w:firstLineChars="200"/>
              <w:rPr>
                <w:rFonts w:hint="default" w:ascii="Times New Roman" w:hAnsi="Times New Roman" w:cs="Times New Roman"/>
                <w:color w:val="auto"/>
                <w:szCs w:val="21"/>
              </w:rPr>
            </w:pPr>
            <w:r>
              <w:rPr>
                <w:rFonts w:hint="default" w:ascii="Times New Roman" w:hAnsi="Times New Roman" w:cs="Times New Roman"/>
                <w:color w:val="auto"/>
                <w:sz w:val="24"/>
              </w:rPr>
              <w:t>综上所述，</w:t>
            </w:r>
            <w:r>
              <w:rPr>
                <w:rFonts w:hint="eastAsia" w:ascii="Times New Roman" w:hAnsi="Times New Roman" w:cs="Times New Roman"/>
                <w:color w:val="auto"/>
                <w:sz w:val="24"/>
                <w:lang w:eastAsia="zh-CN"/>
              </w:rPr>
              <w:t>金寨县关庙乡沙坪沟至蔡家湾公路升级改造工程</w:t>
            </w:r>
            <w:r>
              <w:rPr>
                <w:rFonts w:hint="default" w:ascii="Times New Roman" w:hAnsi="Times New Roman" w:cs="Times New Roman"/>
                <w:color w:val="auto"/>
                <w:sz w:val="24"/>
              </w:rPr>
              <w:t>符合国家产业政策要求，符合相关法律法规要求，符合</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三线一单</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要求</w:t>
            </w:r>
            <w:r>
              <w:rPr>
                <w:rFonts w:hint="default" w:ascii="Times New Roman" w:hAnsi="Times New Roman" w:cs="Times New Roman"/>
                <w:color w:val="auto"/>
                <w:sz w:val="24"/>
                <w:lang w:eastAsia="zh-CN" w:bidi="ar"/>
              </w:rPr>
              <w:t>。</w:t>
            </w:r>
            <w:r>
              <w:rPr>
                <w:rFonts w:hint="default" w:ascii="Times New Roman" w:hAnsi="Times New Roman" w:cs="Times New Roman"/>
                <w:color w:val="auto"/>
                <w:sz w:val="24"/>
                <w:lang w:bidi="ar"/>
              </w:rPr>
              <w:t>工程在施工期和运营期采取有效的预防和减缓措施后，可以满足国家相关环保标准要求。因此，从环境影响角度来看，该项目的建设是可行的。</w:t>
            </w:r>
          </w:p>
        </w:tc>
      </w:tr>
    </w:tbl>
    <w:p w14:paraId="7F53CE56">
      <w:pPr>
        <w:rPr>
          <w:rFonts w:hint="default" w:ascii="Times New Roman" w:hAnsi="Times New Roman" w:cs="Times New Roman"/>
          <w:color w:val="auto"/>
        </w:rPr>
      </w:pPr>
    </w:p>
    <w:p w14:paraId="223E4A8D">
      <w:pPr>
        <w:pStyle w:val="27"/>
        <w:adjustRightInd w:val="0"/>
        <w:snapToGrid w:val="0"/>
        <w:spacing w:before="0" w:beforeAutospacing="0" w:after="0" w:afterAutospacing="0" w:line="648" w:lineRule="auto"/>
        <w:outlineLvl w:val="0"/>
        <w:rPr>
          <w:rFonts w:hint="default" w:ascii="Times New Roman" w:hAnsi="Times New Roman" w:cs="Times New Roman"/>
          <w:color w:val="auto"/>
          <w:szCs w:val="21"/>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14:paraId="51C7D1AF">
      <w:pPr>
        <w:spacing w:line="600" w:lineRule="auto"/>
        <w:jc w:val="center"/>
        <w:rPr>
          <w:rFonts w:hint="default" w:ascii="Times New Roman" w:hAnsi="Times New Roman" w:eastAsia="宋体" w:cs="Times New Roman"/>
          <w:b/>
          <w:bCs/>
          <w:sz w:val="40"/>
          <w:szCs w:val="48"/>
          <w:lang w:eastAsia="zh-CN"/>
        </w:rPr>
      </w:pPr>
    </w:p>
    <w:p w14:paraId="2983E3FB">
      <w:pPr>
        <w:spacing w:line="600" w:lineRule="auto"/>
        <w:jc w:val="center"/>
        <w:rPr>
          <w:rFonts w:hint="default" w:ascii="Times New Roman" w:hAnsi="Times New Roman" w:eastAsia="宋体" w:cs="Times New Roman"/>
          <w:b/>
          <w:bCs/>
          <w:sz w:val="32"/>
          <w:szCs w:val="40"/>
          <w:lang w:eastAsia="zh-CN"/>
        </w:rPr>
      </w:pPr>
      <w:r>
        <w:rPr>
          <w:rFonts w:hint="eastAsia" w:ascii="Times New Roman" w:hAnsi="Times New Roman" w:eastAsia="宋体" w:cs="Times New Roman"/>
          <w:b/>
          <w:bCs/>
          <w:sz w:val="32"/>
          <w:szCs w:val="40"/>
          <w:lang w:eastAsia="zh-CN"/>
        </w:rPr>
        <w:t>金寨县关庙乡沙坪沟至蔡家湾公路升级改造工程</w:t>
      </w:r>
    </w:p>
    <w:p w14:paraId="0ABB1B12">
      <w:pPr>
        <w:pStyle w:val="38"/>
        <w:rPr>
          <w:rFonts w:hint="default" w:ascii="Times New Roman" w:hAnsi="Times New Roman" w:eastAsia="宋体" w:cs="Times New Roman"/>
        </w:rPr>
      </w:pPr>
    </w:p>
    <w:p w14:paraId="28A4A844">
      <w:pPr>
        <w:spacing w:line="720" w:lineRule="auto"/>
        <w:jc w:val="center"/>
        <w:rPr>
          <w:rFonts w:hint="default" w:ascii="Times New Roman" w:hAnsi="Times New Roman" w:eastAsia="宋体" w:cs="Times New Roman"/>
          <w:b/>
          <w:bCs/>
          <w:sz w:val="56"/>
          <w:szCs w:val="96"/>
        </w:rPr>
      </w:pPr>
      <w:r>
        <w:rPr>
          <w:rFonts w:hint="default" w:ascii="Times New Roman" w:hAnsi="Times New Roman" w:eastAsia="宋体" w:cs="Times New Roman"/>
          <w:b/>
          <w:bCs/>
          <w:sz w:val="56"/>
          <w:szCs w:val="96"/>
          <w:lang w:eastAsia="zh-CN"/>
        </w:rPr>
        <w:t>生态</w:t>
      </w:r>
      <w:r>
        <w:rPr>
          <w:rFonts w:hint="default" w:ascii="Times New Roman" w:hAnsi="Times New Roman" w:eastAsia="宋体" w:cs="Times New Roman"/>
          <w:b/>
          <w:bCs/>
          <w:sz w:val="56"/>
          <w:szCs w:val="96"/>
        </w:rPr>
        <w:t>环境影响专项评价</w:t>
      </w:r>
    </w:p>
    <w:p w14:paraId="6570CB23">
      <w:pPr>
        <w:spacing w:line="720" w:lineRule="auto"/>
        <w:jc w:val="center"/>
        <w:rPr>
          <w:rFonts w:hint="default" w:ascii="Times New Roman" w:hAnsi="Times New Roman" w:eastAsia="宋体" w:cs="Times New Roman"/>
          <w:b/>
          <w:bCs/>
          <w:sz w:val="40"/>
          <w:szCs w:val="48"/>
        </w:rPr>
      </w:pPr>
    </w:p>
    <w:p w14:paraId="2F85CBC4">
      <w:pPr>
        <w:pStyle w:val="15"/>
        <w:rPr>
          <w:rFonts w:hint="default" w:ascii="Times New Roman" w:hAnsi="Times New Roman" w:cs="Times New Roman"/>
        </w:rPr>
      </w:pPr>
    </w:p>
    <w:p w14:paraId="33D53F74">
      <w:pPr>
        <w:spacing w:line="720" w:lineRule="auto"/>
        <w:jc w:val="center"/>
        <w:rPr>
          <w:rFonts w:hint="default" w:ascii="Times New Roman" w:hAnsi="Times New Roman" w:eastAsia="宋体" w:cs="Times New Roman"/>
          <w:b/>
          <w:bCs/>
          <w:sz w:val="40"/>
          <w:szCs w:val="48"/>
        </w:rPr>
      </w:pPr>
    </w:p>
    <w:p w14:paraId="5C112285">
      <w:pPr>
        <w:spacing w:line="720" w:lineRule="auto"/>
        <w:jc w:val="center"/>
        <w:rPr>
          <w:rFonts w:hint="default" w:ascii="Times New Roman" w:hAnsi="Times New Roman" w:eastAsia="宋体" w:cs="Times New Roman"/>
          <w:b/>
          <w:bCs/>
          <w:sz w:val="40"/>
          <w:szCs w:val="48"/>
        </w:rPr>
      </w:pPr>
    </w:p>
    <w:p w14:paraId="23C07E57">
      <w:pPr>
        <w:spacing w:line="720" w:lineRule="auto"/>
        <w:jc w:val="center"/>
        <w:rPr>
          <w:rFonts w:hint="default" w:ascii="Times New Roman" w:hAnsi="Times New Roman" w:eastAsia="宋体" w:cs="Times New Roman"/>
          <w:b/>
          <w:bCs/>
          <w:sz w:val="40"/>
          <w:szCs w:val="48"/>
        </w:rPr>
      </w:pPr>
    </w:p>
    <w:p w14:paraId="23323E2B">
      <w:pPr>
        <w:spacing w:line="720" w:lineRule="auto"/>
        <w:jc w:val="center"/>
        <w:rPr>
          <w:rFonts w:hint="default" w:ascii="Times New Roman" w:hAnsi="Times New Roman" w:eastAsia="宋体" w:cs="Times New Roman"/>
          <w:b/>
          <w:bCs/>
          <w:sz w:val="40"/>
          <w:szCs w:val="48"/>
        </w:rPr>
      </w:pPr>
    </w:p>
    <w:p w14:paraId="2DD546D8">
      <w:pPr>
        <w:spacing w:line="720" w:lineRule="auto"/>
        <w:jc w:val="center"/>
        <w:rPr>
          <w:rFonts w:hint="default" w:ascii="Times New Roman" w:hAnsi="Times New Roman" w:eastAsia="宋体" w:cs="Times New Roman"/>
          <w:b/>
          <w:bCs/>
          <w:sz w:val="40"/>
          <w:szCs w:val="48"/>
        </w:rPr>
      </w:pPr>
    </w:p>
    <w:p w14:paraId="5A18432E">
      <w:pPr>
        <w:spacing w:line="720" w:lineRule="auto"/>
        <w:jc w:val="center"/>
        <w:rPr>
          <w:rFonts w:hint="default" w:ascii="Times New Roman" w:hAnsi="Times New Roman" w:eastAsia="宋体" w:cs="Times New Roman"/>
          <w:b/>
          <w:bCs/>
          <w:sz w:val="40"/>
          <w:szCs w:val="48"/>
        </w:rPr>
      </w:pPr>
    </w:p>
    <w:p w14:paraId="72090833">
      <w:pPr>
        <w:spacing w:line="720" w:lineRule="auto"/>
        <w:jc w:val="center"/>
        <w:rPr>
          <w:rFonts w:hint="default" w:ascii="Times New Roman" w:hAnsi="Times New Roman" w:eastAsia="宋体" w:cs="Times New Roman"/>
          <w:b/>
          <w:bCs/>
          <w:sz w:val="40"/>
          <w:szCs w:val="48"/>
        </w:rPr>
      </w:pPr>
    </w:p>
    <w:p w14:paraId="3E0D5004">
      <w:pPr>
        <w:pStyle w:val="38"/>
        <w:rPr>
          <w:rFonts w:hint="default" w:ascii="Times New Roman" w:hAnsi="Times New Roman" w:eastAsia="宋体" w:cs="Times New Roman"/>
        </w:rPr>
      </w:pPr>
    </w:p>
    <w:p w14:paraId="0BB07B28">
      <w:pPr>
        <w:pStyle w:val="38"/>
        <w:rPr>
          <w:rFonts w:hint="default" w:ascii="Times New Roman" w:hAnsi="Times New Roman" w:eastAsia="宋体" w:cs="Times New Roman"/>
        </w:rPr>
      </w:pPr>
    </w:p>
    <w:p w14:paraId="2CE715D8">
      <w:pPr>
        <w:keepNext w:val="0"/>
        <w:keepLines w:val="0"/>
        <w:widowControl/>
        <w:suppressLineNumbers w:val="0"/>
        <w:jc w:val="center"/>
        <w:rPr>
          <w:rFonts w:hint="default" w:ascii="Times New Roman" w:hAnsi="Times New Roman" w:eastAsia="宋体" w:cs="Times New Roman"/>
          <w:sz w:val="18"/>
          <w:szCs w:val="21"/>
        </w:rPr>
      </w:pPr>
      <w:r>
        <w:rPr>
          <w:rFonts w:hint="default" w:ascii="Times New Roman" w:hAnsi="Times New Roman" w:eastAsia="宋体" w:cs="Times New Roman"/>
          <w:b/>
          <w:bCs/>
          <w:color w:val="000000"/>
          <w:kern w:val="0"/>
          <w:sz w:val="36"/>
          <w:szCs w:val="36"/>
          <w:lang w:val="en-US" w:eastAsia="zh-CN" w:bidi="ar"/>
        </w:rPr>
        <w:t>六安方青森太环保科技有限公司</w:t>
      </w:r>
    </w:p>
    <w:p w14:paraId="12E9199B">
      <w:pPr>
        <w:keepNext w:val="0"/>
        <w:keepLines w:val="0"/>
        <w:widowControl/>
        <w:suppressLineNumbers w:val="0"/>
        <w:jc w:val="center"/>
        <w:rPr>
          <w:rFonts w:hint="default" w:ascii="Times New Roman" w:hAnsi="Times New Roman" w:eastAsia="宋体" w:cs="Times New Roman"/>
          <w:b/>
          <w:bCs/>
          <w:color w:val="000000"/>
          <w:kern w:val="0"/>
          <w:sz w:val="40"/>
          <w:szCs w:val="40"/>
          <w:lang w:val="en-US" w:eastAsia="zh-CN" w:bidi="ar"/>
        </w:rPr>
        <w:sectPr>
          <w:headerReference r:id="rId5" w:type="default"/>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ascii="Times New Roman" w:hAnsi="Times New Roman" w:eastAsia="宋体" w:cs="Times New Roman"/>
          <w:b/>
          <w:bCs/>
          <w:color w:val="000000"/>
          <w:kern w:val="0"/>
          <w:sz w:val="36"/>
          <w:szCs w:val="36"/>
          <w:lang w:val="en-US" w:eastAsia="zh-CN" w:bidi="ar"/>
        </w:rPr>
        <w:t>二○二五</w:t>
      </w:r>
      <w:r>
        <w:rPr>
          <w:rFonts w:hint="default" w:ascii="Times New Roman" w:hAnsi="Times New Roman" w:eastAsia="宋体" w:cs="Times New Roman"/>
          <w:b/>
          <w:bCs/>
          <w:color w:val="000000"/>
          <w:kern w:val="0"/>
          <w:sz w:val="36"/>
          <w:szCs w:val="36"/>
          <w:lang w:val="en-US" w:eastAsia="zh-CN" w:bidi="ar"/>
        </w:rPr>
        <w:t>年</w:t>
      </w:r>
      <w:r>
        <w:rPr>
          <w:rFonts w:hint="eastAsia" w:ascii="Times New Roman" w:hAnsi="Times New Roman" w:eastAsia="宋体" w:cs="Times New Roman"/>
          <w:b/>
          <w:bCs/>
          <w:color w:val="000000"/>
          <w:kern w:val="0"/>
          <w:sz w:val="36"/>
          <w:szCs w:val="36"/>
          <w:lang w:val="en-US" w:eastAsia="zh-CN" w:bidi="ar"/>
        </w:rPr>
        <w:t>十</w:t>
      </w:r>
      <w:r>
        <w:rPr>
          <w:rFonts w:hint="default" w:ascii="Times New Roman" w:hAnsi="Times New Roman" w:eastAsia="宋体" w:cs="Times New Roman"/>
          <w:b/>
          <w:bCs/>
          <w:color w:val="000000"/>
          <w:kern w:val="0"/>
          <w:sz w:val="36"/>
          <w:szCs w:val="36"/>
          <w:lang w:val="en-US" w:eastAsia="zh-CN" w:bidi="ar"/>
        </w:rPr>
        <w:t>月</w:t>
      </w:r>
    </w:p>
    <w:sdt>
      <w:sdtPr>
        <w:rPr>
          <w:rFonts w:hint="default" w:ascii="Times New Roman" w:hAnsi="Times New Roman" w:eastAsia="宋体" w:cs="Times New Roman"/>
          <w:b/>
          <w:bCs/>
          <w:kern w:val="2"/>
          <w:sz w:val="20"/>
          <w:szCs w:val="21"/>
          <w:lang w:val="en-US" w:eastAsia="zh-CN" w:bidi="ar-SA"/>
        </w:rPr>
        <w:id w:val="147453626"/>
        <w15:color w:val="DBDBDB"/>
        <w:docPartObj>
          <w:docPartGallery w:val="Table of Contents"/>
          <w:docPartUnique/>
        </w:docPartObj>
      </w:sdtPr>
      <w:sdtEndPr>
        <w:rPr>
          <w:rFonts w:hint="default" w:ascii="Times New Roman" w:hAnsi="Times New Roman" w:eastAsia="宋体" w:cs="Times New Roman"/>
          <w:b/>
          <w:bCs/>
          <w:kern w:val="2"/>
          <w:sz w:val="24"/>
          <w:szCs w:val="24"/>
          <w:lang w:val="en-US" w:eastAsia="zh-CN" w:bidi="ar-SA"/>
        </w:rPr>
      </w:sdtEndPr>
      <w:sdtContent>
        <w:p w14:paraId="7D4A2B78">
          <w:pPr>
            <w:spacing w:before="0" w:beforeLines="0" w:after="0" w:afterLines="0" w:line="240" w:lineRule="auto"/>
            <w:ind w:left="0" w:leftChars="0" w:right="0" w:rightChars="0" w:firstLine="0" w:firstLineChars="0"/>
            <w:jc w:val="center"/>
            <w:rPr>
              <w:rFonts w:hint="default" w:ascii="Times New Roman" w:hAnsi="Times New Roman" w:cs="Times New Roman"/>
              <w:b/>
              <w:bCs/>
              <w:sz w:val="32"/>
              <w:szCs w:val="36"/>
            </w:rPr>
          </w:pPr>
          <w:r>
            <w:rPr>
              <w:rFonts w:hint="default" w:ascii="Times New Roman" w:hAnsi="Times New Roman" w:eastAsia="宋体" w:cs="Times New Roman"/>
              <w:b/>
              <w:bCs/>
              <w:sz w:val="32"/>
              <w:szCs w:val="36"/>
            </w:rPr>
            <w:t>目</w:t>
          </w:r>
          <w:r>
            <w:rPr>
              <w:rFonts w:hint="default" w:ascii="Times New Roman" w:hAnsi="Times New Roman" w:eastAsia="宋体" w:cs="Times New Roman"/>
              <w:b/>
              <w:bCs/>
              <w:sz w:val="32"/>
              <w:szCs w:val="36"/>
              <w:lang w:val="en-US" w:eastAsia="zh-CN"/>
            </w:rPr>
            <w:t xml:space="preserve">  </w:t>
          </w:r>
          <w:r>
            <w:rPr>
              <w:rFonts w:hint="default" w:ascii="Times New Roman" w:hAnsi="Times New Roman" w:eastAsia="宋体" w:cs="Times New Roman"/>
              <w:b/>
              <w:bCs/>
              <w:sz w:val="32"/>
              <w:szCs w:val="36"/>
            </w:rPr>
            <w:t>录</w:t>
          </w:r>
        </w:p>
        <w:p w14:paraId="448466FF">
          <w:pPr>
            <w:pStyle w:val="24"/>
            <w:tabs>
              <w:tab w:val="right" w:leader="dot" w:pos="8306"/>
            </w:tabs>
            <w:spacing w:line="360" w:lineRule="auto"/>
            <w:rPr>
              <w:rFonts w:hint="default" w:ascii="Times New Roman" w:hAnsi="Times New Roman" w:cs="Times New Roman"/>
              <w:b/>
              <w:bCs/>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TOC \o "1-3" \h \u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
              <w:bCs/>
              <w:sz w:val="24"/>
              <w:szCs w:val="24"/>
              <w:lang w:val="en-US" w:eastAsia="zh-CN"/>
            </w:rPr>
            <w:fldChar w:fldCharType="begin"/>
          </w:r>
          <w:r>
            <w:rPr>
              <w:rFonts w:hint="default" w:ascii="Times New Roman" w:hAnsi="Times New Roman" w:eastAsia="宋体" w:cs="Times New Roman"/>
              <w:b/>
              <w:bCs/>
              <w:sz w:val="24"/>
              <w:szCs w:val="24"/>
              <w:lang w:val="en-US" w:eastAsia="zh-CN"/>
            </w:rPr>
            <w:instrText xml:space="preserve"> HYPERLINK \l _Toc3729 </w:instrText>
          </w:r>
          <w:r>
            <w:rPr>
              <w:rFonts w:hint="default" w:ascii="Times New Roman" w:hAnsi="Times New Roman" w:eastAsia="宋体" w:cs="Times New Roman"/>
              <w:b/>
              <w:bCs/>
              <w:sz w:val="24"/>
              <w:szCs w:val="24"/>
              <w:lang w:val="en-US" w:eastAsia="zh-CN"/>
            </w:rPr>
            <w:fldChar w:fldCharType="separate"/>
          </w:r>
          <w:r>
            <w:rPr>
              <w:rFonts w:hint="default" w:ascii="Times New Roman" w:hAnsi="Times New Roman" w:eastAsia="宋体" w:cs="Times New Roman"/>
              <w:b/>
              <w:bCs/>
              <w:sz w:val="24"/>
              <w:szCs w:val="24"/>
              <w:lang w:val="en-US" w:eastAsia="zh-CN"/>
            </w:rPr>
            <w:t>1  总论</w:t>
          </w:r>
          <w:r>
            <w:rPr>
              <w:rFonts w:hint="default" w:ascii="Times New Roman" w:hAnsi="Times New Roman" w:cs="Times New Roman"/>
              <w:b/>
              <w:bCs/>
              <w:sz w:val="24"/>
              <w:szCs w:val="24"/>
            </w:rPr>
            <w:tab/>
          </w:r>
          <w:r>
            <w:rPr>
              <w:rFonts w:hint="default" w:ascii="Times New Roman" w:hAnsi="Times New Roman" w:cs="Times New Roman"/>
              <w:b/>
              <w:bCs/>
              <w:sz w:val="24"/>
              <w:szCs w:val="24"/>
            </w:rPr>
            <w:fldChar w:fldCharType="begin"/>
          </w:r>
          <w:r>
            <w:rPr>
              <w:rFonts w:hint="default" w:ascii="Times New Roman" w:hAnsi="Times New Roman" w:cs="Times New Roman"/>
              <w:b/>
              <w:bCs/>
              <w:sz w:val="24"/>
              <w:szCs w:val="24"/>
            </w:rPr>
            <w:instrText xml:space="preserve"> PAGEREF _Toc3729 \h </w:instrText>
          </w:r>
          <w:r>
            <w:rPr>
              <w:rFonts w:hint="default" w:ascii="Times New Roman" w:hAnsi="Times New Roman" w:cs="Times New Roman"/>
              <w:b/>
              <w:bCs/>
              <w:sz w:val="24"/>
              <w:szCs w:val="24"/>
            </w:rPr>
            <w:fldChar w:fldCharType="separate"/>
          </w:r>
          <w:r>
            <w:rPr>
              <w:rFonts w:hint="default" w:ascii="Times New Roman" w:hAnsi="Times New Roman" w:cs="Times New Roman"/>
              <w:b/>
              <w:bCs/>
              <w:sz w:val="24"/>
              <w:szCs w:val="24"/>
            </w:rPr>
            <w:t>1</w:t>
          </w:r>
          <w:r>
            <w:rPr>
              <w:rFonts w:hint="default" w:ascii="Times New Roman" w:hAnsi="Times New Roman" w:cs="Times New Roman"/>
              <w:b/>
              <w:bCs/>
              <w:sz w:val="24"/>
              <w:szCs w:val="24"/>
            </w:rPr>
            <w:fldChar w:fldCharType="end"/>
          </w:r>
          <w:r>
            <w:rPr>
              <w:rFonts w:hint="default" w:ascii="Times New Roman" w:hAnsi="Times New Roman" w:eastAsia="宋体" w:cs="Times New Roman"/>
              <w:b/>
              <w:bCs/>
              <w:sz w:val="24"/>
              <w:szCs w:val="24"/>
              <w:lang w:val="en-US" w:eastAsia="zh-CN"/>
            </w:rPr>
            <w:fldChar w:fldCharType="end"/>
          </w:r>
        </w:p>
        <w:p w14:paraId="4B240939">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_Toc21190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1.1评价由来</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_Toc21190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0723619C">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_Toc9215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1.2</w:t>
          </w:r>
          <w:r>
            <w:rPr>
              <w:rFonts w:hint="default" w:ascii="Times New Roman" w:hAnsi="Times New Roman" w:eastAsia="宋体" w:cs="Times New Roman"/>
              <w:sz w:val="24"/>
              <w:szCs w:val="24"/>
              <w:lang w:val="zh-CN" w:eastAsia="zh-CN"/>
            </w:rPr>
            <w:t>编制依据</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_Toc9215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01857B30">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_Toc22369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1.2.1法律法规</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_Toc22369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502FD26F">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_Toc3335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1.2.2政策规章</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_Toc3335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2819DAFB">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_Toc28133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1.2.3标准规范</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_Toc28133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0C0A7E96">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_Toc12874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1.2.4技术文件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_Toc12874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4E44272F">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_Toc10958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1.2.5参考文献及资料</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_Toc10958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654DC5CC">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_Toc16408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zh-CN" w:eastAsia="zh-CN"/>
            </w:rPr>
            <w:t>1.</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zh-CN" w:eastAsia="zh-CN"/>
            </w:rPr>
            <w:t>评价因子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_Toc16408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0551CFF7">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_Toc21481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zh-CN" w:eastAsia="zh-CN"/>
            </w:rPr>
            <w:t>1.</w:t>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val="zh-CN" w:eastAsia="zh-CN"/>
            </w:rPr>
            <w:t>评价等级</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_Toc21481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5</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3E685568">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_Toc30322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1.5评价范围</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_Toc30322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5</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140DE023">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_Toc10055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zh-CN" w:eastAsia="zh-CN"/>
            </w:rPr>
            <w:t>1.</w:t>
          </w:r>
          <w:r>
            <w:rPr>
              <w:rFonts w:hint="default"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lang w:val="zh-CN" w:eastAsia="zh-CN"/>
            </w:rPr>
            <w:t>生态环境保护目标</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_Toc10055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6</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3A044D37">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_Toc2894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zh-CN" w:eastAsia="zh-CN"/>
            </w:rPr>
            <w:t>1.</w:t>
          </w:r>
          <w:r>
            <w:rPr>
              <w:rFonts w:hint="default" w:ascii="Times New Roman" w:hAnsi="Times New Roman" w:eastAsia="宋体" w:cs="Times New Roman"/>
              <w:sz w:val="24"/>
              <w:szCs w:val="24"/>
              <w:lang w:val="en-US" w:eastAsia="zh-CN"/>
            </w:rPr>
            <w:t>7</w:t>
          </w:r>
          <w:r>
            <w:rPr>
              <w:rFonts w:hint="default" w:ascii="Times New Roman" w:hAnsi="Times New Roman" w:eastAsia="宋体" w:cs="Times New Roman"/>
              <w:sz w:val="24"/>
              <w:szCs w:val="24"/>
              <w:lang w:val="zh-CN" w:eastAsia="zh-CN"/>
            </w:rPr>
            <w:t>生态影响评价工作程序</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_Toc2894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7</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26F01F27">
          <w:pPr>
            <w:pStyle w:val="24"/>
            <w:tabs>
              <w:tab w:val="right" w:leader="dot" w:pos="8306"/>
            </w:tabs>
            <w:spacing w:line="360" w:lineRule="auto"/>
            <w:rPr>
              <w:rFonts w:hint="default" w:ascii="Times New Roman" w:hAnsi="Times New Roman" w:cs="Times New Roman"/>
              <w:b/>
              <w:bCs/>
              <w:sz w:val="24"/>
              <w:szCs w:val="24"/>
            </w:rPr>
          </w:pPr>
          <w:r>
            <w:rPr>
              <w:rFonts w:hint="default" w:ascii="Times New Roman" w:hAnsi="Times New Roman" w:eastAsia="宋体" w:cs="Times New Roman"/>
              <w:b/>
              <w:bCs/>
              <w:sz w:val="24"/>
              <w:szCs w:val="24"/>
              <w:lang w:val="en-US" w:eastAsia="zh-CN"/>
            </w:rPr>
            <w:fldChar w:fldCharType="begin"/>
          </w:r>
          <w:r>
            <w:rPr>
              <w:rFonts w:hint="default" w:ascii="Times New Roman" w:hAnsi="Times New Roman" w:eastAsia="宋体" w:cs="Times New Roman"/>
              <w:b/>
              <w:bCs/>
              <w:sz w:val="24"/>
              <w:szCs w:val="24"/>
              <w:lang w:val="en-US" w:eastAsia="zh-CN"/>
            </w:rPr>
            <w:instrText xml:space="preserve"> HYPERLINK \l _Toc7702 </w:instrText>
          </w:r>
          <w:r>
            <w:rPr>
              <w:rFonts w:hint="default" w:ascii="Times New Roman" w:hAnsi="Times New Roman" w:eastAsia="宋体" w:cs="Times New Roman"/>
              <w:b/>
              <w:bCs/>
              <w:sz w:val="24"/>
              <w:szCs w:val="24"/>
              <w:lang w:val="en-US" w:eastAsia="zh-CN"/>
            </w:rPr>
            <w:fldChar w:fldCharType="separate"/>
          </w:r>
          <w:r>
            <w:rPr>
              <w:rFonts w:hint="default" w:ascii="Times New Roman" w:hAnsi="Times New Roman" w:eastAsia="宋体" w:cs="Times New Roman"/>
              <w:b/>
              <w:bCs/>
              <w:sz w:val="24"/>
              <w:szCs w:val="24"/>
              <w:lang w:val="en-US" w:eastAsia="zh-CN"/>
            </w:rPr>
            <w:t>2  建设项目概况</w:t>
          </w:r>
          <w:r>
            <w:rPr>
              <w:rFonts w:hint="default" w:ascii="Times New Roman" w:hAnsi="Times New Roman" w:cs="Times New Roman"/>
              <w:b/>
              <w:bCs/>
              <w:sz w:val="24"/>
              <w:szCs w:val="24"/>
            </w:rPr>
            <w:tab/>
          </w:r>
          <w:r>
            <w:rPr>
              <w:rFonts w:hint="default" w:ascii="Times New Roman" w:hAnsi="Times New Roman" w:cs="Times New Roman"/>
              <w:b/>
              <w:bCs/>
              <w:sz w:val="24"/>
              <w:szCs w:val="24"/>
            </w:rPr>
            <w:fldChar w:fldCharType="begin"/>
          </w:r>
          <w:r>
            <w:rPr>
              <w:rFonts w:hint="default" w:ascii="Times New Roman" w:hAnsi="Times New Roman" w:cs="Times New Roman"/>
              <w:b/>
              <w:bCs/>
              <w:sz w:val="24"/>
              <w:szCs w:val="24"/>
            </w:rPr>
            <w:instrText xml:space="preserve"> PAGEREF _Toc7702 \h </w:instrText>
          </w:r>
          <w:r>
            <w:rPr>
              <w:rFonts w:hint="default" w:ascii="Times New Roman" w:hAnsi="Times New Roman" w:cs="Times New Roman"/>
              <w:b/>
              <w:bCs/>
              <w:sz w:val="24"/>
              <w:szCs w:val="24"/>
            </w:rPr>
            <w:fldChar w:fldCharType="separate"/>
          </w:r>
          <w:r>
            <w:rPr>
              <w:rFonts w:hint="default" w:ascii="Times New Roman" w:hAnsi="Times New Roman" w:cs="Times New Roman"/>
              <w:b/>
              <w:bCs/>
              <w:sz w:val="24"/>
              <w:szCs w:val="24"/>
            </w:rPr>
            <w:t>8</w:t>
          </w:r>
          <w:r>
            <w:rPr>
              <w:rFonts w:hint="default" w:ascii="Times New Roman" w:hAnsi="Times New Roman" w:cs="Times New Roman"/>
              <w:b/>
              <w:bCs/>
              <w:sz w:val="24"/>
              <w:szCs w:val="24"/>
            </w:rPr>
            <w:fldChar w:fldCharType="end"/>
          </w:r>
          <w:r>
            <w:rPr>
              <w:rFonts w:hint="default" w:ascii="Times New Roman" w:hAnsi="Times New Roman" w:eastAsia="宋体" w:cs="Times New Roman"/>
              <w:b/>
              <w:bCs/>
              <w:sz w:val="24"/>
              <w:szCs w:val="24"/>
              <w:lang w:val="en-US" w:eastAsia="zh-CN"/>
            </w:rPr>
            <w:fldChar w:fldCharType="end"/>
          </w:r>
        </w:p>
        <w:p w14:paraId="044F5E90">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_Toc467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2.1项目基本概况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_Toc467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8</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06CECEF9">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_Toc14415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2.2临时工程</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_Toc14415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8</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7D4F88CF">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_Toc3571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2.3工程占地及拆迁</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_Toc3571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8</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49A9C0F4">
          <w:pPr>
            <w:pStyle w:val="24"/>
            <w:tabs>
              <w:tab w:val="right" w:leader="dot" w:pos="8306"/>
            </w:tabs>
            <w:spacing w:line="360" w:lineRule="auto"/>
            <w:rPr>
              <w:rFonts w:hint="default" w:ascii="Times New Roman" w:hAnsi="Times New Roman" w:cs="Times New Roman"/>
              <w:b/>
              <w:bCs/>
              <w:sz w:val="24"/>
              <w:szCs w:val="24"/>
            </w:rPr>
          </w:pPr>
          <w:r>
            <w:rPr>
              <w:rFonts w:hint="default" w:ascii="Times New Roman" w:hAnsi="Times New Roman" w:eastAsia="宋体" w:cs="Times New Roman"/>
              <w:b/>
              <w:bCs/>
              <w:sz w:val="24"/>
              <w:szCs w:val="24"/>
              <w:lang w:val="en-US" w:eastAsia="zh-CN"/>
            </w:rPr>
            <w:fldChar w:fldCharType="begin"/>
          </w:r>
          <w:r>
            <w:rPr>
              <w:rFonts w:hint="default" w:ascii="Times New Roman" w:hAnsi="Times New Roman" w:eastAsia="宋体" w:cs="Times New Roman"/>
              <w:b/>
              <w:bCs/>
              <w:sz w:val="24"/>
              <w:szCs w:val="24"/>
              <w:lang w:val="en-US" w:eastAsia="zh-CN"/>
            </w:rPr>
            <w:instrText xml:space="preserve"> HYPERLINK \l _Toc1832 </w:instrText>
          </w:r>
          <w:r>
            <w:rPr>
              <w:rFonts w:hint="default" w:ascii="Times New Roman" w:hAnsi="Times New Roman" w:eastAsia="宋体" w:cs="Times New Roman"/>
              <w:b/>
              <w:bCs/>
              <w:sz w:val="24"/>
              <w:szCs w:val="24"/>
              <w:lang w:val="en-US" w:eastAsia="zh-CN"/>
            </w:rPr>
            <w:fldChar w:fldCharType="separate"/>
          </w:r>
          <w:r>
            <w:rPr>
              <w:rFonts w:hint="default" w:ascii="Times New Roman" w:hAnsi="Times New Roman" w:eastAsia="宋体" w:cs="Times New Roman"/>
              <w:b/>
              <w:bCs/>
              <w:sz w:val="24"/>
              <w:szCs w:val="24"/>
              <w:lang w:val="en-US" w:eastAsia="zh-CN"/>
            </w:rPr>
            <w:t>3  生态现状调查与评价</w:t>
          </w:r>
          <w:r>
            <w:rPr>
              <w:rFonts w:hint="default" w:ascii="Times New Roman" w:hAnsi="Times New Roman" w:cs="Times New Roman"/>
              <w:b/>
              <w:bCs/>
              <w:sz w:val="24"/>
              <w:szCs w:val="24"/>
            </w:rPr>
            <w:tab/>
          </w:r>
          <w:r>
            <w:rPr>
              <w:rFonts w:hint="default" w:ascii="Times New Roman" w:hAnsi="Times New Roman" w:cs="Times New Roman"/>
              <w:b/>
              <w:bCs/>
              <w:sz w:val="24"/>
              <w:szCs w:val="24"/>
            </w:rPr>
            <w:fldChar w:fldCharType="begin"/>
          </w:r>
          <w:r>
            <w:rPr>
              <w:rFonts w:hint="default" w:ascii="Times New Roman" w:hAnsi="Times New Roman" w:cs="Times New Roman"/>
              <w:b/>
              <w:bCs/>
              <w:sz w:val="24"/>
              <w:szCs w:val="24"/>
            </w:rPr>
            <w:instrText xml:space="preserve"> PAGEREF _Toc1832 \h </w:instrText>
          </w:r>
          <w:r>
            <w:rPr>
              <w:rFonts w:hint="default" w:ascii="Times New Roman" w:hAnsi="Times New Roman" w:cs="Times New Roman"/>
              <w:b/>
              <w:bCs/>
              <w:sz w:val="24"/>
              <w:szCs w:val="24"/>
            </w:rPr>
            <w:fldChar w:fldCharType="separate"/>
          </w:r>
          <w:r>
            <w:rPr>
              <w:rFonts w:hint="default" w:ascii="Times New Roman" w:hAnsi="Times New Roman" w:cs="Times New Roman"/>
              <w:b/>
              <w:bCs/>
              <w:sz w:val="24"/>
              <w:szCs w:val="24"/>
            </w:rPr>
            <w:t>10</w:t>
          </w:r>
          <w:r>
            <w:rPr>
              <w:rFonts w:hint="default" w:ascii="Times New Roman" w:hAnsi="Times New Roman" w:cs="Times New Roman"/>
              <w:b/>
              <w:bCs/>
              <w:sz w:val="24"/>
              <w:szCs w:val="24"/>
            </w:rPr>
            <w:fldChar w:fldCharType="end"/>
          </w:r>
          <w:r>
            <w:rPr>
              <w:rFonts w:hint="default" w:ascii="Times New Roman" w:hAnsi="Times New Roman" w:eastAsia="宋体" w:cs="Times New Roman"/>
              <w:b/>
              <w:bCs/>
              <w:sz w:val="24"/>
              <w:szCs w:val="24"/>
              <w:lang w:val="en-US" w:eastAsia="zh-CN"/>
            </w:rPr>
            <w:fldChar w:fldCharType="end"/>
          </w:r>
        </w:p>
        <w:p w14:paraId="58A99CD7">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_Toc15577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3.1区域生态概况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_Toc15577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10</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722E9448">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_Toc18631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3.2景观/生态系统现状与评价</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_Toc18631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13</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11470552">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_Toc11050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3.3陆生生态现状调查</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_Toc11050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15</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54BD8CAD">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_Toc2543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3.3.1调查方法</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_Toc2543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15</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0FA2345C">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_Toc21126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highlight w:val="none"/>
              <w:lang w:val="en-US" w:eastAsia="zh-CN"/>
            </w:rPr>
            <w:t>3.3.2土地利用现状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_Toc21126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1414C491">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_Toc9727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3.3.3植被</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_Toc9727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23</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5A1E8D9B">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_Toc20491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3.3.4陆生植物</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_Toc20491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26</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4CC41B83">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_Toc8173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3.3.5陆生动物</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_Toc8173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29</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5E138C7E">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_Toc21473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3.4土壤侵蚀现状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_Toc21473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34</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1CE9377E">
          <w:pPr>
            <w:pStyle w:val="24"/>
            <w:tabs>
              <w:tab w:val="right" w:leader="dot" w:pos="8306"/>
            </w:tabs>
            <w:spacing w:line="360" w:lineRule="auto"/>
            <w:rPr>
              <w:rFonts w:hint="default" w:ascii="Times New Roman" w:hAnsi="Times New Roman" w:cs="Times New Roman"/>
              <w:b/>
              <w:bCs/>
              <w:sz w:val="24"/>
              <w:szCs w:val="24"/>
            </w:rPr>
          </w:pPr>
          <w:r>
            <w:rPr>
              <w:rFonts w:hint="default" w:ascii="Times New Roman" w:hAnsi="Times New Roman" w:eastAsia="宋体" w:cs="Times New Roman"/>
              <w:b/>
              <w:bCs/>
              <w:sz w:val="24"/>
              <w:szCs w:val="24"/>
              <w:lang w:val="en-US" w:eastAsia="zh-CN"/>
            </w:rPr>
            <w:fldChar w:fldCharType="begin"/>
          </w:r>
          <w:r>
            <w:rPr>
              <w:rFonts w:hint="default" w:ascii="Times New Roman" w:hAnsi="Times New Roman" w:eastAsia="宋体" w:cs="Times New Roman"/>
              <w:b/>
              <w:bCs/>
              <w:sz w:val="24"/>
              <w:szCs w:val="24"/>
              <w:lang w:val="en-US" w:eastAsia="zh-CN"/>
            </w:rPr>
            <w:instrText xml:space="preserve"> HYPERLINK \l _Toc25643 </w:instrText>
          </w:r>
          <w:r>
            <w:rPr>
              <w:rFonts w:hint="default" w:ascii="Times New Roman" w:hAnsi="Times New Roman" w:eastAsia="宋体" w:cs="Times New Roman"/>
              <w:b/>
              <w:bCs/>
              <w:sz w:val="24"/>
              <w:szCs w:val="24"/>
              <w:lang w:val="en-US" w:eastAsia="zh-CN"/>
            </w:rPr>
            <w:fldChar w:fldCharType="separate"/>
          </w:r>
          <w:r>
            <w:rPr>
              <w:rFonts w:hint="default" w:ascii="Times New Roman" w:hAnsi="Times New Roman" w:eastAsia="宋体" w:cs="Times New Roman"/>
              <w:b/>
              <w:bCs/>
              <w:sz w:val="24"/>
              <w:szCs w:val="24"/>
              <w:lang w:val="en-US" w:eastAsia="zh-CN"/>
            </w:rPr>
            <w:t>4  生态影响预测与评价</w:t>
          </w:r>
          <w:r>
            <w:rPr>
              <w:rFonts w:hint="default" w:ascii="Times New Roman" w:hAnsi="Times New Roman" w:cs="Times New Roman"/>
              <w:b/>
              <w:bCs/>
              <w:sz w:val="24"/>
              <w:szCs w:val="24"/>
            </w:rPr>
            <w:tab/>
          </w:r>
          <w:r>
            <w:rPr>
              <w:rFonts w:hint="default" w:ascii="Times New Roman" w:hAnsi="Times New Roman" w:cs="Times New Roman"/>
              <w:b/>
              <w:bCs/>
              <w:sz w:val="24"/>
              <w:szCs w:val="24"/>
            </w:rPr>
            <w:fldChar w:fldCharType="begin"/>
          </w:r>
          <w:r>
            <w:rPr>
              <w:rFonts w:hint="default" w:ascii="Times New Roman" w:hAnsi="Times New Roman" w:cs="Times New Roman"/>
              <w:b/>
              <w:bCs/>
              <w:sz w:val="24"/>
              <w:szCs w:val="24"/>
            </w:rPr>
            <w:instrText xml:space="preserve"> PAGEREF _Toc25643 \h </w:instrText>
          </w:r>
          <w:r>
            <w:rPr>
              <w:rFonts w:hint="default" w:ascii="Times New Roman" w:hAnsi="Times New Roman" w:cs="Times New Roman"/>
              <w:b/>
              <w:bCs/>
              <w:sz w:val="24"/>
              <w:szCs w:val="24"/>
            </w:rPr>
            <w:fldChar w:fldCharType="separate"/>
          </w:r>
          <w:r>
            <w:rPr>
              <w:rFonts w:hint="default" w:ascii="Times New Roman" w:hAnsi="Times New Roman" w:cs="Times New Roman"/>
              <w:b/>
              <w:bCs/>
              <w:sz w:val="24"/>
              <w:szCs w:val="24"/>
            </w:rPr>
            <w:t>36</w:t>
          </w:r>
          <w:r>
            <w:rPr>
              <w:rFonts w:hint="default" w:ascii="Times New Roman" w:hAnsi="Times New Roman" w:cs="Times New Roman"/>
              <w:b/>
              <w:bCs/>
              <w:sz w:val="24"/>
              <w:szCs w:val="24"/>
            </w:rPr>
            <w:fldChar w:fldCharType="end"/>
          </w:r>
          <w:r>
            <w:rPr>
              <w:rFonts w:hint="default" w:ascii="Times New Roman" w:hAnsi="Times New Roman" w:eastAsia="宋体" w:cs="Times New Roman"/>
              <w:b/>
              <w:bCs/>
              <w:sz w:val="24"/>
              <w:szCs w:val="24"/>
              <w:lang w:val="en-US" w:eastAsia="zh-CN"/>
            </w:rPr>
            <w:fldChar w:fldCharType="end"/>
          </w:r>
        </w:p>
        <w:p w14:paraId="186E2C25">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_Toc10767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4.1对土地利用类型的影响</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_Toc10767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36</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4026839F">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_Toc17040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4.2景观/生态系统影响分析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_Toc17040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36</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213D4850">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_Toc3891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4.2.1对森林生态系统影响分析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_Toc3891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36</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5A3E3F6B">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_Toc10435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4.2.2对农田生态系统的影响分析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_Toc10435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36</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0FB1F782">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_Toc22490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4.2.3对城镇生态系统的影响分析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_Toc22490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37</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5ACB2824">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_Toc10420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4.2.4对湿地生态系统的影响分析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_Toc10420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37</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4C0CEC04">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_Toc26486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4.3植物多样性影响分析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_Toc26486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37</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0149B12D">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_Toc29737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4.3.1工程占地对植物的影响</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_Toc29737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37</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378383F7">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_Toc7255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4.3.2施工活动对植物多样性的影响分析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_Toc7255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38</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1E990105">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_Toc32106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4.3.3外来物种对植物多样性的影响分析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_Toc32106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38</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5C7AC359">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_Toc16395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4.4动物多样性影响分析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_Toc16395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38</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25EA8319">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_Toc11917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4.4.1对两栖类动物影响</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_Toc11917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38</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321D594B">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_Toc18442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4.4.2对爬行动物影响</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_Toc18442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39</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30F35696">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_Toc29688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4.4.3对鸟类影响</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_Toc29688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39</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79D4FC70">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_Toc20651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4.4.4对哺乳类影响</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_Toc20651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40</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2F9BD25B">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_Toc31758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4.4.5对鱼类的影响</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_Toc31758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40</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1E38B78A">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_Toc19618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4.5保护区主要保护对象影响预测</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_Toc19618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42FF4C97">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_Toc23841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4.6运营期生态影响分析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_Toc23841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5F4FFD30">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_Toc30112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4.6.1运营期对植物资源影响分析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_Toc30112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2FD01B00">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_Toc7201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4.6.2运营期对野生动物影响分析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_Toc7201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25ED008C">
          <w:pPr>
            <w:pStyle w:val="24"/>
            <w:tabs>
              <w:tab w:val="right" w:leader="dot" w:pos="8306"/>
            </w:tabs>
            <w:spacing w:line="360" w:lineRule="auto"/>
            <w:rPr>
              <w:rFonts w:hint="default" w:ascii="Times New Roman" w:hAnsi="Times New Roman" w:cs="Times New Roman"/>
              <w:b/>
              <w:bCs/>
              <w:sz w:val="24"/>
              <w:szCs w:val="24"/>
            </w:rPr>
          </w:pPr>
          <w:r>
            <w:rPr>
              <w:rFonts w:hint="default" w:ascii="Times New Roman" w:hAnsi="Times New Roman" w:eastAsia="宋体" w:cs="Times New Roman"/>
              <w:b/>
              <w:bCs/>
              <w:sz w:val="24"/>
              <w:szCs w:val="24"/>
              <w:lang w:val="en-US" w:eastAsia="zh-CN"/>
            </w:rPr>
            <w:fldChar w:fldCharType="begin"/>
          </w:r>
          <w:r>
            <w:rPr>
              <w:rFonts w:hint="default" w:ascii="Times New Roman" w:hAnsi="Times New Roman" w:eastAsia="宋体" w:cs="Times New Roman"/>
              <w:b/>
              <w:bCs/>
              <w:sz w:val="24"/>
              <w:szCs w:val="24"/>
              <w:lang w:val="en-US" w:eastAsia="zh-CN"/>
            </w:rPr>
            <w:instrText xml:space="preserve"> HYPERLINK \l _Toc11982 </w:instrText>
          </w:r>
          <w:r>
            <w:rPr>
              <w:rFonts w:hint="default" w:ascii="Times New Roman" w:hAnsi="Times New Roman" w:eastAsia="宋体" w:cs="Times New Roman"/>
              <w:b/>
              <w:bCs/>
              <w:sz w:val="24"/>
              <w:szCs w:val="24"/>
              <w:lang w:val="en-US" w:eastAsia="zh-CN"/>
            </w:rPr>
            <w:fldChar w:fldCharType="separate"/>
          </w:r>
          <w:r>
            <w:rPr>
              <w:rFonts w:hint="default" w:ascii="Times New Roman" w:hAnsi="Times New Roman" w:eastAsia="宋体" w:cs="Times New Roman"/>
              <w:b/>
              <w:bCs/>
              <w:sz w:val="24"/>
              <w:szCs w:val="24"/>
              <w:lang w:val="en-US" w:eastAsia="zh-CN"/>
            </w:rPr>
            <w:t>5  生态保护对策措施</w:t>
          </w:r>
          <w:r>
            <w:rPr>
              <w:rFonts w:hint="default" w:ascii="Times New Roman" w:hAnsi="Times New Roman" w:cs="Times New Roman"/>
              <w:b/>
              <w:bCs/>
              <w:sz w:val="24"/>
              <w:szCs w:val="24"/>
            </w:rPr>
            <w:tab/>
          </w:r>
          <w:r>
            <w:rPr>
              <w:rFonts w:hint="default" w:ascii="Times New Roman" w:hAnsi="Times New Roman" w:cs="Times New Roman"/>
              <w:b/>
              <w:bCs/>
              <w:sz w:val="24"/>
              <w:szCs w:val="24"/>
            </w:rPr>
            <w:fldChar w:fldCharType="begin"/>
          </w:r>
          <w:r>
            <w:rPr>
              <w:rFonts w:hint="default" w:ascii="Times New Roman" w:hAnsi="Times New Roman" w:cs="Times New Roman"/>
              <w:b/>
              <w:bCs/>
              <w:sz w:val="24"/>
              <w:szCs w:val="24"/>
            </w:rPr>
            <w:instrText xml:space="preserve"> PAGEREF _Toc11982 \h </w:instrText>
          </w:r>
          <w:r>
            <w:rPr>
              <w:rFonts w:hint="default" w:ascii="Times New Roman" w:hAnsi="Times New Roman" w:cs="Times New Roman"/>
              <w:b/>
              <w:bCs/>
              <w:sz w:val="24"/>
              <w:szCs w:val="24"/>
            </w:rPr>
            <w:fldChar w:fldCharType="separate"/>
          </w:r>
          <w:r>
            <w:rPr>
              <w:rFonts w:hint="default" w:ascii="Times New Roman" w:hAnsi="Times New Roman" w:cs="Times New Roman"/>
              <w:b/>
              <w:bCs/>
              <w:sz w:val="24"/>
              <w:szCs w:val="24"/>
            </w:rPr>
            <w:t>43</w:t>
          </w:r>
          <w:r>
            <w:rPr>
              <w:rFonts w:hint="default" w:ascii="Times New Roman" w:hAnsi="Times New Roman" w:cs="Times New Roman"/>
              <w:b/>
              <w:bCs/>
              <w:sz w:val="24"/>
              <w:szCs w:val="24"/>
            </w:rPr>
            <w:fldChar w:fldCharType="end"/>
          </w:r>
          <w:r>
            <w:rPr>
              <w:rFonts w:hint="default" w:ascii="Times New Roman" w:hAnsi="Times New Roman" w:eastAsia="宋体" w:cs="Times New Roman"/>
              <w:b/>
              <w:bCs/>
              <w:sz w:val="24"/>
              <w:szCs w:val="24"/>
              <w:lang w:val="en-US" w:eastAsia="zh-CN"/>
            </w:rPr>
            <w:fldChar w:fldCharType="end"/>
          </w:r>
        </w:p>
        <w:p w14:paraId="1B15E6C1">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_Toc8614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5.1设计阶段生态保护措施</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_Toc8614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43</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528E90CB">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_Toc20533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5.2施工期生态保护措施</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_Toc20533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43</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17DAC3FC">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_Toc22583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5.3运营期生态保护措施</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_Toc22583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46</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75084D65">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_Toc17932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5.4生态环境保护管理措施</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_Toc17932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46</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17CC6A68">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_Toc19307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5.5生态恢复与补偿措施</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_Toc19307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47</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70B02336">
          <w:pPr>
            <w:pStyle w:val="24"/>
            <w:tabs>
              <w:tab w:val="right" w:leader="dot" w:pos="8306"/>
            </w:tabs>
            <w:spacing w:line="360" w:lineRule="auto"/>
            <w:rPr>
              <w:rFonts w:hint="default" w:ascii="Times New Roman" w:hAnsi="Times New Roman" w:cs="Times New Roman"/>
              <w:b/>
              <w:bCs/>
              <w:sz w:val="24"/>
              <w:szCs w:val="24"/>
            </w:rPr>
          </w:pPr>
          <w:r>
            <w:rPr>
              <w:rFonts w:hint="default" w:ascii="Times New Roman" w:hAnsi="Times New Roman" w:eastAsia="宋体" w:cs="Times New Roman"/>
              <w:b/>
              <w:bCs/>
              <w:sz w:val="24"/>
              <w:szCs w:val="24"/>
              <w:lang w:val="en-US" w:eastAsia="zh-CN"/>
            </w:rPr>
            <w:fldChar w:fldCharType="begin"/>
          </w:r>
          <w:r>
            <w:rPr>
              <w:rFonts w:hint="default" w:ascii="Times New Roman" w:hAnsi="Times New Roman" w:eastAsia="宋体" w:cs="Times New Roman"/>
              <w:b/>
              <w:bCs/>
              <w:sz w:val="24"/>
              <w:szCs w:val="24"/>
              <w:lang w:val="en-US" w:eastAsia="zh-CN"/>
            </w:rPr>
            <w:instrText xml:space="preserve"> HYPERLINK \l _Toc17818 </w:instrText>
          </w:r>
          <w:r>
            <w:rPr>
              <w:rFonts w:hint="default" w:ascii="Times New Roman" w:hAnsi="Times New Roman" w:eastAsia="宋体" w:cs="Times New Roman"/>
              <w:b/>
              <w:bCs/>
              <w:sz w:val="24"/>
              <w:szCs w:val="24"/>
              <w:lang w:val="en-US" w:eastAsia="zh-CN"/>
            </w:rPr>
            <w:fldChar w:fldCharType="separate"/>
          </w:r>
          <w:r>
            <w:rPr>
              <w:rFonts w:hint="default" w:ascii="Times New Roman" w:hAnsi="Times New Roman" w:eastAsia="宋体" w:cs="Times New Roman"/>
              <w:b/>
              <w:bCs/>
              <w:sz w:val="24"/>
              <w:szCs w:val="24"/>
              <w:lang w:val="en-US" w:eastAsia="zh-CN"/>
            </w:rPr>
            <w:t>6  环境管理和生态监测</w:t>
          </w:r>
          <w:r>
            <w:rPr>
              <w:rFonts w:hint="default" w:ascii="Times New Roman" w:hAnsi="Times New Roman" w:cs="Times New Roman"/>
              <w:b/>
              <w:bCs/>
              <w:sz w:val="24"/>
              <w:szCs w:val="24"/>
            </w:rPr>
            <w:tab/>
          </w:r>
          <w:r>
            <w:rPr>
              <w:rFonts w:hint="default" w:ascii="Times New Roman" w:hAnsi="Times New Roman" w:cs="Times New Roman"/>
              <w:b/>
              <w:bCs/>
              <w:sz w:val="24"/>
              <w:szCs w:val="24"/>
            </w:rPr>
            <w:fldChar w:fldCharType="begin"/>
          </w:r>
          <w:r>
            <w:rPr>
              <w:rFonts w:hint="default" w:ascii="Times New Roman" w:hAnsi="Times New Roman" w:cs="Times New Roman"/>
              <w:b/>
              <w:bCs/>
              <w:sz w:val="24"/>
              <w:szCs w:val="24"/>
            </w:rPr>
            <w:instrText xml:space="preserve"> PAGEREF _Toc17818 \h </w:instrText>
          </w:r>
          <w:r>
            <w:rPr>
              <w:rFonts w:hint="default" w:ascii="Times New Roman" w:hAnsi="Times New Roman" w:cs="Times New Roman"/>
              <w:b/>
              <w:bCs/>
              <w:sz w:val="24"/>
              <w:szCs w:val="24"/>
            </w:rPr>
            <w:fldChar w:fldCharType="separate"/>
          </w:r>
          <w:r>
            <w:rPr>
              <w:rFonts w:hint="default" w:ascii="Times New Roman" w:hAnsi="Times New Roman" w:cs="Times New Roman"/>
              <w:b/>
              <w:bCs/>
              <w:sz w:val="24"/>
              <w:szCs w:val="24"/>
            </w:rPr>
            <w:t>49</w:t>
          </w:r>
          <w:r>
            <w:rPr>
              <w:rFonts w:hint="default" w:ascii="Times New Roman" w:hAnsi="Times New Roman" w:cs="Times New Roman"/>
              <w:b/>
              <w:bCs/>
              <w:sz w:val="24"/>
              <w:szCs w:val="24"/>
            </w:rPr>
            <w:fldChar w:fldCharType="end"/>
          </w:r>
          <w:r>
            <w:rPr>
              <w:rFonts w:hint="default" w:ascii="Times New Roman" w:hAnsi="Times New Roman" w:eastAsia="宋体" w:cs="Times New Roman"/>
              <w:b/>
              <w:bCs/>
              <w:sz w:val="24"/>
              <w:szCs w:val="24"/>
              <w:lang w:val="en-US" w:eastAsia="zh-CN"/>
            </w:rPr>
            <w:fldChar w:fldCharType="end"/>
          </w:r>
        </w:p>
        <w:p w14:paraId="4263F2F7">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_Toc7258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6.1生态环境管理</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_Toc7258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49</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2D2E2045">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_Toc23456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6.1.1环境管理目的</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_Toc23456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49</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778F1703">
          <w:pPr>
            <w:pStyle w:val="14"/>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_Toc22765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6.1.2环境管理机构及职责</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_Toc22765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49</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2083C23C">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_Toc24216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6.2环境管理计划</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_Toc24216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49</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2D4861ED">
          <w:pPr>
            <w:pStyle w:val="24"/>
            <w:tabs>
              <w:tab w:val="right" w:leader="dot" w:pos="8306"/>
            </w:tabs>
            <w:spacing w:line="360" w:lineRule="auto"/>
            <w:rPr>
              <w:rFonts w:hint="default" w:ascii="Times New Roman" w:hAnsi="Times New Roman" w:cs="Times New Roman"/>
              <w:b/>
              <w:bCs/>
              <w:sz w:val="24"/>
              <w:szCs w:val="24"/>
            </w:rPr>
          </w:pPr>
          <w:r>
            <w:rPr>
              <w:rFonts w:hint="default" w:ascii="Times New Roman" w:hAnsi="Times New Roman" w:eastAsia="宋体" w:cs="Times New Roman"/>
              <w:b/>
              <w:bCs/>
              <w:sz w:val="24"/>
              <w:szCs w:val="24"/>
              <w:lang w:val="en-US" w:eastAsia="zh-CN"/>
            </w:rPr>
            <w:fldChar w:fldCharType="begin"/>
          </w:r>
          <w:r>
            <w:rPr>
              <w:rFonts w:hint="default" w:ascii="Times New Roman" w:hAnsi="Times New Roman" w:eastAsia="宋体" w:cs="Times New Roman"/>
              <w:b/>
              <w:bCs/>
              <w:sz w:val="24"/>
              <w:szCs w:val="24"/>
              <w:lang w:val="en-US" w:eastAsia="zh-CN"/>
            </w:rPr>
            <w:instrText xml:space="preserve"> HYPERLINK \l _Toc2062 </w:instrText>
          </w:r>
          <w:r>
            <w:rPr>
              <w:rFonts w:hint="default" w:ascii="Times New Roman" w:hAnsi="Times New Roman" w:eastAsia="宋体" w:cs="Times New Roman"/>
              <w:b/>
              <w:bCs/>
              <w:sz w:val="24"/>
              <w:szCs w:val="24"/>
              <w:lang w:val="en-US" w:eastAsia="zh-CN"/>
            </w:rPr>
            <w:fldChar w:fldCharType="separate"/>
          </w:r>
          <w:r>
            <w:rPr>
              <w:rFonts w:hint="default" w:ascii="Times New Roman" w:hAnsi="Times New Roman" w:eastAsia="宋体" w:cs="Times New Roman"/>
              <w:b/>
              <w:bCs/>
              <w:sz w:val="24"/>
              <w:szCs w:val="24"/>
              <w:lang w:val="en-US" w:eastAsia="zh-CN"/>
            </w:rPr>
            <w:t>7  生态影响评价结论</w:t>
          </w:r>
          <w:r>
            <w:rPr>
              <w:rFonts w:hint="default" w:ascii="Times New Roman" w:hAnsi="Times New Roman" w:cs="Times New Roman"/>
              <w:b/>
              <w:bCs/>
              <w:sz w:val="24"/>
              <w:szCs w:val="24"/>
            </w:rPr>
            <w:tab/>
          </w:r>
          <w:r>
            <w:rPr>
              <w:rFonts w:hint="default" w:ascii="Times New Roman" w:hAnsi="Times New Roman" w:cs="Times New Roman"/>
              <w:b/>
              <w:bCs/>
              <w:sz w:val="24"/>
              <w:szCs w:val="24"/>
            </w:rPr>
            <w:fldChar w:fldCharType="begin"/>
          </w:r>
          <w:r>
            <w:rPr>
              <w:rFonts w:hint="default" w:ascii="Times New Roman" w:hAnsi="Times New Roman" w:cs="Times New Roman"/>
              <w:b/>
              <w:bCs/>
              <w:sz w:val="24"/>
              <w:szCs w:val="24"/>
            </w:rPr>
            <w:instrText xml:space="preserve"> PAGEREF _Toc2062 \h </w:instrText>
          </w:r>
          <w:r>
            <w:rPr>
              <w:rFonts w:hint="default" w:ascii="Times New Roman" w:hAnsi="Times New Roman" w:cs="Times New Roman"/>
              <w:b/>
              <w:bCs/>
              <w:sz w:val="24"/>
              <w:szCs w:val="24"/>
            </w:rPr>
            <w:fldChar w:fldCharType="separate"/>
          </w:r>
          <w:r>
            <w:rPr>
              <w:rFonts w:hint="default" w:ascii="Times New Roman" w:hAnsi="Times New Roman" w:cs="Times New Roman"/>
              <w:b/>
              <w:bCs/>
              <w:sz w:val="24"/>
              <w:szCs w:val="24"/>
            </w:rPr>
            <w:t>51</w:t>
          </w:r>
          <w:r>
            <w:rPr>
              <w:rFonts w:hint="default" w:ascii="Times New Roman" w:hAnsi="Times New Roman" w:cs="Times New Roman"/>
              <w:b/>
              <w:bCs/>
              <w:sz w:val="24"/>
              <w:szCs w:val="24"/>
            </w:rPr>
            <w:fldChar w:fldCharType="end"/>
          </w:r>
          <w:r>
            <w:rPr>
              <w:rFonts w:hint="default" w:ascii="Times New Roman" w:hAnsi="Times New Roman" w:eastAsia="宋体" w:cs="Times New Roman"/>
              <w:b/>
              <w:bCs/>
              <w:sz w:val="24"/>
              <w:szCs w:val="24"/>
              <w:lang w:val="en-US" w:eastAsia="zh-CN"/>
            </w:rPr>
            <w:fldChar w:fldCharType="end"/>
          </w:r>
        </w:p>
        <w:p w14:paraId="3200F9F4">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_Toc697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7.1生态现状与保护目标</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_Toc697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51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2F7714FD">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_Toc31302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7.2主要环境影响及保护措施</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_Toc31302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51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4EB28FB5">
          <w:pPr>
            <w:pStyle w:val="26"/>
            <w:tabs>
              <w:tab w:val="right" w:leader="dot" w:pos="8306"/>
            </w:tabs>
            <w:spacing w:line="360" w:lineRule="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_Toc14052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7.3评价结论</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_Toc14052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52</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p>
        <w:p w14:paraId="5F069A48">
          <w:pPr>
            <w:pStyle w:val="24"/>
            <w:tabs>
              <w:tab w:val="right" w:leader="dot" w:pos="8306"/>
            </w:tabs>
            <w:spacing w:line="360" w:lineRule="auto"/>
            <w:rPr>
              <w:rFonts w:hint="default" w:ascii="Times New Roman" w:hAnsi="Times New Roman" w:eastAsia="宋体" w:cs="Times New Roman"/>
              <w:b/>
              <w:bCs/>
              <w:kern w:val="2"/>
              <w:sz w:val="24"/>
              <w:szCs w:val="24"/>
              <w:lang w:val="en-US" w:eastAsia="zh-CN" w:bidi="ar-SA"/>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_Toc18790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附表：生态影响评价自查表</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_Toc18790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53</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zh-CN"/>
            </w:rPr>
            <w:fldChar w:fldCharType="end"/>
          </w:r>
          <w:r>
            <w:rPr>
              <w:rFonts w:hint="default" w:ascii="Times New Roman" w:hAnsi="Times New Roman" w:eastAsia="宋体" w:cs="Times New Roman"/>
              <w:sz w:val="24"/>
              <w:szCs w:val="24"/>
              <w:lang w:val="en-US" w:eastAsia="zh-CN"/>
            </w:rPr>
            <w:fldChar w:fldCharType="end"/>
          </w:r>
        </w:p>
      </w:sdtContent>
    </w:sdt>
    <w:p w14:paraId="25D1AD2D">
      <w:pPr>
        <w:spacing w:line="360" w:lineRule="auto"/>
        <w:rPr>
          <w:rFonts w:hint="default"/>
          <w:sz w:val="24"/>
          <w:szCs w:val="24"/>
          <w:lang w:val="en-US" w:eastAsia="zh-CN"/>
        </w:rPr>
        <w:sectPr>
          <w:headerReference r:id="rId7" w:type="default"/>
          <w:footerReference r:id="rId8"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3B8B7195">
      <w:pPr>
        <w:pStyle w:val="3"/>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jc w:val="center"/>
        <w:textAlignment w:val="auto"/>
        <w:outlineLvl w:val="0"/>
        <w:rPr>
          <w:rFonts w:hint="default" w:ascii="Times New Roman" w:hAnsi="Times New Roman" w:eastAsia="宋体" w:cs="Times New Roman"/>
          <w:sz w:val="32"/>
          <w:szCs w:val="32"/>
          <w:lang w:val="en-US" w:eastAsia="zh-CN"/>
        </w:rPr>
      </w:pPr>
      <w:bookmarkStart w:id="491" w:name="_Toc23801"/>
      <w:bookmarkStart w:id="492" w:name="_Toc2660"/>
      <w:bookmarkStart w:id="493" w:name="_Toc22993"/>
      <w:bookmarkStart w:id="494" w:name="_Toc23462"/>
      <w:bookmarkStart w:id="495" w:name="_Toc3729"/>
      <w:bookmarkStart w:id="496" w:name="_Toc12296"/>
      <w:r>
        <w:rPr>
          <w:rFonts w:hint="default" w:ascii="Times New Roman" w:hAnsi="Times New Roman" w:eastAsia="宋体" w:cs="Times New Roman"/>
          <w:sz w:val="32"/>
          <w:szCs w:val="32"/>
          <w:lang w:val="en-US" w:eastAsia="zh-CN"/>
        </w:rPr>
        <w:t>1  总论</w:t>
      </w:r>
      <w:bookmarkEnd w:id="491"/>
      <w:bookmarkEnd w:id="492"/>
      <w:bookmarkEnd w:id="493"/>
      <w:bookmarkEnd w:id="494"/>
      <w:bookmarkEnd w:id="495"/>
      <w:bookmarkEnd w:id="496"/>
    </w:p>
    <w:p w14:paraId="019D8332">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497" w:name="_Toc2839"/>
      <w:bookmarkStart w:id="498" w:name="_Toc11259"/>
      <w:bookmarkStart w:id="499" w:name="_Toc30518"/>
      <w:bookmarkStart w:id="500" w:name="_Toc13770"/>
      <w:bookmarkStart w:id="501" w:name="_Toc13184"/>
      <w:bookmarkStart w:id="502" w:name="_Toc21190"/>
      <w:bookmarkStart w:id="503" w:name="_Toc10782"/>
      <w:bookmarkStart w:id="504" w:name="_Toc19657"/>
      <w:r>
        <w:rPr>
          <w:rFonts w:hint="default" w:ascii="Times New Roman" w:hAnsi="Times New Roman" w:eastAsia="宋体" w:cs="Times New Roman"/>
          <w:sz w:val="28"/>
          <w:szCs w:val="28"/>
          <w:lang w:val="en-US" w:eastAsia="zh-CN"/>
        </w:rPr>
        <w:t>1.1</w:t>
      </w:r>
      <w:bookmarkEnd w:id="497"/>
      <w:bookmarkEnd w:id="498"/>
      <w:r>
        <w:rPr>
          <w:rFonts w:hint="default" w:ascii="Times New Roman" w:hAnsi="Times New Roman" w:eastAsia="宋体" w:cs="Times New Roman"/>
          <w:sz w:val="28"/>
          <w:szCs w:val="28"/>
          <w:lang w:val="en-US" w:eastAsia="zh-CN"/>
        </w:rPr>
        <w:t>评价由来</w:t>
      </w:r>
      <w:bookmarkEnd w:id="499"/>
      <w:bookmarkEnd w:id="500"/>
      <w:bookmarkEnd w:id="501"/>
      <w:bookmarkEnd w:id="502"/>
      <w:bookmarkEnd w:id="503"/>
      <w:bookmarkEnd w:id="504"/>
    </w:p>
    <w:p w14:paraId="03C53C23">
      <w:pPr>
        <w:pStyle w:val="9"/>
        <w:adjustRightInd w:val="0"/>
        <w:snapToGrid w:val="0"/>
        <w:spacing w:after="0" w:line="360" w:lineRule="auto"/>
        <w:ind w:firstLine="480" w:firstLineChars="200"/>
        <w:rPr>
          <w:rFonts w:hint="eastAsia" w:ascii="Times New Roman" w:hAnsi="Times New Roman" w:eastAsia="宋体" w:cs="Times New Roman"/>
          <w:szCs w:val="22"/>
          <w:lang w:val="en-US" w:eastAsia="zh-CN"/>
        </w:rPr>
      </w:pPr>
      <w:r>
        <w:rPr>
          <w:rFonts w:hint="default" w:ascii="Times New Roman" w:hAnsi="Times New Roman" w:eastAsia="宋体" w:cs="Times New Roman"/>
          <w:color w:val="auto"/>
          <w:sz w:val="24"/>
          <w:lang w:val="en-US" w:eastAsia="zh-CN"/>
        </w:rPr>
        <w:t>本项目起点</w:t>
      </w:r>
      <w:r>
        <w:rPr>
          <w:rFonts w:hint="eastAsia" w:ascii="Times New Roman" w:hAnsi="Times New Roman" w:eastAsia="宋体" w:cs="Times New Roman"/>
          <w:color w:val="auto"/>
          <w:sz w:val="24"/>
          <w:lang w:val="en-US" w:eastAsia="zh-CN"/>
        </w:rPr>
        <w:t>位于</w:t>
      </w:r>
      <w:r>
        <w:rPr>
          <w:rFonts w:hint="default" w:ascii="Times New Roman" w:hAnsi="Times New Roman" w:eastAsia="宋体" w:cs="Times New Roman"/>
          <w:color w:val="auto"/>
          <w:sz w:val="24"/>
          <w:lang w:val="en-US" w:eastAsia="zh-CN"/>
        </w:rPr>
        <w:t>关庙乡银山村银山沟与沙坪沟交接处，与规划S517相交，沿沙坪沟由西向东布线，终点位于蔡家湾，路线全长2.34公里。</w:t>
      </w:r>
      <w:r>
        <w:rPr>
          <w:rFonts w:hint="default" w:ascii="Times New Roman" w:hAnsi="Times New Roman" w:cs="Times New Roman"/>
          <w:color w:val="auto"/>
          <w:sz w:val="24"/>
          <w:highlight w:val="none"/>
          <w:lang w:val="en-US" w:eastAsia="zh-CN"/>
        </w:rPr>
        <w:t>项目道路总</w:t>
      </w:r>
      <w:r>
        <w:rPr>
          <w:rFonts w:hint="default" w:ascii="Times New Roman" w:hAnsi="Times New Roman" w:eastAsia="宋体" w:cs="Times New Roman"/>
          <w:color w:val="auto"/>
          <w:sz w:val="24"/>
          <w:lang w:val="en-US" w:eastAsia="zh-CN"/>
        </w:rPr>
        <w:t>长</w:t>
      </w:r>
      <w:r>
        <w:rPr>
          <w:rFonts w:hint="eastAsia" w:ascii="Times New Roman" w:hAnsi="Times New Roman" w:eastAsia="宋体" w:cs="Times New Roman"/>
          <w:color w:val="auto"/>
          <w:sz w:val="24"/>
          <w:lang w:val="en-US" w:eastAsia="zh-CN"/>
        </w:rPr>
        <w:t>2.34</w:t>
      </w:r>
      <w:r>
        <w:rPr>
          <w:rFonts w:hint="default" w:ascii="Times New Roman" w:hAnsi="Times New Roman" w:eastAsia="宋体" w:cs="Times New Roman"/>
          <w:color w:val="auto"/>
          <w:sz w:val="24"/>
          <w:lang w:val="en-US" w:eastAsia="zh-CN"/>
        </w:rPr>
        <w:t>km，路线采用三级公路标准建设，双向两车道，设计车速30km/h，路基宽8.5m，路</w:t>
      </w:r>
      <w:r>
        <w:rPr>
          <w:rFonts w:hint="default" w:ascii="Times New Roman" w:hAnsi="Times New Roman" w:cs="Times New Roman"/>
          <w:color w:val="auto"/>
          <w:sz w:val="24"/>
          <w:highlight w:val="none"/>
          <w:lang w:val="en-US" w:eastAsia="zh-CN"/>
        </w:rPr>
        <w:t>面宽7.0m，具体布置为：2×（3.25米行车道+0.25米硬路肩+0.75米土路肩），路面横坡度为2.0%，土路肩横坡度为4.0%。工程建设主要内容包括道路、排水、交通、绿化及附属工程等。</w:t>
      </w:r>
    </w:p>
    <w:p w14:paraId="606C4AD0">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根据建设项目环境影响评价报告表编制技术指南（生态影响类）（试行），</w:t>
      </w:r>
      <w:r>
        <w:rPr>
          <w:rFonts w:hint="eastAsia" w:ascii="Times New Roman" w:hAnsi="Times New Roman" w:eastAsia="宋体" w:cs="Times New Roman"/>
          <w:szCs w:val="22"/>
          <w:lang w:val="en-US" w:eastAsia="zh-CN"/>
        </w:rPr>
        <w:t>“</w:t>
      </w:r>
      <w:r>
        <w:rPr>
          <w:rFonts w:hint="default" w:ascii="Times New Roman" w:hAnsi="Times New Roman" w:eastAsia="宋体" w:cs="Times New Roman"/>
          <w:szCs w:val="22"/>
          <w:lang w:val="en-US" w:eastAsia="zh-CN"/>
        </w:rPr>
        <w:t>涉及环境敏感区（不包括饮用水水源保护区，以居住、医疗卫生、文化教育、科研、行政办公为主要功能的区域，以及文物保护单位）的项目</w:t>
      </w:r>
      <w:r>
        <w:rPr>
          <w:rFonts w:hint="eastAsia" w:ascii="Times New Roman" w:hAnsi="Times New Roman" w:eastAsia="宋体" w:cs="Times New Roman"/>
          <w:szCs w:val="22"/>
          <w:lang w:val="en-US" w:eastAsia="zh-CN"/>
        </w:rPr>
        <w:t>”</w:t>
      </w:r>
      <w:r>
        <w:rPr>
          <w:rFonts w:hint="default" w:ascii="Times New Roman" w:hAnsi="Times New Roman" w:eastAsia="宋体" w:cs="Times New Roman"/>
          <w:szCs w:val="22"/>
          <w:lang w:val="en-US" w:eastAsia="zh-CN"/>
        </w:rPr>
        <w:t>需设置生态环境影响专项评价。根据水利部办公厅关于印发《全国水土保持规划国家级水土流失重点预防区和重点治理区复核划分成果》的通知（办水保〔2013〕188号）、《安徽省人民政府关于划定省级水土流失重点预防区和重点治理区的通告》（皖政秘〔2017〕94号）</w:t>
      </w:r>
      <w:r>
        <w:rPr>
          <w:rFonts w:hint="eastAsia" w:ascii="Times New Roman" w:hAnsi="Times New Roman" w:eastAsia="宋体" w:cs="Times New Roman"/>
          <w:szCs w:val="22"/>
          <w:lang w:val="en-US" w:eastAsia="zh-CN"/>
        </w:rPr>
        <w:t>，</w:t>
      </w:r>
      <w:r>
        <w:rPr>
          <w:rFonts w:hint="default" w:ascii="Times New Roman" w:hAnsi="Times New Roman" w:eastAsia="宋体" w:cs="Times New Roman"/>
          <w:szCs w:val="22"/>
          <w:lang w:val="en-US" w:eastAsia="zh-CN"/>
        </w:rPr>
        <w:t>本项目</w:t>
      </w:r>
      <w:r>
        <w:rPr>
          <w:rFonts w:hint="eastAsia" w:ascii="Times New Roman" w:hAnsi="Times New Roman" w:eastAsia="宋体" w:cs="Times New Roman"/>
          <w:szCs w:val="22"/>
          <w:lang w:val="en-US" w:eastAsia="zh-CN"/>
        </w:rPr>
        <w:t>位于</w:t>
      </w:r>
      <w:r>
        <w:rPr>
          <w:rFonts w:hint="eastAsia" w:ascii="Times New Roman" w:hAnsi="Times New Roman" w:eastAsia="宋体" w:cs="Times New Roman"/>
          <w:szCs w:val="22"/>
          <w:highlight w:val="none"/>
          <w:lang w:val="en-US" w:eastAsia="zh-CN"/>
        </w:rPr>
        <w:t>“桐柏山-大别山国家级水土流失重点预防区”内，</w:t>
      </w:r>
      <w:r>
        <w:rPr>
          <w:rFonts w:hint="default" w:ascii="Times New Roman" w:hAnsi="Times New Roman" w:eastAsia="宋体" w:cs="Times New Roman"/>
          <w:szCs w:val="22"/>
          <w:highlight w:val="none"/>
          <w:lang w:val="en-US" w:eastAsia="zh-CN"/>
        </w:rPr>
        <w:t>因此本项目</w:t>
      </w:r>
      <w:r>
        <w:rPr>
          <w:rFonts w:hint="eastAsia" w:ascii="Times New Roman" w:hAnsi="Times New Roman" w:eastAsia="宋体" w:cs="Times New Roman"/>
          <w:szCs w:val="22"/>
          <w:highlight w:val="none"/>
          <w:lang w:val="en-US" w:eastAsia="zh-CN"/>
        </w:rPr>
        <w:t>评价范围</w:t>
      </w:r>
      <w:r>
        <w:rPr>
          <w:rFonts w:hint="default" w:ascii="Times New Roman" w:hAnsi="Times New Roman" w:eastAsia="宋体" w:cs="Times New Roman"/>
          <w:szCs w:val="22"/>
          <w:highlight w:val="none"/>
          <w:lang w:val="en-US" w:eastAsia="zh-CN"/>
        </w:rPr>
        <w:t>涉及环境敏</w:t>
      </w:r>
      <w:r>
        <w:rPr>
          <w:rFonts w:hint="default" w:ascii="Times New Roman" w:hAnsi="Times New Roman" w:eastAsia="宋体" w:cs="Times New Roman"/>
          <w:szCs w:val="22"/>
          <w:lang w:val="en-US" w:eastAsia="zh-CN"/>
        </w:rPr>
        <w:t>感区的项目，故本项目编制了</w:t>
      </w:r>
      <w:r>
        <w:rPr>
          <w:rFonts w:hint="eastAsia" w:ascii="Times New Roman" w:hAnsi="Times New Roman" w:eastAsia="宋体" w:cs="Times New Roman"/>
          <w:szCs w:val="22"/>
          <w:lang w:val="en-US" w:eastAsia="zh-CN"/>
        </w:rPr>
        <w:t>“</w:t>
      </w:r>
      <w:r>
        <w:rPr>
          <w:rFonts w:hint="default" w:ascii="Times New Roman" w:hAnsi="Times New Roman" w:eastAsia="宋体" w:cs="Times New Roman"/>
          <w:szCs w:val="22"/>
          <w:lang w:val="en-US" w:eastAsia="zh-CN"/>
        </w:rPr>
        <w:t>生态环境影响专项评价</w:t>
      </w:r>
      <w:r>
        <w:rPr>
          <w:rFonts w:hint="eastAsia" w:ascii="Times New Roman" w:hAnsi="Times New Roman" w:eastAsia="宋体" w:cs="Times New Roman"/>
          <w:szCs w:val="22"/>
          <w:lang w:val="en-US" w:eastAsia="zh-CN"/>
        </w:rPr>
        <w:t>”</w:t>
      </w:r>
      <w:r>
        <w:rPr>
          <w:rFonts w:hint="default" w:ascii="Times New Roman" w:hAnsi="Times New Roman" w:eastAsia="宋体" w:cs="Times New Roman"/>
          <w:szCs w:val="22"/>
          <w:lang w:val="en-US" w:eastAsia="zh-CN"/>
        </w:rPr>
        <w:t>，报生态环境主管部门审批。</w:t>
      </w:r>
    </w:p>
    <w:p w14:paraId="738EA7F6">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zh-CN" w:eastAsia="zh-CN"/>
        </w:rPr>
      </w:pPr>
      <w:bookmarkStart w:id="505" w:name="_Toc29208"/>
      <w:bookmarkStart w:id="506" w:name="_Toc5473"/>
      <w:bookmarkStart w:id="507" w:name="_Toc19355"/>
      <w:bookmarkStart w:id="508" w:name="_Toc7149"/>
      <w:bookmarkStart w:id="509" w:name="_Toc8129"/>
      <w:bookmarkStart w:id="510" w:name="_Toc22363"/>
      <w:bookmarkStart w:id="511" w:name="_Toc10368"/>
      <w:bookmarkStart w:id="512" w:name="_Toc9215"/>
      <w:r>
        <w:rPr>
          <w:rFonts w:hint="default" w:ascii="Times New Roman" w:hAnsi="Times New Roman" w:eastAsia="宋体" w:cs="Times New Roman"/>
          <w:sz w:val="28"/>
          <w:szCs w:val="28"/>
          <w:lang w:val="en-US" w:eastAsia="zh-CN"/>
        </w:rPr>
        <w:t>1.2</w:t>
      </w:r>
      <w:bookmarkEnd w:id="505"/>
      <w:bookmarkEnd w:id="506"/>
      <w:bookmarkEnd w:id="507"/>
      <w:bookmarkEnd w:id="508"/>
      <w:bookmarkEnd w:id="509"/>
      <w:bookmarkStart w:id="513" w:name="_Toc576"/>
      <w:bookmarkStart w:id="514" w:name="_Toc3295"/>
      <w:bookmarkStart w:id="515" w:name="_Toc5630"/>
      <w:bookmarkStart w:id="516" w:name="_Toc24723"/>
      <w:bookmarkStart w:id="517" w:name="_Toc10679"/>
      <w:r>
        <w:rPr>
          <w:rFonts w:hint="default" w:ascii="Times New Roman" w:hAnsi="Times New Roman" w:eastAsia="宋体" w:cs="Times New Roman"/>
          <w:sz w:val="28"/>
          <w:szCs w:val="28"/>
          <w:lang w:val="zh-CN" w:eastAsia="zh-CN"/>
        </w:rPr>
        <w:t>编制依据</w:t>
      </w:r>
      <w:bookmarkEnd w:id="510"/>
      <w:bookmarkEnd w:id="511"/>
      <w:bookmarkEnd w:id="512"/>
      <w:bookmarkEnd w:id="513"/>
      <w:bookmarkEnd w:id="514"/>
      <w:bookmarkEnd w:id="515"/>
      <w:bookmarkEnd w:id="516"/>
      <w:bookmarkEnd w:id="517"/>
    </w:p>
    <w:p w14:paraId="7AF2E273">
      <w:pPr>
        <w:pStyle w:val="4"/>
        <w:bidi w:val="0"/>
        <w:rPr>
          <w:rFonts w:hint="default" w:ascii="Times New Roman" w:hAnsi="Times New Roman" w:eastAsia="宋体" w:cs="Times New Roman"/>
          <w:sz w:val="24"/>
          <w:szCs w:val="24"/>
          <w:lang w:val="en-US" w:eastAsia="zh-CN"/>
        </w:rPr>
      </w:pPr>
      <w:bookmarkStart w:id="518" w:name="_Toc4191"/>
      <w:bookmarkStart w:id="519" w:name="_Toc13858"/>
      <w:bookmarkStart w:id="520" w:name="_Toc29852"/>
      <w:bookmarkStart w:id="521" w:name="_Toc13536"/>
      <w:bookmarkStart w:id="522" w:name="_Toc6920"/>
      <w:bookmarkStart w:id="523" w:name="_Toc22369"/>
      <w:bookmarkStart w:id="524" w:name="_Toc22628"/>
      <w:bookmarkStart w:id="525" w:name="_Toc8263"/>
      <w:r>
        <w:rPr>
          <w:rFonts w:hint="default"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val="en-US" w:eastAsia="zh-CN"/>
        </w:rPr>
        <w:t>法律法规</w:t>
      </w:r>
      <w:bookmarkEnd w:id="518"/>
      <w:bookmarkEnd w:id="519"/>
      <w:bookmarkEnd w:id="520"/>
      <w:bookmarkEnd w:id="521"/>
      <w:bookmarkEnd w:id="522"/>
      <w:bookmarkEnd w:id="523"/>
      <w:bookmarkEnd w:id="524"/>
      <w:bookmarkEnd w:id="525"/>
    </w:p>
    <w:p w14:paraId="1BA54967">
      <w:pPr>
        <w:pStyle w:val="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（1）《中华人民共和国环境保护法》（2015年1月1日起施行）；</w:t>
      </w:r>
    </w:p>
    <w:p w14:paraId="68AC798A">
      <w:pPr>
        <w:pStyle w:val="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（2）《中华人民共和国环境影响评价法》（2018年12月29日第二次修正）；</w:t>
      </w:r>
    </w:p>
    <w:p w14:paraId="01E4A2E4">
      <w:pPr>
        <w:pStyle w:val="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（3）《中华人民共和国水法》（2016年7月2日由第十二届全国人民代表大会常务委员会第二十一次会议修订）；</w:t>
      </w:r>
    </w:p>
    <w:p w14:paraId="2EA81764">
      <w:pPr>
        <w:pStyle w:val="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szCs w:val="22"/>
          <w:highlight w:val="none"/>
          <w:lang w:val="en-US" w:eastAsia="zh-CN"/>
        </w:rPr>
      </w:pPr>
      <w:r>
        <w:rPr>
          <w:rFonts w:hint="default" w:ascii="Times New Roman" w:hAnsi="Times New Roman" w:eastAsia="宋体" w:cs="Times New Roman"/>
          <w:szCs w:val="22"/>
          <w:lang w:val="en-US" w:eastAsia="zh-CN"/>
        </w:rPr>
        <w:t>（4）《中华人民共和国水污染防治法》（2017年6月27日由第十二届全国人民代表大会常务委员会第二十八次会议修</w:t>
      </w:r>
      <w:r>
        <w:rPr>
          <w:rFonts w:hint="default" w:ascii="Times New Roman" w:hAnsi="Times New Roman" w:eastAsia="宋体" w:cs="Times New Roman"/>
          <w:szCs w:val="22"/>
          <w:highlight w:val="none"/>
          <w:lang w:val="en-US" w:eastAsia="zh-CN"/>
        </w:rPr>
        <w:t>正）；</w:t>
      </w:r>
    </w:p>
    <w:p w14:paraId="003342B3">
      <w:pPr>
        <w:pStyle w:val="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szCs w:val="22"/>
          <w:highlight w:val="none"/>
          <w:lang w:val="en-US" w:eastAsia="zh-CN"/>
        </w:rPr>
      </w:pPr>
      <w:r>
        <w:rPr>
          <w:rFonts w:hint="default" w:ascii="Times New Roman" w:hAnsi="Times New Roman" w:eastAsia="宋体" w:cs="Times New Roman"/>
          <w:szCs w:val="22"/>
          <w:highlight w:val="none"/>
          <w:lang w:val="en-US" w:eastAsia="zh-CN"/>
        </w:rPr>
        <w:t>（5）《中华人民共和国噪声污染防治法》，</w:t>
      </w:r>
      <w:r>
        <w:rPr>
          <w:rFonts w:hint="eastAsia" w:ascii="Times New Roman" w:hAnsi="Times New Roman" w:eastAsia="宋体" w:cs="Times New Roman"/>
          <w:szCs w:val="22"/>
          <w:highlight w:val="none"/>
          <w:lang w:val="en-US" w:eastAsia="zh-CN"/>
        </w:rPr>
        <w:t>2022年6月5日</w:t>
      </w:r>
      <w:r>
        <w:rPr>
          <w:rFonts w:hint="default" w:ascii="Times New Roman" w:hAnsi="Times New Roman" w:eastAsia="宋体" w:cs="Times New Roman"/>
          <w:szCs w:val="22"/>
          <w:highlight w:val="none"/>
          <w:lang w:val="en-US" w:eastAsia="zh-CN"/>
        </w:rPr>
        <w:t>起施行；</w:t>
      </w:r>
    </w:p>
    <w:p w14:paraId="20E06552">
      <w:pPr>
        <w:pStyle w:val="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（6）《中华人民共和国森林法》（2019年12月28日修订）；</w:t>
      </w:r>
    </w:p>
    <w:p w14:paraId="39E52F98">
      <w:pPr>
        <w:pStyle w:val="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（7）《中华人民共和国土地管理法》（2019年8月26日修订）；</w:t>
      </w:r>
    </w:p>
    <w:p w14:paraId="315A8731">
      <w:pPr>
        <w:pStyle w:val="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（8）《中华人民共和国水土保持法》（2010年12月25日修订）；</w:t>
      </w:r>
    </w:p>
    <w:p w14:paraId="46F84F99">
      <w:pPr>
        <w:pStyle w:val="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szCs w:val="22"/>
          <w:highlight w:val="none"/>
          <w:lang w:val="en-US" w:eastAsia="zh-CN"/>
        </w:rPr>
      </w:pPr>
      <w:r>
        <w:rPr>
          <w:rFonts w:hint="default" w:ascii="Times New Roman" w:hAnsi="Times New Roman" w:eastAsia="宋体" w:cs="Times New Roman"/>
          <w:szCs w:val="22"/>
          <w:lang w:val="en-US" w:eastAsia="zh-CN"/>
        </w:rPr>
        <w:t>（9）</w:t>
      </w:r>
      <w:r>
        <w:rPr>
          <w:rFonts w:hint="default" w:ascii="Times New Roman" w:hAnsi="Times New Roman" w:eastAsia="宋体" w:cs="Times New Roman"/>
          <w:szCs w:val="22"/>
          <w:highlight w:val="none"/>
          <w:lang w:val="en-US" w:eastAsia="zh-CN"/>
        </w:rPr>
        <w:t>《中华人民共和国固体废物污染环境防治法》（2020年4月29日中华人民共和国第十三届全国人民代表大会常务委员会第十七次会议修订通过）；</w:t>
      </w:r>
    </w:p>
    <w:p w14:paraId="21A4DE9F">
      <w:pPr>
        <w:pStyle w:val="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szCs w:val="22"/>
          <w:highlight w:val="none"/>
          <w:lang w:val="en-US" w:eastAsia="zh-CN"/>
        </w:rPr>
      </w:pPr>
      <w:r>
        <w:rPr>
          <w:rFonts w:hint="default" w:ascii="Times New Roman" w:hAnsi="Times New Roman" w:eastAsia="宋体" w:cs="Times New Roman"/>
          <w:szCs w:val="22"/>
          <w:highlight w:val="none"/>
          <w:lang w:val="en-US" w:eastAsia="zh-CN"/>
        </w:rPr>
        <w:t>（10）《中华人民共和国渔业法》（2013年12月28日由第十二届全国人民代表大会常务委员会第六次会议修订）；</w:t>
      </w:r>
    </w:p>
    <w:p w14:paraId="4C4F1CAE">
      <w:pPr>
        <w:pStyle w:val="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（11）《中华人民共和国野生动物保护法》（2022年12月30日第二次修订，2023年5月1日起施行）；</w:t>
      </w:r>
    </w:p>
    <w:p w14:paraId="1A07D5A0">
      <w:pPr>
        <w:pStyle w:val="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（12）《中华人民共和国野生植物保护条例》（2017年10月7日修订）；</w:t>
      </w:r>
    </w:p>
    <w:p w14:paraId="5D6DD400">
      <w:pPr>
        <w:pStyle w:val="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（13）《中华人民共和国陆生野生动物保护实施条例》（2016年2月6日第二次修订）；</w:t>
      </w:r>
    </w:p>
    <w:p w14:paraId="246D1313">
      <w:pPr>
        <w:pStyle w:val="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（14）《</w:t>
      </w:r>
      <w:r>
        <w:rPr>
          <w:rFonts w:hint="eastAsia" w:ascii="Times New Roman" w:hAnsi="Times New Roman" w:eastAsia="宋体" w:cs="Times New Roman"/>
          <w:szCs w:val="22"/>
          <w:lang w:val="en-US" w:eastAsia="zh-CN"/>
        </w:rPr>
        <w:t>中华人民共和国水生野生动物保护实施条例</w:t>
      </w:r>
      <w:r>
        <w:rPr>
          <w:rFonts w:hint="default" w:ascii="Times New Roman" w:hAnsi="Times New Roman" w:eastAsia="宋体" w:cs="Times New Roman"/>
          <w:szCs w:val="22"/>
          <w:lang w:val="en-US" w:eastAsia="zh-CN"/>
        </w:rPr>
        <w:t>》（2013年12月7日由国务院修订）；</w:t>
      </w:r>
    </w:p>
    <w:p w14:paraId="748B1F31">
      <w:pPr>
        <w:pStyle w:val="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（15）《安徽省环境保护条例》（2018年1月1日实施）；</w:t>
      </w:r>
    </w:p>
    <w:p w14:paraId="419CBED7">
      <w:pPr>
        <w:pStyle w:val="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w:t>
      </w:r>
      <w:r>
        <w:rPr>
          <w:rFonts w:hint="eastAsia" w:ascii="Times New Roman" w:hAnsi="Times New Roman" w:eastAsia="宋体" w:cs="Times New Roman"/>
          <w:szCs w:val="22"/>
          <w:lang w:val="en-US" w:eastAsia="zh-CN"/>
        </w:rPr>
        <w:t>16</w:t>
      </w:r>
      <w:r>
        <w:rPr>
          <w:rFonts w:hint="default" w:ascii="Times New Roman" w:hAnsi="Times New Roman" w:eastAsia="宋体" w:cs="Times New Roman"/>
          <w:szCs w:val="22"/>
          <w:lang w:val="en-US" w:eastAsia="zh-CN"/>
        </w:rPr>
        <w:t>）《建设项目环境保护管理条例》（2017年7月16日由国务院修订）；</w:t>
      </w:r>
    </w:p>
    <w:p w14:paraId="3E2EB92E">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526" w:name="_Toc13519"/>
      <w:bookmarkStart w:id="527" w:name="_Toc22137"/>
      <w:bookmarkStart w:id="528" w:name="_Toc17177"/>
      <w:bookmarkStart w:id="529" w:name="_Toc3335"/>
      <w:bookmarkStart w:id="530" w:name="_Toc7682"/>
      <w:bookmarkStart w:id="531" w:name="_Toc12362"/>
      <w:bookmarkStart w:id="532" w:name="_Toc25343"/>
      <w:bookmarkStart w:id="533" w:name="_Toc27796"/>
      <w:r>
        <w:rPr>
          <w:rFonts w:hint="default"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val="en-US" w:eastAsia="zh-CN"/>
        </w:rPr>
        <w:t>.2政策规章</w:t>
      </w:r>
      <w:bookmarkEnd w:id="526"/>
      <w:bookmarkEnd w:id="527"/>
      <w:bookmarkEnd w:id="528"/>
      <w:bookmarkEnd w:id="529"/>
      <w:bookmarkEnd w:id="530"/>
      <w:bookmarkEnd w:id="531"/>
      <w:bookmarkEnd w:id="532"/>
      <w:bookmarkEnd w:id="533"/>
    </w:p>
    <w:p w14:paraId="3165C585">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w:t>
      </w:r>
      <w:r>
        <w:rPr>
          <w:rFonts w:hint="eastAsia" w:ascii="Times New Roman" w:hAnsi="Times New Roman" w:eastAsia="宋体" w:cs="Times New Roman"/>
          <w:szCs w:val="22"/>
          <w:lang w:val="en-US" w:eastAsia="zh-CN"/>
        </w:rPr>
        <w:t>1</w:t>
      </w:r>
      <w:r>
        <w:rPr>
          <w:rFonts w:hint="default" w:ascii="Times New Roman" w:hAnsi="Times New Roman" w:eastAsia="宋体" w:cs="Times New Roman"/>
          <w:szCs w:val="22"/>
          <w:lang w:val="en-US" w:eastAsia="zh-CN"/>
        </w:rPr>
        <w:t>）《区域生物多样性评价标准》（HJ623-2011）；</w:t>
      </w:r>
    </w:p>
    <w:p w14:paraId="240D68C0">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w:t>
      </w:r>
      <w:r>
        <w:rPr>
          <w:rFonts w:hint="eastAsia" w:ascii="Times New Roman" w:hAnsi="Times New Roman" w:eastAsia="宋体" w:cs="Times New Roman"/>
          <w:szCs w:val="22"/>
          <w:lang w:val="en-US" w:eastAsia="zh-CN"/>
        </w:rPr>
        <w:t>2</w:t>
      </w:r>
      <w:r>
        <w:rPr>
          <w:rFonts w:hint="default" w:ascii="Times New Roman" w:hAnsi="Times New Roman" w:eastAsia="宋体" w:cs="Times New Roman"/>
          <w:szCs w:val="22"/>
          <w:lang w:val="en-US" w:eastAsia="zh-CN"/>
        </w:rPr>
        <w:t>）《生态环境状况评价技术规范》（HJ/T192-2015）；</w:t>
      </w:r>
    </w:p>
    <w:p w14:paraId="459D0A97">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w:t>
      </w:r>
      <w:r>
        <w:rPr>
          <w:rFonts w:hint="eastAsia" w:ascii="Times New Roman" w:hAnsi="Times New Roman" w:eastAsia="宋体" w:cs="Times New Roman"/>
          <w:szCs w:val="22"/>
          <w:lang w:val="en-US" w:eastAsia="zh-CN"/>
        </w:rPr>
        <w:t>3</w:t>
      </w:r>
      <w:r>
        <w:rPr>
          <w:rFonts w:hint="default" w:ascii="Times New Roman" w:hAnsi="Times New Roman" w:eastAsia="宋体" w:cs="Times New Roman"/>
          <w:szCs w:val="22"/>
          <w:lang w:val="en-US" w:eastAsia="zh-CN"/>
        </w:rPr>
        <w:t>）《国家重点保护野生植物名录》（2021年9月7日起实施）；</w:t>
      </w:r>
    </w:p>
    <w:p w14:paraId="25E932DB">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w:t>
      </w:r>
      <w:r>
        <w:rPr>
          <w:rFonts w:hint="eastAsia" w:ascii="Times New Roman" w:hAnsi="Times New Roman" w:eastAsia="宋体" w:cs="Times New Roman"/>
          <w:szCs w:val="22"/>
          <w:lang w:val="en-US" w:eastAsia="zh-CN"/>
        </w:rPr>
        <w:t>4</w:t>
      </w:r>
      <w:r>
        <w:rPr>
          <w:rFonts w:hint="default" w:ascii="Times New Roman" w:hAnsi="Times New Roman" w:eastAsia="宋体" w:cs="Times New Roman"/>
          <w:szCs w:val="22"/>
          <w:lang w:val="en-US" w:eastAsia="zh-CN"/>
        </w:rPr>
        <w:t>）《国家重点保护野生动物名录》（国家林业和草原局农业农村部公告，2021年第3号）；</w:t>
      </w:r>
    </w:p>
    <w:p w14:paraId="64609F42">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w:t>
      </w:r>
      <w:r>
        <w:rPr>
          <w:rFonts w:hint="eastAsia" w:ascii="Times New Roman" w:hAnsi="Times New Roman" w:eastAsia="宋体" w:cs="Times New Roman"/>
          <w:szCs w:val="22"/>
          <w:lang w:val="en-US" w:eastAsia="zh-CN"/>
        </w:rPr>
        <w:t>5</w:t>
      </w:r>
      <w:r>
        <w:rPr>
          <w:rFonts w:hint="default" w:ascii="Times New Roman" w:hAnsi="Times New Roman" w:eastAsia="宋体" w:cs="Times New Roman"/>
          <w:szCs w:val="22"/>
          <w:lang w:val="en-US" w:eastAsia="zh-CN"/>
        </w:rPr>
        <w:t>）《安徽省重点保护野生植物名录》（皖政秘〔2022〕233号）；</w:t>
      </w:r>
    </w:p>
    <w:p w14:paraId="07D6F82C">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w:t>
      </w:r>
      <w:r>
        <w:rPr>
          <w:rFonts w:hint="eastAsia" w:ascii="Times New Roman" w:hAnsi="Times New Roman" w:eastAsia="宋体" w:cs="Times New Roman"/>
          <w:szCs w:val="22"/>
          <w:lang w:val="en-US" w:eastAsia="zh-CN"/>
        </w:rPr>
        <w:t>6</w:t>
      </w:r>
      <w:r>
        <w:rPr>
          <w:rFonts w:hint="default" w:ascii="Times New Roman" w:hAnsi="Times New Roman" w:eastAsia="宋体" w:cs="Times New Roman"/>
          <w:szCs w:val="22"/>
          <w:lang w:val="en-US" w:eastAsia="zh-CN"/>
        </w:rPr>
        <w:t>）《安徽省重点保护野生动物名录》（皖政秘〔2023〕4号）；</w:t>
      </w:r>
    </w:p>
    <w:p w14:paraId="00E60C7B">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w:t>
      </w:r>
      <w:r>
        <w:rPr>
          <w:rFonts w:hint="eastAsia" w:ascii="Times New Roman" w:hAnsi="Times New Roman" w:eastAsia="宋体" w:cs="Times New Roman"/>
          <w:szCs w:val="22"/>
          <w:lang w:val="en-US" w:eastAsia="zh-CN"/>
        </w:rPr>
        <w:t>7</w:t>
      </w:r>
      <w:r>
        <w:rPr>
          <w:rFonts w:hint="default" w:ascii="Times New Roman" w:hAnsi="Times New Roman" w:eastAsia="宋体" w:cs="Times New Roman"/>
          <w:szCs w:val="22"/>
          <w:lang w:val="en-US" w:eastAsia="zh-CN"/>
        </w:rPr>
        <w:t>）《关于进一步加强生物多样性保护的意见》（</w:t>
      </w:r>
      <w:r>
        <w:rPr>
          <w:rFonts w:hint="eastAsia" w:ascii="Times New Roman" w:hAnsi="Times New Roman" w:eastAsia="宋体" w:cs="Times New Roman"/>
          <w:szCs w:val="22"/>
          <w:lang w:val="en-US" w:eastAsia="zh-CN"/>
        </w:rPr>
        <w:t>中共中央办公厅、国务院办公厅</w:t>
      </w:r>
      <w:r>
        <w:rPr>
          <w:rFonts w:hint="default" w:ascii="Times New Roman" w:hAnsi="Times New Roman" w:eastAsia="宋体" w:cs="Times New Roman"/>
          <w:szCs w:val="22"/>
          <w:lang w:val="en-US" w:eastAsia="zh-CN"/>
        </w:rPr>
        <w:t>印发，2021年10月19日）；</w:t>
      </w:r>
    </w:p>
    <w:p w14:paraId="1D8974E4">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w:t>
      </w:r>
      <w:r>
        <w:rPr>
          <w:rFonts w:hint="eastAsia" w:ascii="Times New Roman" w:hAnsi="Times New Roman" w:eastAsia="宋体" w:cs="Times New Roman"/>
          <w:szCs w:val="22"/>
          <w:lang w:val="en-US" w:eastAsia="zh-CN"/>
        </w:rPr>
        <w:t>8</w:t>
      </w:r>
      <w:r>
        <w:rPr>
          <w:rFonts w:hint="default" w:ascii="Times New Roman" w:hAnsi="Times New Roman" w:eastAsia="宋体" w:cs="Times New Roman"/>
          <w:szCs w:val="22"/>
          <w:lang w:val="en-US" w:eastAsia="zh-CN"/>
        </w:rPr>
        <w:t>）《关于进一步加强水生生物资源保护严格环境影响评价管理的通知》（</w:t>
      </w:r>
      <w:r>
        <w:rPr>
          <w:rFonts w:hint="eastAsia" w:ascii="Times New Roman" w:hAnsi="Times New Roman" w:eastAsia="宋体" w:cs="Times New Roman"/>
          <w:szCs w:val="22"/>
          <w:lang w:val="en-US" w:eastAsia="zh-CN"/>
        </w:rPr>
        <w:t>生态环境部</w:t>
      </w:r>
      <w:r>
        <w:rPr>
          <w:rFonts w:hint="default" w:ascii="Times New Roman" w:hAnsi="Times New Roman" w:eastAsia="宋体" w:cs="Times New Roman"/>
          <w:szCs w:val="22"/>
          <w:lang w:val="en-US" w:eastAsia="zh-CN"/>
        </w:rPr>
        <w:t>，</w:t>
      </w:r>
      <w:r>
        <w:rPr>
          <w:rFonts w:hint="eastAsia" w:ascii="Times New Roman" w:hAnsi="Times New Roman" w:eastAsia="宋体" w:cs="Times New Roman"/>
          <w:szCs w:val="22"/>
          <w:lang w:val="en-US" w:eastAsia="zh-CN"/>
        </w:rPr>
        <w:t>农业农村部</w:t>
      </w:r>
      <w:r>
        <w:rPr>
          <w:rFonts w:hint="default" w:ascii="Times New Roman" w:hAnsi="Times New Roman" w:eastAsia="宋体" w:cs="Times New Roman"/>
          <w:szCs w:val="22"/>
          <w:lang w:val="en-US" w:eastAsia="zh-CN"/>
        </w:rPr>
        <w:t>，环发〔2013〕86号）；</w:t>
      </w:r>
    </w:p>
    <w:p w14:paraId="6797B506">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w:t>
      </w:r>
      <w:r>
        <w:rPr>
          <w:rFonts w:hint="eastAsia" w:ascii="Times New Roman" w:hAnsi="Times New Roman" w:eastAsia="宋体" w:cs="Times New Roman"/>
          <w:szCs w:val="22"/>
          <w:lang w:val="en-US" w:eastAsia="zh-CN"/>
        </w:rPr>
        <w:t>9</w:t>
      </w:r>
      <w:r>
        <w:rPr>
          <w:rFonts w:hint="default" w:ascii="Times New Roman" w:hAnsi="Times New Roman" w:eastAsia="宋体" w:cs="Times New Roman"/>
          <w:szCs w:val="22"/>
          <w:lang w:val="en-US" w:eastAsia="zh-CN"/>
        </w:rPr>
        <w:t>）《全国生态功能区划（修编版）》（2015年11月13日</w:t>
      </w:r>
      <w:r>
        <w:rPr>
          <w:rFonts w:hint="eastAsia" w:ascii="Times New Roman" w:hAnsi="Times New Roman" w:eastAsia="宋体" w:cs="Times New Roman"/>
          <w:szCs w:val="22"/>
          <w:lang w:val="en-US" w:eastAsia="zh-CN"/>
        </w:rPr>
        <w:t>生态环境部</w:t>
      </w:r>
      <w:r>
        <w:rPr>
          <w:rFonts w:hint="default" w:ascii="Times New Roman" w:hAnsi="Times New Roman" w:eastAsia="宋体" w:cs="Times New Roman"/>
          <w:szCs w:val="22"/>
          <w:lang w:val="en-US" w:eastAsia="zh-CN"/>
        </w:rPr>
        <w:t>和中国科学院修编）；</w:t>
      </w:r>
    </w:p>
    <w:p w14:paraId="507B8D7A">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w:t>
      </w:r>
      <w:r>
        <w:rPr>
          <w:rFonts w:hint="eastAsia" w:ascii="Times New Roman" w:hAnsi="Times New Roman" w:eastAsia="宋体" w:cs="Times New Roman"/>
          <w:szCs w:val="22"/>
          <w:lang w:val="en-US" w:eastAsia="zh-CN"/>
        </w:rPr>
        <w:t>0</w:t>
      </w:r>
      <w:r>
        <w:rPr>
          <w:rFonts w:hint="default" w:ascii="Times New Roman" w:hAnsi="Times New Roman" w:eastAsia="宋体" w:cs="Times New Roman"/>
          <w:szCs w:val="22"/>
          <w:lang w:val="en-US" w:eastAsia="zh-CN"/>
        </w:rPr>
        <w:t>）《有重要生态、科学、社会价值的陆生野生动物名录》（2023年6月26日实施）；</w:t>
      </w:r>
    </w:p>
    <w:p w14:paraId="59FFFA42">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w:t>
      </w:r>
      <w:r>
        <w:rPr>
          <w:rFonts w:hint="eastAsia" w:ascii="Times New Roman" w:hAnsi="Times New Roman" w:eastAsia="宋体" w:cs="Times New Roman"/>
          <w:szCs w:val="22"/>
          <w:lang w:val="en-US" w:eastAsia="zh-CN"/>
        </w:rPr>
        <w:t>1</w:t>
      </w:r>
      <w:r>
        <w:rPr>
          <w:rFonts w:hint="default" w:ascii="Times New Roman" w:hAnsi="Times New Roman" w:eastAsia="宋体" w:cs="Times New Roman"/>
          <w:szCs w:val="22"/>
          <w:lang w:val="en-US" w:eastAsia="zh-CN"/>
        </w:rPr>
        <w:t>）《安徽省生态功能区划》（2003年11月1日发布）；</w:t>
      </w:r>
    </w:p>
    <w:p w14:paraId="4E9FCA07">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w:t>
      </w:r>
      <w:r>
        <w:rPr>
          <w:rFonts w:hint="eastAsia" w:ascii="Times New Roman" w:hAnsi="Times New Roman" w:eastAsia="宋体" w:cs="Times New Roman"/>
          <w:szCs w:val="22"/>
          <w:lang w:val="en-US" w:eastAsia="zh-CN"/>
        </w:rPr>
        <w:t>2</w:t>
      </w:r>
      <w:r>
        <w:rPr>
          <w:rFonts w:hint="default" w:ascii="Times New Roman" w:hAnsi="Times New Roman" w:eastAsia="宋体" w:cs="Times New Roman"/>
          <w:szCs w:val="22"/>
          <w:lang w:val="en-US" w:eastAsia="zh-CN"/>
        </w:rPr>
        <w:t>）《安徽省生态保护红线》（皖政秘〔2018〕120号）；</w:t>
      </w:r>
    </w:p>
    <w:p w14:paraId="69DF0E89">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cs="Times New Roman"/>
          <w:lang w:eastAsia="zh-CN"/>
        </w:rPr>
        <w:t>（</w:t>
      </w:r>
      <w:r>
        <w:rPr>
          <w:rFonts w:hint="default" w:ascii="Times New Roman" w:hAnsi="Times New Roman" w:cs="Times New Roman"/>
          <w:lang w:val="en-US" w:eastAsia="zh-CN"/>
        </w:rPr>
        <w:t>1</w:t>
      </w:r>
      <w:r>
        <w:rPr>
          <w:rFonts w:hint="eastAsia" w:ascii="Times New Roman" w:hAnsi="Times New Roman" w:cs="Times New Roman"/>
          <w:lang w:val="en-US" w:eastAsia="zh-CN"/>
        </w:rPr>
        <w:t>3</w:t>
      </w:r>
      <w:r>
        <w:rPr>
          <w:rFonts w:hint="default" w:ascii="Times New Roman" w:hAnsi="Times New Roman" w:cs="Times New Roman"/>
          <w:lang w:eastAsia="zh-CN"/>
        </w:rPr>
        <w:t>）</w:t>
      </w:r>
      <w:r>
        <w:rPr>
          <w:rFonts w:hint="default" w:ascii="Times New Roman" w:hAnsi="Times New Roman" w:cs="Times New Roman"/>
        </w:rPr>
        <w:t>《安徽省人民政府关于加快实施</w:t>
      </w:r>
      <w:r>
        <w:rPr>
          <w:rFonts w:hint="eastAsia" w:ascii="Times New Roman" w:hAnsi="Times New Roman" w:cs="Times New Roman"/>
          <w:lang w:eastAsia="zh-CN"/>
        </w:rPr>
        <w:t>“</w:t>
      </w:r>
      <w:r>
        <w:rPr>
          <w:rFonts w:hint="default" w:ascii="Times New Roman" w:hAnsi="Times New Roman" w:cs="Times New Roman"/>
        </w:rPr>
        <w:t>三线一单</w:t>
      </w:r>
      <w:r>
        <w:rPr>
          <w:rFonts w:hint="eastAsia" w:ascii="Times New Roman" w:hAnsi="Times New Roman" w:cs="Times New Roman"/>
          <w:lang w:eastAsia="zh-CN"/>
        </w:rPr>
        <w:t>”</w:t>
      </w:r>
      <w:r>
        <w:rPr>
          <w:rFonts w:hint="default" w:ascii="Times New Roman" w:hAnsi="Times New Roman" w:cs="Times New Roman"/>
        </w:rPr>
        <w:t>生态环境分区管控的通知》（安徽省人</w:t>
      </w:r>
      <w:r>
        <w:rPr>
          <w:rFonts w:hint="default" w:ascii="Times New Roman" w:hAnsi="Times New Roman" w:eastAsia="宋体" w:cs="Times New Roman"/>
          <w:szCs w:val="22"/>
          <w:lang w:val="en-US" w:eastAsia="zh-CN"/>
        </w:rPr>
        <w:t>民政府，2020年7月10日）；</w:t>
      </w:r>
    </w:p>
    <w:p w14:paraId="08D1B086">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w:t>
      </w:r>
      <w:r>
        <w:rPr>
          <w:rFonts w:hint="eastAsia" w:ascii="Times New Roman" w:hAnsi="Times New Roman" w:eastAsia="宋体" w:cs="Times New Roman"/>
          <w:szCs w:val="22"/>
          <w:lang w:val="en-US" w:eastAsia="zh-CN"/>
        </w:rPr>
        <w:t>14</w:t>
      </w:r>
      <w:r>
        <w:rPr>
          <w:rFonts w:hint="default" w:ascii="Times New Roman" w:hAnsi="Times New Roman" w:eastAsia="宋体" w:cs="Times New Roman"/>
          <w:szCs w:val="22"/>
          <w:lang w:val="en-US" w:eastAsia="zh-CN"/>
        </w:rPr>
        <w:t>）《关于印发六安市</w:t>
      </w:r>
      <w:r>
        <w:rPr>
          <w:rFonts w:hint="eastAsia" w:ascii="Times New Roman" w:hAnsi="Times New Roman" w:eastAsia="宋体" w:cs="Times New Roman"/>
          <w:szCs w:val="22"/>
          <w:lang w:val="en-US" w:eastAsia="zh-CN"/>
        </w:rPr>
        <w:t>“</w:t>
      </w:r>
      <w:r>
        <w:rPr>
          <w:rFonts w:hint="default" w:ascii="Times New Roman" w:hAnsi="Times New Roman" w:eastAsia="宋体" w:cs="Times New Roman"/>
          <w:szCs w:val="22"/>
          <w:lang w:val="en-US" w:eastAsia="zh-CN"/>
        </w:rPr>
        <w:t>三线一单</w:t>
      </w:r>
      <w:r>
        <w:rPr>
          <w:rFonts w:hint="eastAsia" w:ascii="Times New Roman" w:hAnsi="Times New Roman" w:eastAsia="宋体" w:cs="Times New Roman"/>
          <w:szCs w:val="22"/>
          <w:lang w:val="en-US" w:eastAsia="zh-CN"/>
        </w:rPr>
        <w:t>”</w:t>
      </w:r>
      <w:r>
        <w:rPr>
          <w:rFonts w:hint="default" w:ascii="Times New Roman" w:hAnsi="Times New Roman" w:eastAsia="宋体" w:cs="Times New Roman"/>
          <w:szCs w:val="22"/>
          <w:lang w:val="en-US" w:eastAsia="zh-CN"/>
        </w:rPr>
        <w:t>技术成果的通知》（六安市环境保护委员会办公室，2021年4月14日）。</w:t>
      </w:r>
    </w:p>
    <w:p w14:paraId="5A2EAD46">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534" w:name="_Toc18170"/>
      <w:bookmarkStart w:id="535" w:name="_Toc11833"/>
      <w:bookmarkStart w:id="536" w:name="_Toc28133"/>
      <w:bookmarkStart w:id="537" w:name="_Toc13094"/>
      <w:bookmarkStart w:id="538" w:name="_Toc24702"/>
      <w:bookmarkStart w:id="539" w:name="_Toc6604"/>
      <w:bookmarkStart w:id="540" w:name="_Toc14276"/>
      <w:bookmarkStart w:id="541" w:name="_Toc22593"/>
      <w:r>
        <w:rPr>
          <w:rFonts w:hint="default"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val="en-US" w:eastAsia="zh-CN"/>
        </w:rPr>
        <w:t>.3标准规范</w:t>
      </w:r>
      <w:bookmarkEnd w:id="534"/>
      <w:bookmarkEnd w:id="535"/>
      <w:bookmarkEnd w:id="536"/>
      <w:bookmarkEnd w:id="537"/>
      <w:bookmarkEnd w:id="538"/>
      <w:bookmarkEnd w:id="539"/>
      <w:bookmarkEnd w:id="540"/>
      <w:bookmarkEnd w:id="541"/>
    </w:p>
    <w:p w14:paraId="2636AC44">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（1）《建设项目环境影响评估技术导则 总纲》（HJ2.1-2016）；</w:t>
      </w:r>
    </w:p>
    <w:p w14:paraId="483FDBD7">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（2）《环境影响评估技术导则 生态影响》（HJ 19-2022）；</w:t>
      </w:r>
    </w:p>
    <w:p w14:paraId="4FB4536A">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（3）《建设项目环境风险评价技术导则》（HJ 169-2018）；</w:t>
      </w:r>
    </w:p>
    <w:p w14:paraId="6DA3C76A">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（4）《生态环境状况评价技术规范》（HJ 192-2015）；</w:t>
      </w:r>
    </w:p>
    <w:p w14:paraId="3534B28C">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（5）《水环境检测规范》（SL219-2013）；</w:t>
      </w:r>
    </w:p>
    <w:p w14:paraId="75CD9CE6">
      <w:pPr>
        <w:pStyle w:val="9"/>
        <w:adjustRightInd w:val="0"/>
        <w:snapToGrid w:val="0"/>
        <w:spacing w:after="0" w:line="360" w:lineRule="auto"/>
        <w:ind w:firstLine="480" w:firstLineChars="200"/>
        <w:rPr>
          <w:rFonts w:hint="default" w:ascii="Times New Roman" w:hAnsi="Times New Roman" w:eastAsia="宋体" w:cs="Times New Roman"/>
          <w:szCs w:val="22"/>
          <w:highlight w:val="none"/>
          <w:lang w:val="en-US" w:eastAsia="zh-CN"/>
        </w:rPr>
      </w:pPr>
      <w:r>
        <w:rPr>
          <w:rFonts w:hint="default" w:ascii="Times New Roman" w:hAnsi="Times New Roman" w:eastAsia="宋体" w:cs="Times New Roman"/>
          <w:szCs w:val="22"/>
          <w:lang w:val="en-US" w:eastAsia="zh-CN"/>
        </w:rPr>
        <w:t>（6）</w:t>
      </w:r>
      <w:r>
        <w:rPr>
          <w:rFonts w:hint="default" w:ascii="Times New Roman" w:hAnsi="Times New Roman" w:eastAsia="宋体" w:cs="Times New Roman"/>
          <w:szCs w:val="22"/>
          <w:highlight w:val="none"/>
          <w:lang w:val="en-US" w:eastAsia="zh-CN"/>
        </w:rPr>
        <w:t>《生物多样性观测技术导则 陆生维管植物》（HJ 710.1-2014）；</w:t>
      </w:r>
    </w:p>
    <w:p w14:paraId="21713560">
      <w:pPr>
        <w:pStyle w:val="9"/>
        <w:adjustRightInd w:val="0"/>
        <w:snapToGrid w:val="0"/>
        <w:spacing w:after="0" w:line="360" w:lineRule="auto"/>
        <w:ind w:firstLine="480" w:firstLineChars="200"/>
        <w:rPr>
          <w:rFonts w:hint="default" w:ascii="Times New Roman" w:hAnsi="Times New Roman" w:eastAsia="宋体" w:cs="Times New Roman"/>
          <w:szCs w:val="22"/>
          <w:highlight w:val="none"/>
          <w:lang w:val="en-US" w:eastAsia="zh-CN"/>
        </w:rPr>
      </w:pPr>
      <w:r>
        <w:rPr>
          <w:rFonts w:hint="default" w:ascii="Times New Roman" w:hAnsi="Times New Roman" w:eastAsia="宋体" w:cs="Times New Roman"/>
          <w:szCs w:val="22"/>
          <w:highlight w:val="none"/>
          <w:lang w:val="en-US" w:eastAsia="zh-CN"/>
        </w:rPr>
        <w:t>（</w:t>
      </w:r>
      <w:r>
        <w:rPr>
          <w:rFonts w:hint="eastAsia" w:ascii="Times New Roman" w:hAnsi="Times New Roman" w:eastAsia="宋体" w:cs="Times New Roman"/>
          <w:szCs w:val="22"/>
          <w:highlight w:val="none"/>
          <w:lang w:val="en-US" w:eastAsia="zh-CN"/>
        </w:rPr>
        <w:t>7</w:t>
      </w:r>
      <w:r>
        <w:rPr>
          <w:rFonts w:hint="default" w:ascii="Times New Roman" w:hAnsi="Times New Roman" w:eastAsia="宋体" w:cs="Times New Roman"/>
          <w:szCs w:val="22"/>
          <w:highlight w:val="none"/>
          <w:lang w:val="en-US" w:eastAsia="zh-CN"/>
        </w:rPr>
        <w:t>）《生物多样性观测技术导则 陆生哺乳动物》（HJ 710.3-2014）；</w:t>
      </w:r>
    </w:p>
    <w:p w14:paraId="1092741F">
      <w:pPr>
        <w:pStyle w:val="9"/>
        <w:adjustRightInd w:val="0"/>
        <w:snapToGrid w:val="0"/>
        <w:spacing w:after="0" w:line="360" w:lineRule="auto"/>
        <w:ind w:firstLine="480" w:firstLineChars="200"/>
        <w:rPr>
          <w:rFonts w:hint="default" w:ascii="Times New Roman" w:hAnsi="Times New Roman" w:eastAsia="宋体" w:cs="Times New Roman"/>
          <w:szCs w:val="22"/>
          <w:highlight w:val="none"/>
          <w:lang w:val="en-US" w:eastAsia="zh-CN"/>
        </w:rPr>
      </w:pPr>
      <w:r>
        <w:rPr>
          <w:rFonts w:hint="default" w:ascii="Times New Roman" w:hAnsi="Times New Roman" w:eastAsia="宋体" w:cs="Times New Roman"/>
          <w:szCs w:val="22"/>
          <w:highlight w:val="none"/>
          <w:lang w:val="en-US" w:eastAsia="zh-CN"/>
        </w:rPr>
        <w:t>（</w:t>
      </w:r>
      <w:r>
        <w:rPr>
          <w:rFonts w:hint="eastAsia" w:ascii="Times New Roman" w:hAnsi="Times New Roman" w:eastAsia="宋体" w:cs="Times New Roman"/>
          <w:szCs w:val="22"/>
          <w:highlight w:val="none"/>
          <w:lang w:val="en-US" w:eastAsia="zh-CN"/>
        </w:rPr>
        <w:t>8</w:t>
      </w:r>
      <w:r>
        <w:rPr>
          <w:rFonts w:hint="default" w:ascii="Times New Roman" w:hAnsi="Times New Roman" w:eastAsia="宋体" w:cs="Times New Roman"/>
          <w:szCs w:val="22"/>
          <w:highlight w:val="none"/>
          <w:lang w:val="en-US" w:eastAsia="zh-CN"/>
        </w:rPr>
        <w:t>）《生物多样性观测技术导则 鸟类》（HJ 710.4-2014）；</w:t>
      </w:r>
    </w:p>
    <w:p w14:paraId="069900DB">
      <w:pPr>
        <w:pStyle w:val="9"/>
        <w:adjustRightInd w:val="0"/>
        <w:snapToGrid w:val="0"/>
        <w:spacing w:after="0" w:line="360" w:lineRule="auto"/>
        <w:ind w:firstLine="480" w:firstLineChars="200"/>
        <w:rPr>
          <w:rFonts w:hint="default" w:ascii="Times New Roman" w:hAnsi="Times New Roman" w:eastAsia="宋体" w:cs="Times New Roman"/>
          <w:szCs w:val="22"/>
          <w:highlight w:val="none"/>
          <w:lang w:val="en-US" w:eastAsia="zh-CN"/>
        </w:rPr>
      </w:pPr>
      <w:r>
        <w:rPr>
          <w:rFonts w:hint="default" w:ascii="Times New Roman" w:hAnsi="Times New Roman" w:eastAsia="宋体" w:cs="Times New Roman"/>
          <w:szCs w:val="22"/>
          <w:highlight w:val="none"/>
          <w:lang w:val="en-US" w:eastAsia="zh-CN"/>
        </w:rPr>
        <w:t>（</w:t>
      </w:r>
      <w:r>
        <w:rPr>
          <w:rFonts w:hint="eastAsia" w:ascii="Times New Roman" w:hAnsi="Times New Roman" w:eastAsia="宋体" w:cs="Times New Roman"/>
          <w:szCs w:val="22"/>
          <w:highlight w:val="none"/>
          <w:lang w:val="en-US" w:eastAsia="zh-CN"/>
        </w:rPr>
        <w:t>9</w:t>
      </w:r>
      <w:r>
        <w:rPr>
          <w:rFonts w:hint="default" w:ascii="Times New Roman" w:hAnsi="Times New Roman" w:eastAsia="宋体" w:cs="Times New Roman"/>
          <w:szCs w:val="22"/>
          <w:highlight w:val="none"/>
          <w:lang w:val="en-US" w:eastAsia="zh-CN"/>
        </w:rPr>
        <w:t>）《生物多样性观测技术导则 爬行动物》（HJ 710.5-2014）；</w:t>
      </w:r>
    </w:p>
    <w:p w14:paraId="468D9BEE">
      <w:pPr>
        <w:pStyle w:val="9"/>
        <w:adjustRightInd w:val="0"/>
        <w:snapToGrid w:val="0"/>
        <w:spacing w:after="0" w:line="360" w:lineRule="auto"/>
        <w:ind w:firstLine="480" w:firstLineChars="200"/>
        <w:rPr>
          <w:rFonts w:hint="default" w:ascii="Times New Roman" w:hAnsi="Times New Roman" w:eastAsia="宋体" w:cs="Times New Roman"/>
          <w:szCs w:val="22"/>
          <w:highlight w:val="none"/>
          <w:lang w:val="en-US" w:eastAsia="zh-CN"/>
        </w:rPr>
      </w:pPr>
      <w:r>
        <w:rPr>
          <w:rFonts w:hint="default" w:ascii="Times New Roman" w:hAnsi="Times New Roman" w:eastAsia="宋体" w:cs="Times New Roman"/>
          <w:szCs w:val="22"/>
          <w:highlight w:val="none"/>
          <w:lang w:val="en-US" w:eastAsia="zh-CN"/>
        </w:rPr>
        <w:t>（</w:t>
      </w:r>
      <w:r>
        <w:rPr>
          <w:rFonts w:hint="eastAsia" w:ascii="Times New Roman" w:hAnsi="Times New Roman" w:eastAsia="宋体" w:cs="Times New Roman"/>
          <w:szCs w:val="22"/>
          <w:highlight w:val="none"/>
          <w:lang w:val="en-US" w:eastAsia="zh-CN"/>
        </w:rPr>
        <w:t>10</w:t>
      </w:r>
      <w:r>
        <w:rPr>
          <w:rFonts w:hint="default" w:ascii="Times New Roman" w:hAnsi="Times New Roman" w:eastAsia="宋体" w:cs="Times New Roman"/>
          <w:szCs w:val="22"/>
          <w:highlight w:val="none"/>
          <w:lang w:val="en-US" w:eastAsia="zh-CN"/>
        </w:rPr>
        <w:t>）《生物多样性观测技术导则 两栖动物》（HJ 710.6-2014）；</w:t>
      </w:r>
    </w:p>
    <w:p w14:paraId="5FE33813">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highlight w:val="none"/>
          <w:lang w:val="en-US" w:eastAsia="zh-CN"/>
        </w:rPr>
        <w:t>（</w:t>
      </w:r>
      <w:r>
        <w:rPr>
          <w:rFonts w:hint="eastAsia" w:ascii="Times New Roman" w:hAnsi="Times New Roman" w:eastAsia="宋体" w:cs="Times New Roman"/>
          <w:szCs w:val="22"/>
          <w:highlight w:val="none"/>
          <w:lang w:val="en-US" w:eastAsia="zh-CN"/>
        </w:rPr>
        <w:t>11</w:t>
      </w:r>
      <w:r>
        <w:rPr>
          <w:rFonts w:hint="default" w:ascii="Times New Roman" w:hAnsi="Times New Roman" w:eastAsia="宋体" w:cs="Times New Roman"/>
          <w:szCs w:val="22"/>
          <w:highlight w:val="none"/>
          <w:lang w:val="en-US" w:eastAsia="zh-CN"/>
        </w:rPr>
        <w:t>）《生物多样</w:t>
      </w:r>
      <w:r>
        <w:rPr>
          <w:rFonts w:hint="default" w:ascii="Times New Roman" w:hAnsi="Times New Roman" w:eastAsia="宋体" w:cs="Times New Roman"/>
          <w:szCs w:val="22"/>
          <w:lang w:val="en-US" w:eastAsia="zh-CN"/>
        </w:rPr>
        <w:t>性观测技术导则 内陆水域鱼类》（HJ 710.7-2014）；</w:t>
      </w:r>
    </w:p>
    <w:p w14:paraId="0C16D44D">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w:t>
      </w:r>
      <w:r>
        <w:rPr>
          <w:rFonts w:hint="eastAsia" w:ascii="Times New Roman" w:hAnsi="Times New Roman" w:eastAsia="宋体" w:cs="Times New Roman"/>
          <w:szCs w:val="22"/>
          <w:lang w:val="en-US" w:eastAsia="zh-CN"/>
        </w:rPr>
        <w:t>12</w:t>
      </w:r>
      <w:r>
        <w:rPr>
          <w:rFonts w:hint="default" w:ascii="Times New Roman" w:hAnsi="Times New Roman" w:eastAsia="宋体" w:cs="Times New Roman"/>
          <w:szCs w:val="22"/>
          <w:lang w:val="en-US" w:eastAsia="zh-CN"/>
        </w:rPr>
        <w:t>）《生物多样性观测技术导则 淡水底栖大型无脊椎动物》（HJ 710.8-2014）；</w:t>
      </w:r>
    </w:p>
    <w:p w14:paraId="251704F8">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w:t>
      </w:r>
      <w:r>
        <w:rPr>
          <w:rFonts w:hint="eastAsia" w:ascii="Times New Roman" w:hAnsi="Times New Roman" w:eastAsia="宋体" w:cs="Times New Roman"/>
          <w:szCs w:val="22"/>
          <w:lang w:val="en-US" w:eastAsia="zh-CN"/>
        </w:rPr>
        <w:t>13</w:t>
      </w:r>
      <w:r>
        <w:rPr>
          <w:rFonts w:hint="default" w:ascii="Times New Roman" w:hAnsi="Times New Roman" w:eastAsia="宋体" w:cs="Times New Roman"/>
          <w:szCs w:val="22"/>
          <w:lang w:val="en-US" w:eastAsia="zh-CN"/>
        </w:rPr>
        <w:t>）《生物多样性观测技术导则 水生维管植物》（HJ 710.12-2016）；</w:t>
      </w:r>
    </w:p>
    <w:p w14:paraId="62C17166">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w:t>
      </w:r>
      <w:r>
        <w:rPr>
          <w:rFonts w:hint="eastAsia" w:ascii="Times New Roman" w:hAnsi="Times New Roman" w:eastAsia="宋体" w:cs="Times New Roman"/>
          <w:szCs w:val="22"/>
          <w:lang w:val="en-US" w:eastAsia="zh-CN"/>
        </w:rPr>
        <w:t>14</w:t>
      </w:r>
      <w:r>
        <w:rPr>
          <w:rFonts w:hint="default" w:ascii="Times New Roman" w:hAnsi="Times New Roman" w:eastAsia="宋体" w:cs="Times New Roman"/>
          <w:szCs w:val="22"/>
          <w:lang w:val="en-US" w:eastAsia="zh-CN"/>
        </w:rPr>
        <w:t>）《环境影响评价技术导则 公路建设项目》（HJ1358-2024）；</w:t>
      </w:r>
    </w:p>
    <w:p w14:paraId="47BD9B60">
      <w:pPr>
        <w:pStyle w:val="9"/>
        <w:adjustRightInd w:val="0"/>
        <w:snapToGrid w:val="0"/>
        <w:spacing w:after="0" w:line="360" w:lineRule="auto"/>
        <w:ind w:firstLine="480" w:firstLineChars="200"/>
        <w:rPr>
          <w:rFonts w:hint="default" w:ascii="Times New Roman" w:hAnsi="Times New Roman" w:cs="Times New Roman"/>
        </w:rPr>
      </w:pPr>
      <w:r>
        <w:rPr>
          <w:rFonts w:hint="default" w:ascii="Times New Roman" w:hAnsi="Times New Roman" w:eastAsia="宋体" w:cs="Times New Roman"/>
          <w:szCs w:val="22"/>
          <w:lang w:val="en-US" w:eastAsia="zh-CN"/>
        </w:rPr>
        <w:t>（</w:t>
      </w:r>
      <w:r>
        <w:rPr>
          <w:rFonts w:hint="eastAsia" w:ascii="Times New Roman" w:hAnsi="Times New Roman" w:eastAsia="宋体" w:cs="Times New Roman"/>
          <w:szCs w:val="22"/>
          <w:lang w:val="en-US" w:eastAsia="zh-CN"/>
        </w:rPr>
        <w:t>15</w:t>
      </w:r>
      <w:r>
        <w:rPr>
          <w:rFonts w:hint="default" w:ascii="Times New Roman" w:hAnsi="Times New Roman" w:eastAsia="宋体" w:cs="Times New Roman"/>
          <w:szCs w:val="22"/>
          <w:lang w:val="en-US" w:eastAsia="zh-CN"/>
        </w:rPr>
        <w:t>）《建设项目环境影响报</w:t>
      </w:r>
      <w:r>
        <w:rPr>
          <w:rFonts w:hint="default" w:ascii="Times New Roman" w:hAnsi="Times New Roman" w:eastAsia="宋体" w:cs="Times New Roman"/>
          <w:color w:val="000000"/>
          <w:kern w:val="0"/>
          <w:sz w:val="24"/>
          <w:szCs w:val="24"/>
          <w:lang w:val="en-US" w:eastAsia="zh-CN" w:bidi="ar"/>
        </w:rPr>
        <w:t>告表编制技术指南（生态影响类）（试行）》。</w:t>
      </w:r>
    </w:p>
    <w:p w14:paraId="607C6803">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542" w:name="_Toc14879"/>
      <w:bookmarkStart w:id="543" w:name="_Toc10804"/>
      <w:bookmarkStart w:id="544" w:name="_Toc25625"/>
      <w:bookmarkStart w:id="545" w:name="_Toc28794"/>
      <w:bookmarkStart w:id="546" w:name="_Toc12874"/>
      <w:r>
        <w:rPr>
          <w:rFonts w:hint="default"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val="en-US" w:eastAsia="zh-CN"/>
        </w:rPr>
        <w:t>.4技术文件</w:t>
      </w:r>
      <w:bookmarkEnd w:id="542"/>
      <w:bookmarkEnd w:id="543"/>
      <w:bookmarkEnd w:id="544"/>
      <w:bookmarkEnd w:id="545"/>
      <w:bookmarkEnd w:id="546"/>
    </w:p>
    <w:p w14:paraId="3B64555D">
      <w:pPr>
        <w:pStyle w:val="9"/>
        <w:adjustRightInd w:val="0"/>
        <w:snapToGrid w:val="0"/>
        <w:spacing w:after="0" w:line="360" w:lineRule="auto"/>
        <w:ind w:firstLine="480" w:firstLineChars="200"/>
        <w:rPr>
          <w:rFonts w:hint="default" w:ascii="Times New Roman" w:hAnsi="Times New Roman" w:eastAsia="宋体" w:cs="Times New Roman"/>
          <w:color w:val="auto"/>
          <w:szCs w:val="22"/>
          <w:lang w:val="en-US" w:eastAsia="zh-CN"/>
        </w:rPr>
      </w:pPr>
      <w:bookmarkStart w:id="547" w:name="_Toc27169"/>
      <w:bookmarkStart w:id="548" w:name="_Toc29753"/>
      <w:bookmarkStart w:id="549" w:name="_Toc3061"/>
      <w:bookmarkStart w:id="550" w:name="_Toc8110"/>
      <w:r>
        <w:rPr>
          <w:rFonts w:hint="default" w:ascii="Times New Roman" w:hAnsi="Times New Roman" w:eastAsia="宋体" w:cs="Times New Roman"/>
          <w:color w:val="auto"/>
          <w:szCs w:val="22"/>
          <w:lang w:val="en-US" w:eastAsia="zh-CN"/>
        </w:rPr>
        <w:t>（1）《金寨县发展和改革委员会关于</w:t>
      </w:r>
      <w:r>
        <w:rPr>
          <w:rFonts w:hint="eastAsia" w:ascii="Times New Roman" w:hAnsi="Times New Roman" w:eastAsia="宋体" w:cs="Times New Roman"/>
          <w:color w:val="auto"/>
          <w:szCs w:val="22"/>
          <w:lang w:val="en-US" w:eastAsia="zh-CN"/>
        </w:rPr>
        <w:t>金寨县关庙乡沙坪沟至蔡家湾公路升级改造工程项目建议书</w:t>
      </w:r>
      <w:r>
        <w:rPr>
          <w:rFonts w:hint="default" w:ascii="Times New Roman" w:hAnsi="Times New Roman" w:eastAsia="宋体" w:cs="Times New Roman"/>
          <w:color w:val="auto"/>
          <w:szCs w:val="22"/>
          <w:lang w:val="en-US" w:eastAsia="zh-CN"/>
        </w:rPr>
        <w:t>的批复》，</w:t>
      </w:r>
      <w:r>
        <w:rPr>
          <w:rFonts w:hint="eastAsia" w:ascii="Times New Roman" w:hAnsi="Times New Roman" w:eastAsia="宋体" w:cs="Times New Roman"/>
          <w:color w:val="auto"/>
          <w:szCs w:val="22"/>
          <w:lang w:val="en-US" w:eastAsia="zh-CN"/>
        </w:rPr>
        <w:t>金</w:t>
      </w:r>
      <w:r>
        <w:rPr>
          <w:rFonts w:hint="default" w:ascii="Times New Roman" w:hAnsi="Times New Roman" w:eastAsia="宋体" w:cs="Times New Roman"/>
          <w:color w:val="auto"/>
          <w:szCs w:val="22"/>
          <w:lang w:val="en-US" w:eastAsia="zh-CN"/>
        </w:rPr>
        <w:t>发改审批〔202</w:t>
      </w:r>
      <w:r>
        <w:rPr>
          <w:rFonts w:hint="eastAsia" w:ascii="Times New Roman" w:hAnsi="Times New Roman" w:eastAsia="宋体" w:cs="Times New Roman"/>
          <w:color w:val="auto"/>
          <w:szCs w:val="22"/>
          <w:lang w:val="en-US" w:eastAsia="zh-CN"/>
        </w:rPr>
        <w:t>5</w:t>
      </w:r>
      <w:r>
        <w:rPr>
          <w:rFonts w:hint="default" w:ascii="Times New Roman" w:hAnsi="Times New Roman" w:eastAsia="宋体" w:cs="Times New Roman"/>
          <w:color w:val="auto"/>
          <w:szCs w:val="22"/>
          <w:lang w:val="en-US" w:eastAsia="zh-CN"/>
        </w:rPr>
        <w:t>〕</w:t>
      </w:r>
      <w:r>
        <w:rPr>
          <w:rFonts w:hint="eastAsia" w:ascii="Times New Roman" w:hAnsi="Times New Roman" w:eastAsia="宋体" w:cs="Times New Roman"/>
          <w:color w:val="auto"/>
          <w:szCs w:val="22"/>
          <w:lang w:val="en-US" w:eastAsia="zh-CN"/>
        </w:rPr>
        <w:t>246</w:t>
      </w:r>
      <w:r>
        <w:rPr>
          <w:rFonts w:hint="default" w:ascii="Times New Roman" w:hAnsi="Times New Roman" w:eastAsia="宋体" w:cs="Times New Roman"/>
          <w:color w:val="auto"/>
          <w:szCs w:val="22"/>
          <w:lang w:val="en-US" w:eastAsia="zh-CN"/>
        </w:rPr>
        <w:t>号；</w:t>
      </w:r>
    </w:p>
    <w:p w14:paraId="78DB78C1">
      <w:pPr>
        <w:pStyle w:val="9"/>
        <w:adjustRightInd w:val="0"/>
        <w:snapToGrid w:val="0"/>
        <w:spacing w:after="0" w:line="360" w:lineRule="auto"/>
        <w:ind w:firstLine="480" w:firstLineChars="200"/>
        <w:rPr>
          <w:rFonts w:hint="default" w:ascii="Times New Roman" w:hAnsi="Times New Roman" w:eastAsia="宋体" w:cs="Times New Roman"/>
          <w:color w:val="auto"/>
          <w:szCs w:val="22"/>
          <w:lang w:val="en-US" w:eastAsia="zh-CN"/>
        </w:rPr>
      </w:pPr>
      <w:r>
        <w:rPr>
          <w:rFonts w:hint="eastAsia" w:ascii="Times New Roman" w:hAnsi="Times New Roman" w:eastAsia="宋体" w:cs="Times New Roman"/>
          <w:color w:val="auto"/>
          <w:szCs w:val="22"/>
          <w:lang w:val="en-US" w:eastAsia="zh-CN"/>
        </w:rPr>
        <w:t>（2）</w:t>
      </w:r>
      <w:r>
        <w:rPr>
          <w:rFonts w:hint="default" w:ascii="Times New Roman" w:hAnsi="Times New Roman" w:eastAsia="宋体" w:cs="Times New Roman"/>
          <w:color w:val="auto"/>
          <w:szCs w:val="22"/>
          <w:lang w:val="en-US" w:eastAsia="zh-CN"/>
        </w:rPr>
        <w:t>《</w:t>
      </w:r>
      <w:r>
        <w:rPr>
          <w:rFonts w:hint="eastAsia" w:ascii="Times New Roman" w:hAnsi="Times New Roman" w:eastAsia="宋体" w:cs="Times New Roman"/>
          <w:color w:val="auto"/>
          <w:szCs w:val="22"/>
          <w:lang w:val="en-US" w:eastAsia="zh-CN"/>
        </w:rPr>
        <w:t>金寨县关庙乡沙坪沟至蔡家湾公路升级改造工程</w:t>
      </w:r>
      <w:r>
        <w:rPr>
          <w:rFonts w:hint="default" w:ascii="Times New Roman" w:hAnsi="Times New Roman" w:eastAsia="宋体" w:cs="Times New Roman"/>
          <w:color w:val="auto"/>
          <w:szCs w:val="22"/>
          <w:lang w:val="en-US" w:eastAsia="zh-CN"/>
        </w:rPr>
        <w:t>可行性研究报告》（安徽博通交通规划设计研究院有限公司，202</w:t>
      </w:r>
      <w:r>
        <w:rPr>
          <w:rFonts w:hint="eastAsia" w:ascii="Times New Roman" w:hAnsi="Times New Roman" w:eastAsia="宋体" w:cs="Times New Roman"/>
          <w:color w:val="auto"/>
          <w:szCs w:val="22"/>
          <w:lang w:val="en-US" w:eastAsia="zh-CN"/>
        </w:rPr>
        <w:t>5</w:t>
      </w:r>
      <w:r>
        <w:rPr>
          <w:rFonts w:hint="default" w:ascii="Times New Roman" w:hAnsi="Times New Roman" w:eastAsia="宋体" w:cs="Times New Roman"/>
          <w:color w:val="auto"/>
          <w:szCs w:val="22"/>
          <w:lang w:val="en-US" w:eastAsia="zh-CN"/>
        </w:rPr>
        <w:t>年</w:t>
      </w:r>
      <w:r>
        <w:rPr>
          <w:rFonts w:hint="eastAsia" w:ascii="Times New Roman" w:hAnsi="Times New Roman" w:eastAsia="宋体" w:cs="Times New Roman"/>
          <w:color w:val="auto"/>
          <w:szCs w:val="22"/>
          <w:lang w:val="en-US" w:eastAsia="zh-CN"/>
        </w:rPr>
        <w:t>6</w:t>
      </w:r>
      <w:r>
        <w:rPr>
          <w:rFonts w:hint="default" w:ascii="Times New Roman" w:hAnsi="Times New Roman" w:eastAsia="宋体" w:cs="Times New Roman"/>
          <w:color w:val="auto"/>
          <w:szCs w:val="22"/>
          <w:lang w:val="en-US" w:eastAsia="zh-CN"/>
        </w:rPr>
        <w:t>月）；</w:t>
      </w:r>
    </w:p>
    <w:p w14:paraId="36EAAB37">
      <w:pPr>
        <w:pStyle w:val="9"/>
        <w:adjustRightInd w:val="0"/>
        <w:snapToGrid w:val="0"/>
        <w:spacing w:after="0" w:line="360" w:lineRule="auto"/>
        <w:ind w:firstLine="480" w:firstLineChars="200"/>
        <w:rPr>
          <w:rFonts w:hint="default" w:ascii="Times New Roman" w:hAnsi="Times New Roman" w:eastAsia="宋体" w:cs="Times New Roman"/>
          <w:color w:val="auto"/>
          <w:szCs w:val="22"/>
          <w:lang w:val="en-US" w:eastAsia="zh-CN"/>
        </w:rPr>
      </w:pPr>
      <w:r>
        <w:rPr>
          <w:rFonts w:hint="default" w:ascii="Times New Roman" w:hAnsi="Times New Roman" w:eastAsia="宋体" w:cs="Times New Roman"/>
          <w:color w:val="auto"/>
          <w:szCs w:val="22"/>
          <w:lang w:val="en-US" w:eastAsia="zh-CN"/>
        </w:rPr>
        <w:t>（</w:t>
      </w:r>
      <w:r>
        <w:rPr>
          <w:rFonts w:hint="eastAsia" w:ascii="Times New Roman" w:hAnsi="Times New Roman" w:eastAsia="宋体" w:cs="Times New Roman"/>
          <w:color w:val="auto"/>
          <w:szCs w:val="22"/>
          <w:lang w:val="en-US" w:eastAsia="zh-CN"/>
        </w:rPr>
        <w:t>3</w:t>
      </w:r>
      <w:r>
        <w:rPr>
          <w:rFonts w:hint="default" w:ascii="Times New Roman" w:hAnsi="Times New Roman" w:eastAsia="宋体" w:cs="Times New Roman"/>
          <w:color w:val="auto"/>
          <w:szCs w:val="22"/>
          <w:lang w:val="en-US" w:eastAsia="zh-CN"/>
        </w:rPr>
        <w:t>）《金寨县发展和改革委员会关于</w:t>
      </w:r>
      <w:r>
        <w:rPr>
          <w:rFonts w:hint="eastAsia" w:ascii="Times New Roman" w:hAnsi="Times New Roman" w:eastAsia="宋体" w:cs="Times New Roman"/>
          <w:color w:val="auto"/>
          <w:szCs w:val="22"/>
          <w:lang w:val="en-US" w:eastAsia="zh-CN"/>
        </w:rPr>
        <w:t>金寨县关庙乡沙坪沟至蔡家湾公路升级改造工程</w:t>
      </w:r>
      <w:r>
        <w:rPr>
          <w:rFonts w:hint="default" w:ascii="Times New Roman" w:hAnsi="Times New Roman" w:eastAsia="宋体" w:cs="Times New Roman"/>
          <w:color w:val="auto"/>
          <w:szCs w:val="22"/>
          <w:lang w:val="en-US" w:eastAsia="zh-CN"/>
        </w:rPr>
        <w:t>可行性研究报告的批复》，</w:t>
      </w:r>
      <w:r>
        <w:rPr>
          <w:rFonts w:hint="eastAsia" w:ascii="Times New Roman" w:hAnsi="Times New Roman" w:eastAsia="宋体" w:cs="Times New Roman"/>
          <w:color w:val="auto"/>
          <w:szCs w:val="22"/>
          <w:lang w:val="en-US" w:eastAsia="zh-CN"/>
        </w:rPr>
        <w:t>金</w:t>
      </w:r>
      <w:r>
        <w:rPr>
          <w:rFonts w:hint="default" w:ascii="Times New Roman" w:hAnsi="Times New Roman" w:eastAsia="宋体" w:cs="Times New Roman"/>
          <w:color w:val="auto"/>
          <w:szCs w:val="22"/>
          <w:lang w:val="en-US" w:eastAsia="zh-CN"/>
        </w:rPr>
        <w:t>发改审批〔202</w:t>
      </w:r>
      <w:r>
        <w:rPr>
          <w:rFonts w:hint="eastAsia" w:ascii="Times New Roman" w:hAnsi="Times New Roman" w:eastAsia="宋体" w:cs="Times New Roman"/>
          <w:color w:val="auto"/>
          <w:szCs w:val="22"/>
          <w:lang w:val="en-US" w:eastAsia="zh-CN"/>
        </w:rPr>
        <w:t>5</w:t>
      </w:r>
      <w:r>
        <w:rPr>
          <w:rFonts w:hint="default" w:ascii="Times New Roman" w:hAnsi="Times New Roman" w:eastAsia="宋体" w:cs="Times New Roman"/>
          <w:color w:val="auto"/>
          <w:szCs w:val="22"/>
          <w:lang w:val="en-US" w:eastAsia="zh-CN"/>
        </w:rPr>
        <w:t>〕</w:t>
      </w:r>
      <w:r>
        <w:rPr>
          <w:rFonts w:hint="eastAsia" w:ascii="Times New Roman" w:hAnsi="Times New Roman" w:eastAsia="宋体" w:cs="Times New Roman"/>
          <w:color w:val="auto"/>
          <w:szCs w:val="22"/>
          <w:lang w:val="en-US" w:eastAsia="zh-CN"/>
        </w:rPr>
        <w:t>248</w:t>
      </w:r>
      <w:r>
        <w:rPr>
          <w:rFonts w:hint="default" w:ascii="Times New Roman" w:hAnsi="Times New Roman" w:eastAsia="宋体" w:cs="Times New Roman"/>
          <w:color w:val="auto"/>
          <w:szCs w:val="22"/>
          <w:lang w:val="en-US" w:eastAsia="zh-CN"/>
        </w:rPr>
        <w:t>号；</w:t>
      </w:r>
    </w:p>
    <w:p w14:paraId="1BD5A8A7">
      <w:pPr>
        <w:pStyle w:val="9"/>
        <w:adjustRightInd w:val="0"/>
        <w:snapToGrid w:val="0"/>
        <w:spacing w:after="0" w:line="360" w:lineRule="auto"/>
        <w:ind w:firstLine="480" w:firstLineChars="200"/>
        <w:rPr>
          <w:rFonts w:hint="default" w:ascii="Times New Roman" w:hAnsi="Times New Roman" w:eastAsia="宋体" w:cs="Times New Roman"/>
          <w:color w:val="auto"/>
          <w:szCs w:val="22"/>
          <w:lang w:val="en-US" w:eastAsia="zh-CN"/>
        </w:rPr>
      </w:pPr>
      <w:r>
        <w:rPr>
          <w:rFonts w:hint="default" w:ascii="Times New Roman" w:hAnsi="Times New Roman" w:eastAsia="宋体" w:cs="Times New Roman"/>
          <w:color w:val="auto"/>
          <w:szCs w:val="22"/>
          <w:lang w:val="en-US" w:eastAsia="zh-CN"/>
        </w:rPr>
        <w:t>（</w:t>
      </w:r>
      <w:r>
        <w:rPr>
          <w:rFonts w:hint="eastAsia" w:ascii="Times New Roman" w:hAnsi="Times New Roman" w:eastAsia="宋体" w:cs="Times New Roman"/>
          <w:color w:val="auto"/>
          <w:szCs w:val="22"/>
          <w:lang w:val="en-US" w:eastAsia="zh-CN"/>
        </w:rPr>
        <w:t>4</w:t>
      </w:r>
      <w:r>
        <w:rPr>
          <w:rFonts w:hint="default" w:ascii="Times New Roman" w:hAnsi="Times New Roman" w:eastAsia="宋体" w:cs="Times New Roman"/>
          <w:color w:val="auto"/>
          <w:szCs w:val="22"/>
          <w:lang w:val="en-US" w:eastAsia="zh-CN"/>
        </w:rPr>
        <w:t>）《</w:t>
      </w:r>
      <w:r>
        <w:rPr>
          <w:rFonts w:hint="eastAsia" w:ascii="Times New Roman" w:hAnsi="Times New Roman" w:eastAsia="宋体" w:cs="Times New Roman"/>
          <w:color w:val="auto"/>
          <w:szCs w:val="22"/>
          <w:lang w:val="en-US" w:eastAsia="zh-CN"/>
        </w:rPr>
        <w:t>金寨县关庙乡沙坪沟至蔡家湾公路升级改造工程</w:t>
      </w:r>
      <w:r>
        <w:rPr>
          <w:rFonts w:hint="default" w:ascii="Times New Roman" w:hAnsi="Times New Roman" w:eastAsia="宋体" w:cs="Times New Roman"/>
          <w:color w:val="auto"/>
          <w:szCs w:val="22"/>
          <w:lang w:val="en-US" w:eastAsia="zh-CN"/>
        </w:rPr>
        <w:t>初步设计》（安徽博通交通规划设计研究院有限公司，202</w:t>
      </w:r>
      <w:r>
        <w:rPr>
          <w:rFonts w:hint="eastAsia" w:ascii="Times New Roman" w:hAnsi="Times New Roman" w:eastAsia="宋体" w:cs="Times New Roman"/>
          <w:color w:val="auto"/>
          <w:szCs w:val="22"/>
          <w:lang w:val="en-US" w:eastAsia="zh-CN"/>
        </w:rPr>
        <w:t>5</w:t>
      </w:r>
      <w:r>
        <w:rPr>
          <w:rFonts w:hint="default" w:ascii="Times New Roman" w:hAnsi="Times New Roman" w:eastAsia="宋体" w:cs="Times New Roman"/>
          <w:color w:val="auto"/>
          <w:szCs w:val="22"/>
          <w:lang w:val="en-US" w:eastAsia="zh-CN"/>
        </w:rPr>
        <w:t>年</w:t>
      </w:r>
      <w:r>
        <w:rPr>
          <w:rFonts w:hint="eastAsia" w:ascii="Times New Roman" w:hAnsi="Times New Roman" w:eastAsia="宋体" w:cs="Times New Roman"/>
          <w:color w:val="auto"/>
          <w:szCs w:val="22"/>
          <w:lang w:val="en-US" w:eastAsia="zh-CN"/>
        </w:rPr>
        <w:t>7</w:t>
      </w:r>
      <w:r>
        <w:rPr>
          <w:rFonts w:hint="default" w:ascii="Times New Roman" w:hAnsi="Times New Roman" w:eastAsia="宋体" w:cs="Times New Roman"/>
          <w:color w:val="auto"/>
          <w:szCs w:val="22"/>
          <w:lang w:val="en-US" w:eastAsia="zh-CN"/>
        </w:rPr>
        <w:t>月）；</w:t>
      </w:r>
    </w:p>
    <w:p w14:paraId="691F3D98">
      <w:pPr>
        <w:pStyle w:val="9"/>
        <w:adjustRightInd w:val="0"/>
        <w:snapToGrid w:val="0"/>
        <w:spacing w:after="0" w:line="360" w:lineRule="auto"/>
        <w:ind w:firstLine="480" w:firstLineChars="200"/>
        <w:rPr>
          <w:rFonts w:hint="default" w:ascii="Times New Roman" w:hAnsi="Times New Roman" w:eastAsia="宋体" w:cs="Times New Roman"/>
          <w:color w:val="auto"/>
          <w:szCs w:val="22"/>
          <w:lang w:val="en-US" w:eastAsia="zh-CN"/>
        </w:rPr>
      </w:pPr>
      <w:r>
        <w:rPr>
          <w:rFonts w:hint="default" w:ascii="Times New Roman" w:hAnsi="Times New Roman" w:eastAsia="宋体" w:cs="Times New Roman"/>
          <w:color w:val="auto"/>
          <w:szCs w:val="22"/>
          <w:lang w:val="en-US" w:eastAsia="zh-CN"/>
        </w:rPr>
        <w:t>（4）《金寨县行政审批局关于</w:t>
      </w:r>
      <w:r>
        <w:rPr>
          <w:rFonts w:hint="eastAsia" w:ascii="Times New Roman" w:hAnsi="Times New Roman" w:eastAsia="宋体" w:cs="Times New Roman"/>
          <w:color w:val="auto"/>
          <w:szCs w:val="22"/>
          <w:lang w:val="en-US" w:eastAsia="zh-CN"/>
        </w:rPr>
        <w:t>金寨县关庙乡沙坪沟至蔡家湾公路升级改造工程</w:t>
      </w:r>
      <w:r>
        <w:rPr>
          <w:rFonts w:hint="default" w:ascii="Times New Roman" w:hAnsi="Times New Roman" w:eastAsia="宋体" w:cs="Times New Roman"/>
          <w:color w:val="auto"/>
          <w:szCs w:val="22"/>
          <w:lang w:val="en-US" w:eastAsia="zh-CN"/>
        </w:rPr>
        <w:t>用地预审与规划选址的意见》，金审许〔202</w:t>
      </w:r>
      <w:r>
        <w:rPr>
          <w:rFonts w:hint="eastAsia" w:ascii="Times New Roman" w:hAnsi="Times New Roman" w:eastAsia="宋体" w:cs="Times New Roman"/>
          <w:color w:val="auto"/>
          <w:szCs w:val="22"/>
          <w:lang w:val="en-US" w:eastAsia="zh-CN"/>
        </w:rPr>
        <w:t>5</w:t>
      </w:r>
      <w:r>
        <w:rPr>
          <w:rFonts w:hint="default" w:ascii="Times New Roman" w:hAnsi="Times New Roman" w:eastAsia="宋体" w:cs="Times New Roman"/>
          <w:color w:val="auto"/>
          <w:szCs w:val="22"/>
          <w:lang w:val="en-US" w:eastAsia="zh-CN"/>
        </w:rPr>
        <w:t>〕</w:t>
      </w:r>
      <w:r>
        <w:rPr>
          <w:rFonts w:hint="eastAsia" w:ascii="Times New Roman" w:hAnsi="Times New Roman" w:eastAsia="宋体" w:cs="Times New Roman"/>
          <w:color w:val="auto"/>
          <w:szCs w:val="22"/>
          <w:lang w:val="en-US" w:eastAsia="zh-CN"/>
        </w:rPr>
        <w:t>1</w:t>
      </w:r>
      <w:r>
        <w:rPr>
          <w:rFonts w:hint="default" w:ascii="Times New Roman" w:hAnsi="Times New Roman" w:eastAsia="宋体" w:cs="Times New Roman"/>
          <w:color w:val="auto"/>
          <w:szCs w:val="22"/>
          <w:lang w:val="en-US" w:eastAsia="zh-CN"/>
        </w:rPr>
        <w:t>4</w:t>
      </w:r>
      <w:r>
        <w:rPr>
          <w:rFonts w:hint="eastAsia" w:ascii="Times New Roman" w:hAnsi="Times New Roman" w:eastAsia="宋体" w:cs="Times New Roman"/>
          <w:color w:val="auto"/>
          <w:szCs w:val="22"/>
          <w:lang w:val="en-US" w:eastAsia="zh-CN"/>
        </w:rPr>
        <w:t>2</w:t>
      </w:r>
      <w:r>
        <w:rPr>
          <w:rFonts w:hint="default" w:ascii="Times New Roman" w:hAnsi="Times New Roman" w:eastAsia="宋体" w:cs="Times New Roman"/>
          <w:color w:val="auto"/>
          <w:szCs w:val="22"/>
          <w:lang w:val="en-US" w:eastAsia="zh-CN"/>
        </w:rPr>
        <w:t>号；</w:t>
      </w:r>
    </w:p>
    <w:p w14:paraId="66C6651B">
      <w:pPr>
        <w:pStyle w:val="9"/>
        <w:adjustRightInd w:val="0"/>
        <w:snapToGrid w:val="0"/>
        <w:spacing w:after="0" w:line="360" w:lineRule="auto"/>
        <w:ind w:firstLine="480" w:firstLineChars="200"/>
        <w:rPr>
          <w:rFonts w:hint="default"/>
          <w:lang w:val="en-US" w:eastAsia="zh-CN"/>
        </w:rPr>
      </w:pPr>
      <w:r>
        <w:rPr>
          <w:rFonts w:hint="default" w:ascii="Times New Roman" w:hAnsi="Times New Roman" w:eastAsia="宋体" w:cs="Times New Roman"/>
          <w:color w:val="auto"/>
          <w:szCs w:val="22"/>
          <w:lang w:val="en-US" w:eastAsia="zh-CN"/>
        </w:rPr>
        <w:t>（5）建设单位提供的其他文件。</w:t>
      </w:r>
    </w:p>
    <w:p w14:paraId="1C5444FB">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551" w:name="_Toc10958"/>
      <w:bookmarkStart w:id="552" w:name="_Toc9675"/>
      <w:r>
        <w:rPr>
          <w:rFonts w:hint="default"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val="en-US" w:eastAsia="zh-CN"/>
        </w:rPr>
        <w:t>.5参考文献及资料</w:t>
      </w:r>
      <w:bookmarkEnd w:id="547"/>
      <w:bookmarkEnd w:id="548"/>
      <w:bookmarkEnd w:id="549"/>
      <w:bookmarkEnd w:id="551"/>
      <w:bookmarkEnd w:id="552"/>
    </w:p>
    <w:p w14:paraId="568357BE">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（1）《中国植被》（科学出版社，1980）；</w:t>
      </w:r>
    </w:p>
    <w:p w14:paraId="01CD8C8C">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（2）《中国植物志》（科学出版社，1959-2004）；</w:t>
      </w:r>
    </w:p>
    <w:p w14:paraId="04E79BC4">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（3）《安徽植物志﹒第1卷》（安徽科学技术出版社，1985）；</w:t>
      </w:r>
    </w:p>
    <w:p w14:paraId="3EF6FDBA">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（4）《安徽植物志﹒第2卷》（中国展望出版社，1986）；</w:t>
      </w:r>
    </w:p>
    <w:p w14:paraId="6B958603">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（5）《安徽植物志﹒第3卷》（中国展望出版社，1990）；</w:t>
      </w:r>
    </w:p>
    <w:p w14:paraId="24CA30C1">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（6）《安徽植物志﹒第4卷》（安徽科学技术出版社，1991）；</w:t>
      </w:r>
    </w:p>
    <w:p w14:paraId="2FC1CB01">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（7）《安徽植物志﹒第5卷》（安徽科学技术出版社，1992）；</w:t>
      </w:r>
    </w:p>
    <w:p w14:paraId="4ADF2700">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（8）《中国两栖动物及其分布彩色图鉴》（费梁、叶昌媛、江建平，2012）；</w:t>
      </w:r>
    </w:p>
    <w:p w14:paraId="16368E9F">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（9）《中国两栖纲和爬行纲动物校正名录》（蔡波等，2015）；</w:t>
      </w:r>
    </w:p>
    <w:p w14:paraId="22579D8B">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（10）《中国鸟类图鉴》（中国野生动物保护协会，1995）；</w:t>
      </w:r>
    </w:p>
    <w:p w14:paraId="220294D4">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（11）《中国鸟类分类与分布名录（第三版）》（科学出版社，2017）；</w:t>
      </w:r>
    </w:p>
    <w:p w14:paraId="2745186A">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（12）《安徽鸟类图志》（吴海龙、顾长明，2017）；</w:t>
      </w:r>
    </w:p>
    <w:p w14:paraId="2DCC1D19">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（13）《中国野生哺乳动物》（中国林业出版社，1999）；</w:t>
      </w:r>
    </w:p>
    <w:p w14:paraId="5CD2108D">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（14）《中国兽类野外手册》（湖南教育出版社，2009）；</w:t>
      </w:r>
    </w:p>
    <w:p w14:paraId="615D37BF">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（15）《中国哺乳动物种和亚种分类名录与分布大全》（王应祥，2003）；</w:t>
      </w:r>
    </w:p>
    <w:p w14:paraId="4BD93467">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（16）《中国脊椎动物红色名录》（蒋志刚等，2016年）；</w:t>
      </w:r>
    </w:p>
    <w:p w14:paraId="52042F45">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（17）《中国动物地理》（科学出版社，2011）。</w:t>
      </w:r>
    </w:p>
    <w:p w14:paraId="40CF6585">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eastAsia" w:ascii="Times New Roman" w:hAnsi="Times New Roman" w:eastAsia="宋体" w:cs="Times New Roman"/>
          <w:szCs w:val="22"/>
          <w:lang w:val="en-US" w:eastAsia="zh-CN"/>
        </w:rPr>
        <w:t>（18）《安徽金沙钼业有限公司金寨县沙坪沟钼矿采选项目环境影响报告书》（2025年3月）。</w:t>
      </w:r>
    </w:p>
    <w:p w14:paraId="08FEC2F7">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zh-CN" w:eastAsia="zh-CN"/>
        </w:rPr>
      </w:pPr>
      <w:bookmarkStart w:id="553" w:name="_Toc15600"/>
      <w:bookmarkStart w:id="554" w:name="_Toc9713"/>
      <w:bookmarkStart w:id="555" w:name="_Toc5648"/>
      <w:bookmarkStart w:id="556" w:name="_Toc107514137"/>
      <w:bookmarkStart w:id="557" w:name="_Toc30848"/>
      <w:bookmarkStart w:id="558" w:name="_Toc29798"/>
      <w:bookmarkStart w:id="559" w:name="_Toc1360"/>
      <w:bookmarkStart w:id="560" w:name="_Toc15540"/>
      <w:bookmarkStart w:id="561" w:name="_Toc16408"/>
      <w:r>
        <w:rPr>
          <w:rFonts w:hint="default" w:ascii="Times New Roman" w:hAnsi="Times New Roman" w:eastAsia="宋体" w:cs="Times New Roman"/>
          <w:sz w:val="28"/>
          <w:szCs w:val="28"/>
          <w:lang w:val="zh-CN" w:eastAsia="zh-CN"/>
        </w:rPr>
        <w:t>1.</w:t>
      </w:r>
      <w:r>
        <w:rPr>
          <w:rFonts w:hint="eastAsia" w:ascii="Times New Roman" w:hAnsi="Times New Roman" w:eastAsia="宋体" w:cs="Times New Roman"/>
          <w:sz w:val="28"/>
          <w:szCs w:val="28"/>
          <w:lang w:val="en-US" w:eastAsia="zh-CN"/>
        </w:rPr>
        <w:t>3</w:t>
      </w:r>
      <w:r>
        <w:rPr>
          <w:rFonts w:hint="default" w:ascii="Times New Roman" w:hAnsi="Times New Roman" w:eastAsia="宋体" w:cs="Times New Roman"/>
          <w:sz w:val="28"/>
          <w:szCs w:val="28"/>
          <w:lang w:val="zh-CN" w:eastAsia="zh-CN"/>
        </w:rPr>
        <w:t>评价因子</w:t>
      </w:r>
      <w:bookmarkEnd w:id="553"/>
      <w:bookmarkEnd w:id="554"/>
      <w:bookmarkEnd w:id="555"/>
      <w:bookmarkEnd w:id="556"/>
      <w:bookmarkEnd w:id="557"/>
      <w:bookmarkEnd w:id="558"/>
      <w:bookmarkEnd w:id="559"/>
      <w:bookmarkEnd w:id="560"/>
      <w:bookmarkEnd w:id="561"/>
    </w:p>
    <w:p w14:paraId="1082EC3E">
      <w:pPr>
        <w:pStyle w:val="9"/>
        <w:adjustRightInd w:val="0"/>
        <w:snapToGrid w:val="0"/>
        <w:spacing w:after="0" w:line="360" w:lineRule="auto"/>
        <w:ind w:firstLine="480" w:firstLineChars="200"/>
        <w:rPr>
          <w:rFonts w:hint="default" w:ascii="Times New Roman" w:hAnsi="Times New Roman" w:cs="Times New Roman"/>
          <w:lang w:val="zh-CN" w:eastAsia="zh-CN"/>
        </w:rPr>
      </w:pPr>
      <w:r>
        <w:rPr>
          <w:rFonts w:hint="default" w:ascii="Times New Roman" w:hAnsi="Times New Roman" w:eastAsia="宋体" w:cs="Times New Roman"/>
          <w:szCs w:val="22"/>
          <w:lang w:val="en-US" w:eastAsia="zh-CN"/>
        </w:rPr>
        <w:t>根据工程环境影响识别与初步分析，《环境影响评价技术导则 生态影响》（HJ19-2022）</w:t>
      </w:r>
      <w:r>
        <w:rPr>
          <w:rFonts w:hint="eastAsia" w:ascii="Times New Roman" w:hAnsi="Times New Roman" w:eastAsia="宋体" w:cs="Times New Roman"/>
          <w:szCs w:val="22"/>
          <w:lang w:val="en-US" w:eastAsia="zh-CN"/>
        </w:rPr>
        <w:t>及</w:t>
      </w:r>
      <w:r>
        <w:rPr>
          <w:rFonts w:hint="default" w:ascii="Times New Roman" w:hAnsi="Times New Roman" w:eastAsia="宋体" w:cs="Times New Roman"/>
          <w:szCs w:val="22"/>
          <w:lang w:val="en-US" w:eastAsia="zh-CN"/>
        </w:rPr>
        <w:t>《环境影响评价技术导则 公路建设项目》（HJ1358-2024），本项目主要生态影响因子见下表。</w:t>
      </w:r>
    </w:p>
    <w:p w14:paraId="360D172C">
      <w:pPr>
        <w:overflowPunct w:val="0"/>
        <w:spacing w:line="240" w:lineRule="auto"/>
        <w:ind w:firstLine="0" w:firstLineChars="0"/>
        <w:jc w:val="center"/>
        <w:rPr>
          <w:rFonts w:hint="default" w:ascii="Times New Roman" w:hAnsi="Times New Roman" w:eastAsia="宋体" w:cs="Times New Roman"/>
          <w:b/>
          <w:bCs/>
          <w:color w:val="auto"/>
          <w:sz w:val="21"/>
          <w:szCs w:val="18"/>
          <w:lang w:val="zh-CN" w:eastAsia="zh-CN"/>
        </w:rPr>
      </w:pPr>
      <w:r>
        <w:rPr>
          <w:rFonts w:hint="default" w:ascii="Times New Roman" w:hAnsi="Times New Roman" w:eastAsia="宋体" w:cs="Times New Roman"/>
          <w:b/>
          <w:bCs/>
          <w:color w:val="auto"/>
          <w:sz w:val="21"/>
          <w:szCs w:val="18"/>
          <w:lang w:val="zh-CN" w:eastAsia="zh-CN"/>
        </w:rPr>
        <w:t>表1-1  生态影响评价因子筛选表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926"/>
        <w:gridCol w:w="1968"/>
        <w:gridCol w:w="4598"/>
        <w:gridCol w:w="900"/>
        <w:gridCol w:w="748"/>
      </w:tblGrid>
      <w:tr w14:paraId="40B37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507" w:type="pct"/>
            <w:vAlign w:val="center"/>
          </w:tcPr>
          <w:p w14:paraId="0306FF2E">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受影响对象</w:t>
            </w:r>
          </w:p>
        </w:tc>
        <w:tc>
          <w:tcPr>
            <w:tcW w:w="1076" w:type="pct"/>
            <w:vAlign w:val="center"/>
          </w:tcPr>
          <w:p w14:paraId="41DEF3ED">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评价因子</w:t>
            </w:r>
          </w:p>
        </w:tc>
        <w:tc>
          <w:tcPr>
            <w:tcW w:w="2514" w:type="pct"/>
            <w:vAlign w:val="center"/>
          </w:tcPr>
          <w:p w14:paraId="78DB0DD0">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工程内容及影响方式</w:t>
            </w:r>
          </w:p>
        </w:tc>
        <w:tc>
          <w:tcPr>
            <w:tcW w:w="492" w:type="pct"/>
            <w:vAlign w:val="center"/>
          </w:tcPr>
          <w:p w14:paraId="72BFFF0C">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影响</w:t>
            </w:r>
          </w:p>
          <w:p w14:paraId="40DAEA6B">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性质</w:t>
            </w:r>
          </w:p>
        </w:tc>
        <w:tc>
          <w:tcPr>
            <w:tcW w:w="409" w:type="pct"/>
            <w:vAlign w:val="center"/>
          </w:tcPr>
          <w:p w14:paraId="71132FCF">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影响</w:t>
            </w:r>
          </w:p>
          <w:p w14:paraId="36262CA4">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程度</w:t>
            </w:r>
          </w:p>
        </w:tc>
      </w:tr>
      <w:tr w14:paraId="6E104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507" w:type="pct"/>
            <w:vAlign w:val="center"/>
          </w:tcPr>
          <w:p w14:paraId="746BD31E">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物种</w:t>
            </w:r>
          </w:p>
        </w:tc>
        <w:tc>
          <w:tcPr>
            <w:tcW w:w="1076" w:type="pct"/>
            <w:vAlign w:val="center"/>
          </w:tcPr>
          <w:p w14:paraId="03CCAE3A">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分布范围、</w:t>
            </w:r>
            <w:r>
              <w:rPr>
                <w:rFonts w:hint="default" w:ascii="Times New Roman" w:hAnsi="Times New Roman" w:eastAsia="宋体" w:cs="Times New Roman"/>
                <w:sz w:val="21"/>
                <w:szCs w:val="21"/>
                <w:lang w:val="en-US"/>
              </w:rPr>
              <w:t>种群数量、种群结构、</w:t>
            </w:r>
            <w:r>
              <w:rPr>
                <w:rFonts w:hint="default" w:ascii="Times New Roman" w:hAnsi="Times New Roman" w:eastAsia="宋体" w:cs="Times New Roman"/>
                <w:sz w:val="21"/>
                <w:szCs w:val="21"/>
              </w:rPr>
              <w:t>行为等</w:t>
            </w:r>
          </w:p>
        </w:tc>
        <w:tc>
          <w:tcPr>
            <w:tcW w:w="2514" w:type="pct"/>
            <w:vAlign w:val="center"/>
          </w:tcPr>
          <w:p w14:paraId="17240DDD">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工程占地、施工活动</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工程运营等</w:t>
            </w:r>
            <w:r>
              <w:rPr>
                <w:rFonts w:hint="default" w:ascii="Times New Roman" w:hAnsi="Times New Roman" w:eastAsia="宋体" w:cs="Times New Roman"/>
                <w:sz w:val="21"/>
                <w:szCs w:val="21"/>
              </w:rPr>
              <w:t>对两栖、爬行、小型兽类、鸟类等重点保护物种的分布范围、行为等产生直接、间接影响</w:t>
            </w:r>
          </w:p>
        </w:tc>
        <w:tc>
          <w:tcPr>
            <w:tcW w:w="492" w:type="pct"/>
            <w:vAlign w:val="center"/>
          </w:tcPr>
          <w:p w14:paraId="49F2AF4A">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短期、可逆</w:t>
            </w:r>
          </w:p>
        </w:tc>
        <w:tc>
          <w:tcPr>
            <w:tcW w:w="409" w:type="pct"/>
            <w:vAlign w:val="center"/>
          </w:tcPr>
          <w:p w14:paraId="4BCA9696">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弱</w:t>
            </w:r>
          </w:p>
        </w:tc>
      </w:tr>
      <w:tr w14:paraId="6221C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07" w:type="pct"/>
            <w:vAlign w:val="center"/>
          </w:tcPr>
          <w:p w14:paraId="39D12C0B">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生境</w:t>
            </w:r>
          </w:p>
        </w:tc>
        <w:tc>
          <w:tcPr>
            <w:tcW w:w="1076" w:type="pct"/>
            <w:vAlign w:val="center"/>
          </w:tcPr>
          <w:p w14:paraId="6FC3EF45">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生境面积、</w:t>
            </w:r>
            <w:r>
              <w:rPr>
                <w:rFonts w:hint="default" w:ascii="Times New Roman" w:hAnsi="Times New Roman" w:eastAsia="宋体" w:cs="Times New Roman"/>
                <w:sz w:val="21"/>
                <w:szCs w:val="21"/>
                <w:lang w:val="en-US"/>
              </w:rPr>
              <w:t>质量、</w:t>
            </w:r>
            <w:r>
              <w:rPr>
                <w:rFonts w:hint="default" w:ascii="Times New Roman" w:hAnsi="Times New Roman" w:eastAsia="宋体" w:cs="Times New Roman"/>
                <w:sz w:val="21"/>
                <w:szCs w:val="21"/>
              </w:rPr>
              <w:t>连通性等</w:t>
            </w:r>
          </w:p>
        </w:tc>
        <w:tc>
          <w:tcPr>
            <w:tcW w:w="2514" w:type="pct"/>
            <w:vAlign w:val="center"/>
          </w:tcPr>
          <w:p w14:paraId="5E973A2F">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工程占地等</w:t>
            </w:r>
            <w:r>
              <w:rPr>
                <w:rFonts w:hint="eastAsia" w:ascii="Times New Roman" w:hAnsi="Times New Roman" w:eastAsia="宋体" w:cs="Times New Roman"/>
                <w:sz w:val="21"/>
                <w:szCs w:val="21"/>
                <w:lang w:eastAsia="zh-CN"/>
              </w:rPr>
              <w:t>对生物多样性</w:t>
            </w:r>
            <w:r>
              <w:rPr>
                <w:rFonts w:hint="default" w:ascii="Times New Roman" w:hAnsi="Times New Roman" w:eastAsia="宋体" w:cs="Times New Roman"/>
                <w:sz w:val="21"/>
                <w:szCs w:val="21"/>
              </w:rPr>
              <w:t>生境面积、连通性等产生直接、间接影响</w:t>
            </w:r>
          </w:p>
        </w:tc>
        <w:tc>
          <w:tcPr>
            <w:tcW w:w="492" w:type="pct"/>
            <w:vAlign w:val="center"/>
          </w:tcPr>
          <w:p w14:paraId="0B629635">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长期、不可逆</w:t>
            </w:r>
          </w:p>
        </w:tc>
        <w:tc>
          <w:tcPr>
            <w:tcW w:w="409" w:type="pct"/>
            <w:vAlign w:val="center"/>
          </w:tcPr>
          <w:p w14:paraId="04945C46">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弱</w:t>
            </w:r>
          </w:p>
        </w:tc>
      </w:tr>
      <w:tr w14:paraId="65360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507" w:type="pct"/>
            <w:vAlign w:val="center"/>
          </w:tcPr>
          <w:p w14:paraId="79AE1623">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生物</w:t>
            </w:r>
          </w:p>
          <w:p w14:paraId="331FD3C4">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群落</w:t>
            </w:r>
          </w:p>
        </w:tc>
        <w:tc>
          <w:tcPr>
            <w:tcW w:w="1076" w:type="pct"/>
            <w:vAlign w:val="center"/>
          </w:tcPr>
          <w:p w14:paraId="7C6A5328">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物种组成、群落结构等</w:t>
            </w:r>
          </w:p>
        </w:tc>
        <w:tc>
          <w:tcPr>
            <w:tcW w:w="2514" w:type="pct"/>
            <w:vAlign w:val="center"/>
          </w:tcPr>
          <w:p w14:paraId="2CAE32AD">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工程占地、施工活动等对重点保护物种组成</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水生</w:t>
            </w:r>
            <w:r>
              <w:rPr>
                <w:rFonts w:hint="default" w:ascii="Times New Roman" w:hAnsi="Times New Roman" w:eastAsia="宋体" w:cs="Times New Roman"/>
                <w:sz w:val="21"/>
                <w:szCs w:val="21"/>
              </w:rPr>
              <w:t>及陆生群落结构等产生直接、间接影响</w:t>
            </w:r>
          </w:p>
        </w:tc>
        <w:tc>
          <w:tcPr>
            <w:tcW w:w="492" w:type="pct"/>
            <w:vAlign w:val="center"/>
          </w:tcPr>
          <w:p w14:paraId="35C55D79">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短期、可逆</w:t>
            </w:r>
          </w:p>
        </w:tc>
        <w:tc>
          <w:tcPr>
            <w:tcW w:w="409" w:type="pct"/>
            <w:vAlign w:val="center"/>
          </w:tcPr>
          <w:p w14:paraId="49F9D7C4">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弱</w:t>
            </w:r>
          </w:p>
        </w:tc>
      </w:tr>
      <w:tr w14:paraId="3B9B2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507" w:type="pct"/>
            <w:vAlign w:val="center"/>
          </w:tcPr>
          <w:p w14:paraId="74E85FD3">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生态</w:t>
            </w:r>
          </w:p>
          <w:p w14:paraId="3949A668">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系统</w:t>
            </w:r>
          </w:p>
        </w:tc>
        <w:tc>
          <w:tcPr>
            <w:tcW w:w="1076" w:type="pct"/>
            <w:vAlign w:val="center"/>
          </w:tcPr>
          <w:p w14:paraId="6490E662">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植被覆盖度、生物量、生产力等</w:t>
            </w:r>
          </w:p>
        </w:tc>
        <w:tc>
          <w:tcPr>
            <w:tcW w:w="2514" w:type="pct"/>
            <w:vAlign w:val="center"/>
          </w:tcPr>
          <w:p w14:paraId="61BA01CE">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工程占地等对植被覆盖度、生物量、生产力等直接、间接影响</w:t>
            </w:r>
          </w:p>
        </w:tc>
        <w:tc>
          <w:tcPr>
            <w:tcW w:w="492" w:type="pct"/>
            <w:vAlign w:val="center"/>
          </w:tcPr>
          <w:p w14:paraId="54E9D1EA">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短期、可逆</w:t>
            </w:r>
          </w:p>
        </w:tc>
        <w:tc>
          <w:tcPr>
            <w:tcW w:w="409" w:type="pct"/>
            <w:vAlign w:val="center"/>
          </w:tcPr>
          <w:p w14:paraId="41D68131">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弱</w:t>
            </w:r>
          </w:p>
        </w:tc>
      </w:tr>
      <w:tr w14:paraId="038D0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507" w:type="pct"/>
            <w:vAlign w:val="center"/>
          </w:tcPr>
          <w:p w14:paraId="3C3686ED">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生物多样性</w:t>
            </w:r>
          </w:p>
        </w:tc>
        <w:tc>
          <w:tcPr>
            <w:tcW w:w="1076" w:type="pct"/>
            <w:vAlign w:val="center"/>
          </w:tcPr>
          <w:p w14:paraId="0A024484">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rPr>
              <w:t>物种丰富度</w:t>
            </w:r>
          </w:p>
        </w:tc>
        <w:tc>
          <w:tcPr>
            <w:tcW w:w="2514" w:type="pct"/>
            <w:vAlign w:val="center"/>
          </w:tcPr>
          <w:p w14:paraId="3DF2DAA7">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bookmarkStart w:id="562" w:name="OLE_LINK2"/>
            <w:r>
              <w:rPr>
                <w:rFonts w:hint="default" w:ascii="Times New Roman" w:hAnsi="Times New Roman" w:eastAsia="宋体" w:cs="Times New Roman"/>
                <w:sz w:val="21"/>
                <w:szCs w:val="21"/>
              </w:rPr>
              <w:t>工程占地、</w:t>
            </w:r>
            <w:bookmarkEnd w:id="562"/>
            <w:r>
              <w:rPr>
                <w:rFonts w:hint="default" w:ascii="Times New Roman" w:hAnsi="Times New Roman" w:eastAsia="宋体" w:cs="Times New Roman"/>
                <w:sz w:val="21"/>
                <w:szCs w:val="21"/>
              </w:rPr>
              <w:t>施工活动</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工程运营</w:t>
            </w:r>
            <w:r>
              <w:rPr>
                <w:rFonts w:hint="default" w:ascii="Times New Roman" w:hAnsi="Times New Roman" w:eastAsia="宋体" w:cs="Times New Roman"/>
                <w:sz w:val="21"/>
                <w:szCs w:val="21"/>
              </w:rPr>
              <w:t>对物种丰富度等产生直接、间接影响</w:t>
            </w:r>
          </w:p>
        </w:tc>
        <w:tc>
          <w:tcPr>
            <w:tcW w:w="492" w:type="pct"/>
            <w:vAlign w:val="center"/>
          </w:tcPr>
          <w:p w14:paraId="65B7492E">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短期、可逆</w:t>
            </w:r>
          </w:p>
        </w:tc>
        <w:tc>
          <w:tcPr>
            <w:tcW w:w="409" w:type="pct"/>
            <w:vAlign w:val="center"/>
          </w:tcPr>
          <w:p w14:paraId="12FF2D17">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弱</w:t>
            </w:r>
          </w:p>
        </w:tc>
      </w:tr>
      <w:tr w14:paraId="3ABC1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07" w:type="pct"/>
            <w:vAlign w:val="center"/>
          </w:tcPr>
          <w:p w14:paraId="5A40E262">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生态敏感区</w:t>
            </w:r>
          </w:p>
        </w:tc>
        <w:tc>
          <w:tcPr>
            <w:tcW w:w="1076" w:type="pct"/>
            <w:vAlign w:val="center"/>
          </w:tcPr>
          <w:p w14:paraId="1F614E23">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主要保护对象</w:t>
            </w:r>
          </w:p>
        </w:tc>
        <w:tc>
          <w:tcPr>
            <w:tcW w:w="2514" w:type="pct"/>
            <w:vAlign w:val="center"/>
          </w:tcPr>
          <w:p w14:paraId="5FDEE7C2">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工程占地、施工活动等对区域内生物多样性</w:t>
            </w:r>
            <w:r>
              <w:rPr>
                <w:rFonts w:hint="eastAsia" w:ascii="Times New Roman" w:hAnsi="Times New Roman" w:eastAsia="宋体" w:cs="Times New Roman"/>
                <w:sz w:val="21"/>
                <w:szCs w:val="21"/>
                <w:lang w:eastAsia="zh-CN"/>
              </w:rPr>
              <w:t>保护</w:t>
            </w:r>
            <w:r>
              <w:rPr>
                <w:rFonts w:hint="default" w:ascii="Times New Roman" w:hAnsi="Times New Roman" w:eastAsia="宋体" w:cs="Times New Roman"/>
                <w:sz w:val="21"/>
                <w:szCs w:val="21"/>
              </w:rPr>
              <w:t>产生直接、间接影响</w:t>
            </w:r>
          </w:p>
        </w:tc>
        <w:tc>
          <w:tcPr>
            <w:tcW w:w="492" w:type="pct"/>
            <w:vAlign w:val="center"/>
          </w:tcPr>
          <w:p w14:paraId="33A7EBF6">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短期、可逆</w:t>
            </w:r>
          </w:p>
        </w:tc>
        <w:tc>
          <w:tcPr>
            <w:tcW w:w="409" w:type="pct"/>
            <w:vAlign w:val="center"/>
          </w:tcPr>
          <w:p w14:paraId="5375A623">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弱</w:t>
            </w:r>
          </w:p>
        </w:tc>
      </w:tr>
      <w:tr w14:paraId="2AF10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35" w:hRule="atLeast"/>
          <w:jc w:val="center"/>
        </w:trPr>
        <w:tc>
          <w:tcPr>
            <w:tcW w:w="507" w:type="pct"/>
            <w:vAlign w:val="center"/>
          </w:tcPr>
          <w:p w14:paraId="55E5B59C">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自然</w:t>
            </w:r>
          </w:p>
          <w:p w14:paraId="7F787C5F">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景观</w:t>
            </w:r>
          </w:p>
        </w:tc>
        <w:tc>
          <w:tcPr>
            <w:tcW w:w="1076" w:type="pct"/>
            <w:vAlign w:val="center"/>
          </w:tcPr>
          <w:p w14:paraId="4E01F3DE">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w:t>
            </w:r>
          </w:p>
        </w:tc>
        <w:tc>
          <w:tcPr>
            <w:tcW w:w="2514" w:type="pct"/>
            <w:vAlign w:val="center"/>
          </w:tcPr>
          <w:p w14:paraId="3420B6FB">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w:t>
            </w:r>
          </w:p>
        </w:tc>
        <w:tc>
          <w:tcPr>
            <w:tcW w:w="829" w:type="dxa"/>
            <w:vAlign w:val="center"/>
          </w:tcPr>
          <w:p w14:paraId="43A4D94A">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w:t>
            </w:r>
          </w:p>
        </w:tc>
        <w:tc>
          <w:tcPr>
            <w:tcW w:w="689" w:type="dxa"/>
            <w:vAlign w:val="center"/>
          </w:tcPr>
          <w:p w14:paraId="5C6DD3CD">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w:t>
            </w:r>
          </w:p>
        </w:tc>
      </w:tr>
      <w:tr w14:paraId="49CB9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12" w:hRule="atLeast"/>
          <w:jc w:val="center"/>
        </w:trPr>
        <w:tc>
          <w:tcPr>
            <w:tcW w:w="507" w:type="pct"/>
            <w:vAlign w:val="center"/>
          </w:tcPr>
          <w:p w14:paraId="31A11A50">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自然</w:t>
            </w:r>
          </w:p>
          <w:p w14:paraId="58D4E223">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遗迹</w:t>
            </w:r>
          </w:p>
        </w:tc>
        <w:tc>
          <w:tcPr>
            <w:tcW w:w="1076" w:type="pct"/>
            <w:vAlign w:val="center"/>
          </w:tcPr>
          <w:p w14:paraId="02961961">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lang w:val="en-US"/>
              </w:rPr>
            </w:pPr>
            <w:r>
              <w:rPr>
                <w:rFonts w:hint="eastAsia" w:ascii="Times New Roman" w:hAnsi="Times New Roman" w:eastAsia="宋体" w:cs="Times New Roman"/>
                <w:sz w:val="21"/>
                <w:szCs w:val="21"/>
                <w:lang w:eastAsia="zh-CN"/>
              </w:rPr>
              <w:t>/</w:t>
            </w:r>
          </w:p>
        </w:tc>
        <w:tc>
          <w:tcPr>
            <w:tcW w:w="2514" w:type="pct"/>
            <w:vAlign w:val="center"/>
          </w:tcPr>
          <w:p w14:paraId="2D43C553">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lang w:val="en-US"/>
              </w:rPr>
            </w:pPr>
            <w:r>
              <w:rPr>
                <w:rFonts w:hint="eastAsia" w:ascii="Times New Roman" w:hAnsi="Times New Roman" w:eastAsia="宋体" w:cs="Times New Roman"/>
                <w:sz w:val="21"/>
                <w:szCs w:val="21"/>
                <w:lang w:eastAsia="zh-CN"/>
              </w:rPr>
              <w:t>/</w:t>
            </w:r>
          </w:p>
        </w:tc>
        <w:tc>
          <w:tcPr>
            <w:tcW w:w="829" w:type="dxa"/>
            <w:vAlign w:val="center"/>
          </w:tcPr>
          <w:p w14:paraId="57EBE90F">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lang w:val="en-US"/>
              </w:rPr>
            </w:pPr>
            <w:r>
              <w:rPr>
                <w:rFonts w:hint="eastAsia" w:ascii="Times New Roman" w:hAnsi="Times New Roman" w:eastAsia="宋体" w:cs="Times New Roman"/>
                <w:sz w:val="21"/>
                <w:szCs w:val="21"/>
                <w:lang w:eastAsia="zh-CN"/>
              </w:rPr>
              <w:t>/</w:t>
            </w:r>
          </w:p>
        </w:tc>
        <w:tc>
          <w:tcPr>
            <w:tcW w:w="689" w:type="dxa"/>
            <w:vAlign w:val="center"/>
          </w:tcPr>
          <w:p w14:paraId="57600F91">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lang w:val="en-US"/>
              </w:rPr>
            </w:pPr>
            <w:r>
              <w:rPr>
                <w:rFonts w:hint="eastAsia" w:ascii="Times New Roman" w:hAnsi="Times New Roman" w:eastAsia="宋体" w:cs="Times New Roman"/>
                <w:sz w:val="21"/>
                <w:szCs w:val="21"/>
                <w:lang w:eastAsia="zh-CN"/>
              </w:rPr>
              <w:t>/</w:t>
            </w:r>
          </w:p>
        </w:tc>
      </w:tr>
    </w:tbl>
    <w:p w14:paraId="5D5D8F9D">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1"/>
        </w:rPr>
      </w:pPr>
      <w:bookmarkStart w:id="563" w:name="_Toc19908"/>
      <w:bookmarkStart w:id="564" w:name="_Toc27286"/>
      <w:bookmarkStart w:id="565" w:name="_Toc21481"/>
      <w:bookmarkStart w:id="566" w:name="_Toc31437"/>
      <w:bookmarkStart w:id="567" w:name="_Toc10921"/>
      <w:bookmarkStart w:id="568" w:name="_Toc26067"/>
      <w:r>
        <w:rPr>
          <w:rFonts w:hint="default" w:ascii="Times New Roman" w:hAnsi="Times New Roman" w:eastAsia="宋体" w:cs="Times New Roman"/>
          <w:sz w:val="28"/>
          <w:szCs w:val="28"/>
          <w:lang w:val="zh-CN" w:eastAsia="zh-CN"/>
        </w:rPr>
        <w:t>1.</w:t>
      </w:r>
      <w:r>
        <w:rPr>
          <w:rFonts w:hint="eastAsia" w:ascii="Times New Roman" w:hAnsi="Times New Roman" w:eastAsia="宋体" w:cs="Times New Roman"/>
          <w:sz w:val="28"/>
          <w:szCs w:val="28"/>
          <w:lang w:val="en-US" w:eastAsia="zh-CN"/>
        </w:rPr>
        <w:t>4</w:t>
      </w:r>
      <w:r>
        <w:rPr>
          <w:rFonts w:hint="default" w:ascii="Times New Roman" w:hAnsi="Times New Roman" w:eastAsia="宋体" w:cs="Times New Roman"/>
          <w:sz w:val="28"/>
          <w:szCs w:val="28"/>
          <w:lang w:val="zh-CN" w:eastAsia="zh-CN"/>
        </w:rPr>
        <w:t>评价等级</w:t>
      </w:r>
      <w:bookmarkEnd w:id="563"/>
      <w:bookmarkEnd w:id="564"/>
      <w:bookmarkEnd w:id="565"/>
      <w:bookmarkEnd w:id="566"/>
      <w:bookmarkEnd w:id="567"/>
      <w:bookmarkEnd w:id="568"/>
    </w:p>
    <w:p w14:paraId="74A92512">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default" w:ascii="Times New Roman" w:hAnsi="Times New Roman" w:eastAsia="宋体" w:cs="Times New Roman"/>
          <w:szCs w:val="22"/>
          <w:lang w:val="en-US" w:eastAsia="zh-CN"/>
        </w:rPr>
        <w:t>根据《环境影响评价技术导则 生态影响》（HJ19-2022）评价等级划分原则，本项目评价等级判定如下表所示。</w:t>
      </w:r>
    </w:p>
    <w:p w14:paraId="1E064564">
      <w:pPr>
        <w:overflowPunct w:val="0"/>
        <w:spacing w:line="240" w:lineRule="auto"/>
        <w:ind w:firstLine="0" w:firstLineChars="0"/>
        <w:jc w:val="center"/>
        <w:rPr>
          <w:rFonts w:hint="default" w:ascii="Times New Roman" w:hAnsi="Times New Roman" w:eastAsia="宋体" w:cs="Times New Roman"/>
          <w:b/>
          <w:bCs/>
          <w:color w:val="auto"/>
          <w:sz w:val="21"/>
          <w:szCs w:val="18"/>
          <w:lang w:val="zh-CN" w:eastAsia="zh-CN"/>
        </w:rPr>
      </w:pPr>
      <w:r>
        <w:rPr>
          <w:rFonts w:hint="default" w:ascii="Times New Roman" w:hAnsi="Times New Roman" w:eastAsia="宋体" w:cs="Times New Roman"/>
          <w:b/>
          <w:bCs/>
          <w:color w:val="auto"/>
          <w:sz w:val="21"/>
          <w:szCs w:val="18"/>
          <w:lang w:val="zh-CN" w:eastAsia="zh-CN"/>
        </w:rPr>
        <w:t>表</w:t>
      </w:r>
      <w:r>
        <w:rPr>
          <w:rFonts w:hint="eastAsia" w:ascii="Times New Roman" w:hAnsi="Times New Roman" w:eastAsia="宋体" w:cs="Times New Roman"/>
          <w:b/>
          <w:bCs/>
          <w:color w:val="auto"/>
          <w:sz w:val="21"/>
          <w:szCs w:val="18"/>
          <w:lang w:val="en-US" w:eastAsia="zh-CN"/>
        </w:rPr>
        <w:t>1-2</w:t>
      </w:r>
      <w:r>
        <w:rPr>
          <w:rFonts w:hint="default" w:ascii="Times New Roman" w:hAnsi="Times New Roman" w:eastAsia="宋体" w:cs="Times New Roman"/>
          <w:b/>
          <w:bCs/>
          <w:color w:val="auto"/>
          <w:sz w:val="21"/>
          <w:szCs w:val="18"/>
          <w:lang w:val="zh-CN" w:eastAsia="zh-CN"/>
        </w:rPr>
        <w:t xml:space="preserve">  本项目生态影响等级划分及依据</w:t>
      </w:r>
    </w:p>
    <w:tbl>
      <w:tblPr>
        <w:tblStyle w:val="29"/>
        <w:tblW w:w="5053"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5767"/>
        <w:gridCol w:w="2424"/>
        <w:gridCol w:w="941"/>
      </w:tblGrid>
      <w:tr w14:paraId="736042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12" w:hRule="atLeast"/>
          <w:jc w:val="center"/>
        </w:trPr>
        <w:tc>
          <w:tcPr>
            <w:tcW w:w="3157" w:type="pct"/>
            <w:shd w:val="clear" w:color="auto" w:fill="auto"/>
            <w:vAlign w:val="center"/>
          </w:tcPr>
          <w:p w14:paraId="598FF16F">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lang w:val="en-US"/>
              </w:rPr>
            </w:pPr>
            <w:r>
              <w:rPr>
                <w:rFonts w:hint="default" w:ascii="Times New Roman" w:hAnsi="Times New Roman" w:eastAsia="宋体" w:cs="Times New Roman"/>
                <w:b/>
                <w:bCs/>
                <w:sz w:val="21"/>
                <w:szCs w:val="21"/>
                <w:lang w:val="en-US"/>
              </w:rPr>
              <w:t>等级判定依据</w:t>
            </w:r>
          </w:p>
        </w:tc>
        <w:tc>
          <w:tcPr>
            <w:tcW w:w="1326" w:type="pct"/>
            <w:shd w:val="clear" w:color="auto" w:fill="auto"/>
            <w:vAlign w:val="center"/>
          </w:tcPr>
          <w:p w14:paraId="10D9D91C">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rPr>
              <w:t>工程</w:t>
            </w:r>
            <w:r>
              <w:rPr>
                <w:rFonts w:hint="default" w:ascii="Times New Roman" w:hAnsi="Times New Roman" w:eastAsia="宋体" w:cs="Times New Roman"/>
                <w:b/>
                <w:bCs/>
                <w:sz w:val="21"/>
                <w:szCs w:val="21"/>
                <w:lang w:val="en-US" w:eastAsia="zh-CN"/>
              </w:rPr>
              <w:t>情况</w:t>
            </w:r>
          </w:p>
        </w:tc>
        <w:tc>
          <w:tcPr>
            <w:tcW w:w="515" w:type="pct"/>
            <w:shd w:val="clear" w:color="auto" w:fill="auto"/>
            <w:vAlign w:val="center"/>
          </w:tcPr>
          <w:p w14:paraId="34F190E4">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评价等级</w:t>
            </w:r>
          </w:p>
        </w:tc>
      </w:tr>
      <w:tr w14:paraId="42399A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157" w:type="pct"/>
            <w:shd w:val="clear" w:color="auto" w:fill="auto"/>
            <w:vAlign w:val="center"/>
          </w:tcPr>
          <w:p w14:paraId="61797C6F">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left"/>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rPr>
              <w:t>a）涉及国家公园、自然保护区、世界自然遗产、重要生境时，评价等级为一级；</w:t>
            </w:r>
          </w:p>
        </w:tc>
        <w:tc>
          <w:tcPr>
            <w:tcW w:w="1326" w:type="pct"/>
            <w:shd w:val="clear" w:color="auto" w:fill="auto"/>
            <w:vAlign w:val="center"/>
          </w:tcPr>
          <w:p w14:paraId="34C41C7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eastAsia="zh-CN"/>
              </w:rPr>
              <w:t>/</w:t>
            </w:r>
          </w:p>
        </w:tc>
        <w:tc>
          <w:tcPr>
            <w:tcW w:w="515" w:type="pct"/>
            <w:shd w:val="clear" w:color="auto" w:fill="auto"/>
            <w:vAlign w:val="center"/>
          </w:tcPr>
          <w:p w14:paraId="7842B93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14:paraId="1C9859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23" w:hRule="atLeast"/>
          <w:jc w:val="center"/>
        </w:trPr>
        <w:tc>
          <w:tcPr>
            <w:tcW w:w="3157" w:type="pct"/>
            <w:shd w:val="clear" w:color="auto" w:fill="auto"/>
            <w:vAlign w:val="center"/>
          </w:tcPr>
          <w:p w14:paraId="0E0F93BD">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left"/>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rPr>
              <w:t>b）涉及自然公园时，评价等级为二级；</w:t>
            </w:r>
          </w:p>
        </w:tc>
        <w:tc>
          <w:tcPr>
            <w:tcW w:w="1326" w:type="pct"/>
            <w:shd w:val="clear" w:color="auto" w:fill="auto"/>
            <w:vAlign w:val="center"/>
          </w:tcPr>
          <w:p w14:paraId="41012AD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515" w:type="pct"/>
            <w:shd w:val="clear" w:color="auto" w:fill="auto"/>
            <w:vAlign w:val="center"/>
          </w:tcPr>
          <w:p w14:paraId="52022FA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14:paraId="3D4969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23" w:hRule="atLeast"/>
          <w:jc w:val="center"/>
        </w:trPr>
        <w:tc>
          <w:tcPr>
            <w:tcW w:w="3157" w:type="pct"/>
            <w:shd w:val="clear" w:color="auto" w:fill="auto"/>
            <w:vAlign w:val="center"/>
          </w:tcPr>
          <w:p w14:paraId="75F53235">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left"/>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rPr>
              <w:t>c）涉及生态保护红线时，评价等级不低于二级；</w:t>
            </w:r>
          </w:p>
        </w:tc>
        <w:tc>
          <w:tcPr>
            <w:tcW w:w="1326" w:type="pct"/>
            <w:shd w:val="clear" w:color="auto" w:fill="auto"/>
            <w:vAlign w:val="center"/>
          </w:tcPr>
          <w:p w14:paraId="61BCF8AA">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515" w:type="pct"/>
            <w:shd w:val="clear" w:color="auto" w:fill="auto"/>
            <w:vAlign w:val="center"/>
          </w:tcPr>
          <w:p w14:paraId="2B480733">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r>
      <w:tr w14:paraId="1FE3B0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23" w:hRule="atLeast"/>
          <w:jc w:val="center"/>
        </w:trPr>
        <w:tc>
          <w:tcPr>
            <w:tcW w:w="3157" w:type="pct"/>
            <w:shd w:val="clear" w:color="auto" w:fill="auto"/>
            <w:vAlign w:val="center"/>
          </w:tcPr>
          <w:p w14:paraId="4FEF36F0">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left"/>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rPr>
              <w:t>d）根据HJ2.3判断属于水文要素影响型且地表水评价等级不低于二级的建设项目，生态影响评价等级不低于二级；</w:t>
            </w:r>
          </w:p>
        </w:tc>
        <w:tc>
          <w:tcPr>
            <w:tcW w:w="1326" w:type="pct"/>
            <w:shd w:val="clear" w:color="auto" w:fill="auto"/>
            <w:vAlign w:val="center"/>
          </w:tcPr>
          <w:p w14:paraId="482F7459">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eastAsia="zh-CN"/>
              </w:rPr>
              <w:t>/</w:t>
            </w:r>
          </w:p>
        </w:tc>
        <w:tc>
          <w:tcPr>
            <w:tcW w:w="515" w:type="pct"/>
            <w:shd w:val="clear" w:color="auto" w:fill="auto"/>
            <w:vAlign w:val="center"/>
          </w:tcPr>
          <w:p w14:paraId="48CC4774">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14:paraId="5FF311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23" w:hRule="atLeast"/>
          <w:jc w:val="center"/>
        </w:trPr>
        <w:tc>
          <w:tcPr>
            <w:tcW w:w="3157" w:type="pct"/>
            <w:shd w:val="clear" w:color="auto" w:fill="auto"/>
            <w:vAlign w:val="center"/>
          </w:tcPr>
          <w:p w14:paraId="19F6662F">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left"/>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rPr>
              <w:t>e）根据HJ 610、HJ 964判断地下水水位或土壤影响范围内分布有天然林、公益林、湿地等生态保护目标的建设项目，生态影响评价等级不低于二级；</w:t>
            </w:r>
          </w:p>
        </w:tc>
        <w:tc>
          <w:tcPr>
            <w:tcW w:w="1326" w:type="pct"/>
            <w:shd w:val="clear" w:color="auto" w:fill="auto"/>
            <w:vAlign w:val="center"/>
          </w:tcPr>
          <w:p w14:paraId="3E17F895">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eastAsia="zh-CN"/>
              </w:rPr>
              <w:t>/</w:t>
            </w:r>
          </w:p>
        </w:tc>
        <w:tc>
          <w:tcPr>
            <w:tcW w:w="515" w:type="pct"/>
            <w:shd w:val="clear" w:color="auto" w:fill="auto"/>
            <w:vAlign w:val="center"/>
          </w:tcPr>
          <w:p w14:paraId="536AE648">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14:paraId="6174F5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23" w:hRule="atLeast"/>
          <w:jc w:val="center"/>
        </w:trPr>
        <w:tc>
          <w:tcPr>
            <w:tcW w:w="3157" w:type="pct"/>
            <w:shd w:val="clear" w:color="auto" w:fill="auto"/>
            <w:vAlign w:val="center"/>
          </w:tcPr>
          <w:p w14:paraId="217AD72B">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left"/>
              <w:textAlignment w:val="auto"/>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f）当工程占地规模大于20km</w:t>
            </w:r>
            <w:r>
              <w:rPr>
                <w:rFonts w:hint="default" w:ascii="Times New Roman" w:hAnsi="Times New Roman" w:eastAsia="宋体" w:cs="Times New Roman"/>
                <w:sz w:val="21"/>
                <w:szCs w:val="21"/>
                <w:highlight w:val="none"/>
                <w:vertAlign w:val="superscript"/>
                <w:lang w:val="en-US"/>
              </w:rPr>
              <w:t>2</w:t>
            </w:r>
            <w:r>
              <w:rPr>
                <w:rFonts w:hint="default" w:ascii="Times New Roman" w:hAnsi="Times New Roman" w:eastAsia="宋体" w:cs="Times New Roman"/>
                <w:sz w:val="21"/>
                <w:szCs w:val="21"/>
                <w:highlight w:val="none"/>
                <w:lang w:val="en-US"/>
              </w:rPr>
              <w:t>时（包括永久和临时占用陆域和水域），评价等级不低于二级；改扩建项目的占地范围以新增占地（包括陆域和水域）确定；</w:t>
            </w:r>
          </w:p>
        </w:tc>
        <w:tc>
          <w:tcPr>
            <w:tcW w:w="1326" w:type="pct"/>
            <w:shd w:val="clear" w:color="auto" w:fill="auto"/>
            <w:vAlign w:val="center"/>
          </w:tcPr>
          <w:p w14:paraId="36C3C834">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highlight w:val="none"/>
                <w:vertAlign w:val="baseline"/>
                <w:lang w:val="en-US"/>
              </w:rPr>
            </w:pPr>
            <w:r>
              <w:rPr>
                <w:rFonts w:hint="default" w:ascii="Times New Roman" w:hAnsi="Times New Roman" w:eastAsia="宋体" w:cs="Times New Roman"/>
                <w:sz w:val="21"/>
                <w:szCs w:val="21"/>
                <w:highlight w:val="none"/>
                <w:lang w:val="en-US"/>
              </w:rPr>
              <w:t>本项目占地面积为</w:t>
            </w: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0053</w:t>
            </w:r>
            <w:r>
              <w:rPr>
                <w:rFonts w:hint="default" w:ascii="Times New Roman" w:hAnsi="Times New Roman" w:eastAsia="宋体" w:cs="Times New Roman"/>
                <w:sz w:val="21"/>
                <w:szCs w:val="21"/>
                <w:highlight w:val="none"/>
                <w:lang w:val="en-US"/>
              </w:rPr>
              <w:t>km</w:t>
            </w:r>
            <w:r>
              <w:rPr>
                <w:rFonts w:hint="default" w:ascii="Times New Roman" w:hAnsi="Times New Roman" w:eastAsia="宋体" w:cs="Times New Roman"/>
                <w:sz w:val="21"/>
                <w:szCs w:val="21"/>
                <w:highlight w:val="none"/>
                <w:vertAlign w:val="superscript"/>
                <w:lang w:val="en-US"/>
              </w:rPr>
              <w:t>2</w:t>
            </w:r>
          </w:p>
        </w:tc>
        <w:tc>
          <w:tcPr>
            <w:tcW w:w="515" w:type="pct"/>
            <w:shd w:val="clear" w:color="auto" w:fill="auto"/>
            <w:vAlign w:val="center"/>
          </w:tcPr>
          <w:p w14:paraId="43E2672C">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12CEEA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23" w:hRule="atLeast"/>
          <w:jc w:val="center"/>
        </w:trPr>
        <w:tc>
          <w:tcPr>
            <w:tcW w:w="3157" w:type="pct"/>
            <w:shd w:val="clear" w:color="auto" w:fill="auto"/>
            <w:vAlign w:val="center"/>
          </w:tcPr>
          <w:p w14:paraId="0B9FDC06">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left"/>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rPr>
              <w:t>g）除本条a）、b）、c）、d）、e）、f）以外的情况，评价等级为三级；</w:t>
            </w:r>
          </w:p>
        </w:tc>
        <w:tc>
          <w:tcPr>
            <w:tcW w:w="1326" w:type="pct"/>
            <w:shd w:val="clear" w:color="auto" w:fill="auto"/>
            <w:vAlign w:val="center"/>
          </w:tcPr>
          <w:p w14:paraId="3B1F88D8">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515" w:type="pct"/>
            <w:shd w:val="clear" w:color="auto" w:fill="auto"/>
            <w:vAlign w:val="center"/>
          </w:tcPr>
          <w:p w14:paraId="1A999BE5">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三级</w:t>
            </w:r>
          </w:p>
        </w:tc>
      </w:tr>
      <w:tr w14:paraId="1AAA6E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23" w:hRule="atLeast"/>
          <w:jc w:val="center"/>
        </w:trPr>
        <w:tc>
          <w:tcPr>
            <w:tcW w:w="4484" w:type="pct"/>
            <w:gridSpan w:val="2"/>
            <w:shd w:val="clear" w:color="auto" w:fill="auto"/>
            <w:vAlign w:val="center"/>
          </w:tcPr>
          <w:p w14:paraId="2361E2F8">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lang w:val="en-US"/>
              </w:rPr>
            </w:pPr>
            <w:r>
              <w:rPr>
                <w:rFonts w:hint="default" w:ascii="Times New Roman" w:hAnsi="Times New Roman" w:eastAsia="宋体" w:cs="Times New Roman"/>
                <w:b/>
                <w:bCs/>
                <w:sz w:val="21"/>
                <w:szCs w:val="21"/>
                <w:lang w:val="en-US"/>
              </w:rPr>
              <w:t>生态影响评价等级判定结果</w:t>
            </w:r>
          </w:p>
        </w:tc>
        <w:tc>
          <w:tcPr>
            <w:tcW w:w="515" w:type="pct"/>
            <w:shd w:val="clear" w:color="auto" w:fill="auto"/>
            <w:vAlign w:val="center"/>
          </w:tcPr>
          <w:p w14:paraId="7B5D859F">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三</w:t>
            </w:r>
            <w:r>
              <w:rPr>
                <w:rFonts w:hint="default" w:ascii="Times New Roman" w:hAnsi="Times New Roman" w:eastAsia="宋体" w:cs="Times New Roman"/>
                <w:b/>
                <w:bCs/>
                <w:sz w:val="21"/>
                <w:szCs w:val="21"/>
                <w:lang w:val="en-US" w:eastAsia="zh-CN"/>
              </w:rPr>
              <w:t>级</w:t>
            </w:r>
          </w:p>
        </w:tc>
      </w:tr>
    </w:tbl>
    <w:p w14:paraId="298BB35F">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zh-CN" w:eastAsia="zh-CN"/>
        </w:rPr>
      </w:pPr>
      <w:bookmarkStart w:id="569" w:name="_Toc910"/>
      <w:bookmarkStart w:id="570" w:name="_Toc20456"/>
      <w:bookmarkStart w:id="571" w:name="_Toc30322"/>
      <w:bookmarkStart w:id="572" w:name="_Toc30611"/>
      <w:bookmarkStart w:id="573" w:name="_Toc23760"/>
      <w:bookmarkStart w:id="574" w:name="_Toc16485"/>
      <w:r>
        <w:rPr>
          <w:rFonts w:hint="default" w:ascii="Times New Roman" w:hAnsi="Times New Roman" w:eastAsia="宋体" w:cs="Times New Roman"/>
          <w:sz w:val="28"/>
          <w:szCs w:val="28"/>
          <w:lang w:val="en-US" w:eastAsia="zh-CN"/>
        </w:rPr>
        <w:t>1.</w:t>
      </w:r>
      <w:r>
        <w:rPr>
          <w:rFonts w:hint="eastAsia" w:ascii="Times New Roman" w:hAnsi="Times New Roman" w:eastAsia="宋体" w:cs="Times New Roman"/>
          <w:sz w:val="28"/>
          <w:szCs w:val="28"/>
          <w:lang w:val="en-US" w:eastAsia="zh-CN"/>
        </w:rPr>
        <w:t>5</w:t>
      </w:r>
      <w:r>
        <w:rPr>
          <w:rFonts w:hint="default" w:ascii="Times New Roman" w:hAnsi="Times New Roman" w:eastAsia="宋体" w:cs="Times New Roman"/>
          <w:sz w:val="28"/>
          <w:szCs w:val="28"/>
          <w:lang w:val="en-US" w:eastAsia="zh-CN"/>
        </w:rPr>
        <w:t>评价范围</w:t>
      </w:r>
      <w:bookmarkEnd w:id="569"/>
      <w:bookmarkEnd w:id="570"/>
      <w:bookmarkEnd w:id="571"/>
      <w:bookmarkEnd w:id="572"/>
      <w:bookmarkEnd w:id="573"/>
      <w:bookmarkEnd w:id="574"/>
    </w:p>
    <w:p w14:paraId="5746DFA9">
      <w:pPr>
        <w:pStyle w:val="9"/>
        <w:adjustRightInd w:val="0"/>
        <w:snapToGrid w:val="0"/>
        <w:spacing w:after="0" w:line="360" w:lineRule="auto"/>
        <w:ind w:firstLine="480" w:firstLineChars="200"/>
        <w:rPr>
          <w:rFonts w:hint="default" w:ascii="Times New Roman" w:hAnsi="Times New Roman" w:eastAsia="宋体" w:cs="Times New Roman"/>
          <w:szCs w:val="22"/>
          <w:lang w:val="en-US" w:eastAsia="zh-CN"/>
        </w:rPr>
      </w:pPr>
      <w:r>
        <w:rPr>
          <w:rFonts w:hint="eastAsia" w:ascii="Times New Roman" w:hAnsi="Times New Roman" w:eastAsia="宋体" w:cs="Times New Roman"/>
          <w:szCs w:val="22"/>
          <w:lang w:val="en-US" w:eastAsia="zh-CN"/>
        </w:rPr>
        <w:t>根据调查，</w:t>
      </w:r>
      <w:r>
        <w:rPr>
          <w:rFonts w:hint="default" w:ascii="Times New Roman" w:hAnsi="Times New Roman" w:eastAsia="宋体" w:cs="Times New Roman"/>
          <w:szCs w:val="22"/>
          <w:lang w:val="en-US" w:eastAsia="zh-CN"/>
        </w:rPr>
        <w:t>本项目</w:t>
      </w:r>
      <w:r>
        <w:rPr>
          <w:rFonts w:hint="eastAsia" w:ascii="Times New Roman" w:hAnsi="Times New Roman" w:eastAsia="宋体" w:cs="Times New Roman"/>
          <w:szCs w:val="22"/>
          <w:lang w:val="en-US" w:eastAsia="zh-CN"/>
        </w:rPr>
        <w:t>周边无</w:t>
      </w:r>
      <w:r>
        <w:rPr>
          <w:rFonts w:hint="default" w:ascii="Times New Roman" w:hAnsi="Times New Roman" w:eastAsia="宋体" w:cs="Times New Roman"/>
          <w:szCs w:val="22"/>
          <w:lang w:val="en-US" w:eastAsia="zh-CN"/>
        </w:rPr>
        <w:t>国家公园、自然保护区、自然公园等自然保护地、世界自然遗产、生态保护红线等区域</w:t>
      </w:r>
      <w:r>
        <w:rPr>
          <w:rFonts w:hint="eastAsia" w:ascii="Times New Roman" w:hAnsi="Times New Roman" w:eastAsia="宋体" w:cs="Times New Roman"/>
          <w:szCs w:val="22"/>
          <w:lang w:val="en-US" w:eastAsia="zh-CN"/>
        </w:rPr>
        <w:t>；不涉及</w:t>
      </w:r>
      <w:r>
        <w:rPr>
          <w:rFonts w:hint="default" w:ascii="Times New Roman" w:hAnsi="Times New Roman" w:eastAsia="宋体" w:cs="Times New Roman"/>
          <w:szCs w:val="22"/>
          <w:lang w:val="en-US" w:eastAsia="zh-CN"/>
        </w:rPr>
        <w:t>重要物种的天然集中分布区、栖息地，重要水生生物的产卵场、索饵场、越冬场和洄游通道，迁徙鸟类的重要繁殖地、停歇地、越冬地以及野生动物迁徙通道等，</w:t>
      </w:r>
      <w:r>
        <w:rPr>
          <w:rFonts w:hint="eastAsia" w:ascii="Times New Roman" w:hAnsi="Times New Roman" w:eastAsia="宋体" w:cs="Times New Roman"/>
          <w:szCs w:val="22"/>
          <w:lang w:val="en-US" w:eastAsia="zh-CN"/>
        </w:rPr>
        <w:t>因此，</w:t>
      </w:r>
      <w:r>
        <w:rPr>
          <w:rFonts w:hint="default" w:ascii="Times New Roman" w:hAnsi="Times New Roman" w:eastAsia="宋体" w:cs="Times New Roman"/>
          <w:szCs w:val="22"/>
          <w:lang w:val="en-US" w:eastAsia="zh-CN"/>
        </w:rPr>
        <w:t>本项目不穿越生态敏感区。</w:t>
      </w:r>
    </w:p>
    <w:p w14:paraId="1640AE41">
      <w:pPr>
        <w:pStyle w:val="9"/>
        <w:adjustRightInd w:val="0"/>
        <w:snapToGrid w:val="0"/>
        <w:spacing w:after="0" w:line="360" w:lineRule="auto"/>
        <w:ind w:firstLine="480" w:firstLineChars="200"/>
        <w:rPr>
          <w:rFonts w:hint="default" w:ascii="Times New Roman" w:hAnsi="Times New Roman" w:eastAsia="宋体" w:cs="Times New Roman"/>
          <w:color w:val="0C0C0C"/>
          <w:spacing w:val="-1"/>
          <w:sz w:val="24"/>
          <w:szCs w:val="24"/>
          <w:lang w:eastAsia="zh-CN"/>
        </w:rPr>
      </w:pPr>
      <w:r>
        <w:rPr>
          <w:rFonts w:hint="default" w:ascii="Times New Roman" w:hAnsi="Times New Roman" w:eastAsia="宋体" w:cs="Times New Roman"/>
          <w:szCs w:val="22"/>
          <w:lang w:val="en-US" w:eastAsia="zh-CN"/>
        </w:rPr>
        <w:t>根据《环境影响评价技术导则 生态影响》（HJ19-2022）中评价范围的划分原则</w:t>
      </w:r>
      <w:r>
        <w:rPr>
          <w:rFonts w:hint="eastAsia" w:ascii="Times New Roman" w:hAnsi="Times New Roman" w:eastAsia="宋体" w:cs="Times New Roman"/>
          <w:szCs w:val="22"/>
          <w:lang w:val="en-US" w:eastAsia="zh-CN"/>
        </w:rPr>
        <w:t>，确定本评价范围见下表、下图</w:t>
      </w:r>
      <w:r>
        <w:rPr>
          <w:rFonts w:hint="default" w:ascii="Times New Roman" w:hAnsi="Times New Roman" w:eastAsia="宋体" w:cs="Times New Roman"/>
          <w:color w:val="0C0C0C"/>
          <w:spacing w:val="-1"/>
          <w:sz w:val="24"/>
          <w:szCs w:val="24"/>
          <w:lang w:eastAsia="zh-CN"/>
        </w:rPr>
        <w:t>。</w:t>
      </w:r>
    </w:p>
    <w:p w14:paraId="25E5D83C">
      <w:pPr>
        <w:pStyle w:val="82"/>
        <w:keepNext w:val="0"/>
        <w:keepLines w:val="0"/>
        <w:pageBreakBefore w:val="0"/>
        <w:widowControl/>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eastAsia="宋体" w:cs="Times New Roman"/>
          <w:sz w:val="22"/>
          <w:szCs w:val="22"/>
          <w:lang w:val="zh-CN" w:eastAsia="zh-CN"/>
        </w:rPr>
      </w:pPr>
      <w:r>
        <w:rPr>
          <w:rFonts w:hint="default" w:ascii="Times New Roman" w:hAnsi="Times New Roman" w:eastAsia="宋体" w:cs="Times New Roman"/>
          <w:sz w:val="22"/>
          <w:szCs w:val="22"/>
          <w:lang w:val="zh-CN" w:eastAsia="zh-CN"/>
        </w:rPr>
        <w:t>表</w:t>
      </w:r>
      <w:r>
        <w:rPr>
          <w:rFonts w:hint="eastAsia" w:ascii="Times New Roman" w:hAnsi="Times New Roman" w:eastAsia="宋体" w:cs="Times New Roman"/>
          <w:sz w:val="22"/>
          <w:szCs w:val="22"/>
          <w:lang w:val="en-US" w:eastAsia="zh-CN"/>
        </w:rPr>
        <w:t>1-3</w:t>
      </w:r>
      <w:r>
        <w:rPr>
          <w:rFonts w:hint="default" w:ascii="Times New Roman" w:hAnsi="Times New Roman" w:eastAsia="宋体" w:cs="Times New Roman"/>
          <w:sz w:val="22"/>
          <w:szCs w:val="22"/>
          <w:lang w:val="zh-CN" w:eastAsia="zh-CN"/>
        </w:rPr>
        <w:t xml:space="preserve">  </w:t>
      </w:r>
      <w:r>
        <w:rPr>
          <w:rFonts w:hint="eastAsia" w:ascii="Times New Roman" w:hAnsi="Times New Roman" w:eastAsia="宋体" w:cs="Times New Roman"/>
          <w:sz w:val="22"/>
          <w:szCs w:val="22"/>
          <w:lang w:val="en-US" w:eastAsia="zh-CN"/>
        </w:rPr>
        <w:t>项目生态环境</w:t>
      </w:r>
      <w:r>
        <w:rPr>
          <w:rFonts w:hint="default" w:ascii="Times New Roman" w:hAnsi="Times New Roman" w:eastAsia="宋体" w:cs="Times New Roman"/>
          <w:sz w:val="22"/>
          <w:szCs w:val="22"/>
          <w:lang w:val="zh-CN" w:eastAsia="zh-CN"/>
        </w:rPr>
        <w:t>评价范围一览表</w:t>
      </w:r>
    </w:p>
    <w:tbl>
      <w:tblPr>
        <w:tblStyle w:val="29"/>
        <w:tblW w:w="501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3070"/>
        <w:gridCol w:w="5984"/>
      </w:tblGrid>
      <w:tr w14:paraId="03BA72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12" w:hRule="atLeast"/>
          <w:jc w:val="center"/>
        </w:trPr>
        <w:tc>
          <w:tcPr>
            <w:tcW w:w="1695" w:type="pct"/>
            <w:shd w:val="clear" w:color="auto" w:fill="auto"/>
            <w:vAlign w:val="center"/>
          </w:tcPr>
          <w:p w14:paraId="4541D9AF">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b/>
                <w:bCs/>
                <w:sz w:val="21"/>
                <w:szCs w:val="21"/>
                <w:lang w:val="en-US"/>
              </w:rPr>
            </w:pPr>
            <w:r>
              <w:rPr>
                <w:rFonts w:hint="eastAsia" w:ascii="Times New Roman" w:hAnsi="Times New Roman" w:eastAsia="宋体" w:cs="Times New Roman"/>
                <w:b/>
                <w:bCs/>
                <w:sz w:val="21"/>
                <w:szCs w:val="21"/>
                <w:lang w:val="en-US" w:eastAsia="zh-CN"/>
              </w:rPr>
              <w:t>评价环境要素</w:t>
            </w:r>
          </w:p>
        </w:tc>
        <w:tc>
          <w:tcPr>
            <w:tcW w:w="3304" w:type="pct"/>
            <w:shd w:val="clear" w:color="auto" w:fill="auto"/>
            <w:vAlign w:val="center"/>
          </w:tcPr>
          <w:p w14:paraId="51812EF6">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评价范围</w:t>
            </w:r>
          </w:p>
        </w:tc>
      </w:tr>
      <w:tr w14:paraId="08E20D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695" w:type="pct"/>
            <w:shd w:val="clear" w:color="auto" w:fill="auto"/>
            <w:vAlign w:val="center"/>
          </w:tcPr>
          <w:p w14:paraId="74B2A545">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生态环境</w:t>
            </w:r>
          </w:p>
        </w:tc>
        <w:tc>
          <w:tcPr>
            <w:tcW w:w="3304" w:type="pct"/>
            <w:shd w:val="clear" w:color="auto" w:fill="auto"/>
            <w:vAlign w:val="center"/>
          </w:tcPr>
          <w:p w14:paraId="7F08988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rPr>
              <w:t>以线路中心线向两侧外延</w:t>
            </w:r>
            <w:r>
              <w:rPr>
                <w:rFonts w:hint="eastAsia" w:ascii="Times New Roman" w:hAnsi="Times New Roman" w:eastAsia="宋体" w:cs="Times New Roman"/>
                <w:sz w:val="21"/>
                <w:szCs w:val="21"/>
                <w:lang w:val="en-US" w:eastAsia="zh-CN"/>
              </w:rPr>
              <w:t>3</w:t>
            </w:r>
            <w:r>
              <w:rPr>
                <w:rFonts w:hint="default" w:ascii="Times New Roman" w:hAnsi="Times New Roman" w:eastAsia="宋体" w:cs="Times New Roman"/>
                <w:sz w:val="21"/>
                <w:szCs w:val="21"/>
                <w:lang w:val="en-US"/>
              </w:rPr>
              <w:t>00m为评价范围</w:t>
            </w:r>
          </w:p>
        </w:tc>
      </w:tr>
    </w:tbl>
    <w:p w14:paraId="1991C52A">
      <w:pPr>
        <w:pStyle w:val="10"/>
        <w:jc w:val="center"/>
        <w:rPr>
          <w:rFonts w:hint="default"/>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C0C0C"/>
          <w:spacing w:val="-1"/>
          <w:sz w:val="24"/>
          <w:szCs w:val="24"/>
          <w:highlight w:val="none"/>
          <w:lang w:eastAsia="zh-CN"/>
        </w:rPr>
        <w:drawing>
          <wp:inline distT="0" distB="0" distL="114300" distR="114300">
            <wp:extent cx="5607050" cy="4264025"/>
            <wp:effectExtent l="9525" t="9525" r="22225" b="12700"/>
            <wp:docPr id="113" name="图片 113" descr="fb6692318af1f020fdf42db2eecb8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fb6692318af1f020fdf42db2eecb8919"/>
                    <pic:cNvPicPr>
                      <a:picLocks noChangeAspect="1"/>
                    </pic:cNvPicPr>
                  </pic:nvPicPr>
                  <pic:blipFill>
                    <a:blip r:embed="rId65"/>
                    <a:stretch>
                      <a:fillRect/>
                    </a:stretch>
                  </pic:blipFill>
                  <pic:spPr>
                    <a:xfrm>
                      <a:off x="0" y="0"/>
                      <a:ext cx="5607050" cy="4264025"/>
                    </a:xfrm>
                    <a:prstGeom prst="rect">
                      <a:avLst/>
                    </a:prstGeom>
                    <a:ln>
                      <a:solidFill>
                        <a:schemeClr val="tx1"/>
                      </a:solidFill>
                    </a:ln>
                  </pic:spPr>
                </pic:pic>
              </a:graphicData>
            </a:graphic>
          </wp:inline>
        </w:drawing>
      </w:r>
      <w:r>
        <w:rPr>
          <w:rFonts w:hint="eastAsia" w:ascii="Times New Roman" w:hAnsi="Times New Roman" w:eastAsia="宋体" w:cs="Times New Roman"/>
          <w:b/>
          <w:bCs/>
          <w:color w:val="000000" w:themeColor="text1"/>
          <w:szCs w:val="22"/>
          <w:highlight w:val="none"/>
          <w:lang w:val="en-US" w:eastAsia="zh-CN"/>
          <w14:textFill>
            <w14:solidFill>
              <w14:schemeClr w14:val="tx1"/>
            </w14:solidFill>
          </w14:textFill>
        </w:rPr>
        <w:t>图</w:t>
      </w:r>
      <w:r>
        <w:rPr>
          <w:rFonts w:hint="default" w:ascii="Times New Roman" w:hAnsi="Times New Roman" w:eastAsia="宋体" w:cs="Times New Roman"/>
          <w:b/>
          <w:bCs/>
          <w:color w:val="000000" w:themeColor="text1"/>
          <w:szCs w:val="22"/>
          <w:highlight w:val="none"/>
          <w:lang w:val="en-US" w:eastAsia="zh-CN"/>
          <w14:textFill>
            <w14:solidFill>
              <w14:schemeClr w14:val="tx1"/>
            </w14:solidFill>
          </w14:textFill>
        </w:rPr>
        <w:t xml:space="preserve">1-1 </w:t>
      </w:r>
      <w:r>
        <w:rPr>
          <w:rFonts w:hint="eastAsia" w:ascii="Times New Roman" w:hAnsi="Times New Roman" w:eastAsia="宋体" w:cs="Times New Roman"/>
          <w:b/>
          <w:bCs/>
          <w:color w:val="000000" w:themeColor="text1"/>
          <w:szCs w:val="22"/>
          <w:highlight w:val="none"/>
          <w:lang w:val="en-US" w:eastAsia="zh-CN"/>
          <w14:textFill>
            <w14:solidFill>
              <w14:schemeClr w14:val="tx1"/>
            </w14:solidFill>
          </w14:textFill>
        </w:rPr>
        <w:t xml:space="preserve"> 本项目生态影响评价范围</w:t>
      </w:r>
    </w:p>
    <w:p w14:paraId="7EB79A3B">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zh-CN" w:eastAsia="zh-CN"/>
        </w:rPr>
      </w:pPr>
      <w:bookmarkStart w:id="575" w:name="_Toc7289"/>
      <w:bookmarkStart w:id="576" w:name="_Toc20791"/>
      <w:bookmarkStart w:id="577" w:name="_Toc20438"/>
      <w:bookmarkStart w:id="578" w:name="_Toc22032"/>
      <w:bookmarkStart w:id="579" w:name="_Toc10055"/>
      <w:bookmarkStart w:id="580" w:name="_Toc8575"/>
      <w:r>
        <w:rPr>
          <w:rFonts w:hint="default" w:ascii="Times New Roman" w:hAnsi="Times New Roman" w:eastAsia="宋体" w:cs="Times New Roman"/>
          <w:sz w:val="28"/>
          <w:szCs w:val="28"/>
          <w:lang w:val="zh-CN" w:eastAsia="zh-CN"/>
        </w:rPr>
        <w:t>1.</w:t>
      </w:r>
      <w:r>
        <w:rPr>
          <w:rFonts w:hint="eastAsia" w:ascii="Times New Roman" w:hAnsi="Times New Roman" w:eastAsia="宋体" w:cs="Times New Roman"/>
          <w:sz w:val="28"/>
          <w:szCs w:val="28"/>
          <w:lang w:val="en-US" w:eastAsia="zh-CN"/>
        </w:rPr>
        <w:t>6</w:t>
      </w:r>
      <w:r>
        <w:rPr>
          <w:rFonts w:hint="default" w:ascii="Times New Roman" w:hAnsi="Times New Roman" w:eastAsia="宋体" w:cs="Times New Roman"/>
          <w:sz w:val="28"/>
          <w:szCs w:val="28"/>
          <w:lang w:val="zh-CN" w:eastAsia="zh-CN"/>
        </w:rPr>
        <w:t>生态环境保护目标</w:t>
      </w:r>
      <w:bookmarkEnd w:id="550"/>
      <w:bookmarkEnd w:id="575"/>
      <w:bookmarkEnd w:id="576"/>
      <w:bookmarkEnd w:id="577"/>
      <w:bookmarkEnd w:id="578"/>
      <w:bookmarkEnd w:id="579"/>
      <w:bookmarkEnd w:id="580"/>
    </w:p>
    <w:p w14:paraId="5E7C7B99">
      <w:pPr>
        <w:pStyle w:val="9"/>
        <w:adjustRightInd w:val="0"/>
        <w:snapToGrid w:val="0"/>
        <w:spacing w:after="0" w:line="360" w:lineRule="auto"/>
        <w:ind w:firstLine="480" w:firstLineChars="200"/>
        <w:rPr>
          <w:rFonts w:hint="default" w:ascii="Times New Roman" w:hAnsi="Times New Roman" w:eastAsia="宋体" w:cs="Times New Roman"/>
          <w:szCs w:val="22"/>
          <w:highlight w:val="none"/>
          <w:lang w:val="en-US" w:eastAsia="zh-CN"/>
        </w:rPr>
      </w:pPr>
      <w:r>
        <w:rPr>
          <w:rFonts w:hint="default" w:ascii="Times New Roman" w:hAnsi="Times New Roman" w:eastAsia="宋体" w:cs="Times New Roman"/>
          <w:szCs w:val="22"/>
          <w:lang w:val="en-US" w:eastAsia="zh-CN"/>
        </w:rPr>
        <w:t>根据水利部办公厅关于印发《全国水土保持规划国家级水土流失重点预防区和重点治理区复核划分成果》的通知（办水保〔2013〕188号）、《安徽省人民政府关于划定省级水土流失重点预防区和重点治理区的通告》（皖政秘〔2017〕94号）</w:t>
      </w:r>
      <w:r>
        <w:rPr>
          <w:rFonts w:hint="eastAsia" w:ascii="Times New Roman" w:hAnsi="Times New Roman" w:eastAsia="宋体" w:cs="Times New Roman"/>
          <w:szCs w:val="22"/>
          <w:lang w:val="en-US" w:eastAsia="zh-CN"/>
        </w:rPr>
        <w:t>，</w:t>
      </w:r>
      <w:r>
        <w:rPr>
          <w:rFonts w:hint="default" w:ascii="Times New Roman" w:hAnsi="Times New Roman" w:eastAsia="宋体" w:cs="Times New Roman"/>
          <w:szCs w:val="22"/>
          <w:lang w:val="en-US" w:eastAsia="zh-CN"/>
        </w:rPr>
        <w:t>本项目</w:t>
      </w:r>
      <w:r>
        <w:rPr>
          <w:rFonts w:hint="eastAsia" w:ascii="Times New Roman" w:hAnsi="Times New Roman" w:eastAsia="宋体" w:cs="Times New Roman"/>
          <w:szCs w:val="22"/>
          <w:lang w:val="en-US" w:eastAsia="zh-CN"/>
        </w:rPr>
        <w:t>位于</w:t>
      </w:r>
      <w:r>
        <w:rPr>
          <w:rFonts w:hint="eastAsia" w:ascii="Times New Roman" w:hAnsi="Times New Roman" w:eastAsia="宋体" w:cs="Times New Roman"/>
          <w:szCs w:val="22"/>
          <w:highlight w:val="none"/>
          <w:lang w:val="en-US" w:eastAsia="zh-CN"/>
        </w:rPr>
        <w:t>“桐柏山-大别山国家级水土流失重点预防区”内</w:t>
      </w:r>
      <w:r>
        <w:rPr>
          <w:rFonts w:hint="default" w:ascii="Times New Roman" w:hAnsi="Times New Roman" w:eastAsia="宋体" w:cs="Times New Roman"/>
          <w:szCs w:val="22"/>
          <w:highlight w:val="none"/>
          <w:lang w:val="en-US" w:eastAsia="zh-CN"/>
        </w:rPr>
        <w:t>。</w:t>
      </w:r>
    </w:p>
    <w:p w14:paraId="6A72CAAC">
      <w:pPr>
        <w:pStyle w:val="9"/>
        <w:adjustRightInd w:val="0"/>
        <w:snapToGrid w:val="0"/>
        <w:spacing w:after="0" w:line="360" w:lineRule="auto"/>
        <w:ind w:firstLine="480" w:firstLineChars="200"/>
        <w:rPr>
          <w:rFonts w:hint="default" w:ascii="Times New Roman" w:hAnsi="Times New Roman" w:eastAsia="宋体" w:cs="Times New Roman"/>
          <w:szCs w:val="22"/>
          <w:highlight w:val="none"/>
          <w:lang w:val="en-US" w:eastAsia="zh-CN"/>
        </w:rPr>
      </w:pPr>
      <w:r>
        <w:rPr>
          <w:rFonts w:hint="default" w:ascii="Times New Roman" w:hAnsi="Times New Roman" w:eastAsia="宋体" w:cs="Times New Roman"/>
          <w:szCs w:val="22"/>
          <w:highlight w:val="none"/>
          <w:lang w:val="en-US" w:eastAsia="zh-CN"/>
        </w:rPr>
        <w:t>本项目的主要生态环境保护目标是沿线植被、野生动物、水生生物以及评价范围内的生态保护红线。具体的生态环境主要保护目标详见下表：</w:t>
      </w:r>
    </w:p>
    <w:p w14:paraId="5DF6F21B">
      <w:pPr>
        <w:widowControl/>
        <w:bidi w:val="0"/>
        <w:spacing w:line="240" w:lineRule="auto"/>
        <w:jc w:val="center"/>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eastAsia="宋体" w:cs="Times New Roman"/>
          <w:b/>
          <w:bCs/>
          <w:kern w:val="2"/>
          <w:sz w:val="21"/>
          <w:szCs w:val="21"/>
          <w:highlight w:val="none"/>
          <w:lang w:val="en-US" w:eastAsia="zh-CN" w:bidi="ar-SA"/>
        </w:rPr>
        <w:t>表</w:t>
      </w:r>
      <w:r>
        <w:rPr>
          <w:rFonts w:hint="eastAsia" w:ascii="Times New Roman" w:hAnsi="Times New Roman" w:eastAsia="宋体" w:cs="Times New Roman"/>
          <w:b/>
          <w:bCs/>
          <w:kern w:val="2"/>
          <w:sz w:val="21"/>
          <w:szCs w:val="21"/>
          <w:highlight w:val="none"/>
          <w:lang w:val="en-US" w:eastAsia="zh-CN" w:bidi="ar-SA"/>
        </w:rPr>
        <w:t>1-4</w:t>
      </w:r>
      <w:r>
        <w:rPr>
          <w:rFonts w:hint="default" w:ascii="Times New Roman" w:hAnsi="Times New Roman" w:eastAsia="宋体" w:cs="Times New Roman"/>
          <w:b/>
          <w:bCs/>
          <w:kern w:val="2"/>
          <w:sz w:val="21"/>
          <w:szCs w:val="21"/>
          <w:highlight w:val="none"/>
          <w:lang w:val="en-US" w:eastAsia="zh-CN" w:bidi="ar-SA"/>
        </w:rPr>
        <w:t xml:space="preserve">  生态环境主要保护目标</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7"/>
        <w:gridCol w:w="1157"/>
        <w:gridCol w:w="3182"/>
        <w:gridCol w:w="981"/>
        <w:gridCol w:w="801"/>
        <w:gridCol w:w="1124"/>
      </w:tblGrid>
      <w:tr w14:paraId="18249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080" w:type="pct"/>
            <w:noWrap w:val="0"/>
            <w:vAlign w:val="center"/>
          </w:tcPr>
          <w:p w14:paraId="1C463D33">
            <w:pPr>
              <w:jc w:val="center"/>
              <w:rPr>
                <w:rFonts w:hint="default" w:ascii="Times New Roman" w:hAnsi="Times New Roman" w:eastAsia="宋体" w:cs="Times New Roman"/>
                <w:b/>
                <w:bCs/>
                <w:kern w:val="2"/>
                <w:sz w:val="21"/>
                <w:szCs w:val="22"/>
                <w:highlight w:val="none"/>
                <w:lang w:val="en-US" w:eastAsia="zh-CN" w:bidi="ar-SA"/>
              </w:rPr>
            </w:pPr>
            <w:r>
              <w:rPr>
                <w:rFonts w:hint="eastAsia" w:ascii="Times New Roman" w:hAnsi="Times New Roman" w:eastAsia="宋体" w:cs="Times New Roman"/>
                <w:b/>
                <w:bCs/>
                <w:kern w:val="2"/>
                <w:sz w:val="21"/>
                <w:szCs w:val="22"/>
                <w:highlight w:val="none"/>
                <w:lang w:val="en-US" w:eastAsia="zh-CN" w:bidi="ar-SA"/>
              </w:rPr>
              <w:t>环境要素</w:t>
            </w:r>
          </w:p>
        </w:tc>
        <w:tc>
          <w:tcPr>
            <w:tcW w:w="625" w:type="pct"/>
            <w:noWrap w:val="0"/>
            <w:vAlign w:val="center"/>
          </w:tcPr>
          <w:p w14:paraId="2B5C416E">
            <w:pPr>
              <w:jc w:val="center"/>
              <w:rPr>
                <w:rFonts w:hint="default" w:ascii="Times New Roman" w:hAnsi="Times New Roman" w:eastAsia="宋体" w:cs="Times New Roman"/>
                <w:b/>
                <w:bCs/>
                <w:kern w:val="2"/>
                <w:sz w:val="21"/>
                <w:szCs w:val="22"/>
                <w:highlight w:val="none"/>
                <w:lang w:val="en-US" w:eastAsia="zh-CN" w:bidi="ar-SA"/>
              </w:rPr>
            </w:pPr>
            <w:r>
              <w:rPr>
                <w:rFonts w:hint="eastAsia" w:ascii="Times New Roman" w:hAnsi="Times New Roman" w:eastAsia="宋体" w:cs="Times New Roman"/>
                <w:b/>
                <w:bCs/>
                <w:kern w:val="2"/>
                <w:sz w:val="21"/>
                <w:szCs w:val="22"/>
                <w:highlight w:val="none"/>
                <w:lang w:val="en-US" w:eastAsia="zh-CN" w:bidi="ar-SA"/>
              </w:rPr>
              <w:t>环境保护目标</w:t>
            </w:r>
          </w:p>
        </w:tc>
        <w:tc>
          <w:tcPr>
            <w:tcW w:w="1721" w:type="pct"/>
            <w:noWrap w:val="0"/>
            <w:vAlign w:val="center"/>
          </w:tcPr>
          <w:p w14:paraId="129AFCCE">
            <w:pPr>
              <w:jc w:val="center"/>
              <w:rPr>
                <w:rFonts w:hint="default" w:ascii="Times New Roman" w:hAnsi="Times New Roman" w:eastAsia="宋体" w:cs="Times New Roman"/>
                <w:b/>
                <w:bCs/>
                <w:kern w:val="2"/>
                <w:sz w:val="21"/>
                <w:szCs w:val="22"/>
                <w:highlight w:val="none"/>
                <w:lang w:val="en-US" w:eastAsia="zh-CN" w:bidi="ar-SA"/>
              </w:rPr>
            </w:pPr>
            <w:r>
              <w:rPr>
                <w:rFonts w:hint="default" w:ascii="Times New Roman" w:hAnsi="Times New Roman" w:eastAsia="宋体" w:cs="Times New Roman"/>
                <w:b/>
                <w:bCs/>
                <w:kern w:val="2"/>
                <w:sz w:val="21"/>
                <w:szCs w:val="22"/>
                <w:highlight w:val="none"/>
                <w:lang w:val="en-US" w:eastAsia="zh-CN" w:bidi="ar-SA"/>
              </w:rPr>
              <w:t>保护</w:t>
            </w:r>
            <w:r>
              <w:rPr>
                <w:rFonts w:hint="eastAsia" w:ascii="Times New Roman" w:hAnsi="Times New Roman" w:eastAsia="宋体" w:cs="Times New Roman"/>
                <w:b/>
                <w:bCs/>
                <w:kern w:val="2"/>
                <w:sz w:val="21"/>
                <w:szCs w:val="22"/>
                <w:highlight w:val="none"/>
                <w:lang w:val="en-US" w:eastAsia="zh-CN" w:bidi="ar-SA"/>
              </w:rPr>
              <w:t>内容</w:t>
            </w:r>
          </w:p>
        </w:tc>
        <w:tc>
          <w:tcPr>
            <w:tcW w:w="530" w:type="pct"/>
            <w:noWrap w:val="0"/>
            <w:vAlign w:val="center"/>
          </w:tcPr>
          <w:p w14:paraId="3C299A79">
            <w:pPr>
              <w:jc w:val="center"/>
              <w:rPr>
                <w:rFonts w:hint="default" w:ascii="Times New Roman" w:hAnsi="Times New Roman" w:eastAsia="宋体" w:cs="Times New Roman"/>
                <w:b/>
                <w:bCs/>
                <w:kern w:val="2"/>
                <w:sz w:val="21"/>
                <w:szCs w:val="22"/>
                <w:highlight w:val="none"/>
                <w:lang w:val="en-US" w:eastAsia="zh-CN" w:bidi="ar-SA"/>
              </w:rPr>
            </w:pPr>
            <w:r>
              <w:rPr>
                <w:rFonts w:hint="default" w:ascii="Times New Roman" w:hAnsi="Times New Roman" w:eastAsia="宋体" w:cs="Times New Roman"/>
                <w:b/>
                <w:bCs/>
                <w:kern w:val="2"/>
                <w:sz w:val="21"/>
                <w:szCs w:val="22"/>
                <w:highlight w:val="none"/>
                <w:lang w:val="en-US" w:eastAsia="zh-CN" w:bidi="ar-SA"/>
              </w:rPr>
              <w:t>环境功能</w:t>
            </w:r>
          </w:p>
        </w:tc>
        <w:tc>
          <w:tcPr>
            <w:tcW w:w="433" w:type="pct"/>
            <w:noWrap w:val="0"/>
            <w:vAlign w:val="center"/>
          </w:tcPr>
          <w:p w14:paraId="0C10840A">
            <w:pPr>
              <w:jc w:val="center"/>
              <w:rPr>
                <w:rFonts w:hint="default" w:ascii="Times New Roman" w:hAnsi="Times New Roman" w:eastAsia="宋体" w:cs="Times New Roman"/>
                <w:b/>
                <w:bCs/>
                <w:kern w:val="2"/>
                <w:sz w:val="21"/>
                <w:szCs w:val="22"/>
                <w:highlight w:val="none"/>
                <w:lang w:val="en-US" w:eastAsia="zh-CN" w:bidi="ar-SA"/>
              </w:rPr>
            </w:pPr>
            <w:r>
              <w:rPr>
                <w:rFonts w:hint="default" w:ascii="Times New Roman" w:hAnsi="Times New Roman" w:eastAsia="宋体" w:cs="Times New Roman"/>
                <w:b/>
                <w:bCs/>
                <w:kern w:val="2"/>
                <w:sz w:val="21"/>
                <w:szCs w:val="22"/>
                <w:highlight w:val="none"/>
                <w:lang w:val="en-US" w:eastAsia="zh-CN" w:bidi="ar-SA"/>
              </w:rPr>
              <w:t>方位</w:t>
            </w:r>
          </w:p>
        </w:tc>
        <w:tc>
          <w:tcPr>
            <w:tcW w:w="608" w:type="pct"/>
            <w:noWrap w:val="0"/>
            <w:vAlign w:val="center"/>
          </w:tcPr>
          <w:p w14:paraId="6ADD737D">
            <w:pPr>
              <w:jc w:val="center"/>
              <w:rPr>
                <w:rFonts w:hint="default" w:ascii="Times New Roman" w:hAnsi="Times New Roman" w:eastAsia="宋体" w:cs="Times New Roman"/>
                <w:b/>
                <w:bCs/>
                <w:kern w:val="2"/>
                <w:sz w:val="21"/>
                <w:szCs w:val="22"/>
                <w:highlight w:val="none"/>
                <w:lang w:val="en-US" w:eastAsia="zh-CN" w:bidi="ar-SA"/>
              </w:rPr>
            </w:pPr>
            <w:r>
              <w:rPr>
                <w:rFonts w:hint="default" w:ascii="Times New Roman" w:hAnsi="Times New Roman" w:eastAsia="宋体" w:cs="Times New Roman"/>
                <w:b/>
                <w:bCs/>
                <w:kern w:val="2"/>
                <w:sz w:val="21"/>
                <w:szCs w:val="22"/>
                <w:highlight w:val="none"/>
                <w:lang w:val="en-US" w:eastAsia="zh-CN" w:bidi="ar-SA"/>
              </w:rPr>
              <w:t>相对场界最近距离/m</w:t>
            </w:r>
          </w:p>
        </w:tc>
      </w:tr>
      <w:tr w14:paraId="484B5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080" w:type="pct"/>
            <w:noWrap w:val="0"/>
            <w:vAlign w:val="center"/>
          </w:tcPr>
          <w:p w14:paraId="4A0DB62F">
            <w:pPr>
              <w:jc w:val="center"/>
              <w:rPr>
                <w:rFonts w:hint="default" w:ascii="Times New Roman" w:hAnsi="Times New Roman" w:eastAsia="宋体" w:cs="Times New Roman"/>
                <w:b w:val="0"/>
                <w:bCs w:val="0"/>
                <w:kern w:val="2"/>
                <w:sz w:val="21"/>
                <w:szCs w:val="22"/>
                <w:highlight w:val="none"/>
                <w:lang w:val="en-US" w:eastAsia="zh-CN" w:bidi="ar-SA"/>
              </w:rPr>
            </w:pPr>
            <w:r>
              <w:rPr>
                <w:rFonts w:hint="eastAsia" w:ascii="Times New Roman" w:hAnsi="Times New Roman" w:eastAsia="宋体" w:cs="Times New Roman"/>
                <w:b w:val="0"/>
                <w:bCs w:val="0"/>
                <w:kern w:val="2"/>
                <w:sz w:val="21"/>
                <w:szCs w:val="22"/>
                <w:highlight w:val="none"/>
                <w:lang w:val="en-US" w:eastAsia="zh-CN" w:bidi="ar-SA"/>
              </w:rPr>
              <w:t>桐柏山-大别山国家级水土流失重点预防区</w:t>
            </w:r>
          </w:p>
        </w:tc>
        <w:tc>
          <w:tcPr>
            <w:tcW w:w="625" w:type="pct"/>
            <w:noWrap w:val="0"/>
            <w:vAlign w:val="center"/>
          </w:tcPr>
          <w:p w14:paraId="272A8C5D">
            <w:pPr>
              <w:jc w:val="center"/>
              <w:rPr>
                <w:rFonts w:hint="default" w:ascii="Times New Roman" w:hAnsi="Times New Roman" w:eastAsia="宋体" w:cs="Times New Roman"/>
                <w:b w:val="0"/>
                <w:bCs w:val="0"/>
                <w:kern w:val="2"/>
                <w:sz w:val="21"/>
                <w:szCs w:val="22"/>
                <w:highlight w:val="none"/>
                <w:lang w:val="en-US" w:eastAsia="zh-CN" w:bidi="ar-SA"/>
              </w:rPr>
            </w:pPr>
            <w:r>
              <w:rPr>
                <w:rFonts w:hint="eastAsia" w:ascii="Times New Roman" w:hAnsi="Times New Roman" w:eastAsia="宋体" w:cs="Times New Roman"/>
                <w:b w:val="0"/>
                <w:bCs w:val="0"/>
                <w:kern w:val="2"/>
                <w:sz w:val="21"/>
                <w:szCs w:val="22"/>
                <w:highlight w:val="none"/>
                <w:lang w:val="en-US" w:eastAsia="zh-CN" w:bidi="ar-SA"/>
              </w:rPr>
              <w:t>生态</w:t>
            </w:r>
          </w:p>
        </w:tc>
        <w:tc>
          <w:tcPr>
            <w:tcW w:w="1721" w:type="pct"/>
            <w:noWrap w:val="0"/>
            <w:vAlign w:val="center"/>
          </w:tcPr>
          <w:p w14:paraId="43947B99">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植被覆盖率、水土保持</w:t>
            </w:r>
          </w:p>
        </w:tc>
        <w:tc>
          <w:tcPr>
            <w:tcW w:w="530" w:type="pct"/>
            <w:noWrap w:val="0"/>
            <w:vAlign w:val="center"/>
          </w:tcPr>
          <w:p w14:paraId="079CD7B9">
            <w:pPr>
              <w:jc w:val="center"/>
              <w:rPr>
                <w:rFonts w:hint="default" w:ascii="Times New Roman" w:hAnsi="Times New Roman" w:eastAsia="宋体" w:cs="Times New Roman"/>
                <w:b w:val="0"/>
                <w:bCs w:val="0"/>
                <w:kern w:val="2"/>
                <w:sz w:val="21"/>
                <w:szCs w:val="22"/>
                <w:highlight w:val="none"/>
                <w:lang w:val="en-US" w:eastAsia="zh-CN" w:bidi="ar-SA"/>
              </w:rPr>
            </w:pPr>
            <w:r>
              <w:rPr>
                <w:rFonts w:hint="eastAsia" w:ascii="Times New Roman" w:hAnsi="Times New Roman" w:eastAsia="宋体" w:cs="Times New Roman"/>
                <w:b w:val="0"/>
                <w:bCs w:val="0"/>
                <w:kern w:val="2"/>
                <w:sz w:val="21"/>
                <w:szCs w:val="22"/>
                <w:highlight w:val="none"/>
                <w:lang w:val="en-US" w:eastAsia="zh-CN" w:bidi="ar-SA"/>
              </w:rPr>
              <w:t>水土流失重点预防区</w:t>
            </w:r>
          </w:p>
        </w:tc>
        <w:tc>
          <w:tcPr>
            <w:tcW w:w="433" w:type="pct"/>
            <w:vMerge w:val="restart"/>
            <w:noWrap w:val="0"/>
            <w:vAlign w:val="center"/>
          </w:tcPr>
          <w:p w14:paraId="17D5CCDF">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项目区域范围</w:t>
            </w:r>
          </w:p>
        </w:tc>
        <w:tc>
          <w:tcPr>
            <w:tcW w:w="608" w:type="pct"/>
            <w:noWrap w:val="0"/>
            <w:vAlign w:val="center"/>
          </w:tcPr>
          <w:p w14:paraId="2D375229">
            <w:pPr>
              <w:jc w:val="center"/>
              <w:rPr>
                <w:rFonts w:hint="default" w:ascii="Times New Roman" w:hAnsi="Times New Roman" w:eastAsia="宋体" w:cs="Times New Roman"/>
                <w:b w:val="0"/>
                <w:bCs w:val="0"/>
                <w:kern w:val="2"/>
                <w:sz w:val="21"/>
                <w:szCs w:val="22"/>
                <w:highlight w:val="none"/>
                <w:lang w:val="en-US" w:eastAsia="zh-CN" w:bidi="ar-SA"/>
              </w:rPr>
            </w:pPr>
            <w:r>
              <w:rPr>
                <w:rFonts w:hint="eastAsia" w:ascii="Times New Roman" w:hAnsi="Times New Roman" w:eastAsia="宋体" w:cs="Times New Roman"/>
                <w:b w:val="0"/>
                <w:bCs w:val="0"/>
                <w:kern w:val="2"/>
                <w:sz w:val="21"/>
                <w:szCs w:val="22"/>
                <w:highlight w:val="none"/>
                <w:lang w:val="en-US" w:eastAsia="zh-CN" w:bidi="ar-SA"/>
              </w:rPr>
              <w:t>/</w:t>
            </w:r>
          </w:p>
        </w:tc>
      </w:tr>
      <w:tr w14:paraId="1CE44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080" w:type="pct"/>
            <w:noWrap w:val="0"/>
            <w:vAlign w:val="center"/>
          </w:tcPr>
          <w:p w14:paraId="1AC2FC8C">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植被</w:t>
            </w:r>
          </w:p>
        </w:tc>
        <w:tc>
          <w:tcPr>
            <w:tcW w:w="625" w:type="pct"/>
            <w:noWrap w:val="0"/>
            <w:vAlign w:val="center"/>
          </w:tcPr>
          <w:p w14:paraId="3CFFCCB2">
            <w:pPr>
              <w:jc w:val="center"/>
              <w:rPr>
                <w:rFonts w:hint="default" w:ascii="Times New Roman" w:hAnsi="Times New Roman" w:eastAsia="宋体" w:cs="Times New Roman"/>
                <w:b w:val="0"/>
                <w:bCs w:val="0"/>
                <w:kern w:val="2"/>
                <w:sz w:val="21"/>
                <w:szCs w:val="22"/>
                <w:highlight w:val="none"/>
                <w:lang w:val="en-US" w:eastAsia="zh-CN" w:bidi="ar-SA"/>
              </w:rPr>
            </w:pPr>
            <w:r>
              <w:rPr>
                <w:rFonts w:hint="eastAsia" w:ascii="Times New Roman" w:hAnsi="Times New Roman" w:eastAsia="宋体" w:cs="Times New Roman"/>
                <w:b w:val="0"/>
                <w:bCs w:val="0"/>
                <w:kern w:val="2"/>
                <w:sz w:val="21"/>
                <w:szCs w:val="22"/>
                <w:highlight w:val="none"/>
                <w:lang w:val="en-US" w:eastAsia="zh-CN" w:bidi="ar-SA"/>
              </w:rPr>
              <w:t>植物</w:t>
            </w:r>
          </w:p>
        </w:tc>
        <w:tc>
          <w:tcPr>
            <w:tcW w:w="1721" w:type="pct"/>
            <w:noWrap w:val="0"/>
            <w:vAlign w:val="center"/>
          </w:tcPr>
          <w:p w14:paraId="13C6DAB1">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植物物种多样性、植被覆盖率</w:t>
            </w:r>
          </w:p>
        </w:tc>
        <w:tc>
          <w:tcPr>
            <w:tcW w:w="530" w:type="pct"/>
            <w:vMerge w:val="restart"/>
            <w:noWrap w:val="0"/>
            <w:vAlign w:val="center"/>
          </w:tcPr>
          <w:p w14:paraId="1DC90B60">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一般区域</w:t>
            </w:r>
          </w:p>
        </w:tc>
        <w:tc>
          <w:tcPr>
            <w:tcW w:w="433" w:type="pct"/>
            <w:vMerge w:val="continue"/>
            <w:noWrap w:val="0"/>
            <w:vAlign w:val="center"/>
          </w:tcPr>
          <w:p w14:paraId="24B7B564">
            <w:pPr>
              <w:jc w:val="center"/>
              <w:rPr>
                <w:rFonts w:hint="default" w:ascii="Times New Roman" w:hAnsi="Times New Roman" w:eastAsia="宋体" w:cs="Times New Roman"/>
                <w:b w:val="0"/>
                <w:bCs w:val="0"/>
                <w:kern w:val="2"/>
                <w:sz w:val="21"/>
                <w:szCs w:val="22"/>
                <w:highlight w:val="none"/>
                <w:lang w:val="en-US" w:eastAsia="zh-CN" w:bidi="ar-SA"/>
              </w:rPr>
            </w:pPr>
          </w:p>
        </w:tc>
        <w:tc>
          <w:tcPr>
            <w:tcW w:w="608" w:type="pct"/>
            <w:noWrap w:val="0"/>
            <w:vAlign w:val="center"/>
          </w:tcPr>
          <w:p w14:paraId="24BB091B">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w:t>
            </w:r>
          </w:p>
        </w:tc>
      </w:tr>
      <w:tr w14:paraId="74D45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080" w:type="pct"/>
            <w:noWrap w:val="0"/>
            <w:vAlign w:val="center"/>
          </w:tcPr>
          <w:p w14:paraId="35014F07">
            <w:pPr>
              <w:jc w:val="center"/>
              <w:rPr>
                <w:rFonts w:hint="default" w:ascii="Times New Roman" w:hAnsi="Times New Roman" w:eastAsia="宋体" w:cs="Times New Roman"/>
                <w:b w:val="0"/>
                <w:bCs w:val="0"/>
                <w:kern w:val="2"/>
                <w:sz w:val="21"/>
                <w:szCs w:val="22"/>
                <w:highlight w:val="none"/>
                <w:lang w:val="en-US" w:eastAsia="zh-CN" w:bidi="ar-SA"/>
              </w:rPr>
            </w:pPr>
            <w:r>
              <w:rPr>
                <w:rFonts w:hint="eastAsia" w:ascii="Times New Roman" w:hAnsi="Times New Roman" w:eastAsia="宋体" w:cs="Times New Roman"/>
                <w:b w:val="0"/>
                <w:bCs w:val="0"/>
                <w:kern w:val="2"/>
                <w:sz w:val="21"/>
                <w:szCs w:val="22"/>
                <w:highlight w:val="none"/>
                <w:lang w:val="en-US" w:eastAsia="zh-CN" w:bidi="ar-SA"/>
              </w:rPr>
              <w:t>野生</w:t>
            </w:r>
            <w:r>
              <w:rPr>
                <w:rFonts w:hint="default" w:ascii="Times New Roman" w:hAnsi="Times New Roman" w:eastAsia="宋体" w:cs="Times New Roman"/>
                <w:b w:val="0"/>
                <w:bCs w:val="0"/>
                <w:kern w:val="2"/>
                <w:sz w:val="21"/>
                <w:szCs w:val="22"/>
                <w:highlight w:val="none"/>
                <w:lang w:val="en-US" w:eastAsia="zh-CN" w:bidi="ar-SA"/>
              </w:rPr>
              <w:t>动物</w:t>
            </w:r>
          </w:p>
        </w:tc>
        <w:tc>
          <w:tcPr>
            <w:tcW w:w="625" w:type="pct"/>
            <w:noWrap w:val="0"/>
            <w:vAlign w:val="center"/>
          </w:tcPr>
          <w:p w14:paraId="21701608">
            <w:pPr>
              <w:jc w:val="center"/>
              <w:rPr>
                <w:rFonts w:hint="default" w:ascii="Times New Roman" w:hAnsi="Times New Roman" w:eastAsia="宋体" w:cs="Times New Roman"/>
                <w:b w:val="0"/>
                <w:bCs w:val="0"/>
                <w:kern w:val="2"/>
                <w:sz w:val="21"/>
                <w:szCs w:val="22"/>
                <w:highlight w:val="none"/>
                <w:lang w:val="en-US" w:eastAsia="zh-CN" w:bidi="ar-SA"/>
              </w:rPr>
            </w:pPr>
            <w:r>
              <w:rPr>
                <w:rFonts w:hint="eastAsia" w:ascii="Times New Roman" w:hAnsi="Times New Roman" w:eastAsia="宋体" w:cs="Times New Roman"/>
                <w:b w:val="0"/>
                <w:bCs w:val="0"/>
                <w:kern w:val="2"/>
                <w:sz w:val="21"/>
                <w:szCs w:val="22"/>
                <w:highlight w:val="none"/>
                <w:lang w:val="en-US" w:eastAsia="zh-CN" w:bidi="ar-SA"/>
              </w:rPr>
              <w:t>野生</w:t>
            </w:r>
            <w:r>
              <w:rPr>
                <w:rFonts w:hint="default" w:ascii="Times New Roman" w:hAnsi="Times New Roman" w:eastAsia="宋体" w:cs="Times New Roman"/>
                <w:b w:val="0"/>
                <w:bCs w:val="0"/>
                <w:kern w:val="2"/>
                <w:sz w:val="21"/>
                <w:szCs w:val="22"/>
                <w:highlight w:val="none"/>
                <w:lang w:val="en-US" w:eastAsia="zh-CN" w:bidi="ar-SA"/>
              </w:rPr>
              <w:t>动物</w:t>
            </w:r>
          </w:p>
        </w:tc>
        <w:tc>
          <w:tcPr>
            <w:tcW w:w="1721" w:type="pct"/>
            <w:noWrap w:val="0"/>
            <w:vAlign w:val="center"/>
          </w:tcPr>
          <w:p w14:paraId="03965CE7">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动植物种多样性</w:t>
            </w:r>
          </w:p>
        </w:tc>
        <w:tc>
          <w:tcPr>
            <w:tcW w:w="530" w:type="pct"/>
            <w:vMerge w:val="continue"/>
            <w:noWrap w:val="0"/>
            <w:vAlign w:val="center"/>
          </w:tcPr>
          <w:p w14:paraId="18517017">
            <w:pPr>
              <w:jc w:val="center"/>
              <w:rPr>
                <w:rFonts w:hint="default" w:ascii="Times New Roman" w:hAnsi="Times New Roman" w:eastAsia="宋体" w:cs="Times New Roman"/>
                <w:b w:val="0"/>
                <w:bCs w:val="0"/>
                <w:kern w:val="2"/>
                <w:sz w:val="21"/>
                <w:szCs w:val="22"/>
                <w:highlight w:val="none"/>
                <w:lang w:val="en-US" w:eastAsia="zh-CN" w:bidi="ar-SA"/>
              </w:rPr>
            </w:pPr>
          </w:p>
        </w:tc>
        <w:tc>
          <w:tcPr>
            <w:tcW w:w="433" w:type="pct"/>
            <w:vMerge w:val="continue"/>
            <w:noWrap w:val="0"/>
            <w:vAlign w:val="center"/>
          </w:tcPr>
          <w:p w14:paraId="37C1D231">
            <w:pPr>
              <w:jc w:val="center"/>
              <w:rPr>
                <w:rFonts w:hint="default" w:ascii="Times New Roman" w:hAnsi="Times New Roman" w:eastAsia="宋体" w:cs="Times New Roman"/>
                <w:b w:val="0"/>
                <w:bCs w:val="0"/>
                <w:kern w:val="2"/>
                <w:sz w:val="21"/>
                <w:szCs w:val="22"/>
                <w:highlight w:val="none"/>
                <w:lang w:val="en-US" w:eastAsia="zh-CN" w:bidi="ar-SA"/>
              </w:rPr>
            </w:pPr>
          </w:p>
        </w:tc>
        <w:tc>
          <w:tcPr>
            <w:tcW w:w="608" w:type="pct"/>
            <w:noWrap w:val="0"/>
            <w:vAlign w:val="center"/>
          </w:tcPr>
          <w:p w14:paraId="658BC7BC">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w:t>
            </w:r>
          </w:p>
        </w:tc>
      </w:tr>
      <w:tr w14:paraId="428A1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080" w:type="pct"/>
            <w:noWrap w:val="0"/>
            <w:vAlign w:val="center"/>
          </w:tcPr>
          <w:p w14:paraId="67AECE1F">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水生生物</w:t>
            </w:r>
          </w:p>
        </w:tc>
        <w:tc>
          <w:tcPr>
            <w:tcW w:w="625" w:type="pct"/>
            <w:noWrap w:val="0"/>
            <w:vAlign w:val="center"/>
          </w:tcPr>
          <w:p w14:paraId="3823D196">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水生生物</w:t>
            </w:r>
          </w:p>
        </w:tc>
        <w:tc>
          <w:tcPr>
            <w:tcW w:w="1721" w:type="pct"/>
            <w:noWrap w:val="0"/>
            <w:vAlign w:val="center"/>
          </w:tcPr>
          <w:p w14:paraId="4FA17017">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水生生物物种多样性</w:t>
            </w:r>
          </w:p>
        </w:tc>
        <w:tc>
          <w:tcPr>
            <w:tcW w:w="530" w:type="pct"/>
            <w:vMerge w:val="continue"/>
            <w:noWrap w:val="0"/>
            <w:vAlign w:val="center"/>
          </w:tcPr>
          <w:p w14:paraId="19EBB24C">
            <w:pPr>
              <w:jc w:val="center"/>
              <w:rPr>
                <w:rFonts w:hint="default" w:ascii="Times New Roman" w:hAnsi="Times New Roman" w:eastAsia="宋体" w:cs="Times New Roman"/>
                <w:b w:val="0"/>
                <w:bCs w:val="0"/>
                <w:kern w:val="2"/>
                <w:sz w:val="21"/>
                <w:szCs w:val="22"/>
                <w:highlight w:val="none"/>
                <w:lang w:val="en-US" w:eastAsia="zh-CN" w:bidi="ar-SA"/>
              </w:rPr>
            </w:pPr>
          </w:p>
        </w:tc>
        <w:tc>
          <w:tcPr>
            <w:tcW w:w="433" w:type="pct"/>
            <w:vMerge w:val="continue"/>
            <w:noWrap w:val="0"/>
            <w:vAlign w:val="center"/>
          </w:tcPr>
          <w:p w14:paraId="440520E3">
            <w:pPr>
              <w:jc w:val="center"/>
              <w:rPr>
                <w:rFonts w:hint="default" w:ascii="Times New Roman" w:hAnsi="Times New Roman" w:eastAsia="宋体" w:cs="Times New Roman"/>
                <w:b w:val="0"/>
                <w:bCs w:val="0"/>
                <w:kern w:val="2"/>
                <w:sz w:val="21"/>
                <w:szCs w:val="22"/>
                <w:highlight w:val="none"/>
                <w:lang w:val="en-US" w:eastAsia="zh-CN" w:bidi="ar-SA"/>
              </w:rPr>
            </w:pPr>
          </w:p>
        </w:tc>
        <w:tc>
          <w:tcPr>
            <w:tcW w:w="608" w:type="pct"/>
            <w:noWrap w:val="0"/>
            <w:vAlign w:val="center"/>
          </w:tcPr>
          <w:p w14:paraId="2B4F6C96">
            <w:pPr>
              <w:jc w:val="center"/>
              <w:rPr>
                <w:rFonts w:hint="default" w:ascii="Times New Roman" w:hAnsi="Times New Roman" w:eastAsia="宋体" w:cs="Times New Roman"/>
                <w:b w:val="0"/>
                <w:bCs w:val="0"/>
                <w:kern w:val="2"/>
                <w:sz w:val="21"/>
                <w:szCs w:val="22"/>
                <w:highlight w:val="none"/>
                <w:lang w:val="en-US" w:eastAsia="zh-CN" w:bidi="ar-SA"/>
              </w:rPr>
            </w:pPr>
            <w:r>
              <w:rPr>
                <w:rFonts w:hint="default" w:ascii="Times New Roman" w:hAnsi="Times New Roman" w:eastAsia="宋体" w:cs="Times New Roman"/>
                <w:b w:val="0"/>
                <w:bCs w:val="0"/>
                <w:kern w:val="2"/>
                <w:sz w:val="21"/>
                <w:szCs w:val="22"/>
                <w:highlight w:val="none"/>
                <w:lang w:val="en-US" w:eastAsia="zh-CN" w:bidi="ar-SA"/>
              </w:rPr>
              <w:t>/</w:t>
            </w:r>
          </w:p>
        </w:tc>
      </w:tr>
    </w:tbl>
    <w:p w14:paraId="78319FEA">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lang w:val="zh-CN" w:eastAsia="zh-CN"/>
        </w:rPr>
      </w:pPr>
      <w:bookmarkStart w:id="581" w:name="_Toc6110"/>
      <w:bookmarkStart w:id="582" w:name="_Toc2894"/>
      <w:bookmarkStart w:id="583" w:name="_Toc23308"/>
      <w:bookmarkStart w:id="584" w:name="_Toc7249"/>
      <w:bookmarkStart w:id="585" w:name="_Toc20176"/>
      <w:bookmarkStart w:id="586" w:name="_Toc30400"/>
      <w:bookmarkStart w:id="587" w:name="_Toc23177"/>
      <w:bookmarkStart w:id="588" w:name="_Toc15175"/>
      <w:bookmarkStart w:id="589" w:name="_Toc2669"/>
      <w:bookmarkStart w:id="590" w:name="_Toc22001"/>
      <w:r>
        <w:rPr>
          <w:rFonts w:hint="default" w:ascii="Times New Roman" w:hAnsi="Times New Roman" w:eastAsia="宋体" w:cs="Times New Roman"/>
          <w:sz w:val="28"/>
          <w:szCs w:val="28"/>
          <w:lang w:val="zh-CN" w:eastAsia="zh-CN"/>
        </w:rPr>
        <w:t>1.</w:t>
      </w:r>
      <w:r>
        <w:rPr>
          <w:rFonts w:hint="eastAsia" w:ascii="Times New Roman" w:hAnsi="Times New Roman" w:eastAsia="宋体" w:cs="Times New Roman"/>
          <w:sz w:val="28"/>
          <w:szCs w:val="28"/>
          <w:lang w:val="en-US" w:eastAsia="zh-CN"/>
        </w:rPr>
        <w:t>7</w:t>
      </w:r>
      <w:r>
        <w:rPr>
          <w:rFonts w:hint="default" w:ascii="Times New Roman" w:hAnsi="Times New Roman" w:eastAsia="宋体" w:cs="Times New Roman"/>
          <w:sz w:val="28"/>
          <w:szCs w:val="28"/>
          <w:lang w:val="zh-CN" w:eastAsia="zh-CN"/>
        </w:rPr>
        <w:t>生态影响评价工作程序</w:t>
      </w:r>
      <w:bookmarkEnd w:id="581"/>
      <w:bookmarkEnd w:id="582"/>
      <w:bookmarkEnd w:id="583"/>
      <w:bookmarkEnd w:id="584"/>
      <w:bookmarkEnd w:id="585"/>
      <w:bookmarkEnd w:id="586"/>
      <w:bookmarkEnd w:id="587"/>
      <w:bookmarkEnd w:id="588"/>
    </w:p>
    <w:p w14:paraId="08B7DCC4">
      <w:pPr>
        <w:pStyle w:val="9"/>
        <w:adjustRightInd w:val="0"/>
        <w:snapToGrid w:val="0"/>
        <w:spacing w:after="0" w:line="360" w:lineRule="auto"/>
        <w:jc w:val="center"/>
        <w:rPr>
          <w:rFonts w:hint="default" w:ascii="Times New Roman" w:hAnsi="Times New Roman" w:eastAsia="宋体" w:cs="Times New Roman"/>
          <w:szCs w:val="22"/>
          <w:highlight w:val="none"/>
          <w:lang w:val="zh-CN" w:eastAsia="zh-CN"/>
        </w:rPr>
      </w:pPr>
      <w:r>
        <w:rPr>
          <w:rFonts w:hint="default" w:ascii="Times New Roman" w:hAnsi="Times New Roman" w:cs="Times New Roman"/>
        </w:rPr>
        <w:drawing>
          <wp:inline distT="0" distB="0" distL="114300" distR="114300">
            <wp:extent cx="4956810" cy="4678680"/>
            <wp:effectExtent l="0" t="0" r="15240" b="7620"/>
            <wp:docPr id="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
                    <pic:cNvPicPr>
                      <a:picLocks noChangeAspect="1"/>
                    </pic:cNvPicPr>
                  </pic:nvPicPr>
                  <pic:blipFill>
                    <a:blip r:embed="rId66"/>
                    <a:srcRect t="3267" b="5275"/>
                    <a:stretch>
                      <a:fillRect/>
                    </a:stretch>
                  </pic:blipFill>
                  <pic:spPr>
                    <a:xfrm>
                      <a:off x="0" y="0"/>
                      <a:ext cx="4956810" cy="4678680"/>
                    </a:xfrm>
                    <a:prstGeom prst="rect">
                      <a:avLst/>
                    </a:prstGeom>
                    <a:noFill/>
                    <a:ln>
                      <a:noFill/>
                    </a:ln>
                  </pic:spPr>
                </pic:pic>
              </a:graphicData>
            </a:graphic>
          </wp:inline>
        </w:drawing>
      </w:r>
    </w:p>
    <w:p w14:paraId="00648A46">
      <w:pPr>
        <w:jc w:val="center"/>
        <w:rPr>
          <w:rFonts w:hint="default" w:ascii="Times New Roman" w:hAnsi="Times New Roman" w:cs="Times New Roman"/>
          <w:b/>
          <w:bCs/>
          <w:sz w:val="24"/>
          <w:szCs w:val="24"/>
        </w:rPr>
        <w:sectPr>
          <w:footerReference r:id="rId9" w:type="default"/>
          <w:pgSz w:w="11906" w:h="16838"/>
          <w:pgMar w:top="1440" w:right="1440" w:bottom="1440" w:left="1440" w:header="851" w:footer="850" w:gutter="0"/>
          <w:pgBorders>
            <w:top w:val="none" w:sz="0" w:space="0"/>
            <w:left w:val="none" w:sz="0" w:space="0"/>
            <w:bottom w:val="none" w:sz="0" w:space="0"/>
            <w:right w:val="none" w:sz="0" w:space="0"/>
          </w:pgBorders>
          <w:pgNumType w:fmt="decimal" w:start="1"/>
          <w:cols w:space="0" w:num="1"/>
          <w:docGrid w:type="lines" w:linePitch="312" w:charSpace="0"/>
        </w:sectPr>
      </w:pPr>
      <w:r>
        <w:rPr>
          <w:rFonts w:hint="default" w:ascii="Times New Roman" w:hAnsi="Times New Roman" w:cs="Times New Roman"/>
          <w:b/>
          <w:bCs/>
          <w:sz w:val="24"/>
          <w:szCs w:val="24"/>
        </w:rPr>
        <w:t>图1-</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rPr>
        <w:t xml:space="preserve">  生态影响评价工作程序</w:t>
      </w:r>
    </w:p>
    <w:bookmarkEnd w:id="589"/>
    <w:bookmarkEnd w:id="590"/>
    <w:p w14:paraId="6B32FEB8">
      <w:pPr>
        <w:pStyle w:val="3"/>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jc w:val="center"/>
        <w:textAlignment w:val="auto"/>
        <w:outlineLvl w:val="0"/>
        <w:rPr>
          <w:rFonts w:hint="default" w:ascii="Times New Roman" w:hAnsi="Times New Roman" w:eastAsia="宋体" w:cs="Times New Roman"/>
          <w:sz w:val="32"/>
          <w:szCs w:val="32"/>
          <w:lang w:val="en-US" w:eastAsia="zh-CN"/>
        </w:rPr>
      </w:pPr>
      <w:bookmarkStart w:id="591" w:name="_Toc24724"/>
      <w:bookmarkStart w:id="592" w:name="_Toc25490"/>
      <w:bookmarkStart w:id="593" w:name="_Toc7702"/>
      <w:bookmarkStart w:id="594" w:name="_Toc12597"/>
      <w:bookmarkStart w:id="595" w:name="_Toc19061"/>
      <w:bookmarkStart w:id="596" w:name="_Toc23741"/>
      <w:r>
        <w:rPr>
          <w:rFonts w:hint="default" w:ascii="Times New Roman" w:hAnsi="Times New Roman" w:eastAsia="宋体" w:cs="Times New Roman"/>
          <w:sz w:val="32"/>
          <w:szCs w:val="32"/>
          <w:lang w:val="en-US" w:eastAsia="zh-CN"/>
        </w:rPr>
        <w:t>2  建设项目概况</w:t>
      </w:r>
      <w:bookmarkEnd w:id="591"/>
      <w:bookmarkEnd w:id="592"/>
      <w:bookmarkEnd w:id="593"/>
      <w:bookmarkEnd w:id="594"/>
      <w:bookmarkEnd w:id="595"/>
      <w:bookmarkEnd w:id="596"/>
    </w:p>
    <w:p w14:paraId="5FF0A09A">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597" w:name="_bookmark58"/>
      <w:bookmarkEnd w:id="597"/>
      <w:bookmarkStart w:id="598" w:name="_Toc467"/>
      <w:bookmarkStart w:id="599" w:name="_Toc9808"/>
      <w:bookmarkStart w:id="600" w:name="_Toc24677"/>
      <w:bookmarkStart w:id="601" w:name="_Toc21344"/>
      <w:bookmarkStart w:id="602" w:name="_Toc20307"/>
      <w:bookmarkStart w:id="603" w:name="_Toc5358"/>
      <w:r>
        <w:rPr>
          <w:rFonts w:hint="default" w:ascii="Times New Roman" w:hAnsi="Times New Roman" w:eastAsia="宋体" w:cs="Times New Roman"/>
          <w:sz w:val="28"/>
          <w:szCs w:val="28"/>
          <w:lang w:val="en-US" w:eastAsia="zh-CN"/>
        </w:rPr>
        <w:t>2.1项目基本概况</w:t>
      </w:r>
      <w:bookmarkEnd w:id="598"/>
      <w:bookmarkEnd w:id="599"/>
      <w:bookmarkEnd w:id="600"/>
      <w:bookmarkEnd w:id="601"/>
      <w:bookmarkEnd w:id="602"/>
      <w:bookmarkEnd w:id="603"/>
    </w:p>
    <w:p w14:paraId="0CE9333C">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firstLine="478" w:firstLineChars="200"/>
        <w:textAlignment w:val="auto"/>
        <w:rPr>
          <w:rFonts w:hint="default" w:ascii="Times New Roman" w:hAnsi="Times New Roman" w:eastAsia="宋体" w:cs="Times New Roman"/>
          <w:snapToGrid/>
          <w:color w:val="0C0C0C"/>
          <w:spacing w:val="-1"/>
          <w:kern w:val="2"/>
          <w:sz w:val="24"/>
          <w:szCs w:val="24"/>
          <w:lang w:val="en-US" w:eastAsia="zh-CN" w:bidi="ar-SA"/>
        </w:rPr>
      </w:pPr>
      <w:r>
        <w:rPr>
          <w:rFonts w:hint="default" w:ascii="Times New Roman" w:hAnsi="Times New Roman" w:eastAsia="宋体" w:cs="Times New Roman"/>
          <w:b/>
          <w:bCs/>
          <w:snapToGrid/>
          <w:color w:val="0C0C0C"/>
          <w:spacing w:val="-1"/>
          <w:kern w:val="2"/>
          <w:sz w:val="24"/>
          <w:szCs w:val="24"/>
          <w:lang w:val="en-US" w:eastAsia="zh-CN" w:bidi="ar-SA"/>
        </w:rPr>
        <w:t>项目名称：</w:t>
      </w:r>
      <w:r>
        <w:rPr>
          <w:rFonts w:hint="eastAsia" w:ascii="Times New Roman" w:hAnsi="Times New Roman" w:eastAsia="宋体" w:cs="Times New Roman"/>
          <w:b w:val="0"/>
          <w:bCs w:val="0"/>
          <w:snapToGrid/>
          <w:color w:val="0C0C0C"/>
          <w:spacing w:val="-1"/>
          <w:kern w:val="2"/>
          <w:sz w:val="24"/>
          <w:szCs w:val="24"/>
          <w:lang w:val="en-US" w:eastAsia="zh-CN" w:bidi="ar-SA"/>
        </w:rPr>
        <w:t>金寨县关庙乡沙坪沟至蔡家湾公路升级改造工程</w:t>
      </w:r>
    </w:p>
    <w:p w14:paraId="00694D61">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firstLine="478" w:firstLineChars="200"/>
        <w:textAlignment w:val="auto"/>
        <w:rPr>
          <w:rFonts w:hint="default" w:ascii="Times New Roman" w:hAnsi="Times New Roman" w:eastAsia="宋体" w:cs="Times New Roman"/>
          <w:b w:val="0"/>
          <w:bCs w:val="0"/>
          <w:snapToGrid/>
          <w:color w:val="0C0C0C"/>
          <w:spacing w:val="-1"/>
          <w:kern w:val="2"/>
          <w:sz w:val="24"/>
          <w:szCs w:val="24"/>
          <w:lang w:val="en-US" w:eastAsia="zh-CN" w:bidi="ar-SA"/>
        </w:rPr>
      </w:pPr>
      <w:r>
        <w:rPr>
          <w:rFonts w:hint="default" w:ascii="Times New Roman" w:hAnsi="Times New Roman" w:eastAsia="宋体" w:cs="Times New Roman"/>
          <w:b/>
          <w:bCs/>
          <w:snapToGrid/>
          <w:color w:val="0C0C0C"/>
          <w:spacing w:val="-1"/>
          <w:kern w:val="2"/>
          <w:sz w:val="24"/>
          <w:szCs w:val="24"/>
          <w:lang w:val="en-US" w:eastAsia="zh-CN" w:bidi="ar-SA"/>
        </w:rPr>
        <w:t>建设单位：</w:t>
      </w:r>
      <w:r>
        <w:rPr>
          <w:rFonts w:hint="eastAsia" w:ascii="Times New Roman" w:hAnsi="Times New Roman" w:eastAsia="宋体" w:cs="Times New Roman"/>
          <w:b w:val="0"/>
          <w:bCs w:val="0"/>
          <w:snapToGrid/>
          <w:color w:val="0C0C0C"/>
          <w:spacing w:val="-1"/>
          <w:kern w:val="2"/>
          <w:sz w:val="24"/>
          <w:szCs w:val="24"/>
          <w:lang w:val="en-US" w:eastAsia="zh-CN" w:bidi="ar-SA"/>
        </w:rPr>
        <w:t>金寨县关庙乡人民政府</w:t>
      </w:r>
    </w:p>
    <w:p w14:paraId="3D5CC4EC">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firstLine="478" w:firstLineChars="200"/>
        <w:textAlignment w:val="auto"/>
        <w:rPr>
          <w:rFonts w:hint="eastAsia" w:ascii="Times New Roman" w:hAnsi="Times New Roman" w:eastAsia="宋体" w:cs="Times New Roman"/>
          <w:snapToGrid/>
          <w:color w:val="0C0C0C"/>
          <w:spacing w:val="-1"/>
          <w:kern w:val="2"/>
          <w:sz w:val="24"/>
          <w:szCs w:val="24"/>
          <w:lang w:val="en-US" w:eastAsia="zh-CN" w:bidi="ar-SA"/>
        </w:rPr>
      </w:pPr>
      <w:r>
        <w:rPr>
          <w:rFonts w:hint="default" w:ascii="Times New Roman" w:hAnsi="Times New Roman" w:eastAsia="宋体" w:cs="Times New Roman"/>
          <w:b/>
          <w:bCs/>
          <w:snapToGrid/>
          <w:color w:val="0C0C0C"/>
          <w:spacing w:val="-1"/>
          <w:kern w:val="2"/>
          <w:sz w:val="24"/>
          <w:szCs w:val="24"/>
          <w:lang w:val="en-US" w:eastAsia="zh-CN" w:bidi="ar-SA"/>
        </w:rPr>
        <w:t>建设地点：</w:t>
      </w:r>
      <w:r>
        <w:rPr>
          <w:rFonts w:hint="eastAsia" w:ascii="Times New Roman" w:hAnsi="Times New Roman" w:eastAsia="宋体" w:cs="Times New Roman"/>
          <w:color w:val="000000"/>
          <w:sz w:val="24"/>
          <w:szCs w:val="24"/>
          <w:lang w:eastAsia="zh-CN"/>
        </w:rPr>
        <w:t>安徽省六安市金寨县关庙乡</w:t>
      </w:r>
      <w:r>
        <w:rPr>
          <w:rFonts w:hint="default" w:ascii="Times New Roman" w:hAnsi="Times New Roman" w:cs="Times New Roman"/>
          <w:color w:val="auto"/>
          <w:sz w:val="24"/>
          <w:lang w:val="en-US" w:eastAsia="zh-CN"/>
        </w:rPr>
        <w:t>银山村</w:t>
      </w:r>
    </w:p>
    <w:p w14:paraId="6D83FE83">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firstLine="478" w:firstLineChars="200"/>
        <w:textAlignment w:val="auto"/>
        <w:rPr>
          <w:rFonts w:hint="default" w:ascii="Times New Roman" w:hAnsi="Times New Roman" w:eastAsia="宋体" w:cs="Times New Roman"/>
          <w:snapToGrid/>
          <w:color w:val="0C0C0C"/>
          <w:spacing w:val="-1"/>
          <w:kern w:val="2"/>
          <w:sz w:val="24"/>
          <w:szCs w:val="24"/>
          <w:lang w:val="en-US" w:eastAsia="zh-CN" w:bidi="ar-SA"/>
        </w:rPr>
      </w:pPr>
      <w:r>
        <w:rPr>
          <w:rFonts w:hint="default" w:ascii="Times New Roman" w:hAnsi="Times New Roman" w:eastAsia="宋体" w:cs="Times New Roman"/>
          <w:b/>
          <w:bCs/>
          <w:snapToGrid/>
          <w:color w:val="0C0C0C"/>
          <w:spacing w:val="-1"/>
          <w:kern w:val="2"/>
          <w:sz w:val="24"/>
          <w:szCs w:val="24"/>
          <w:lang w:val="en-US" w:eastAsia="zh-CN" w:bidi="ar-SA"/>
        </w:rPr>
        <w:t>建设性质：</w:t>
      </w:r>
      <w:r>
        <w:rPr>
          <w:rFonts w:hint="eastAsia" w:ascii="Times New Roman" w:hAnsi="Times New Roman" w:eastAsia="宋体" w:cs="Times New Roman"/>
          <w:snapToGrid/>
          <w:color w:val="0C0C0C"/>
          <w:spacing w:val="-1"/>
          <w:kern w:val="2"/>
          <w:sz w:val="24"/>
          <w:szCs w:val="24"/>
          <w:lang w:val="en-US" w:eastAsia="zh-CN" w:bidi="ar-SA"/>
        </w:rPr>
        <w:t>改扩建</w:t>
      </w:r>
    </w:p>
    <w:p w14:paraId="09F279EF">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firstLine="478" w:firstLineChars="200"/>
        <w:textAlignment w:val="auto"/>
        <w:rPr>
          <w:rFonts w:hint="default" w:ascii="Times New Roman" w:hAnsi="Times New Roman" w:eastAsia="宋体" w:cs="Times New Roman"/>
          <w:b w:val="0"/>
          <w:bCs w:val="0"/>
          <w:snapToGrid/>
          <w:color w:val="auto"/>
          <w:spacing w:val="-1"/>
          <w:kern w:val="2"/>
          <w:sz w:val="24"/>
          <w:szCs w:val="24"/>
          <w:highlight w:val="none"/>
          <w:lang w:val="en-US" w:eastAsia="zh-CN" w:bidi="ar-SA"/>
        </w:rPr>
      </w:pPr>
      <w:r>
        <w:rPr>
          <w:rFonts w:hint="default" w:ascii="Times New Roman" w:hAnsi="Times New Roman" w:eastAsia="宋体" w:cs="Times New Roman"/>
          <w:b/>
          <w:bCs/>
          <w:snapToGrid/>
          <w:color w:val="0C0C0C"/>
          <w:spacing w:val="-1"/>
          <w:kern w:val="2"/>
          <w:sz w:val="24"/>
          <w:szCs w:val="24"/>
          <w:lang w:val="en-US" w:eastAsia="zh-CN" w:bidi="ar-SA"/>
        </w:rPr>
        <w:t>建设内容：</w:t>
      </w:r>
      <w:r>
        <w:rPr>
          <w:rFonts w:hint="default" w:ascii="Times New Roman" w:hAnsi="Times New Roman" w:eastAsia="宋体" w:cs="Times New Roman"/>
          <w:b w:val="0"/>
          <w:bCs w:val="0"/>
          <w:snapToGrid/>
          <w:color w:val="0C0C0C"/>
          <w:spacing w:val="-1"/>
          <w:kern w:val="2"/>
          <w:sz w:val="24"/>
          <w:szCs w:val="24"/>
          <w:lang w:val="en-US" w:eastAsia="zh-CN" w:bidi="ar-SA"/>
        </w:rPr>
        <w:t>项目道路总长</w:t>
      </w:r>
      <w:r>
        <w:rPr>
          <w:rFonts w:hint="eastAsia" w:ascii="Times New Roman" w:hAnsi="Times New Roman" w:eastAsia="宋体" w:cs="Times New Roman"/>
          <w:b w:val="0"/>
          <w:bCs w:val="0"/>
          <w:snapToGrid/>
          <w:color w:val="0C0C0C"/>
          <w:spacing w:val="-1"/>
          <w:kern w:val="2"/>
          <w:sz w:val="24"/>
          <w:szCs w:val="24"/>
          <w:lang w:val="en-US" w:eastAsia="zh-CN" w:bidi="ar-SA"/>
        </w:rPr>
        <w:t>2.34</w:t>
      </w:r>
      <w:r>
        <w:rPr>
          <w:rFonts w:hint="default" w:ascii="Times New Roman" w:hAnsi="Times New Roman" w:eastAsia="宋体" w:cs="Times New Roman"/>
          <w:b w:val="0"/>
          <w:bCs w:val="0"/>
          <w:snapToGrid/>
          <w:color w:val="0C0C0C"/>
          <w:spacing w:val="-1"/>
          <w:kern w:val="2"/>
          <w:sz w:val="24"/>
          <w:szCs w:val="24"/>
          <w:lang w:val="en-US" w:eastAsia="zh-CN" w:bidi="ar-SA"/>
        </w:rPr>
        <w:t>km，路线采用三级公路标准建设，双向两车道，设计车速30km/h，路基宽8.5m，路面宽7.0m，具体布置为：2×（3.25米行车道+0.25米硬路肩+0.75米土路肩），路面横坡度为2.0%，土路肩横坡度为4.0%。工程建设主要内容包括道路、排水、交通、绿化及附属工程等。</w:t>
      </w:r>
    </w:p>
    <w:p w14:paraId="38FADFFB">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604" w:name="_Toc17149"/>
      <w:bookmarkStart w:id="605" w:name="_Toc2305"/>
      <w:bookmarkStart w:id="606" w:name="_Toc26257"/>
      <w:bookmarkStart w:id="607" w:name="_Toc14415"/>
      <w:bookmarkStart w:id="608" w:name="_Toc13488"/>
      <w:bookmarkStart w:id="609" w:name="_Toc10515"/>
      <w:r>
        <w:rPr>
          <w:rFonts w:hint="default" w:ascii="Times New Roman" w:hAnsi="Times New Roman" w:eastAsia="宋体" w:cs="Times New Roman"/>
          <w:sz w:val="28"/>
          <w:szCs w:val="28"/>
          <w:lang w:val="en-US" w:eastAsia="zh-CN"/>
        </w:rPr>
        <w:t>2.2</w:t>
      </w:r>
      <w:bookmarkEnd w:id="604"/>
      <w:bookmarkEnd w:id="605"/>
      <w:bookmarkEnd w:id="606"/>
      <w:r>
        <w:rPr>
          <w:rFonts w:hint="eastAsia" w:ascii="Times New Roman" w:hAnsi="Times New Roman" w:eastAsia="宋体" w:cs="Times New Roman"/>
          <w:sz w:val="28"/>
          <w:szCs w:val="28"/>
          <w:lang w:val="en-US" w:eastAsia="zh-CN"/>
        </w:rPr>
        <w:t>临时工程</w:t>
      </w:r>
      <w:bookmarkEnd w:id="607"/>
      <w:bookmarkEnd w:id="608"/>
      <w:bookmarkEnd w:id="609"/>
    </w:p>
    <w:p w14:paraId="62883C14">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firstLine="478" w:firstLineChars="200"/>
        <w:textAlignment w:val="auto"/>
        <w:rPr>
          <w:rFonts w:hint="default" w:ascii="Times New Roman" w:hAnsi="Times New Roman" w:eastAsia="宋体" w:cs="Times New Roman"/>
          <w:b/>
          <w:bCs/>
          <w:snapToGrid/>
          <w:color w:val="0C0C0C"/>
          <w:spacing w:val="-1"/>
          <w:kern w:val="2"/>
          <w:sz w:val="24"/>
          <w:szCs w:val="24"/>
          <w:lang w:val="en-US" w:eastAsia="zh-CN" w:bidi="ar-SA"/>
        </w:rPr>
      </w:pPr>
      <w:bookmarkStart w:id="610" w:name="_Toc11727"/>
      <w:bookmarkStart w:id="611" w:name="_Toc16167"/>
      <w:bookmarkStart w:id="612" w:name="_Toc3571"/>
      <w:r>
        <w:rPr>
          <w:rFonts w:hint="eastAsia" w:ascii="Times New Roman" w:hAnsi="Times New Roman" w:eastAsia="宋体" w:cs="Times New Roman"/>
          <w:b/>
          <w:bCs/>
          <w:snapToGrid/>
          <w:color w:val="0C0C0C"/>
          <w:spacing w:val="-1"/>
          <w:kern w:val="2"/>
          <w:sz w:val="24"/>
          <w:szCs w:val="24"/>
          <w:lang w:val="en-US" w:eastAsia="zh-CN" w:bidi="ar-SA"/>
        </w:rPr>
        <w:t>（</w:t>
      </w:r>
      <w:r>
        <w:rPr>
          <w:rFonts w:hint="default" w:ascii="Times New Roman" w:hAnsi="Times New Roman" w:eastAsia="宋体" w:cs="Times New Roman"/>
          <w:b/>
          <w:bCs/>
          <w:snapToGrid/>
          <w:color w:val="0C0C0C"/>
          <w:spacing w:val="-1"/>
          <w:kern w:val="2"/>
          <w:sz w:val="24"/>
          <w:szCs w:val="24"/>
          <w:lang w:val="en-US" w:eastAsia="zh-CN" w:bidi="ar-SA"/>
        </w:rPr>
        <w:t>1</w:t>
      </w:r>
      <w:r>
        <w:rPr>
          <w:rFonts w:hint="eastAsia" w:ascii="Times New Roman" w:hAnsi="Times New Roman" w:eastAsia="宋体" w:cs="Times New Roman"/>
          <w:b/>
          <w:bCs/>
          <w:snapToGrid/>
          <w:color w:val="0C0C0C"/>
          <w:spacing w:val="-1"/>
          <w:kern w:val="2"/>
          <w:sz w:val="24"/>
          <w:szCs w:val="24"/>
          <w:lang w:val="en-US" w:eastAsia="zh-CN" w:bidi="ar-SA"/>
        </w:rPr>
        <w:t>）施工场地</w:t>
      </w:r>
    </w:p>
    <w:p w14:paraId="17C5D353">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b w:val="0"/>
          <w:bCs w:val="0"/>
          <w:snapToGrid/>
          <w:color w:val="0C0C0C"/>
          <w:spacing w:val="-1"/>
          <w:kern w:val="2"/>
          <w:sz w:val="24"/>
          <w:szCs w:val="24"/>
          <w:lang w:val="en-US" w:eastAsia="zh-CN" w:bidi="ar-SA"/>
        </w:rPr>
      </w:pPr>
      <w:r>
        <w:rPr>
          <w:rFonts w:hint="default" w:ascii="Times New Roman" w:hAnsi="Times New Roman" w:eastAsia="宋体" w:cs="Times New Roman"/>
          <w:color w:val="auto"/>
          <w:sz w:val="24"/>
          <w:lang w:val="en-US" w:eastAsia="zh-CN"/>
        </w:rPr>
        <w:t>本项目规模较小，水稳、混凝土均外购，不设置</w:t>
      </w:r>
      <w:r>
        <w:rPr>
          <w:rFonts w:hint="eastAsia" w:ascii="Times New Roman" w:hAnsi="Times New Roman" w:eastAsia="宋体" w:cs="Times New Roman"/>
          <w:color w:val="auto"/>
          <w:sz w:val="24"/>
          <w:lang w:val="en-US" w:eastAsia="zh-CN"/>
        </w:rPr>
        <w:t>拌和</w:t>
      </w:r>
      <w:r>
        <w:rPr>
          <w:rFonts w:hint="default" w:ascii="Times New Roman" w:hAnsi="Times New Roman" w:eastAsia="宋体" w:cs="Times New Roman"/>
          <w:color w:val="auto"/>
          <w:sz w:val="24"/>
          <w:lang w:val="en-US" w:eastAsia="zh-CN"/>
        </w:rPr>
        <w:t>场、场外临时堆土场。</w:t>
      </w:r>
      <w:r>
        <w:rPr>
          <w:rFonts w:hint="eastAsia" w:ascii="Times New Roman" w:hAnsi="Times New Roman" w:eastAsia="宋体" w:cs="Times New Roman"/>
          <w:color w:val="auto"/>
          <w:sz w:val="24"/>
          <w:lang w:val="en-US" w:eastAsia="zh-CN"/>
        </w:rPr>
        <w:t>项目管理人员租用周边民房作为办公场所</w:t>
      </w:r>
      <w:r>
        <w:rPr>
          <w:rFonts w:hint="eastAsia" w:ascii="Times New Roman" w:hAnsi="Times New Roman" w:eastAsia="宋体" w:cs="Times New Roman"/>
          <w:b w:val="0"/>
          <w:bCs w:val="0"/>
          <w:snapToGrid/>
          <w:color w:val="0C0C0C"/>
          <w:spacing w:val="-1"/>
          <w:kern w:val="2"/>
          <w:sz w:val="24"/>
          <w:szCs w:val="24"/>
          <w:lang w:val="en-US" w:eastAsia="zh-CN" w:bidi="ar-SA"/>
        </w:rPr>
        <w:t>。</w:t>
      </w:r>
    </w:p>
    <w:p w14:paraId="36E751D7">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firstLine="478" w:firstLineChars="200"/>
        <w:textAlignment w:val="auto"/>
        <w:rPr>
          <w:rFonts w:hint="default" w:ascii="Times New Roman" w:hAnsi="Times New Roman" w:eastAsia="宋体" w:cs="Times New Roman"/>
          <w:b/>
          <w:bCs/>
          <w:snapToGrid/>
          <w:color w:val="0C0C0C"/>
          <w:spacing w:val="-1"/>
          <w:kern w:val="2"/>
          <w:sz w:val="24"/>
          <w:szCs w:val="24"/>
          <w:lang w:val="en-US" w:eastAsia="zh-CN" w:bidi="ar-SA"/>
        </w:rPr>
      </w:pPr>
      <w:r>
        <w:rPr>
          <w:rFonts w:hint="eastAsia" w:ascii="Times New Roman" w:hAnsi="Times New Roman" w:eastAsia="宋体" w:cs="Times New Roman"/>
          <w:b/>
          <w:bCs/>
          <w:snapToGrid/>
          <w:color w:val="0C0C0C"/>
          <w:spacing w:val="-1"/>
          <w:kern w:val="2"/>
          <w:sz w:val="24"/>
          <w:szCs w:val="24"/>
          <w:lang w:val="en-US" w:eastAsia="zh-CN" w:bidi="ar-SA"/>
        </w:rPr>
        <w:t>（</w:t>
      </w:r>
      <w:r>
        <w:rPr>
          <w:rFonts w:hint="default" w:ascii="Times New Roman" w:hAnsi="Times New Roman" w:eastAsia="宋体" w:cs="Times New Roman"/>
          <w:b/>
          <w:bCs/>
          <w:snapToGrid/>
          <w:color w:val="0C0C0C"/>
          <w:spacing w:val="-1"/>
          <w:kern w:val="2"/>
          <w:sz w:val="24"/>
          <w:szCs w:val="24"/>
          <w:lang w:val="en-US" w:eastAsia="zh-CN" w:bidi="ar-SA"/>
        </w:rPr>
        <w:t>2</w:t>
      </w:r>
      <w:r>
        <w:rPr>
          <w:rFonts w:hint="eastAsia" w:ascii="Times New Roman" w:hAnsi="Times New Roman" w:eastAsia="宋体" w:cs="Times New Roman"/>
          <w:b/>
          <w:bCs/>
          <w:snapToGrid/>
          <w:color w:val="0C0C0C"/>
          <w:spacing w:val="-1"/>
          <w:kern w:val="2"/>
          <w:sz w:val="24"/>
          <w:szCs w:val="24"/>
          <w:lang w:val="en-US" w:eastAsia="zh-CN" w:bidi="ar-SA"/>
        </w:rPr>
        <w:t>）取、弃土场</w:t>
      </w:r>
    </w:p>
    <w:p w14:paraId="349D2170">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firstLine="476" w:firstLineChars="200"/>
        <w:textAlignment w:val="auto"/>
        <w:rPr>
          <w:rFonts w:hint="default" w:ascii="Times New Roman" w:hAnsi="Times New Roman" w:eastAsia="宋体" w:cs="Times New Roman"/>
          <w:b w:val="0"/>
          <w:bCs w:val="0"/>
          <w:snapToGrid/>
          <w:color w:val="0C0C0C"/>
          <w:spacing w:val="-1"/>
          <w:kern w:val="2"/>
          <w:sz w:val="24"/>
          <w:szCs w:val="24"/>
          <w:lang w:val="en-US" w:eastAsia="zh-CN" w:bidi="ar-SA"/>
        </w:rPr>
      </w:pPr>
      <w:r>
        <w:rPr>
          <w:rFonts w:hint="eastAsia" w:ascii="Times New Roman" w:hAnsi="Times New Roman" w:eastAsia="宋体" w:cs="Times New Roman"/>
          <w:b w:val="0"/>
          <w:bCs w:val="0"/>
          <w:snapToGrid/>
          <w:color w:val="0C0C0C"/>
          <w:spacing w:val="-1"/>
          <w:kern w:val="2"/>
          <w:sz w:val="24"/>
          <w:szCs w:val="24"/>
          <w:lang w:val="en-US" w:eastAsia="zh-CN" w:bidi="ar-SA"/>
        </w:rPr>
        <w:t>项目不设取（弃）土场，所需借方全部为其他项目多余土方利用或外购，弃方外运至同期实施项目进行综合利用，不得随意外弃。</w:t>
      </w:r>
    </w:p>
    <w:p w14:paraId="029E47BA">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firstLine="478" w:firstLineChars="200"/>
        <w:textAlignment w:val="auto"/>
        <w:rPr>
          <w:rFonts w:hint="default" w:ascii="Times New Roman" w:hAnsi="Times New Roman" w:eastAsia="宋体" w:cs="Times New Roman"/>
          <w:b/>
          <w:bCs/>
          <w:snapToGrid/>
          <w:color w:val="0C0C0C"/>
          <w:spacing w:val="-1"/>
          <w:kern w:val="2"/>
          <w:sz w:val="24"/>
          <w:szCs w:val="24"/>
          <w:lang w:val="en-US" w:eastAsia="zh-CN" w:bidi="ar-SA"/>
        </w:rPr>
      </w:pPr>
      <w:r>
        <w:rPr>
          <w:rFonts w:hint="eastAsia" w:ascii="Times New Roman" w:hAnsi="Times New Roman" w:eastAsia="宋体" w:cs="Times New Roman"/>
          <w:b/>
          <w:bCs/>
          <w:snapToGrid/>
          <w:color w:val="0C0C0C"/>
          <w:spacing w:val="-1"/>
          <w:kern w:val="2"/>
          <w:sz w:val="24"/>
          <w:szCs w:val="24"/>
          <w:lang w:val="en-US" w:eastAsia="zh-CN" w:bidi="ar-SA"/>
        </w:rPr>
        <w:t>（</w:t>
      </w:r>
      <w:r>
        <w:rPr>
          <w:rFonts w:hint="default" w:ascii="Times New Roman" w:hAnsi="Times New Roman" w:eastAsia="宋体" w:cs="Times New Roman"/>
          <w:b/>
          <w:bCs/>
          <w:snapToGrid/>
          <w:color w:val="0C0C0C"/>
          <w:spacing w:val="-1"/>
          <w:kern w:val="2"/>
          <w:sz w:val="24"/>
          <w:szCs w:val="24"/>
          <w:lang w:val="en-US" w:eastAsia="zh-CN" w:bidi="ar-SA"/>
        </w:rPr>
        <w:t>3</w:t>
      </w:r>
      <w:r>
        <w:rPr>
          <w:rFonts w:hint="eastAsia" w:ascii="Times New Roman" w:hAnsi="Times New Roman" w:eastAsia="宋体" w:cs="Times New Roman"/>
          <w:b/>
          <w:bCs/>
          <w:snapToGrid/>
          <w:color w:val="0C0C0C"/>
          <w:spacing w:val="-1"/>
          <w:kern w:val="2"/>
          <w:sz w:val="24"/>
          <w:szCs w:val="24"/>
          <w:lang w:val="en-US" w:eastAsia="zh-CN" w:bidi="ar-SA"/>
        </w:rPr>
        <w:t>）临时堆土场</w:t>
      </w:r>
    </w:p>
    <w:p w14:paraId="30888711">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firstLine="476" w:firstLineChars="200"/>
        <w:textAlignment w:val="auto"/>
        <w:rPr>
          <w:rFonts w:hint="default" w:ascii="Times New Roman" w:hAnsi="Times New Roman" w:eastAsia="宋体" w:cs="Times New Roman"/>
          <w:b w:val="0"/>
          <w:bCs w:val="0"/>
          <w:snapToGrid/>
          <w:color w:val="0C0C0C"/>
          <w:spacing w:val="-1"/>
          <w:kern w:val="2"/>
          <w:sz w:val="24"/>
          <w:szCs w:val="24"/>
          <w:lang w:val="en-US" w:eastAsia="zh-CN" w:bidi="ar-SA"/>
        </w:rPr>
      </w:pPr>
      <w:r>
        <w:rPr>
          <w:rFonts w:hint="eastAsia" w:ascii="Times New Roman" w:hAnsi="Times New Roman" w:eastAsia="宋体" w:cs="Times New Roman"/>
          <w:b w:val="0"/>
          <w:bCs w:val="0"/>
          <w:snapToGrid/>
          <w:color w:val="0C0C0C"/>
          <w:spacing w:val="-1"/>
          <w:kern w:val="2"/>
          <w:sz w:val="24"/>
          <w:szCs w:val="24"/>
          <w:lang w:val="en-US" w:eastAsia="zh-CN" w:bidi="ar-SA"/>
        </w:rPr>
        <w:t>本项目清基土、排水沟开挖土方及弃方涉及临时堆存，土方堆存于永久占地范围内道路边坡区域，不设置场外临时堆土场。</w:t>
      </w:r>
    </w:p>
    <w:p w14:paraId="671E1183">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eastAsia"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2.3</w:t>
      </w:r>
      <w:r>
        <w:rPr>
          <w:rFonts w:hint="eastAsia" w:ascii="Times New Roman" w:hAnsi="Times New Roman" w:eastAsia="宋体" w:cs="Times New Roman"/>
          <w:sz w:val="28"/>
          <w:szCs w:val="28"/>
          <w:lang w:val="en-US" w:eastAsia="zh-CN"/>
        </w:rPr>
        <w:t>工程占地及拆迁</w:t>
      </w:r>
      <w:bookmarkEnd w:id="610"/>
      <w:bookmarkEnd w:id="611"/>
      <w:bookmarkEnd w:id="612"/>
    </w:p>
    <w:p w14:paraId="464183A3">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firstLine="478" w:firstLineChars="200"/>
        <w:textAlignment w:val="auto"/>
        <w:rPr>
          <w:rFonts w:hint="default" w:ascii="Times New Roman" w:hAnsi="Times New Roman" w:eastAsia="宋体" w:cs="Times New Roman"/>
          <w:b/>
          <w:bCs/>
          <w:snapToGrid/>
          <w:color w:val="0C0C0C"/>
          <w:spacing w:val="-1"/>
          <w:kern w:val="2"/>
          <w:sz w:val="24"/>
          <w:szCs w:val="24"/>
          <w:lang w:val="en-US" w:eastAsia="zh-CN" w:bidi="ar-SA"/>
        </w:rPr>
      </w:pPr>
      <w:r>
        <w:rPr>
          <w:rFonts w:hint="eastAsia" w:ascii="Times New Roman" w:hAnsi="Times New Roman" w:eastAsia="宋体" w:cs="Times New Roman"/>
          <w:b/>
          <w:bCs/>
          <w:snapToGrid/>
          <w:color w:val="0C0C0C"/>
          <w:spacing w:val="-1"/>
          <w:kern w:val="2"/>
          <w:sz w:val="24"/>
          <w:szCs w:val="24"/>
          <w:lang w:val="en-US" w:eastAsia="zh-CN" w:bidi="ar-SA"/>
        </w:rPr>
        <w:t>（</w:t>
      </w:r>
      <w:r>
        <w:rPr>
          <w:rFonts w:hint="default" w:ascii="Times New Roman" w:hAnsi="Times New Roman" w:eastAsia="宋体" w:cs="Times New Roman"/>
          <w:b/>
          <w:bCs/>
          <w:snapToGrid/>
          <w:color w:val="0C0C0C"/>
          <w:spacing w:val="-1"/>
          <w:kern w:val="2"/>
          <w:sz w:val="24"/>
          <w:szCs w:val="24"/>
          <w:lang w:val="en-US" w:eastAsia="zh-CN" w:bidi="ar-SA"/>
        </w:rPr>
        <w:t>1</w:t>
      </w:r>
      <w:r>
        <w:rPr>
          <w:rFonts w:hint="eastAsia" w:ascii="Times New Roman" w:hAnsi="Times New Roman" w:eastAsia="宋体" w:cs="Times New Roman"/>
          <w:b/>
          <w:bCs/>
          <w:snapToGrid/>
          <w:color w:val="0C0C0C"/>
          <w:spacing w:val="-1"/>
          <w:kern w:val="2"/>
          <w:sz w:val="24"/>
          <w:szCs w:val="24"/>
          <w:lang w:val="en-US" w:eastAsia="zh-CN" w:bidi="ar-SA"/>
        </w:rPr>
        <w:t>）工程占地</w:t>
      </w:r>
    </w:p>
    <w:p w14:paraId="44CC2DA1">
      <w:pPr>
        <w:pStyle w:val="25"/>
        <w:adjustRightInd w:val="0"/>
        <w:snapToGrid w:val="0"/>
        <w:spacing w:after="0" w:line="360" w:lineRule="auto"/>
        <w:ind w:left="0" w:leftChars="0" w:firstLine="480" w:firstLineChars="200"/>
        <w:rPr>
          <w:rFonts w:hint="default" w:ascii="Times New Roman" w:hAnsi="Times New Roman" w:eastAsia="宋体" w:cs="Times New Roman"/>
          <w:sz w:val="24"/>
          <w:szCs w:val="21"/>
          <w:highlight w:val="none"/>
          <w:lang w:val="en-US" w:eastAsia="zh-CN"/>
        </w:rPr>
      </w:pPr>
      <w:r>
        <w:rPr>
          <w:rFonts w:hint="default" w:ascii="Times New Roman" w:hAnsi="Times New Roman" w:eastAsia="宋体" w:cs="Times New Roman"/>
          <w:sz w:val="24"/>
          <w:szCs w:val="21"/>
          <w:highlight w:val="none"/>
          <w:lang w:eastAsia="zh-CN"/>
        </w:rPr>
        <w:t>本工程</w:t>
      </w:r>
      <w:r>
        <w:rPr>
          <w:rFonts w:hint="default" w:ascii="Times New Roman" w:hAnsi="Times New Roman" w:eastAsia="宋体" w:cs="Times New Roman"/>
          <w:sz w:val="24"/>
          <w:szCs w:val="21"/>
          <w:highlight w:val="none"/>
          <w:lang w:val="en-US" w:eastAsia="zh-CN"/>
        </w:rPr>
        <w:t>占地面积为</w:t>
      </w:r>
      <w:r>
        <w:rPr>
          <w:rFonts w:hint="eastAsia" w:cs="Times New Roman"/>
          <w:sz w:val="24"/>
          <w:szCs w:val="21"/>
          <w:highlight w:val="none"/>
          <w:lang w:val="en-US" w:eastAsia="zh-CN"/>
        </w:rPr>
        <w:t>5.2909</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default" w:ascii="Times New Roman" w:hAnsi="Times New Roman" w:eastAsia="宋体" w:cs="Times New Roman"/>
          <w:sz w:val="24"/>
          <w:szCs w:val="21"/>
          <w:highlight w:val="none"/>
          <w:lang w:val="en-US" w:eastAsia="zh-CN"/>
        </w:rPr>
        <w:t>，</w:t>
      </w:r>
      <w:r>
        <w:rPr>
          <w:rFonts w:hint="eastAsia" w:cs="Times New Roman"/>
          <w:sz w:val="24"/>
          <w:szCs w:val="21"/>
          <w:highlight w:val="none"/>
          <w:lang w:val="en-US" w:eastAsia="zh-CN"/>
        </w:rPr>
        <w:t>均为</w:t>
      </w:r>
      <w:r>
        <w:rPr>
          <w:rFonts w:hint="default" w:ascii="Times New Roman" w:hAnsi="Times New Roman" w:eastAsia="宋体" w:cs="Times New Roman"/>
          <w:sz w:val="24"/>
          <w:szCs w:val="21"/>
          <w:highlight w:val="none"/>
          <w:lang w:val="en-US" w:eastAsia="zh-CN"/>
        </w:rPr>
        <w:t>永久占地</w:t>
      </w:r>
      <w:r>
        <w:rPr>
          <w:rFonts w:hint="default" w:ascii="Times New Roman" w:hAnsi="Times New Roman" w:eastAsia="宋体" w:cs="Times New Roman"/>
          <w:sz w:val="24"/>
          <w:szCs w:val="21"/>
          <w:highlight w:val="none"/>
          <w:lang w:eastAsia="zh-CN"/>
        </w:rPr>
        <w:t>。</w:t>
      </w:r>
      <w:r>
        <w:rPr>
          <w:rFonts w:hint="default" w:ascii="Times New Roman" w:hAnsi="Times New Roman" w:eastAsia="宋体" w:cs="Times New Roman"/>
          <w:sz w:val="24"/>
          <w:szCs w:val="21"/>
          <w:highlight w:val="none"/>
          <w:lang w:val="en-US" w:eastAsia="zh-CN"/>
        </w:rPr>
        <w:t>其中</w:t>
      </w:r>
      <w:r>
        <w:rPr>
          <w:rFonts w:hint="eastAsia" w:eastAsia="宋体" w:cs="Times New Roman"/>
          <w:sz w:val="24"/>
          <w:szCs w:val="21"/>
          <w:highlight w:val="none"/>
          <w:lang w:val="en-US" w:eastAsia="zh-CN"/>
        </w:rPr>
        <w:t>农用地</w:t>
      </w:r>
      <w:r>
        <w:rPr>
          <w:rFonts w:hint="eastAsia" w:cs="Times New Roman"/>
          <w:sz w:val="24"/>
          <w:szCs w:val="21"/>
          <w:highlight w:val="none"/>
          <w:lang w:val="en-US" w:eastAsia="zh-CN"/>
        </w:rPr>
        <w:t>4.7699</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eastAsia" w:eastAsia="宋体" w:cs="Times New Roman"/>
          <w:sz w:val="24"/>
          <w:szCs w:val="21"/>
          <w:highlight w:val="none"/>
          <w:vertAlign w:val="baseline"/>
          <w:lang w:val="en-US" w:eastAsia="zh-CN"/>
        </w:rPr>
        <w:t>（其中：</w:t>
      </w:r>
      <w:r>
        <w:rPr>
          <w:rFonts w:hint="default" w:ascii="Times New Roman" w:hAnsi="Times New Roman" w:eastAsia="宋体" w:cs="Times New Roman"/>
          <w:sz w:val="24"/>
          <w:szCs w:val="21"/>
          <w:highlight w:val="none"/>
          <w:lang w:val="en-US" w:eastAsia="zh-CN"/>
        </w:rPr>
        <w:t>耕地</w:t>
      </w:r>
      <w:r>
        <w:rPr>
          <w:rFonts w:hint="eastAsia" w:cs="Times New Roman"/>
          <w:sz w:val="24"/>
          <w:szCs w:val="21"/>
          <w:highlight w:val="none"/>
          <w:lang w:val="en-US" w:eastAsia="zh-CN"/>
        </w:rPr>
        <w:t>0.5238</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default" w:ascii="Times New Roman" w:hAnsi="Times New Roman" w:eastAsia="宋体" w:cs="Times New Roman"/>
          <w:sz w:val="24"/>
          <w:szCs w:val="21"/>
          <w:highlight w:val="none"/>
          <w:lang w:val="en-US" w:eastAsia="zh-CN"/>
        </w:rPr>
        <w:t>，</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其他农用地</w:t>
      </w:r>
      <w:r>
        <w:rPr>
          <w:rFonts w:hint="eastAsia" w:cs="Times New Roman"/>
          <w:color w:val="000000" w:themeColor="text1"/>
          <w:sz w:val="24"/>
          <w:szCs w:val="21"/>
          <w:highlight w:val="none"/>
          <w:lang w:val="en-US" w:eastAsia="zh-CN"/>
          <w14:textFill>
            <w14:solidFill>
              <w14:schemeClr w14:val="tx1"/>
            </w14:solidFill>
          </w14:textFill>
        </w:rPr>
        <w:t>4.246</w:t>
      </w:r>
      <w:r>
        <w:rPr>
          <w:rFonts w:hint="eastAsia" w:eastAsia="宋体" w:cs="Times New Roman"/>
          <w:color w:val="000000" w:themeColor="text1"/>
          <w:sz w:val="24"/>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hm</w:t>
      </w:r>
      <w:r>
        <w:rPr>
          <w:rFonts w:hint="default" w:ascii="Times New Roman" w:hAnsi="Times New Roman" w:eastAsia="宋体" w:cs="Times New Roman"/>
          <w:color w:val="000000" w:themeColor="text1"/>
          <w:sz w:val="24"/>
          <w:szCs w:val="21"/>
          <w:highlight w:val="none"/>
          <w:vertAlign w:val="superscript"/>
          <w:lang w:val="en-US" w:eastAsia="zh-CN"/>
          <w14:textFill>
            <w14:solidFill>
              <w14:schemeClr w14:val="tx1"/>
            </w14:solidFill>
          </w14:textFill>
        </w:rPr>
        <w:t>2</w:t>
      </w:r>
      <w:r>
        <w:rPr>
          <w:rFonts w:hint="eastAsia" w:eastAsia="宋体" w:cs="Times New Roman"/>
          <w:sz w:val="24"/>
          <w:szCs w:val="21"/>
          <w:highlight w:val="none"/>
          <w:vertAlign w:val="baseline"/>
          <w:lang w:val="en-US" w:eastAsia="zh-CN"/>
        </w:rPr>
        <w:t>）</w:t>
      </w:r>
      <w:r>
        <w:rPr>
          <w:rFonts w:hint="default" w:ascii="Times New Roman" w:hAnsi="Times New Roman" w:eastAsia="宋体" w:cs="Times New Roman"/>
          <w:sz w:val="24"/>
          <w:szCs w:val="21"/>
          <w:highlight w:val="none"/>
          <w:lang w:val="en-US" w:eastAsia="zh-CN"/>
        </w:rPr>
        <w:t>，建设用地</w:t>
      </w:r>
      <w:r>
        <w:rPr>
          <w:rFonts w:hint="eastAsia" w:cs="Times New Roman"/>
          <w:sz w:val="24"/>
          <w:szCs w:val="21"/>
          <w:highlight w:val="none"/>
          <w:lang w:val="en-US" w:eastAsia="zh-CN"/>
        </w:rPr>
        <w:t>0.4273</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default" w:ascii="Times New Roman" w:hAnsi="Times New Roman" w:eastAsia="宋体" w:cs="Times New Roman"/>
          <w:sz w:val="24"/>
          <w:szCs w:val="21"/>
          <w:highlight w:val="none"/>
          <w:lang w:val="en-US" w:eastAsia="zh-CN"/>
        </w:rPr>
        <w:t>，未利用土地</w:t>
      </w:r>
      <w:r>
        <w:rPr>
          <w:rFonts w:hint="eastAsia" w:cs="Times New Roman"/>
          <w:sz w:val="24"/>
          <w:szCs w:val="21"/>
          <w:highlight w:val="none"/>
          <w:lang w:val="en-US" w:eastAsia="zh-CN"/>
        </w:rPr>
        <w:t>0.0937</w:t>
      </w:r>
      <w:r>
        <w:rPr>
          <w:rFonts w:hint="default" w:ascii="Times New Roman" w:hAnsi="Times New Roman" w:eastAsia="宋体" w:cs="Times New Roman"/>
          <w:sz w:val="24"/>
          <w:szCs w:val="21"/>
          <w:highlight w:val="none"/>
          <w:lang w:val="en-US" w:eastAsia="zh-CN"/>
        </w:rPr>
        <w:t>hm</w:t>
      </w:r>
      <w:r>
        <w:rPr>
          <w:rFonts w:hint="default" w:ascii="Times New Roman" w:hAnsi="Times New Roman" w:eastAsia="宋体" w:cs="Times New Roman"/>
          <w:sz w:val="24"/>
          <w:szCs w:val="21"/>
          <w:highlight w:val="none"/>
          <w:vertAlign w:val="superscript"/>
          <w:lang w:val="en-US" w:eastAsia="zh-CN"/>
        </w:rPr>
        <w:t>2</w:t>
      </w:r>
      <w:r>
        <w:rPr>
          <w:rFonts w:hint="eastAsia" w:eastAsia="宋体" w:cs="Times New Roman"/>
          <w:sz w:val="24"/>
          <w:szCs w:val="21"/>
          <w:highlight w:val="none"/>
          <w:lang w:val="en-US" w:eastAsia="zh-CN"/>
        </w:rPr>
        <w:t>。</w:t>
      </w:r>
      <w:r>
        <w:rPr>
          <w:rFonts w:hint="default" w:ascii="Times New Roman" w:hAnsi="Times New Roman" w:eastAsia="宋体" w:cs="Times New Roman"/>
          <w:sz w:val="24"/>
          <w:szCs w:val="21"/>
          <w:highlight w:val="none"/>
          <w:lang w:val="en-US" w:eastAsia="zh-CN"/>
        </w:rPr>
        <w:t>详见下表：</w:t>
      </w:r>
    </w:p>
    <w:p w14:paraId="36A17241">
      <w:pPr>
        <w:pStyle w:val="25"/>
        <w:adjustRightInd w:val="0"/>
        <w:snapToGrid w:val="0"/>
        <w:spacing w:after="0" w:line="240" w:lineRule="auto"/>
        <w:ind w:left="0" w:leftChars="0" w:firstLine="422" w:firstLineChars="200"/>
        <w:jc w:val="center"/>
        <w:rPr>
          <w:rFonts w:hint="default" w:ascii="Times New Roman" w:hAnsi="Times New Roman" w:eastAsia="宋体" w:cs="Times New Roman"/>
          <w:b/>
          <w:bCs/>
          <w:sz w:val="21"/>
          <w:szCs w:val="18"/>
          <w:highlight w:val="none"/>
        </w:rPr>
      </w:pPr>
    </w:p>
    <w:p w14:paraId="7E152CBF">
      <w:pPr>
        <w:pStyle w:val="25"/>
        <w:adjustRightInd w:val="0"/>
        <w:snapToGrid w:val="0"/>
        <w:spacing w:after="0" w:line="240" w:lineRule="auto"/>
        <w:ind w:left="0" w:leftChars="0" w:firstLine="422" w:firstLineChars="200"/>
        <w:jc w:val="center"/>
        <w:rPr>
          <w:rFonts w:hint="default" w:ascii="Times New Roman" w:hAnsi="Times New Roman" w:eastAsia="宋体" w:cs="Times New Roman"/>
          <w:b/>
          <w:bCs/>
          <w:sz w:val="21"/>
          <w:szCs w:val="18"/>
          <w:highlight w:val="none"/>
        </w:rPr>
      </w:pPr>
    </w:p>
    <w:p w14:paraId="276A169C">
      <w:pPr>
        <w:pStyle w:val="25"/>
        <w:adjustRightInd w:val="0"/>
        <w:snapToGrid w:val="0"/>
        <w:spacing w:after="0" w:line="240" w:lineRule="auto"/>
        <w:ind w:left="0" w:leftChars="0" w:firstLine="422" w:firstLineChars="200"/>
        <w:jc w:val="center"/>
        <w:rPr>
          <w:rFonts w:hint="default" w:ascii="Times New Roman" w:hAnsi="Times New Roman" w:eastAsia="宋体" w:cs="Times New Roman"/>
          <w:b/>
          <w:bCs/>
          <w:sz w:val="21"/>
          <w:szCs w:val="18"/>
          <w:highlight w:val="none"/>
          <w:lang w:val="en-US" w:eastAsia="zh-CN"/>
        </w:rPr>
      </w:pPr>
      <w:r>
        <w:rPr>
          <w:rFonts w:hint="default" w:ascii="Times New Roman" w:hAnsi="Times New Roman" w:eastAsia="宋体" w:cs="Times New Roman"/>
          <w:b/>
          <w:bCs/>
          <w:sz w:val="21"/>
          <w:szCs w:val="18"/>
          <w:highlight w:val="none"/>
        </w:rPr>
        <w:t>表</w:t>
      </w:r>
      <w:r>
        <w:rPr>
          <w:rFonts w:hint="eastAsia" w:eastAsia="宋体" w:cs="Times New Roman"/>
          <w:b/>
          <w:bCs/>
          <w:sz w:val="21"/>
          <w:szCs w:val="18"/>
          <w:highlight w:val="none"/>
          <w:lang w:val="en-US" w:eastAsia="zh-CN"/>
        </w:rPr>
        <w:t>2-1</w:t>
      </w:r>
      <w:r>
        <w:rPr>
          <w:rFonts w:hint="default" w:ascii="Times New Roman" w:hAnsi="Times New Roman" w:eastAsia="宋体" w:cs="Times New Roman"/>
          <w:b/>
          <w:bCs/>
          <w:sz w:val="21"/>
          <w:szCs w:val="18"/>
          <w:highlight w:val="none"/>
          <w:lang w:val="en-US" w:eastAsia="zh-CN"/>
        </w:rPr>
        <w:t xml:space="preserve"> </w:t>
      </w:r>
      <w:r>
        <w:rPr>
          <w:rFonts w:hint="default" w:ascii="Times New Roman" w:hAnsi="Times New Roman" w:eastAsia="宋体" w:cs="Times New Roman"/>
          <w:b/>
          <w:bCs/>
          <w:sz w:val="21"/>
          <w:szCs w:val="18"/>
          <w:highlight w:val="none"/>
        </w:rPr>
        <w:t xml:space="preserve"> 土地利用现状统计表</w:t>
      </w:r>
      <w:r>
        <w:rPr>
          <w:rFonts w:hint="default" w:ascii="Times New Roman" w:hAnsi="Times New Roman" w:eastAsia="宋体" w:cs="Times New Roman"/>
          <w:b/>
          <w:bCs/>
          <w:sz w:val="21"/>
          <w:szCs w:val="18"/>
          <w:highlight w:val="none"/>
          <w:lang w:val="en-US" w:eastAsia="zh-CN"/>
        </w:rPr>
        <w:t xml:space="preserve">  单位：hm</w:t>
      </w:r>
      <w:r>
        <w:rPr>
          <w:rFonts w:hint="default" w:ascii="Times New Roman" w:hAnsi="Times New Roman" w:eastAsia="宋体" w:cs="Times New Roman"/>
          <w:b/>
          <w:bCs/>
          <w:sz w:val="21"/>
          <w:szCs w:val="18"/>
          <w:highlight w:val="none"/>
          <w:vertAlign w:val="superscript"/>
          <w:lang w:val="en-US" w:eastAsia="zh-CN"/>
        </w:rPr>
        <w:t>2</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5"/>
        <w:gridCol w:w="1185"/>
        <w:gridCol w:w="1495"/>
        <w:gridCol w:w="1173"/>
        <w:gridCol w:w="1712"/>
        <w:gridCol w:w="1299"/>
      </w:tblGrid>
      <w:tr w14:paraId="58DAB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1" w:type="pct"/>
            <w:vMerge w:val="restart"/>
            <w:vAlign w:val="center"/>
          </w:tcPr>
          <w:p w14:paraId="67F6C54E">
            <w:pPr>
              <w:pStyle w:val="25"/>
              <w:adjustRightInd w:val="0"/>
              <w:snapToGrid w:val="0"/>
              <w:spacing w:after="0" w:line="240" w:lineRule="auto"/>
              <w:ind w:left="0" w:leftChars="0" w:firstLine="0" w:firstLineChars="0"/>
              <w:jc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sz w:val="21"/>
                <w:szCs w:val="21"/>
                <w:highlight w:val="none"/>
                <w:vertAlign w:val="baseline"/>
                <w:lang w:val="en-US" w:eastAsia="zh-CN"/>
              </w:rPr>
              <w:t>占地类型</w:t>
            </w:r>
          </w:p>
        </w:tc>
        <w:tc>
          <w:tcPr>
            <w:tcW w:w="1572" w:type="pct"/>
            <w:gridSpan w:val="2"/>
            <w:vAlign w:val="center"/>
          </w:tcPr>
          <w:p w14:paraId="6B4B9303">
            <w:pPr>
              <w:pStyle w:val="25"/>
              <w:adjustRightInd w:val="0"/>
              <w:snapToGrid w:val="0"/>
              <w:spacing w:after="0" w:line="240" w:lineRule="auto"/>
              <w:ind w:left="0" w:leftChars="0" w:firstLine="0" w:firstLineChars="0"/>
              <w:jc w:val="center"/>
              <w:rPr>
                <w:rFonts w:hint="default" w:ascii="Times New Roman" w:hAnsi="Times New Roman" w:eastAsia="宋体" w:cs="Times New Roman"/>
                <w:b/>
                <w:bCs/>
                <w:i w:val="0"/>
                <w:iCs w:val="0"/>
                <w:color w:val="000000"/>
                <w:kern w:val="0"/>
                <w:sz w:val="21"/>
                <w:szCs w:val="21"/>
                <w:highlight w:val="none"/>
                <w:u w:val="none"/>
                <w:lang w:val="en-US" w:eastAsia="zh-CN" w:bidi="ar"/>
              </w:rPr>
            </w:pPr>
            <w:r>
              <w:rPr>
                <w:rFonts w:hint="default" w:ascii="Times New Roman" w:hAnsi="Times New Roman" w:eastAsia="宋体" w:cs="Times New Roman"/>
                <w:b/>
                <w:bCs/>
                <w:sz w:val="21"/>
                <w:szCs w:val="21"/>
                <w:highlight w:val="none"/>
                <w:vertAlign w:val="baseline"/>
                <w:lang w:val="en-US" w:eastAsia="zh-CN"/>
              </w:rPr>
              <w:t>农用地</w:t>
            </w:r>
          </w:p>
        </w:tc>
        <w:tc>
          <w:tcPr>
            <w:tcW w:w="688" w:type="pct"/>
            <w:vMerge w:val="restart"/>
            <w:vAlign w:val="center"/>
          </w:tcPr>
          <w:p w14:paraId="5527B682">
            <w:pPr>
              <w:pStyle w:val="25"/>
              <w:adjustRightInd w:val="0"/>
              <w:snapToGrid w:val="0"/>
              <w:spacing w:after="0" w:line="240" w:lineRule="auto"/>
              <w:ind w:left="0" w:leftChars="0" w:firstLine="0" w:firstLineChars="0"/>
              <w:jc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建</w:t>
            </w:r>
            <w:r>
              <w:rPr>
                <w:rStyle w:val="92"/>
                <w:rFonts w:hint="default" w:ascii="Times New Roman" w:hAnsi="Times New Roman" w:eastAsia="宋体" w:cs="Times New Roman"/>
                <w:b/>
                <w:bCs/>
                <w:sz w:val="21"/>
                <w:szCs w:val="21"/>
                <w:highlight w:val="none"/>
                <w:lang w:val="en-US" w:eastAsia="zh-CN" w:bidi="ar"/>
              </w:rPr>
              <w:t>设用地</w:t>
            </w:r>
          </w:p>
        </w:tc>
        <w:tc>
          <w:tcPr>
            <w:tcW w:w="1004" w:type="pct"/>
            <w:vMerge w:val="restart"/>
            <w:vAlign w:val="center"/>
          </w:tcPr>
          <w:p w14:paraId="340EF302">
            <w:pPr>
              <w:keepNext w:val="0"/>
              <w:keepLines w:val="0"/>
              <w:widowControl/>
              <w:suppressLineNumbers w:val="0"/>
              <w:spacing w:line="240" w:lineRule="auto"/>
              <w:jc w:val="center"/>
              <w:textAlignment w:val="bottom"/>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未利用土</w:t>
            </w:r>
            <w:r>
              <w:rPr>
                <w:rStyle w:val="92"/>
                <w:rFonts w:hint="default" w:ascii="Times New Roman" w:hAnsi="Times New Roman" w:eastAsia="宋体" w:cs="Times New Roman"/>
                <w:b/>
                <w:bCs/>
                <w:sz w:val="21"/>
                <w:szCs w:val="21"/>
                <w:highlight w:val="none"/>
                <w:lang w:val="en-US" w:eastAsia="zh-CN" w:bidi="ar"/>
              </w:rPr>
              <w:t>地</w:t>
            </w:r>
          </w:p>
        </w:tc>
        <w:tc>
          <w:tcPr>
            <w:tcW w:w="762" w:type="pct"/>
            <w:vMerge w:val="restart"/>
            <w:vAlign w:val="center"/>
          </w:tcPr>
          <w:p w14:paraId="69F96EE3">
            <w:pPr>
              <w:pStyle w:val="25"/>
              <w:adjustRightInd w:val="0"/>
              <w:snapToGrid w:val="0"/>
              <w:spacing w:after="0" w:line="240" w:lineRule="auto"/>
              <w:ind w:left="0" w:leftChars="0" w:firstLine="0" w:firstLineChars="0"/>
              <w:jc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sz w:val="21"/>
                <w:szCs w:val="21"/>
                <w:highlight w:val="none"/>
                <w:vertAlign w:val="baseline"/>
                <w:lang w:val="en-US" w:eastAsia="zh-CN"/>
              </w:rPr>
              <w:t>合计</w:t>
            </w:r>
          </w:p>
        </w:tc>
      </w:tr>
      <w:tr w14:paraId="060CC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1" w:type="pct"/>
            <w:vMerge w:val="continue"/>
            <w:vAlign w:val="center"/>
          </w:tcPr>
          <w:p w14:paraId="42ADB7AF">
            <w:pPr>
              <w:keepNext w:val="0"/>
              <w:keepLines w:val="0"/>
              <w:widowControl/>
              <w:suppressLineNumbers w:val="0"/>
              <w:spacing w:line="240" w:lineRule="auto"/>
              <w:jc w:val="center"/>
              <w:textAlignment w:val="center"/>
              <w:rPr>
                <w:rFonts w:hint="default" w:ascii="Times New Roman" w:hAnsi="Times New Roman" w:eastAsia="宋体" w:cs="Times New Roman"/>
                <w:b/>
                <w:bCs/>
                <w:sz w:val="21"/>
                <w:szCs w:val="21"/>
                <w:highlight w:val="none"/>
                <w:vertAlign w:val="baseline"/>
                <w:lang w:val="en-US" w:eastAsia="zh-CN"/>
              </w:rPr>
            </w:pPr>
          </w:p>
        </w:tc>
        <w:tc>
          <w:tcPr>
            <w:tcW w:w="695" w:type="pct"/>
            <w:vAlign w:val="center"/>
          </w:tcPr>
          <w:p w14:paraId="5698A73B">
            <w:pPr>
              <w:keepNext w:val="0"/>
              <w:keepLines w:val="0"/>
              <w:widowControl/>
              <w:suppressLineNumbers w:val="0"/>
              <w:spacing w:line="240" w:lineRule="auto"/>
              <w:jc w:val="center"/>
              <w:textAlignment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sz w:val="21"/>
                <w:szCs w:val="21"/>
                <w:highlight w:val="none"/>
                <w:vertAlign w:val="baseline"/>
                <w:lang w:val="en-US" w:eastAsia="zh-CN"/>
              </w:rPr>
              <w:t>耕地</w:t>
            </w:r>
          </w:p>
        </w:tc>
        <w:tc>
          <w:tcPr>
            <w:tcW w:w="877" w:type="pct"/>
            <w:vAlign w:val="center"/>
          </w:tcPr>
          <w:p w14:paraId="3AB83950">
            <w:pPr>
              <w:keepNext w:val="0"/>
              <w:keepLines w:val="0"/>
              <w:widowControl/>
              <w:suppressLineNumbers w:val="0"/>
              <w:spacing w:line="240" w:lineRule="auto"/>
              <w:jc w:val="center"/>
              <w:textAlignment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其他农用地</w:t>
            </w:r>
          </w:p>
        </w:tc>
        <w:tc>
          <w:tcPr>
            <w:tcW w:w="688" w:type="pct"/>
            <w:vMerge w:val="continue"/>
            <w:vAlign w:val="center"/>
          </w:tcPr>
          <w:p w14:paraId="24D8AACE">
            <w:pPr>
              <w:keepNext w:val="0"/>
              <w:keepLines w:val="0"/>
              <w:widowControl/>
              <w:suppressLineNumbers w:val="0"/>
              <w:spacing w:line="240" w:lineRule="auto"/>
              <w:jc w:val="center"/>
              <w:textAlignment w:val="top"/>
              <w:rPr>
                <w:rFonts w:hint="default" w:ascii="Times New Roman" w:hAnsi="Times New Roman" w:eastAsia="宋体" w:cs="Times New Roman"/>
                <w:b/>
                <w:bCs/>
                <w:sz w:val="21"/>
                <w:szCs w:val="21"/>
                <w:highlight w:val="none"/>
                <w:vertAlign w:val="baseline"/>
                <w:lang w:val="en-US" w:eastAsia="zh-CN"/>
              </w:rPr>
            </w:pPr>
          </w:p>
        </w:tc>
        <w:tc>
          <w:tcPr>
            <w:tcW w:w="1004" w:type="pct"/>
            <w:vMerge w:val="continue"/>
            <w:vAlign w:val="center"/>
          </w:tcPr>
          <w:p w14:paraId="0250E10E">
            <w:pPr>
              <w:pStyle w:val="25"/>
              <w:adjustRightInd w:val="0"/>
              <w:snapToGrid w:val="0"/>
              <w:spacing w:after="0" w:line="240" w:lineRule="auto"/>
              <w:ind w:left="0" w:leftChars="0" w:firstLine="0" w:firstLineChars="0"/>
              <w:jc w:val="center"/>
              <w:rPr>
                <w:rFonts w:hint="default" w:ascii="Times New Roman" w:hAnsi="Times New Roman" w:eastAsia="宋体" w:cs="Times New Roman"/>
                <w:b w:val="0"/>
                <w:bCs w:val="0"/>
                <w:sz w:val="21"/>
                <w:szCs w:val="21"/>
                <w:highlight w:val="none"/>
                <w:vertAlign w:val="baseline"/>
                <w:lang w:val="en-US" w:eastAsia="zh-CN"/>
              </w:rPr>
            </w:pPr>
          </w:p>
        </w:tc>
        <w:tc>
          <w:tcPr>
            <w:tcW w:w="762" w:type="pct"/>
            <w:vMerge w:val="continue"/>
            <w:vAlign w:val="center"/>
          </w:tcPr>
          <w:p w14:paraId="1883EFF9">
            <w:pPr>
              <w:pStyle w:val="25"/>
              <w:adjustRightInd w:val="0"/>
              <w:snapToGrid w:val="0"/>
              <w:spacing w:after="0" w:line="240" w:lineRule="auto"/>
              <w:ind w:left="0" w:leftChars="0" w:firstLine="0" w:firstLineChars="0"/>
              <w:jc w:val="center"/>
              <w:rPr>
                <w:rFonts w:hint="default" w:ascii="Times New Roman" w:hAnsi="Times New Roman" w:eastAsia="宋体" w:cs="Times New Roman"/>
                <w:b w:val="0"/>
                <w:bCs w:val="0"/>
                <w:sz w:val="21"/>
                <w:szCs w:val="21"/>
                <w:highlight w:val="none"/>
                <w:vertAlign w:val="baseline"/>
                <w:lang w:val="en-US" w:eastAsia="zh-CN"/>
              </w:rPr>
            </w:pPr>
          </w:p>
        </w:tc>
      </w:tr>
      <w:tr w14:paraId="75CD3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971" w:type="pct"/>
            <w:vAlign w:val="center"/>
          </w:tcPr>
          <w:p w14:paraId="64624214">
            <w:pPr>
              <w:keepNext w:val="0"/>
              <w:keepLines w:val="0"/>
              <w:widowControl/>
              <w:suppressLineNumbers w:val="0"/>
              <w:spacing w:line="240" w:lineRule="auto"/>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永久占地</w:t>
            </w:r>
          </w:p>
        </w:tc>
        <w:tc>
          <w:tcPr>
            <w:tcW w:w="695" w:type="pct"/>
            <w:vAlign w:val="center"/>
          </w:tcPr>
          <w:p w14:paraId="33B2F8DB">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0.5238</w:t>
            </w:r>
          </w:p>
        </w:tc>
        <w:tc>
          <w:tcPr>
            <w:tcW w:w="877" w:type="pct"/>
            <w:vAlign w:val="center"/>
          </w:tcPr>
          <w:p w14:paraId="32335428">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4.2461</w:t>
            </w:r>
          </w:p>
        </w:tc>
        <w:tc>
          <w:tcPr>
            <w:tcW w:w="688" w:type="pct"/>
            <w:vAlign w:val="center"/>
          </w:tcPr>
          <w:p w14:paraId="579C531A">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0.4273</w:t>
            </w:r>
          </w:p>
        </w:tc>
        <w:tc>
          <w:tcPr>
            <w:tcW w:w="1004" w:type="pct"/>
            <w:vAlign w:val="center"/>
          </w:tcPr>
          <w:p w14:paraId="17CCAC5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0.0937</w:t>
            </w:r>
          </w:p>
        </w:tc>
        <w:tc>
          <w:tcPr>
            <w:tcW w:w="762" w:type="pct"/>
            <w:vAlign w:val="center"/>
          </w:tcPr>
          <w:p w14:paraId="3EB69B3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5.2909</w:t>
            </w:r>
          </w:p>
        </w:tc>
      </w:tr>
    </w:tbl>
    <w:p w14:paraId="759B8EE1">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firstLine="478" w:firstLineChars="200"/>
        <w:textAlignment w:val="auto"/>
        <w:rPr>
          <w:rFonts w:hint="default" w:ascii="Times New Roman" w:hAnsi="Times New Roman" w:eastAsia="宋体" w:cs="Times New Roman"/>
          <w:b/>
          <w:bCs/>
          <w:snapToGrid/>
          <w:color w:val="0C0C0C"/>
          <w:spacing w:val="-1"/>
          <w:kern w:val="2"/>
          <w:sz w:val="24"/>
          <w:szCs w:val="24"/>
          <w:lang w:val="en-US" w:eastAsia="zh-CN" w:bidi="ar-SA"/>
        </w:rPr>
      </w:pPr>
      <w:r>
        <w:rPr>
          <w:rFonts w:hint="eastAsia" w:ascii="Times New Roman" w:hAnsi="Times New Roman" w:eastAsia="宋体" w:cs="Times New Roman"/>
          <w:b/>
          <w:bCs/>
          <w:snapToGrid/>
          <w:color w:val="0C0C0C"/>
          <w:spacing w:val="-1"/>
          <w:kern w:val="2"/>
          <w:sz w:val="24"/>
          <w:szCs w:val="24"/>
          <w:lang w:val="en-US" w:eastAsia="zh-CN" w:bidi="ar-SA"/>
        </w:rPr>
        <w:t>（2）工程拆迁</w:t>
      </w:r>
    </w:p>
    <w:p w14:paraId="422EB395">
      <w:pPr>
        <w:pStyle w:val="25"/>
        <w:adjustRightInd w:val="0"/>
        <w:snapToGrid w:val="0"/>
        <w:spacing w:after="0" w:line="360" w:lineRule="auto"/>
        <w:ind w:left="0" w:leftChars="0" w:firstLine="480" w:firstLineChars="200"/>
        <w:rPr>
          <w:rFonts w:hint="default"/>
          <w:lang w:val="en-US" w:eastAsia="zh-CN"/>
        </w:rPr>
      </w:pPr>
      <w:r>
        <w:rPr>
          <w:rFonts w:hint="eastAsia" w:eastAsia="宋体" w:cs="Times New Roman"/>
          <w:b w:val="0"/>
          <w:bCs w:val="0"/>
          <w:color w:val="auto"/>
          <w:sz w:val="24"/>
          <w:szCs w:val="21"/>
          <w:highlight w:val="none"/>
          <w:lang w:val="en-US" w:eastAsia="zh-CN"/>
        </w:rPr>
        <w:t>本项目</w:t>
      </w:r>
      <w:r>
        <w:rPr>
          <w:rFonts w:hint="default" w:ascii="Times New Roman" w:hAnsi="Times New Roman" w:eastAsia="宋体" w:cs="Times New Roman"/>
          <w:b w:val="0"/>
          <w:bCs w:val="0"/>
          <w:color w:val="auto"/>
          <w:sz w:val="24"/>
          <w:szCs w:val="21"/>
          <w:highlight w:val="none"/>
        </w:rPr>
        <w:t>需拆迁建筑物</w:t>
      </w:r>
      <w:r>
        <w:rPr>
          <w:rFonts w:hint="eastAsia" w:eastAsia="宋体" w:cs="Times New Roman"/>
          <w:b w:val="0"/>
          <w:bCs w:val="0"/>
          <w:color w:val="auto"/>
          <w:sz w:val="24"/>
          <w:szCs w:val="21"/>
          <w:highlight w:val="none"/>
          <w:lang w:val="en-US" w:eastAsia="zh-CN"/>
        </w:rPr>
        <w:t>2030</w:t>
      </w:r>
      <w:r>
        <w:rPr>
          <w:rFonts w:hint="default" w:ascii="Times New Roman" w:hAnsi="Times New Roman" w:eastAsia="宋体" w:cs="Times New Roman"/>
          <w:b w:val="0"/>
          <w:bCs w:val="0"/>
          <w:color w:val="auto"/>
          <w:sz w:val="24"/>
          <w:szCs w:val="21"/>
          <w:highlight w:val="none"/>
        </w:rPr>
        <w:t>m</w:t>
      </w:r>
      <w:r>
        <w:rPr>
          <w:rFonts w:hint="default" w:ascii="Times New Roman" w:hAnsi="Times New Roman" w:eastAsia="宋体" w:cs="Times New Roman"/>
          <w:b w:val="0"/>
          <w:bCs w:val="0"/>
          <w:color w:val="auto"/>
          <w:sz w:val="24"/>
          <w:szCs w:val="21"/>
          <w:highlight w:val="none"/>
          <w:vertAlign w:val="superscript"/>
        </w:rPr>
        <w:t>2</w:t>
      </w:r>
      <w:r>
        <w:rPr>
          <w:rFonts w:hint="default" w:ascii="Times New Roman" w:hAnsi="Times New Roman" w:eastAsia="宋体" w:cs="Times New Roman"/>
          <w:b w:val="0"/>
          <w:bCs w:val="0"/>
          <w:color w:val="auto"/>
          <w:sz w:val="24"/>
          <w:szCs w:val="21"/>
          <w:highlight w:val="none"/>
        </w:rPr>
        <w:t>，电力和电讯杆</w:t>
      </w:r>
      <w:r>
        <w:rPr>
          <w:rFonts w:hint="eastAsia" w:eastAsia="宋体" w:cs="Times New Roman"/>
          <w:b w:val="0"/>
          <w:bCs w:val="0"/>
          <w:color w:val="auto"/>
          <w:sz w:val="24"/>
          <w:szCs w:val="21"/>
          <w:highlight w:val="none"/>
          <w:lang w:val="en-US" w:eastAsia="zh-CN"/>
        </w:rPr>
        <w:t>24</w:t>
      </w:r>
      <w:r>
        <w:rPr>
          <w:rFonts w:hint="default" w:ascii="Times New Roman" w:hAnsi="Times New Roman" w:eastAsia="宋体" w:cs="Times New Roman"/>
          <w:b w:val="0"/>
          <w:bCs w:val="0"/>
          <w:color w:val="auto"/>
          <w:sz w:val="24"/>
          <w:szCs w:val="21"/>
          <w:highlight w:val="none"/>
        </w:rPr>
        <w:t>根。</w:t>
      </w:r>
    </w:p>
    <w:p w14:paraId="39CC1813">
      <w:pPr>
        <w:pStyle w:val="9"/>
        <w:adjustRightInd w:val="0"/>
        <w:snapToGrid w:val="0"/>
        <w:spacing w:after="0" w:line="360" w:lineRule="auto"/>
        <w:ind w:firstLine="476" w:firstLineChars="200"/>
        <w:rPr>
          <w:rFonts w:hint="default" w:ascii="Times New Roman" w:hAnsi="Times New Roman" w:eastAsia="宋体" w:cs="Times New Roman"/>
          <w:b w:val="0"/>
          <w:bCs w:val="0"/>
          <w:snapToGrid/>
          <w:color w:val="0C0C0C"/>
          <w:spacing w:val="-1"/>
          <w:kern w:val="2"/>
          <w:sz w:val="24"/>
          <w:szCs w:val="24"/>
          <w:lang w:val="en-US" w:eastAsia="zh-CN" w:bidi="ar-SA"/>
        </w:rPr>
        <w:sectPr>
          <w:footerReference r:id="rId10"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5330D7A">
      <w:pPr>
        <w:pStyle w:val="3"/>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jc w:val="center"/>
        <w:textAlignment w:val="auto"/>
        <w:outlineLvl w:val="0"/>
        <w:rPr>
          <w:rFonts w:hint="default" w:ascii="Times New Roman" w:hAnsi="Times New Roman" w:eastAsia="宋体" w:cs="Times New Roman"/>
          <w:sz w:val="32"/>
          <w:szCs w:val="32"/>
          <w:lang w:val="en-US" w:eastAsia="zh-CN"/>
        </w:rPr>
      </w:pPr>
      <w:bookmarkStart w:id="613" w:name="_Toc20409"/>
      <w:bookmarkStart w:id="614" w:name="_Toc32214"/>
      <w:bookmarkStart w:id="615" w:name="_Toc1832"/>
      <w:bookmarkStart w:id="616" w:name="_Toc20702"/>
      <w:bookmarkStart w:id="617" w:name="_Toc25550"/>
      <w:bookmarkStart w:id="618" w:name="_Toc17121"/>
      <w:r>
        <w:rPr>
          <w:rFonts w:hint="default" w:ascii="Times New Roman" w:hAnsi="Times New Roman" w:eastAsia="宋体" w:cs="Times New Roman"/>
          <w:sz w:val="32"/>
          <w:szCs w:val="32"/>
          <w:lang w:val="en-US" w:eastAsia="zh-CN"/>
        </w:rPr>
        <w:t>3  生态现状调查与评价</w:t>
      </w:r>
      <w:bookmarkEnd w:id="613"/>
      <w:bookmarkEnd w:id="614"/>
      <w:bookmarkEnd w:id="615"/>
      <w:bookmarkEnd w:id="616"/>
      <w:bookmarkEnd w:id="617"/>
      <w:bookmarkEnd w:id="618"/>
    </w:p>
    <w:p w14:paraId="4B235D59">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619" w:name="_bookmark73"/>
      <w:bookmarkEnd w:id="619"/>
      <w:bookmarkStart w:id="620" w:name="_Toc19131"/>
      <w:bookmarkStart w:id="621" w:name="_Toc11037"/>
      <w:bookmarkStart w:id="622" w:name="_Toc15610"/>
      <w:bookmarkStart w:id="623" w:name="_Toc26085"/>
      <w:bookmarkStart w:id="624" w:name="_Toc20188"/>
      <w:bookmarkStart w:id="625" w:name="_Toc15577"/>
      <w:r>
        <w:rPr>
          <w:rFonts w:hint="default" w:ascii="Times New Roman" w:hAnsi="Times New Roman" w:eastAsia="宋体" w:cs="Times New Roman"/>
          <w:sz w:val="28"/>
          <w:szCs w:val="28"/>
          <w:lang w:val="en-US" w:eastAsia="zh-CN"/>
        </w:rPr>
        <w:t>3.1区域生态概况</w:t>
      </w:r>
      <w:bookmarkEnd w:id="620"/>
      <w:bookmarkEnd w:id="621"/>
      <w:bookmarkEnd w:id="622"/>
      <w:bookmarkEnd w:id="623"/>
      <w:bookmarkEnd w:id="624"/>
      <w:bookmarkEnd w:id="625"/>
    </w:p>
    <w:p w14:paraId="11381E79">
      <w:pPr>
        <w:autoSpaceDE w:val="0"/>
        <w:autoSpaceDN w:val="0"/>
        <w:adjustRightInd w:val="0"/>
        <w:spacing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本项目位于安徽省六安市金寨县关庙乡银山村，根据《安徽省生态功能区划》，本项目区位于</w:t>
      </w:r>
      <w:r>
        <w:rPr>
          <w:rFonts w:hint="default" w:ascii="Times New Roman" w:hAnsi="Times New Roman" w:eastAsia="宋体" w:cs="Times New Roman"/>
          <w:kern w:val="0"/>
          <w:sz w:val="24"/>
          <w:lang w:val="en-US" w:eastAsia="zh-CN"/>
        </w:rPr>
        <w:t>Ⅲ皖西大别山</w:t>
      </w:r>
      <w:r>
        <w:rPr>
          <w:rFonts w:hint="default" w:ascii="Times New Roman" w:hAnsi="Times New Roman" w:eastAsia="宋体" w:cs="Times New Roman"/>
          <w:kern w:val="0"/>
          <w:sz w:val="24"/>
        </w:rPr>
        <w:t>生态区，</w:t>
      </w:r>
      <w:r>
        <w:rPr>
          <w:rFonts w:hint="default" w:ascii="Times New Roman" w:hAnsi="Times New Roman" w:eastAsia="宋体" w:cs="Times New Roman"/>
          <w:kern w:val="0"/>
          <w:sz w:val="24"/>
          <w:lang w:val="en-US" w:eastAsia="zh-CN"/>
        </w:rPr>
        <w:t>Ⅲ</w:t>
      </w:r>
      <w:r>
        <w:rPr>
          <w:rFonts w:hint="default" w:ascii="Times New Roman" w:hAnsi="Times New Roman" w:eastAsia="宋体" w:cs="Times New Roman"/>
          <w:kern w:val="0"/>
          <w:sz w:val="24"/>
          <w:vertAlign w:val="subscript"/>
          <w:lang w:val="en-US" w:eastAsia="zh-CN"/>
        </w:rPr>
        <w:t>1</w:t>
      </w:r>
      <w:r>
        <w:rPr>
          <w:rFonts w:hint="default" w:ascii="Times New Roman" w:hAnsi="Times New Roman" w:eastAsia="宋体" w:cs="Times New Roman"/>
          <w:kern w:val="0"/>
          <w:sz w:val="24"/>
          <w:vertAlign w:val="baseline"/>
          <w:lang w:val="en-US" w:eastAsia="zh-CN"/>
        </w:rPr>
        <w:t xml:space="preserve"> 大别山北麓中低山森林生态亚区</w:t>
      </w:r>
      <w:r>
        <w:rPr>
          <w:rFonts w:hint="default" w:ascii="Times New Roman" w:hAnsi="Times New Roman" w:eastAsia="宋体" w:cs="Times New Roman"/>
          <w:kern w:val="0"/>
          <w:sz w:val="24"/>
        </w:rPr>
        <w:t>，</w:t>
      </w:r>
      <w:r>
        <w:rPr>
          <w:rFonts w:hint="default" w:ascii="Times New Roman" w:hAnsi="Times New Roman" w:eastAsia="宋体" w:cs="Times New Roman"/>
          <w:kern w:val="0"/>
          <w:sz w:val="24"/>
          <w:lang w:val="en-US" w:eastAsia="zh-CN"/>
        </w:rPr>
        <w:t>Ⅲ</w:t>
      </w:r>
      <w:r>
        <w:rPr>
          <w:rFonts w:hint="default" w:ascii="Times New Roman" w:hAnsi="Times New Roman" w:eastAsia="宋体" w:cs="Times New Roman"/>
          <w:kern w:val="0"/>
          <w:sz w:val="24"/>
          <w:vertAlign w:val="subscript"/>
          <w:lang w:val="en-US" w:eastAsia="zh-CN"/>
        </w:rPr>
        <w:t>1</w:t>
      </w:r>
      <w:r>
        <w:rPr>
          <w:rFonts w:hint="default" w:ascii="Times New Roman" w:hAnsi="Times New Roman" w:eastAsia="宋体" w:cs="Times New Roman"/>
          <w:kern w:val="0"/>
          <w:sz w:val="24"/>
          <w:vertAlign w:val="subscript"/>
        </w:rPr>
        <w:t>-</w:t>
      </w:r>
      <w:r>
        <w:rPr>
          <w:rFonts w:hint="default" w:ascii="Times New Roman" w:hAnsi="Times New Roman" w:eastAsia="宋体" w:cs="Times New Roman"/>
          <w:kern w:val="0"/>
          <w:sz w:val="24"/>
          <w:vertAlign w:val="subscript"/>
          <w:lang w:val="en-US" w:eastAsia="zh-CN"/>
        </w:rPr>
        <w:t>1</w:t>
      </w:r>
      <w:r>
        <w:rPr>
          <w:rFonts w:hint="default" w:ascii="Times New Roman" w:hAnsi="Times New Roman" w:eastAsia="宋体" w:cs="Times New Roman"/>
          <w:kern w:val="0"/>
          <w:sz w:val="24"/>
          <w:lang w:val="en-US" w:eastAsia="zh-CN"/>
        </w:rPr>
        <w:t xml:space="preserve"> </w:t>
      </w:r>
      <w:r>
        <w:rPr>
          <w:rFonts w:hint="eastAsia" w:ascii="Times New Roman" w:hAnsi="Times New Roman" w:eastAsia="宋体" w:cs="Times New Roman"/>
          <w:kern w:val="0"/>
          <w:sz w:val="24"/>
          <w:lang w:val="en-US" w:eastAsia="zh-CN"/>
        </w:rPr>
        <w:t>桐柏山-大别山国家级水土流失重点预防区</w:t>
      </w:r>
      <w:r>
        <w:rPr>
          <w:rFonts w:hint="default" w:ascii="Times New Roman" w:hAnsi="Times New Roman" w:eastAsia="宋体" w:cs="Times New Roman"/>
          <w:kern w:val="0"/>
          <w:sz w:val="24"/>
        </w:rPr>
        <w:t>。</w:t>
      </w:r>
    </w:p>
    <w:p w14:paraId="07156481">
      <w:pPr>
        <w:autoSpaceDE w:val="0"/>
        <w:autoSpaceDN w:val="0"/>
        <w:adjustRightInd w:val="0"/>
        <w:spacing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该生态功能区位于本亚区西部，行政区划包括金寨县全部、霍山县大部、六安市辖区西南部地区，面积6746.4km</w:t>
      </w:r>
      <w:r>
        <w:rPr>
          <w:rFonts w:hint="default" w:ascii="Times New Roman" w:hAnsi="Times New Roman" w:eastAsia="宋体" w:cs="Times New Roman"/>
          <w:kern w:val="0"/>
          <w:sz w:val="24"/>
          <w:vertAlign w:val="superscript"/>
        </w:rPr>
        <w:t>2</w:t>
      </w:r>
      <w:r>
        <w:rPr>
          <w:rFonts w:hint="default" w:ascii="Times New Roman" w:hAnsi="Times New Roman" w:eastAsia="宋体" w:cs="Times New Roman"/>
          <w:kern w:val="0"/>
          <w:sz w:val="24"/>
        </w:rPr>
        <w:t>。</w:t>
      </w:r>
    </w:p>
    <w:p w14:paraId="63F9AF57">
      <w:pPr>
        <w:autoSpaceDE w:val="0"/>
        <w:autoSpaceDN w:val="0"/>
        <w:adjustRightInd w:val="0"/>
        <w:spacing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该区地貌类型以中低山为主，在山间盆地或谷地中有零星畈区分布，大别山最高峰白马尖分布于本区内。本区属北亚热带湿润性季风气候区，气候温凉，雨水充沛。年平均日照时数为1900~2000小时，年平均气温14.5~15.0</w:t>
      </w:r>
      <w:r>
        <w:rPr>
          <w:rFonts w:hint="eastAsia" w:ascii="宋体" w:hAnsi="宋体" w:eastAsia="宋体" w:cs="宋体"/>
          <w:kern w:val="0"/>
          <w:sz w:val="24"/>
        </w:rPr>
        <w:t>℃</w:t>
      </w:r>
      <w:r>
        <w:rPr>
          <w:rFonts w:hint="default" w:ascii="Times New Roman" w:hAnsi="Times New Roman" w:eastAsia="宋体" w:cs="Times New Roman"/>
          <w:kern w:val="0"/>
          <w:sz w:val="24"/>
        </w:rPr>
        <w:t>，中山处年平均气温10~12</w:t>
      </w:r>
      <w:r>
        <w:rPr>
          <w:rFonts w:hint="eastAsia" w:ascii="宋体" w:hAnsi="宋体" w:eastAsia="宋体" w:cs="宋体"/>
          <w:kern w:val="0"/>
          <w:sz w:val="24"/>
        </w:rPr>
        <w:t>℃</w:t>
      </w:r>
      <w:r>
        <w:rPr>
          <w:rFonts w:hint="default" w:ascii="Times New Roman" w:hAnsi="Times New Roman" w:eastAsia="宋体" w:cs="Times New Roman"/>
          <w:kern w:val="0"/>
          <w:sz w:val="24"/>
        </w:rPr>
        <w:t>，最热月</w:t>
      </w:r>
      <w:r>
        <w:rPr>
          <w:rFonts w:hint="eastAsia" w:ascii="Times New Roman" w:hAnsi="Times New Roman" w:eastAsia="宋体" w:cs="Times New Roman"/>
          <w:kern w:val="0"/>
          <w:sz w:val="24"/>
          <w:lang w:eastAsia="zh-CN"/>
        </w:rPr>
        <w:t>（</w:t>
      </w:r>
      <w:r>
        <w:rPr>
          <w:rFonts w:hint="default" w:ascii="Times New Roman" w:hAnsi="Times New Roman" w:eastAsia="宋体" w:cs="Times New Roman"/>
          <w:kern w:val="0"/>
          <w:sz w:val="24"/>
        </w:rPr>
        <w:t>7、8月</w:t>
      </w:r>
      <w:r>
        <w:rPr>
          <w:rFonts w:hint="eastAsia" w:ascii="Times New Roman" w:hAnsi="Times New Roman" w:eastAsia="宋体" w:cs="Times New Roman"/>
          <w:kern w:val="0"/>
          <w:sz w:val="24"/>
          <w:lang w:eastAsia="zh-CN"/>
        </w:rPr>
        <w:t>）</w:t>
      </w:r>
      <w:r>
        <w:rPr>
          <w:rFonts w:hint="default" w:ascii="Times New Roman" w:hAnsi="Times New Roman" w:eastAsia="宋体" w:cs="Times New Roman"/>
          <w:kern w:val="0"/>
          <w:sz w:val="24"/>
        </w:rPr>
        <w:t>气温仅21~23</w:t>
      </w:r>
      <w:r>
        <w:rPr>
          <w:rFonts w:hint="eastAsia" w:ascii="宋体" w:hAnsi="宋体" w:eastAsia="宋体" w:cs="宋体"/>
          <w:kern w:val="0"/>
          <w:sz w:val="24"/>
        </w:rPr>
        <w:t>℃</w:t>
      </w:r>
      <w:r>
        <w:rPr>
          <w:rFonts w:hint="default" w:ascii="Times New Roman" w:hAnsi="Times New Roman" w:eastAsia="宋体" w:cs="Times New Roman"/>
          <w:kern w:val="0"/>
          <w:sz w:val="24"/>
        </w:rPr>
        <w:t>，年均相对湿度在80%以上，年均降水1400mm左右，是安徽省的降水次中心，年蒸发量1400mm以下，无霜期为220天。</w:t>
      </w:r>
    </w:p>
    <w:p w14:paraId="33A91B9B">
      <w:pPr>
        <w:autoSpaceDE w:val="0"/>
        <w:autoSpaceDN w:val="0"/>
        <w:adjustRightInd w:val="0"/>
        <w:spacing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本生态功能区以森林生态系统为主，植被类型属暖温带落叶阔叶林向亚热带常绿阔叶林过渡型，植被垂直分布带谱明显，野生动植物资源丰富，区系</w:t>
      </w:r>
      <w:r>
        <w:rPr>
          <w:rFonts w:hint="eastAsia" w:ascii="Times New Roman" w:hAnsi="Times New Roman" w:eastAsia="宋体" w:cs="Times New Roman"/>
          <w:kern w:val="0"/>
          <w:sz w:val="24"/>
          <w:lang w:eastAsia="zh-CN"/>
        </w:rPr>
        <w:t>成分复杂</w:t>
      </w:r>
      <w:r>
        <w:rPr>
          <w:rFonts w:hint="default" w:ascii="Times New Roman" w:hAnsi="Times New Roman" w:eastAsia="宋体" w:cs="Times New Roman"/>
          <w:kern w:val="0"/>
          <w:sz w:val="24"/>
        </w:rPr>
        <w:t>，特有种多。天马和鹞落坪两处国家级自然保护区内保存了大批珍稀、古老孑遗物种和典型、多样的生物群落，目前已查明维管束植物有2000多种，陆栖脊椎动物200多</w:t>
      </w:r>
      <w:r>
        <w:rPr>
          <w:rFonts w:hint="eastAsia" w:ascii="Times New Roman" w:hAnsi="Times New Roman" w:eastAsia="宋体" w:cs="Times New Roman"/>
          <w:kern w:val="0"/>
          <w:sz w:val="24"/>
          <w:lang w:eastAsia="zh-CN"/>
        </w:rPr>
        <w:t>种</w:t>
      </w:r>
      <w:r>
        <w:rPr>
          <w:rFonts w:hint="default" w:ascii="Times New Roman" w:hAnsi="Times New Roman" w:eastAsia="宋体" w:cs="Times New Roman"/>
          <w:kern w:val="0"/>
          <w:sz w:val="24"/>
        </w:rPr>
        <w:t>，其中国家重点保护的野生植物有大别山五针松、香果树、杜仲等25种，而且本区还是香果树、领春木、大别山五针松、连香树、</w:t>
      </w:r>
      <w:r>
        <w:rPr>
          <w:rFonts w:hint="eastAsia" w:ascii="Times New Roman" w:hAnsi="Times New Roman" w:eastAsia="宋体" w:cs="Times New Roman"/>
          <w:kern w:val="0"/>
          <w:sz w:val="24"/>
          <w:lang w:eastAsia="zh-CN"/>
        </w:rPr>
        <w:t>鹅掌楸</w:t>
      </w:r>
      <w:r>
        <w:rPr>
          <w:rFonts w:hint="default" w:ascii="Times New Roman" w:hAnsi="Times New Roman" w:eastAsia="宋体" w:cs="Times New Roman"/>
          <w:kern w:val="0"/>
          <w:sz w:val="24"/>
        </w:rPr>
        <w:t>、金钱松、天女花、厚朴、大鲵、原麝、勺鸡等保护物种的集中分布区，其中中国特有植物13属及地方特有动植物十余种，</w:t>
      </w:r>
      <w:r>
        <w:rPr>
          <w:rFonts w:hint="eastAsia" w:ascii="Times New Roman" w:hAnsi="Times New Roman" w:eastAsia="宋体" w:cs="Times New Roman"/>
          <w:kern w:val="0"/>
          <w:sz w:val="24"/>
          <w:lang w:eastAsia="zh-CN"/>
        </w:rPr>
        <w:t>被誉为“</w:t>
      </w:r>
      <w:r>
        <w:rPr>
          <w:rFonts w:hint="default" w:ascii="Times New Roman" w:hAnsi="Times New Roman" w:eastAsia="宋体" w:cs="Times New Roman"/>
          <w:kern w:val="0"/>
          <w:sz w:val="24"/>
        </w:rPr>
        <w:t>大别山区的天然物种基因库</w:t>
      </w:r>
      <w:r>
        <w:rPr>
          <w:rFonts w:hint="eastAsia" w:ascii="Times New Roman" w:hAnsi="Times New Roman" w:eastAsia="宋体" w:cs="Times New Roman"/>
          <w:kern w:val="0"/>
          <w:sz w:val="24"/>
          <w:lang w:eastAsia="zh-CN"/>
        </w:rPr>
        <w:t>”</w:t>
      </w:r>
      <w:r>
        <w:rPr>
          <w:rFonts w:hint="default" w:ascii="Times New Roman" w:hAnsi="Times New Roman" w:eastAsia="宋体" w:cs="Times New Roman"/>
          <w:kern w:val="0"/>
          <w:sz w:val="24"/>
        </w:rPr>
        <w:t>。本区还是淮河重要支流史河、淠河的发源地和下游梅山、响洪甸、磨子潭和佛子岭四大水库的水源涵养区。</w:t>
      </w:r>
    </w:p>
    <w:p w14:paraId="09EB7570">
      <w:pPr>
        <w:autoSpaceDE w:val="0"/>
        <w:autoSpaceDN w:val="0"/>
        <w:adjustRightInd w:val="0"/>
        <w:spacing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本区总体上植被覆盖率高，生态环境条件优越，生态系统保存完好，是北亚热带天然的生物多样性保存库。在良好的生态环境条件下，本区盛产茶叶、板栗、桑蚕、中草药、食用菌、山野菜以及松、竹、杉</w:t>
      </w:r>
      <w:r>
        <w:rPr>
          <w:rFonts w:hint="eastAsia" w:ascii="Times New Roman" w:hAnsi="Times New Roman" w:eastAsia="宋体" w:cs="Times New Roman"/>
          <w:kern w:val="0"/>
          <w:sz w:val="24"/>
          <w:lang w:eastAsia="zh-CN"/>
        </w:rPr>
        <w:t>等</w:t>
      </w:r>
      <w:r>
        <w:rPr>
          <w:rFonts w:hint="default" w:ascii="Times New Roman" w:hAnsi="Times New Roman" w:eastAsia="宋体" w:cs="Times New Roman"/>
          <w:kern w:val="0"/>
          <w:sz w:val="24"/>
        </w:rPr>
        <w:t>优质农林产品。</w:t>
      </w:r>
    </w:p>
    <w:p w14:paraId="0A0397FE">
      <w:pPr>
        <w:autoSpaceDE w:val="0"/>
        <w:autoSpaceDN w:val="0"/>
        <w:adjustRightInd w:val="0"/>
        <w:spacing w:line="360" w:lineRule="auto"/>
        <w:ind w:firstLine="480" w:firstLineChars="200"/>
        <w:rPr>
          <w:rFonts w:hint="default" w:ascii="Times New Roman" w:hAnsi="Times New Roman" w:eastAsia="宋体" w:cs="Times New Roman"/>
          <w:kern w:val="0"/>
          <w:sz w:val="24"/>
          <w:lang w:eastAsia="zh-CN"/>
        </w:rPr>
      </w:pPr>
      <w:r>
        <w:rPr>
          <w:rFonts w:hint="default" w:ascii="Times New Roman" w:hAnsi="Times New Roman" w:eastAsia="宋体" w:cs="Times New Roman"/>
          <w:kern w:val="0"/>
          <w:sz w:val="24"/>
        </w:rPr>
        <w:t>但本区也存在着以下生态环境问题</w:t>
      </w:r>
      <w:r>
        <w:rPr>
          <w:rFonts w:hint="default" w:ascii="Times New Roman" w:hAnsi="Times New Roman" w:eastAsia="宋体" w:cs="Times New Roman"/>
          <w:kern w:val="0"/>
          <w:sz w:val="24"/>
          <w:lang w:eastAsia="zh-CN"/>
        </w:rPr>
        <w:t>：</w:t>
      </w:r>
    </w:p>
    <w:p w14:paraId="7965FE2D">
      <w:pPr>
        <w:numPr>
          <w:ilvl w:val="0"/>
          <w:numId w:val="4"/>
        </w:numPr>
        <w:autoSpaceDE w:val="0"/>
        <w:autoSpaceDN w:val="0"/>
        <w:adjustRightInd w:val="0"/>
        <w:spacing w:line="360" w:lineRule="auto"/>
        <w:ind w:firstLine="480" w:firstLineChars="200"/>
        <w:rPr>
          <w:rFonts w:hint="default" w:ascii="Times New Roman" w:hAnsi="Times New Roman" w:eastAsia="宋体" w:cs="Times New Roman"/>
          <w:kern w:val="0"/>
          <w:sz w:val="24"/>
          <w:lang w:eastAsia="zh-CN"/>
        </w:rPr>
      </w:pPr>
      <w:r>
        <w:rPr>
          <w:rFonts w:hint="default" w:ascii="Times New Roman" w:hAnsi="Times New Roman" w:eastAsia="宋体" w:cs="Times New Roman"/>
          <w:kern w:val="0"/>
          <w:sz w:val="24"/>
        </w:rPr>
        <w:t>由于人为活动频繁，区内水土流失问题较为突出，直接影响到水库的使用寿命和下游的生态安全</w:t>
      </w:r>
      <w:r>
        <w:rPr>
          <w:rFonts w:hint="default" w:ascii="Times New Roman" w:hAnsi="Times New Roman" w:eastAsia="宋体" w:cs="Times New Roman"/>
          <w:kern w:val="0"/>
          <w:sz w:val="24"/>
          <w:lang w:eastAsia="zh-CN"/>
        </w:rPr>
        <w:t>；</w:t>
      </w:r>
    </w:p>
    <w:p w14:paraId="17D0CC79">
      <w:pPr>
        <w:numPr>
          <w:ilvl w:val="0"/>
          <w:numId w:val="4"/>
        </w:numPr>
        <w:autoSpaceDE w:val="0"/>
        <w:autoSpaceDN w:val="0"/>
        <w:adjustRightInd w:val="0"/>
        <w:spacing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区内人多地少，交通不便，出于生态保护的需要，为下游</w:t>
      </w:r>
      <w:r>
        <w:rPr>
          <w:rFonts w:hint="eastAsia" w:ascii="Times New Roman" w:hAnsi="Times New Roman" w:eastAsia="宋体" w:cs="Times New Roman"/>
          <w:kern w:val="0"/>
          <w:sz w:val="24"/>
          <w:lang w:eastAsia="zh-CN"/>
        </w:rPr>
        <w:t>做出</w:t>
      </w:r>
      <w:r>
        <w:rPr>
          <w:rFonts w:hint="default" w:ascii="Times New Roman" w:hAnsi="Times New Roman" w:eastAsia="宋体" w:cs="Times New Roman"/>
          <w:kern w:val="0"/>
          <w:sz w:val="24"/>
        </w:rPr>
        <w:t>了较大的经济上的牺牲，目前仍然是贫困地区，人民生活水平不高，区域经济状况整体不发达</w:t>
      </w:r>
      <w:r>
        <w:rPr>
          <w:rFonts w:hint="default" w:ascii="Times New Roman" w:hAnsi="Times New Roman" w:eastAsia="宋体" w:cs="Times New Roman"/>
          <w:kern w:val="0"/>
          <w:sz w:val="24"/>
          <w:lang w:eastAsia="zh-CN"/>
        </w:rPr>
        <w:t>；</w:t>
      </w:r>
    </w:p>
    <w:p w14:paraId="3802198D">
      <w:pPr>
        <w:numPr>
          <w:ilvl w:val="0"/>
          <w:numId w:val="4"/>
        </w:numPr>
        <w:autoSpaceDE w:val="0"/>
        <w:autoSpaceDN w:val="0"/>
        <w:adjustRightInd w:val="0"/>
        <w:spacing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水能资源丰富，开发不够</w:t>
      </w:r>
      <w:r>
        <w:rPr>
          <w:rFonts w:hint="default" w:ascii="Times New Roman" w:hAnsi="Times New Roman" w:eastAsia="宋体" w:cs="Times New Roman"/>
          <w:kern w:val="0"/>
          <w:sz w:val="24"/>
          <w:lang w:eastAsia="zh-CN"/>
        </w:rPr>
        <w:t>；</w:t>
      </w:r>
    </w:p>
    <w:p w14:paraId="564795BE">
      <w:pPr>
        <w:numPr>
          <w:ilvl w:val="0"/>
          <w:numId w:val="4"/>
        </w:numPr>
        <w:autoSpaceDE w:val="0"/>
        <w:autoSpaceDN w:val="0"/>
        <w:adjustRightInd w:val="0"/>
        <w:spacing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部分地区基础设施建设时的保护</w:t>
      </w:r>
      <w:r>
        <w:rPr>
          <w:rFonts w:hint="eastAsia" w:ascii="Times New Roman" w:hAnsi="Times New Roman" w:eastAsia="宋体" w:cs="Times New Roman"/>
          <w:kern w:val="0"/>
          <w:sz w:val="24"/>
          <w:lang w:eastAsia="zh-CN"/>
        </w:rPr>
        <w:t>措施不力</w:t>
      </w:r>
      <w:r>
        <w:rPr>
          <w:rFonts w:hint="default" w:ascii="Times New Roman" w:hAnsi="Times New Roman" w:eastAsia="宋体" w:cs="Times New Roman"/>
          <w:kern w:val="0"/>
          <w:sz w:val="24"/>
        </w:rPr>
        <w:t>，造成了崩塌、滑坡等地质灾害频发。</w:t>
      </w:r>
    </w:p>
    <w:p w14:paraId="3897A274">
      <w:pPr>
        <w:autoSpaceDE w:val="0"/>
        <w:autoSpaceDN w:val="0"/>
        <w:adjustRightInd w:val="0"/>
        <w:spacing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本生态功能区在生物多样性保护、水源涵养、水土流失控制生态系统服务功能方面具有非常重要的地位，是安徽省生态系统保护的热点地区之一。因此，本功能区的发展应以保护区域生态系统服务功能为中心，利用当地丰富的自然资源，结合区内的生态示范区建设，发展生态型经济，茶叶、板栗、食用菌、毛竹、中药材、桑蚕以及</w:t>
      </w:r>
      <w:r>
        <w:rPr>
          <w:rFonts w:hint="eastAsia" w:ascii="Times New Roman" w:hAnsi="Times New Roman" w:eastAsia="宋体" w:cs="Times New Roman"/>
          <w:kern w:val="0"/>
          <w:sz w:val="24"/>
          <w:lang w:eastAsia="zh-CN"/>
        </w:rPr>
        <w:t>水源</w:t>
      </w:r>
      <w:r>
        <w:rPr>
          <w:rFonts w:hint="default" w:ascii="Times New Roman" w:hAnsi="Times New Roman" w:eastAsia="宋体" w:cs="Times New Roman"/>
          <w:kern w:val="0"/>
          <w:sz w:val="24"/>
        </w:rPr>
        <w:t>和生态旅游等经济活动均需要严格按照生态示范区规划的要求去发展。</w:t>
      </w:r>
    </w:p>
    <w:p w14:paraId="27BCD881">
      <w:pPr>
        <w:autoSpaceDE w:val="0"/>
        <w:autoSpaceDN w:val="0"/>
        <w:adjustRightInd w:val="0"/>
        <w:spacing w:line="360" w:lineRule="auto"/>
        <w:jc w:val="center"/>
        <w:rPr>
          <w:rFonts w:hint="default" w:ascii="Times New Roman" w:hAnsi="Times New Roman" w:eastAsia="宋体" w:cs="Times New Roman"/>
          <w:kern w:val="0"/>
          <w:szCs w:val="21"/>
        </w:rPr>
      </w:pPr>
      <w:r>
        <w:rPr>
          <w:rFonts w:hint="default" w:ascii="Times New Roman" w:hAnsi="Times New Roman" w:eastAsia="宋体" w:cs="Times New Roman"/>
          <w:b/>
          <w:bCs/>
          <w:szCs w:val="21"/>
        </w:rPr>
        <mc:AlternateContent>
          <mc:Choice Requires="wps">
            <w:drawing>
              <wp:anchor distT="0" distB="0" distL="114300" distR="114300" simplePos="0" relativeHeight="251665408" behindDoc="0" locked="0" layoutInCell="1" allowOverlap="1">
                <wp:simplePos x="0" y="0"/>
                <wp:positionH relativeFrom="column">
                  <wp:posOffset>55245</wp:posOffset>
                </wp:positionH>
                <wp:positionV relativeFrom="paragraph">
                  <wp:posOffset>3202940</wp:posOffset>
                </wp:positionV>
                <wp:extent cx="895350" cy="258445"/>
                <wp:effectExtent l="12700" t="12700" r="120650" b="719455"/>
                <wp:wrapNone/>
                <wp:docPr id="86" name="对话气泡: 矩形 49"/>
                <wp:cNvGraphicFramePr/>
                <a:graphic xmlns:a="http://schemas.openxmlformats.org/drawingml/2006/main">
                  <a:graphicData uri="http://schemas.microsoft.com/office/word/2010/wordprocessingShape">
                    <wps:wsp>
                      <wps:cNvSpPr/>
                      <wps:spPr>
                        <a:xfrm>
                          <a:off x="0" y="0"/>
                          <a:ext cx="895350" cy="258445"/>
                        </a:xfrm>
                        <a:prstGeom prst="wedgeRectCallout">
                          <a:avLst>
                            <a:gd name="adj1" fmla="val 60660"/>
                            <a:gd name="adj2" fmla="val 318550"/>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216FB6">
                            <w:pPr>
                              <w:jc w:val="center"/>
                              <w:rPr>
                                <w:color w:val="FF0000"/>
                                <w:sz w:val="18"/>
                                <w:szCs w:val="18"/>
                                <w14:shadow w14:blurRad="38100" w14:dist="19050" w14:dir="2700000" w14:sx="100000" w14:sy="100000" w14:kx="0" w14:ky="0" w14:algn="tl">
                                  <w14:schemeClr w14:val="dk1">
                                    <w14:alpha w14:val="60000"/>
                                  </w14:schemeClr>
                                </w14:shadow>
                              </w:rPr>
                            </w:pPr>
                            <w:r>
                              <w:rPr>
                                <w:rFonts w:hint="eastAsia"/>
                                <w:color w:val="FF0000"/>
                                <w:sz w:val="18"/>
                                <w:szCs w:val="18"/>
                                <w14:shadow w14:blurRad="38100" w14:dist="19050" w14:dir="2700000" w14:sx="100000" w14:sy="100000" w14:kx="0" w14:ky="0" w14:algn="tl">
                                  <w14:schemeClr w14:val="dk1">
                                    <w14:alpha w14:val="60000"/>
                                  </w14:schemeClr>
                                </w14:shadow>
                              </w:rPr>
                              <w:t>项目地理位置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49" o:spid="_x0000_s1026" o:spt="61" type="#_x0000_t61" style="position:absolute;left:0pt;margin-left:4.35pt;margin-top:252.2pt;height:20.35pt;width:70.5pt;z-index:251665408;v-text-anchor:middle;mso-width-relative:page;mso-height-relative:page;" fillcolor="#FFFFFF [3212]" filled="t" stroked="t" coordsize="21600,21600" o:gfxdata="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qcz62dgAAAAJAQAADwAAAAAAAAABACAAAAAiAAAAZHJzL2Rv&#10;d25yZXYueG1sUEsBAhQAFAAAAAgAh07iQAcrXAasAgAAVQUAAA4AAAAAAAAAAQAgAAAAJwEAAGRy&#10;cy9lMm9Eb2MueG1sUEsFBgAAAAAGAAYAWQEAAEUGAAAAAA==&#10;" adj="23903,79607">
                <v:fill on="t" focussize="0,0"/>
                <v:stroke weight="2pt" color="#FF0000 [3204]" joinstyle="round"/>
                <v:imagedata o:title=""/>
                <o:lock v:ext="edit" aspectratio="f"/>
                <v:textbox>
                  <w:txbxContent>
                    <w:p w14:paraId="3B216FB6">
                      <w:pPr>
                        <w:jc w:val="center"/>
                        <w:rPr>
                          <w:color w:val="FF0000"/>
                          <w:sz w:val="18"/>
                          <w:szCs w:val="18"/>
                          <w14:shadow w14:blurRad="38100" w14:dist="19050" w14:dir="2700000" w14:sx="100000" w14:sy="100000" w14:kx="0" w14:ky="0" w14:algn="tl">
                            <w14:schemeClr w14:val="dk1">
                              <w14:alpha w14:val="60000"/>
                            </w14:schemeClr>
                          </w14:shadow>
                        </w:rPr>
                      </w:pPr>
                      <w:r>
                        <w:rPr>
                          <w:rFonts w:hint="eastAsia"/>
                          <w:color w:val="FF0000"/>
                          <w:sz w:val="18"/>
                          <w:szCs w:val="18"/>
                          <w14:shadow w14:blurRad="38100" w14:dist="19050" w14:dir="2700000" w14:sx="100000" w14:sy="100000" w14:kx="0" w14:ky="0" w14:algn="tl">
                            <w14:schemeClr w14:val="dk1">
                              <w14:alpha w14:val="60000"/>
                            </w14:schemeClr>
                          </w14:shadow>
                        </w:rPr>
                        <w:t>项目地理位置</w:t>
                      </w:r>
                    </w:p>
                  </w:txbxContent>
                </v:textbox>
              </v:shape>
            </w:pict>
          </mc:Fallback>
        </mc:AlternateContent>
      </w:r>
      <w:r>
        <w:rPr>
          <w:rFonts w:hint="default" w:ascii="Times New Roman" w:hAnsi="Times New Roman" w:eastAsia="宋体" w:cs="Times New Roman"/>
          <w:b/>
          <w:bCs/>
          <w:kern w:val="0"/>
          <w:szCs w:val="21"/>
        </w:rPr>
        <w:drawing>
          <wp:inline distT="0" distB="0" distL="0" distR="0">
            <wp:extent cx="5368925" cy="7550150"/>
            <wp:effectExtent l="9525" t="9525" r="12700" b="2222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67" cstate="print">
                      <a:extLst>
                        <a:ext uri="{28A0092B-C50C-407E-A947-70E740481C1C}">
                          <a14:useLocalDpi xmlns:a14="http://schemas.microsoft.com/office/drawing/2010/main" val="0"/>
                        </a:ext>
                      </a:extLst>
                    </a:blip>
                    <a:srcRect l="1653" t="2664" r="2378" b="1944"/>
                    <a:stretch>
                      <a:fillRect/>
                    </a:stretch>
                  </pic:blipFill>
                  <pic:spPr>
                    <a:xfrm>
                      <a:off x="0" y="0"/>
                      <a:ext cx="5368925" cy="7550150"/>
                    </a:xfrm>
                    <a:prstGeom prst="rect">
                      <a:avLst/>
                    </a:prstGeom>
                    <a:ln>
                      <a:solidFill>
                        <a:schemeClr val="tx1"/>
                      </a:solidFill>
                    </a:ln>
                  </pic:spPr>
                </pic:pic>
              </a:graphicData>
            </a:graphic>
          </wp:inline>
        </w:drawing>
      </w:r>
    </w:p>
    <w:p w14:paraId="55F55B48">
      <w:pPr>
        <w:autoSpaceDE w:val="0"/>
        <w:autoSpaceDN w:val="0"/>
        <w:adjustRightInd w:val="0"/>
        <w:spacing w:line="360" w:lineRule="auto"/>
        <w:jc w:val="center"/>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rPr>
        <w:t>图3-</w:t>
      </w:r>
      <w:r>
        <w:rPr>
          <w:rFonts w:hint="default" w:ascii="Times New Roman" w:hAnsi="Times New Roman" w:eastAsia="宋体" w:cs="Times New Roman"/>
          <w:b/>
          <w:bCs/>
          <w:kern w:val="0"/>
          <w:sz w:val="24"/>
          <w:szCs w:val="24"/>
          <w:lang w:val="en-US" w:eastAsia="zh-CN"/>
        </w:rPr>
        <w:t>1</w:t>
      </w:r>
      <w:r>
        <w:rPr>
          <w:rFonts w:hint="default" w:ascii="Times New Roman" w:hAnsi="Times New Roman" w:eastAsia="宋体" w:cs="Times New Roman"/>
          <w:b/>
          <w:bCs/>
          <w:kern w:val="0"/>
          <w:sz w:val="24"/>
          <w:szCs w:val="24"/>
        </w:rPr>
        <w:t xml:space="preserve">  </w:t>
      </w:r>
      <w:r>
        <w:rPr>
          <w:rFonts w:hint="default" w:ascii="Times New Roman" w:hAnsi="Times New Roman" w:eastAsia="宋体" w:cs="Times New Roman"/>
          <w:b/>
          <w:bCs/>
          <w:kern w:val="0"/>
          <w:sz w:val="24"/>
          <w:szCs w:val="24"/>
          <w:lang w:val="en-US" w:eastAsia="zh-CN"/>
        </w:rPr>
        <w:t>项目与</w:t>
      </w:r>
      <w:r>
        <w:rPr>
          <w:rFonts w:hint="default" w:ascii="Times New Roman" w:hAnsi="Times New Roman" w:eastAsia="宋体" w:cs="Times New Roman"/>
          <w:b/>
          <w:bCs/>
          <w:kern w:val="0"/>
          <w:sz w:val="24"/>
          <w:szCs w:val="24"/>
        </w:rPr>
        <w:t>安徽省生态功能区划图</w:t>
      </w:r>
      <w:r>
        <w:rPr>
          <w:rFonts w:hint="default" w:ascii="Times New Roman" w:hAnsi="Times New Roman" w:eastAsia="宋体" w:cs="Times New Roman"/>
          <w:b/>
          <w:bCs/>
          <w:kern w:val="0"/>
          <w:sz w:val="24"/>
          <w:szCs w:val="24"/>
          <w:lang w:val="en-US" w:eastAsia="zh-CN"/>
        </w:rPr>
        <w:t>位置关系图</w:t>
      </w:r>
    </w:p>
    <w:p w14:paraId="6F6594E2">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p>
    <w:p w14:paraId="37127DAD">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p>
    <w:p w14:paraId="42379ED2">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626" w:name="_Toc107514157"/>
      <w:bookmarkStart w:id="627" w:name="_Toc70713594"/>
      <w:bookmarkStart w:id="628" w:name="_Toc29270"/>
      <w:bookmarkStart w:id="629" w:name="_Toc8133"/>
      <w:bookmarkStart w:id="630" w:name="_Toc24939"/>
      <w:bookmarkStart w:id="631" w:name="_Toc28382"/>
      <w:bookmarkStart w:id="632" w:name="_Toc2120"/>
      <w:bookmarkStart w:id="633" w:name="_Toc17931"/>
      <w:bookmarkStart w:id="634" w:name="_Toc17488"/>
      <w:bookmarkStart w:id="635" w:name="_Toc18631"/>
      <w:r>
        <w:rPr>
          <w:rFonts w:hint="default" w:ascii="Times New Roman" w:hAnsi="Times New Roman" w:eastAsia="宋体" w:cs="Times New Roman"/>
          <w:sz w:val="28"/>
          <w:szCs w:val="28"/>
          <w:lang w:val="en-US" w:eastAsia="zh-CN"/>
        </w:rPr>
        <w:t>3.</w:t>
      </w:r>
      <w:bookmarkEnd w:id="626"/>
      <w:bookmarkEnd w:id="627"/>
      <w:r>
        <w:rPr>
          <w:rFonts w:hint="default" w:ascii="Times New Roman" w:hAnsi="Times New Roman" w:eastAsia="宋体" w:cs="Times New Roman"/>
          <w:sz w:val="28"/>
          <w:szCs w:val="28"/>
          <w:lang w:val="en-US" w:eastAsia="zh-CN"/>
        </w:rPr>
        <w:t>2景观/生态系统现状与评价</w:t>
      </w:r>
      <w:bookmarkEnd w:id="628"/>
      <w:bookmarkEnd w:id="629"/>
      <w:bookmarkEnd w:id="630"/>
      <w:bookmarkEnd w:id="631"/>
      <w:bookmarkEnd w:id="632"/>
      <w:bookmarkEnd w:id="633"/>
      <w:bookmarkEnd w:id="634"/>
      <w:bookmarkEnd w:id="635"/>
    </w:p>
    <w:p w14:paraId="5C162401">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结合遥感影像与实地调查结果，对影响评价区内土地利用现状的分析，并根据《全国生态状况调查评估技术规范—生态系统遥感解译与野外核查》（HJ 1166—2021）的分类标准，将评价区的生态系统类型划分为森林生态系统、</w:t>
      </w:r>
      <w:r>
        <w:rPr>
          <w:rFonts w:hint="eastAsia" w:ascii="Times New Roman" w:hAnsi="Times New Roman" w:eastAsia="宋体" w:cs="Times New Roman"/>
          <w:lang w:val="en-US" w:eastAsia="zh-CN"/>
        </w:rPr>
        <w:t>灌丛生态系统、湿地生态系统</w:t>
      </w:r>
      <w:r>
        <w:rPr>
          <w:rFonts w:hint="default" w:ascii="Times New Roman" w:hAnsi="Times New Roman" w:eastAsia="宋体" w:cs="Times New Roman"/>
          <w:lang w:val="en-US" w:eastAsia="zh-CN"/>
        </w:rPr>
        <w:t>、农田生态系统和城镇生态系统，其中森林生态系统所占面积最大，具体见下表所示。</w:t>
      </w:r>
    </w:p>
    <w:p w14:paraId="61C6928C">
      <w:pPr>
        <w:pStyle w:val="25"/>
        <w:adjustRightInd w:val="0"/>
        <w:snapToGrid w:val="0"/>
        <w:spacing w:after="0" w:line="240" w:lineRule="auto"/>
        <w:ind w:left="0" w:leftChars="0" w:firstLine="422" w:firstLineChars="200"/>
        <w:jc w:val="center"/>
        <w:rPr>
          <w:rFonts w:hint="default" w:ascii="Times New Roman" w:hAnsi="Times New Roman" w:eastAsia="宋体" w:cs="Times New Roman"/>
          <w:b/>
          <w:bCs/>
          <w:sz w:val="21"/>
          <w:szCs w:val="18"/>
          <w:highlight w:val="none"/>
          <w:lang w:val="en-US" w:eastAsia="zh-CN"/>
        </w:rPr>
      </w:pPr>
      <w:r>
        <w:rPr>
          <w:rFonts w:hint="default" w:ascii="Times New Roman" w:hAnsi="Times New Roman" w:eastAsia="宋体" w:cs="Times New Roman"/>
          <w:b/>
          <w:bCs/>
          <w:sz w:val="21"/>
          <w:szCs w:val="18"/>
          <w:highlight w:val="none"/>
        </w:rPr>
        <w:t>表</w:t>
      </w:r>
      <w:r>
        <w:rPr>
          <w:rFonts w:hint="default" w:ascii="Times New Roman" w:hAnsi="Times New Roman" w:eastAsia="宋体" w:cs="Times New Roman"/>
          <w:b/>
          <w:bCs/>
          <w:sz w:val="21"/>
          <w:szCs w:val="18"/>
          <w:highlight w:val="none"/>
          <w:lang w:val="en-US" w:eastAsia="zh-CN"/>
        </w:rPr>
        <w:t>3-</w:t>
      </w:r>
      <w:r>
        <w:rPr>
          <w:rFonts w:hint="eastAsia" w:eastAsia="宋体" w:cs="Times New Roman"/>
          <w:b/>
          <w:bCs/>
          <w:sz w:val="21"/>
          <w:szCs w:val="18"/>
          <w:highlight w:val="none"/>
          <w:lang w:val="en-US" w:eastAsia="zh-CN"/>
        </w:rPr>
        <w:t>1</w:t>
      </w:r>
      <w:r>
        <w:rPr>
          <w:rFonts w:hint="default" w:ascii="Times New Roman" w:hAnsi="Times New Roman" w:eastAsia="宋体" w:cs="Times New Roman"/>
          <w:b/>
          <w:bCs/>
          <w:sz w:val="21"/>
          <w:szCs w:val="18"/>
          <w:highlight w:val="none"/>
          <w:lang w:val="en-US" w:eastAsia="zh-CN"/>
        </w:rPr>
        <w:t xml:space="preserve"> </w:t>
      </w:r>
      <w:r>
        <w:rPr>
          <w:rFonts w:hint="default" w:ascii="Times New Roman" w:hAnsi="Times New Roman" w:eastAsia="宋体" w:cs="Times New Roman"/>
          <w:b/>
          <w:bCs/>
          <w:sz w:val="21"/>
          <w:szCs w:val="18"/>
          <w:highlight w:val="none"/>
        </w:rPr>
        <w:t xml:space="preserve"> </w:t>
      </w:r>
      <w:r>
        <w:rPr>
          <w:rFonts w:hint="default" w:ascii="Times New Roman" w:hAnsi="Times New Roman" w:eastAsia="宋体" w:cs="Times New Roman"/>
          <w:b/>
          <w:bCs/>
          <w:sz w:val="21"/>
          <w:szCs w:val="18"/>
          <w:highlight w:val="none"/>
          <w:lang w:val="en-US" w:eastAsia="zh-CN"/>
        </w:rPr>
        <w:t>各类生态系统现状及分布</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7"/>
        <w:gridCol w:w="4032"/>
        <w:gridCol w:w="2943"/>
      </w:tblGrid>
      <w:tr w14:paraId="3BD52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547" w:type="dxa"/>
            <w:vAlign w:val="center"/>
          </w:tcPr>
          <w:p w14:paraId="65D51591">
            <w:pPr>
              <w:keepNext w:val="0"/>
              <w:keepLines w:val="0"/>
              <w:widowControl/>
              <w:suppressLineNumbers w:val="0"/>
              <w:spacing w:line="240" w:lineRule="auto"/>
              <w:jc w:val="center"/>
              <w:textAlignment w:val="bottom"/>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sz w:val="21"/>
                <w:szCs w:val="21"/>
                <w:highlight w:val="none"/>
                <w:vertAlign w:val="baseline"/>
                <w:lang w:val="en-US" w:eastAsia="zh-CN"/>
              </w:rPr>
              <w:t>生态系统类型</w:t>
            </w:r>
          </w:p>
        </w:tc>
        <w:tc>
          <w:tcPr>
            <w:tcW w:w="4032" w:type="dxa"/>
            <w:vAlign w:val="center"/>
          </w:tcPr>
          <w:p w14:paraId="19DC2E13">
            <w:pPr>
              <w:pStyle w:val="25"/>
              <w:adjustRightInd w:val="0"/>
              <w:snapToGrid w:val="0"/>
              <w:spacing w:after="0" w:line="240" w:lineRule="auto"/>
              <w:ind w:left="0" w:leftChars="0" w:firstLine="0" w:firstLineChars="0"/>
              <w:jc w:val="center"/>
              <w:rPr>
                <w:rFonts w:hint="default" w:ascii="Times New Roman" w:hAnsi="Times New Roman" w:eastAsia="宋体" w:cs="Times New Roman"/>
                <w:b/>
                <w:bCs/>
                <w:color w:val="FF000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现场照片</w:t>
            </w:r>
          </w:p>
        </w:tc>
        <w:tc>
          <w:tcPr>
            <w:tcW w:w="2943" w:type="dxa"/>
            <w:vAlign w:val="center"/>
          </w:tcPr>
          <w:p w14:paraId="5A0AD96E">
            <w:pPr>
              <w:pStyle w:val="25"/>
              <w:adjustRightInd w:val="0"/>
              <w:snapToGrid w:val="0"/>
              <w:spacing w:after="0" w:line="240" w:lineRule="auto"/>
              <w:ind w:left="0" w:leftChars="0" w:firstLine="0" w:firstLineChars="0"/>
              <w:jc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sz w:val="21"/>
                <w:szCs w:val="21"/>
                <w:highlight w:val="none"/>
                <w:vertAlign w:val="baseline"/>
                <w:lang w:val="en-US" w:eastAsia="zh-CN"/>
              </w:rPr>
              <w:t>分布特征</w:t>
            </w:r>
          </w:p>
        </w:tc>
      </w:tr>
      <w:tr w14:paraId="41210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4" w:hRule="atLeast"/>
          <w:jc w:val="center"/>
        </w:trPr>
        <w:tc>
          <w:tcPr>
            <w:tcW w:w="1547" w:type="dxa"/>
            <w:vAlign w:val="center"/>
          </w:tcPr>
          <w:p w14:paraId="4AC9EAF6">
            <w:pPr>
              <w:keepNext w:val="0"/>
              <w:keepLines w:val="0"/>
              <w:widowControl/>
              <w:suppressLineNumbers w:val="0"/>
              <w:spacing w:line="240" w:lineRule="auto"/>
              <w:jc w:val="center"/>
              <w:textAlignment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sz w:val="21"/>
                <w:szCs w:val="21"/>
                <w:lang w:val="en-US" w:eastAsia="zh-CN"/>
              </w:rPr>
              <w:t>森林生态系统</w:t>
            </w:r>
          </w:p>
        </w:tc>
        <w:tc>
          <w:tcPr>
            <w:tcW w:w="4032" w:type="dxa"/>
            <w:vAlign w:val="center"/>
          </w:tcPr>
          <w:p w14:paraId="7ECCF13C">
            <w:pPr>
              <w:pStyle w:val="25"/>
              <w:keepNext w:val="0"/>
              <w:keepLines w:val="0"/>
              <w:pageBreakBefore w:val="0"/>
              <w:widowControl w:val="0"/>
              <w:kinsoku/>
              <w:wordWrap/>
              <w:overflowPunct/>
              <w:topLinePunct w:val="0"/>
              <w:autoSpaceDE/>
              <w:autoSpaceDN/>
              <w:bidi w:val="0"/>
              <w:adjustRightInd w:val="0"/>
              <w:snapToGrid w:val="0"/>
              <w:spacing w:before="63" w:beforeLines="20" w:after="63" w:afterLines="20" w:line="240" w:lineRule="auto"/>
              <w:ind w:left="0" w:leftChars="0" w:firstLine="0" w:firstLineChars="0"/>
              <w:jc w:val="center"/>
              <w:textAlignment w:val="auto"/>
              <w:rPr>
                <w:rFonts w:hint="default" w:ascii="Times New Roman" w:hAnsi="Times New Roman" w:eastAsia="宋体" w:cs="Times New Roman"/>
                <w:b w:val="0"/>
                <w:bCs w:val="0"/>
                <w:color w:val="FF0000"/>
                <w:sz w:val="21"/>
                <w:szCs w:val="21"/>
                <w:highlight w:val="none"/>
                <w:vertAlign w:val="baseline"/>
                <w:lang w:val="en-US" w:eastAsia="zh-CN"/>
              </w:rPr>
            </w:pPr>
            <w:r>
              <w:rPr>
                <w:rFonts w:hint="default" w:ascii="Times New Roman" w:hAnsi="Times New Roman" w:eastAsia="宋体" w:cs="Times New Roman"/>
                <w:b w:val="0"/>
                <w:bCs w:val="0"/>
                <w:color w:val="FF0000"/>
                <w:sz w:val="21"/>
                <w:szCs w:val="21"/>
                <w:highlight w:val="none"/>
                <w:vertAlign w:val="baseline"/>
                <w:lang w:val="en-US" w:eastAsia="zh-CN"/>
              </w:rPr>
              <w:drawing>
                <wp:inline distT="0" distB="0" distL="114300" distR="114300">
                  <wp:extent cx="2387600" cy="1790700"/>
                  <wp:effectExtent l="0" t="0" r="12700" b="0"/>
                  <wp:docPr id="13" name="图片 13" descr="IMG_20240303_10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40303_104118"/>
                          <pic:cNvPicPr>
                            <a:picLocks noChangeAspect="1"/>
                          </pic:cNvPicPr>
                        </pic:nvPicPr>
                        <pic:blipFill>
                          <a:blip r:embed="rId68"/>
                          <a:stretch>
                            <a:fillRect/>
                          </a:stretch>
                        </pic:blipFill>
                        <pic:spPr>
                          <a:xfrm>
                            <a:off x="0" y="0"/>
                            <a:ext cx="2387600" cy="1790700"/>
                          </a:xfrm>
                          <a:prstGeom prst="rect">
                            <a:avLst/>
                          </a:prstGeom>
                        </pic:spPr>
                      </pic:pic>
                    </a:graphicData>
                  </a:graphic>
                </wp:inline>
              </w:drawing>
            </w:r>
          </w:p>
        </w:tc>
        <w:tc>
          <w:tcPr>
            <w:tcW w:w="2943" w:type="dxa"/>
            <w:vAlign w:val="center"/>
          </w:tcPr>
          <w:p w14:paraId="132917BC">
            <w:pPr>
              <w:keepNext w:val="0"/>
              <w:keepLines w:val="0"/>
              <w:widowControl/>
              <w:suppressLineNumbers w:val="0"/>
              <w:spacing w:line="240" w:lineRule="auto"/>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森林生态系统是区域分布最为普遍的类型，人为干扰较少，以枪栎、麻栎、毛栗等壳斗科植物为主、常绿针马尾松、湿地松林叶林为辅，野生动植物分布广。</w:t>
            </w:r>
          </w:p>
        </w:tc>
      </w:tr>
      <w:tr w14:paraId="59E26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4" w:hRule="atLeast"/>
          <w:jc w:val="center"/>
        </w:trPr>
        <w:tc>
          <w:tcPr>
            <w:tcW w:w="1547" w:type="dxa"/>
            <w:vAlign w:val="center"/>
          </w:tcPr>
          <w:p w14:paraId="7D63DF4B">
            <w:pPr>
              <w:keepNext w:val="0"/>
              <w:keepLines w:val="0"/>
              <w:widowControl/>
              <w:suppressLineNumbers w:val="0"/>
              <w:spacing w:line="240" w:lineRule="auto"/>
              <w:jc w:val="center"/>
              <w:textAlignment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灌丛生态系统</w:t>
            </w:r>
          </w:p>
        </w:tc>
        <w:tc>
          <w:tcPr>
            <w:tcW w:w="4032" w:type="dxa"/>
            <w:vAlign w:val="center"/>
          </w:tcPr>
          <w:p w14:paraId="767BF925">
            <w:pPr>
              <w:pStyle w:val="25"/>
              <w:keepNext w:val="0"/>
              <w:keepLines w:val="0"/>
              <w:pageBreakBefore w:val="0"/>
              <w:widowControl w:val="0"/>
              <w:kinsoku/>
              <w:wordWrap/>
              <w:overflowPunct/>
              <w:topLinePunct w:val="0"/>
              <w:autoSpaceDE/>
              <w:autoSpaceDN/>
              <w:bidi w:val="0"/>
              <w:adjustRightInd w:val="0"/>
              <w:snapToGrid w:val="0"/>
              <w:spacing w:before="63" w:beforeLines="20" w:after="63" w:afterLines="20" w:line="240" w:lineRule="auto"/>
              <w:ind w:left="0" w:leftChars="0" w:firstLine="0" w:firstLineChars="0"/>
              <w:jc w:val="center"/>
              <w:textAlignment w:val="auto"/>
              <w:rPr>
                <w:rFonts w:hint="default" w:ascii="Times New Roman" w:hAnsi="Times New Roman" w:eastAsia="宋体" w:cs="Times New Roman"/>
                <w:b w:val="0"/>
                <w:bCs w:val="0"/>
                <w:color w:val="FF0000"/>
                <w:sz w:val="21"/>
                <w:szCs w:val="21"/>
                <w:highlight w:val="none"/>
                <w:vertAlign w:val="baseline"/>
                <w:lang w:val="en-US" w:eastAsia="zh-CN"/>
              </w:rPr>
            </w:pPr>
            <w:r>
              <w:rPr>
                <w:rFonts w:hint="default" w:ascii="Times New Roman" w:hAnsi="Times New Roman" w:eastAsia="宋体" w:cs="Times New Roman"/>
                <w:b w:val="0"/>
                <w:bCs w:val="0"/>
                <w:color w:val="FF0000"/>
                <w:sz w:val="21"/>
                <w:szCs w:val="21"/>
                <w:highlight w:val="none"/>
                <w:vertAlign w:val="baseline"/>
                <w:lang w:val="en-US" w:eastAsia="zh-CN"/>
              </w:rPr>
              <w:drawing>
                <wp:inline distT="0" distB="0" distL="114300" distR="114300">
                  <wp:extent cx="2387600" cy="1790700"/>
                  <wp:effectExtent l="0" t="0" r="12700" b="0"/>
                  <wp:docPr id="50" name="图片 50" descr="IMG_20240303_11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20240303_112531"/>
                          <pic:cNvPicPr>
                            <a:picLocks noChangeAspect="1"/>
                          </pic:cNvPicPr>
                        </pic:nvPicPr>
                        <pic:blipFill>
                          <a:blip r:embed="rId69"/>
                          <a:stretch>
                            <a:fillRect/>
                          </a:stretch>
                        </pic:blipFill>
                        <pic:spPr>
                          <a:xfrm>
                            <a:off x="0" y="0"/>
                            <a:ext cx="2387600" cy="1790700"/>
                          </a:xfrm>
                          <a:prstGeom prst="rect">
                            <a:avLst/>
                          </a:prstGeom>
                        </pic:spPr>
                      </pic:pic>
                    </a:graphicData>
                  </a:graphic>
                </wp:inline>
              </w:drawing>
            </w:r>
          </w:p>
        </w:tc>
        <w:tc>
          <w:tcPr>
            <w:tcW w:w="2943" w:type="dxa"/>
            <w:vAlign w:val="center"/>
          </w:tcPr>
          <w:p w14:paraId="0DD92241">
            <w:pPr>
              <w:keepNext w:val="0"/>
              <w:keepLines w:val="0"/>
              <w:widowControl/>
              <w:suppressLineNumbers w:val="0"/>
              <w:spacing w:line="240" w:lineRule="auto"/>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常伴生在林地内及周边，评价范围内的灌丛生态系统主要是阔叶灌丛，包括盐肤木、绿叶胡枝子、</w:t>
            </w:r>
            <w:r>
              <w:rPr>
                <w:rFonts w:hint="eastAsia" w:ascii="Times New Roman" w:hAnsi="Times New Roman" w:eastAsia="宋体" w:cs="Times New Roman"/>
                <w:sz w:val="21"/>
                <w:szCs w:val="21"/>
                <w:lang w:val="en-US" w:eastAsia="zh-CN"/>
              </w:rPr>
              <w:t>山楂</w:t>
            </w:r>
            <w:r>
              <w:rPr>
                <w:rFonts w:hint="default" w:ascii="Times New Roman" w:hAnsi="Times New Roman" w:eastAsia="宋体" w:cs="Times New Roman"/>
                <w:sz w:val="21"/>
                <w:szCs w:val="21"/>
                <w:lang w:val="en-US" w:eastAsia="zh-CN"/>
              </w:rPr>
              <w:t>等混交灌丛。该区域内小型动物活动较多。</w:t>
            </w:r>
          </w:p>
        </w:tc>
      </w:tr>
      <w:tr w14:paraId="56A37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1547" w:type="dxa"/>
            <w:vAlign w:val="center"/>
          </w:tcPr>
          <w:p w14:paraId="0030661A">
            <w:pPr>
              <w:keepNext w:val="0"/>
              <w:keepLines w:val="0"/>
              <w:widowControl/>
              <w:suppressLineNumbers w:val="0"/>
              <w:spacing w:line="240" w:lineRule="auto"/>
              <w:jc w:val="center"/>
              <w:textAlignment w:val="center"/>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eastAsia="宋体" w:cs="Times New Roman"/>
                <w:sz w:val="21"/>
                <w:szCs w:val="21"/>
                <w:lang w:val="en-US" w:eastAsia="zh-CN"/>
              </w:rPr>
              <w:t>湿地生态系统</w:t>
            </w:r>
          </w:p>
        </w:tc>
        <w:tc>
          <w:tcPr>
            <w:tcW w:w="4032" w:type="dxa"/>
            <w:vAlign w:val="center"/>
          </w:tcPr>
          <w:p w14:paraId="63192268">
            <w:pPr>
              <w:pStyle w:val="25"/>
              <w:keepNext w:val="0"/>
              <w:keepLines w:val="0"/>
              <w:pageBreakBefore w:val="0"/>
              <w:widowControl w:val="0"/>
              <w:kinsoku/>
              <w:wordWrap/>
              <w:overflowPunct/>
              <w:topLinePunct w:val="0"/>
              <w:autoSpaceDE/>
              <w:autoSpaceDN/>
              <w:bidi w:val="0"/>
              <w:adjustRightInd w:val="0"/>
              <w:snapToGrid w:val="0"/>
              <w:spacing w:before="63" w:beforeLines="20" w:after="63" w:afterLines="20" w:line="240" w:lineRule="auto"/>
              <w:ind w:left="0" w:leftChars="0" w:firstLine="0" w:firstLineChars="0"/>
              <w:jc w:val="center"/>
              <w:textAlignment w:val="auto"/>
              <w:rPr>
                <w:rFonts w:hint="default" w:ascii="Times New Roman" w:hAnsi="Times New Roman" w:eastAsia="宋体" w:cs="Times New Roman"/>
                <w:b w:val="0"/>
                <w:bCs w:val="0"/>
                <w:color w:val="FF0000"/>
                <w:sz w:val="21"/>
                <w:szCs w:val="21"/>
                <w:highlight w:val="none"/>
                <w:vertAlign w:val="baseline"/>
                <w:lang w:val="en-US" w:eastAsia="zh-CN"/>
              </w:rPr>
            </w:pPr>
            <w:r>
              <w:rPr>
                <w:rFonts w:hint="default" w:ascii="Times New Roman" w:hAnsi="Times New Roman" w:eastAsia="宋体" w:cs="Times New Roman"/>
                <w:b w:val="0"/>
                <w:bCs w:val="0"/>
                <w:color w:val="FF0000"/>
                <w:sz w:val="21"/>
                <w:szCs w:val="21"/>
                <w:highlight w:val="none"/>
                <w:vertAlign w:val="baseline"/>
                <w:lang w:val="en-US" w:eastAsia="zh-CN"/>
              </w:rPr>
              <w:drawing>
                <wp:inline distT="0" distB="0" distL="114300" distR="114300">
                  <wp:extent cx="2387600" cy="1790700"/>
                  <wp:effectExtent l="0" t="0" r="12700" b="0"/>
                  <wp:docPr id="19" name="图片 19" descr="IMG_20240301_16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40301_162218"/>
                          <pic:cNvPicPr>
                            <a:picLocks noChangeAspect="1"/>
                          </pic:cNvPicPr>
                        </pic:nvPicPr>
                        <pic:blipFill>
                          <a:blip r:embed="rId70"/>
                          <a:stretch>
                            <a:fillRect/>
                          </a:stretch>
                        </pic:blipFill>
                        <pic:spPr>
                          <a:xfrm>
                            <a:off x="0" y="0"/>
                            <a:ext cx="2387600" cy="1790700"/>
                          </a:xfrm>
                          <a:prstGeom prst="rect">
                            <a:avLst/>
                          </a:prstGeom>
                        </pic:spPr>
                      </pic:pic>
                    </a:graphicData>
                  </a:graphic>
                </wp:inline>
              </w:drawing>
            </w:r>
          </w:p>
        </w:tc>
        <w:tc>
          <w:tcPr>
            <w:tcW w:w="2943" w:type="dxa"/>
            <w:vAlign w:val="center"/>
          </w:tcPr>
          <w:p w14:paraId="2767485D">
            <w:pPr>
              <w:keepNext w:val="0"/>
              <w:keepLines w:val="0"/>
              <w:widowControl/>
              <w:suppressLineNumbers w:val="0"/>
              <w:spacing w:line="240" w:lineRule="auto"/>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评价范围内湿地生态系统面积较小，呈带状或零星状分布，主要为山间溪流、沟渠、坑塘水面等，其底质多为卵石和岩石，几乎无浮水、沉水水生植物。</w:t>
            </w:r>
          </w:p>
        </w:tc>
      </w:tr>
      <w:tr w14:paraId="3BB74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1547" w:type="dxa"/>
            <w:vAlign w:val="center"/>
          </w:tcPr>
          <w:p w14:paraId="05447305">
            <w:pPr>
              <w:keepNext w:val="0"/>
              <w:keepLines w:val="0"/>
              <w:widowControl/>
              <w:suppressLineNumbers w:val="0"/>
              <w:spacing w:line="240" w:lineRule="auto"/>
              <w:jc w:val="center"/>
              <w:textAlignment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sz w:val="21"/>
                <w:szCs w:val="21"/>
                <w:lang w:val="en-US" w:eastAsia="zh-CN"/>
              </w:rPr>
              <w:t>农田生态系统</w:t>
            </w:r>
          </w:p>
        </w:tc>
        <w:tc>
          <w:tcPr>
            <w:tcW w:w="4032" w:type="dxa"/>
            <w:vAlign w:val="center"/>
          </w:tcPr>
          <w:p w14:paraId="546F5CF0">
            <w:pPr>
              <w:pStyle w:val="25"/>
              <w:keepNext w:val="0"/>
              <w:keepLines w:val="0"/>
              <w:pageBreakBefore w:val="0"/>
              <w:widowControl w:val="0"/>
              <w:kinsoku/>
              <w:wordWrap/>
              <w:overflowPunct/>
              <w:topLinePunct w:val="0"/>
              <w:autoSpaceDE/>
              <w:autoSpaceDN/>
              <w:bidi w:val="0"/>
              <w:adjustRightInd w:val="0"/>
              <w:snapToGrid w:val="0"/>
              <w:spacing w:before="63" w:beforeLines="20" w:after="63" w:afterLines="20" w:line="240" w:lineRule="auto"/>
              <w:ind w:left="0" w:leftChars="0" w:firstLine="0" w:firstLineChars="0"/>
              <w:jc w:val="center"/>
              <w:textAlignment w:val="auto"/>
              <w:rPr>
                <w:rFonts w:hint="default" w:ascii="Times New Roman" w:hAnsi="Times New Roman" w:eastAsia="宋体" w:cs="Times New Roman"/>
                <w:b w:val="0"/>
                <w:bCs w:val="0"/>
                <w:color w:val="FF0000"/>
                <w:sz w:val="21"/>
                <w:szCs w:val="21"/>
                <w:highlight w:val="none"/>
                <w:vertAlign w:val="baseline"/>
                <w:lang w:val="en-US" w:eastAsia="zh-CN"/>
              </w:rPr>
            </w:pPr>
            <w:r>
              <w:rPr>
                <w:rFonts w:hint="default" w:ascii="Times New Roman" w:hAnsi="Times New Roman" w:eastAsia="宋体" w:cs="Times New Roman"/>
                <w:b w:val="0"/>
                <w:bCs w:val="0"/>
                <w:color w:val="FF0000"/>
                <w:sz w:val="21"/>
                <w:szCs w:val="21"/>
                <w:highlight w:val="none"/>
                <w:vertAlign w:val="baseline"/>
                <w:lang w:val="en-US" w:eastAsia="zh-CN"/>
              </w:rPr>
              <w:drawing>
                <wp:inline distT="0" distB="0" distL="114300" distR="114300">
                  <wp:extent cx="2387600" cy="1790700"/>
                  <wp:effectExtent l="0" t="0" r="12700" b="0"/>
                  <wp:docPr id="20" name="图片 20" descr="IMG_20240301_18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40301_180840"/>
                          <pic:cNvPicPr>
                            <a:picLocks noChangeAspect="1"/>
                          </pic:cNvPicPr>
                        </pic:nvPicPr>
                        <pic:blipFill>
                          <a:blip r:embed="rId71"/>
                          <a:stretch>
                            <a:fillRect/>
                          </a:stretch>
                        </pic:blipFill>
                        <pic:spPr>
                          <a:xfrm>
                            <a:off x="0" y="0"/>
                            <a:ext cx="2387600" cy="1790700"/>
                          </a:xfrm>
                          <a:prstGeom prst="rect">
                            <a:avLst/>
                          </a:prstGeom>
                        </pic:spPr>
                      </pic:pic>
                    </a:graphicData>
                  </a:graphic>
                </wp:inline>
              </w:drawing>
            </w:r>
          </w:p>
        </w:tc>
        <w:tc>
          <w:tcPr>
            <w:tcW w:w="2943" w:type="dxa"/>
            <w:vAlign w:val="center"/>
          </w:tcPr>
          <w:p w14:paraId="760CA65C">
            <w:pPr>
              <w:keepNext w:val="0"/>
              <w:keepLines w:val="0"/>
              <w:widowControl/>
              <w:suppressLineNumbers w:val="0"/>
              <w:spacing w:line="240" w:lineRule="auto"/>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典型人工生态系统，在评价区内分布比较分散，以旱地为主，偶见水田，种植的农作物主要有玉米、水稻、番薯及常见时令蔬菜，此类生态系统各类野生动植物种类较少。</w:t>
            </w:r>
          </w:p>
        </w:tc>
      </w:tr>
      <w:tr w14:paraId="41D69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1547" w:type="dxa"/>
            <w:vAlign w:val="center"/>
          </w:tcPr>
          <w:p w14:paraId="47A6E779">
            <w:pPr>
              <w:keepNext w:val="0"/>
              <w:keepLines w:val="0"/>
              <w:widowControl/>
              <w:suppressLineNumbers w:val="0"/>
              <w:spacing w:line="240" w:lineRule="auto"/>
              <w:jc w:val="center"/>
              <w:textAlignment w:val="center"/>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eastAsia="宋体" w:cs="Times New Roman"/>
                <w:sz w:val="21"/>
                <w:szCs w:val="21"/>
                <w:lang w:val="en-US" w:eastAsia="zh-CN"/>
              </w:rPr>
              <w:t>聚落</w:t>
            </w:r>
            <w:r>
              <w:rPr>
                <w:rFonts w:hint="default" w:ascii="Times New Roman" w:hAnsi="Times New Roman" w:eastAsia="宋体" w:cs="Times New Roman"/>
                <w:sz w:val="21"/>
                <w:szCs w:val="21"/>
                <w:lang w:val="en-US" w:eastAsia="zh-CN"/>
              </w:rPr>
              <w:t>生态系统</w:t>
            </w:r>
          </w:p>
        </w:tc>
        <w:tc>
          <w:tcPr>
            <w:tcW w:w="4032" w:type="dxa"/>
            <w:vAlign w:val="center"/>
          </w:tcPr>
          <w:p w14:paraId="2FFC921B">
            <w:pPr>
              <w:pStyle w:val="25"/>
              <w:keepNext w:val="0"/>
              <w:keepLines w:val="0"/>
              <w:pageBreakBefore w:val="0"/>
              <w:widowControl w:val="0"/>
              <w:kinsoku/>
              <w:wordWrap/>
              <w:overflowPunct/>
              <w:topLinePunct w:val="0"/>
              <w:autoSpaceDE/>
              <w:autoSpaceDN/>
              <w:bidi w:val="0"/>
              <w:adjustRightInd w:val="0"/>
              <w:snapToGrid w:val="0"/>
              <w:spacing w:before="63" w:beforeLines="20" w:after="63" w:afterLines="20" w:line="240" w:lineRule="auto"/>
              <w:ind w:left="0" w:leftChars="0" w:firstLine="0" w:firstLineChars="0"/>
              <w:jc w:val="center"/>
              <w:textAlignment w:val="auto"/>
              <w:rPr>
                <w:rFonts w:hint="default" w:ascii="Times New Roman" w:hAnsi="Times New Roman" w:eastAsia="宋体" w:cs="Times New Roman"/>
                <w:b w:val="0"/>
                <w:bCs w:val="0"/>
                <w:color w:val="FF0000"/>
                <w:sz w:val="21"/>
                <w:szCs w:val="21"/>
                <w:highlight w:val="none"/>
                <w:vertAlign w:val="baseline"/>
                <w:lang w:val="en-US" w:eastAsia="zh-CN"/>
              </w:rPr>
            </w:pPr>
            <w:r>
              <w:rPr>
                <w:rFonts w:hint="default" w:ascii="Times New Roman" w:hAnsi="Times New Roman" w:eastAsia="宋体" w:cs="Times New Roman"/>
                <w:b w:val="0"/>
                <w:bCs w:val="0"/>
                <w:color w:val="FF0000"/>
                <w:sz w:val="21"/>
                <w:szCs w:val="21"/>
                <w:highlight w:val="none"/>
                <w:vertAlign w:val="baseline"/>
                <w:lang w:val="en-US" w:eastAsia="zh-CN"/>
              </w:rPr>
              <w:drawing>
                <wp:inline distT="0" distB="0" distL="114300" distR="114300">
                  <wp:extent cx="2148205" cy="1790700"/>
                  <wp:effectExtent l="0" t="0" r="0" b="0"/>
                  <wp:docPr id="31" name="图片 31" descr="IMG_20240302_12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20240302_120139"/>
                          <pic:cNvPicPr>
                            <a:picLocks noChangeAspect="1"/>
                          </pic:cNvPicPr>
                        </pic:nvPicPr>
                        <pic:blipFill>
                          <a:blip r:embed="rId72"/>
                          <a:srcRect l="10027"/>
                          <a:stretch>
                            <a:fillRect/>
                          </a:stretch>
                        </pic:blipFill>
                        <pic:spPr>
                          <a:xfrm>
                            <a:off x="0" y="0"/>
                            <a:ext cx="2148205" cy="1790700"/>
                          </a:xfrm>
                          <a:prstGeom prst="rect">
                            <a:avLst/>
                          </a:prstGeom>
                        </pic:spPr>
                      </pic:pic>
                    </a:graphicData>
                  </a:graphic>
                </wp:inline>
              </w:drawing>
            </w:r>
          </w:p>
        </w:tc>
        <w:tc>
          <w:tcPr>
            <w:tcW w:w="2943" w:type="dxa"/>
            <w:vAlign w:val="center"/>
          </w:tcPr>
          <w:p w14:paraId="695A87C3">
            <w:pPr>
              <w:keepNext w:val="0"/>
              <w:keepLines w:val="0"/>
              <w:widowControl/>
              <w:suppressLineNumbers w:val="0"/>
              <w:spacing w:line="240" w:lineRule="auto"/>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典型的人工生态系统，在评价区内主要是乡村居民区、道路等，野生动物活动较少。</w:t>
            </w:r>
          </w:p>
        </w:tc>
      </w:tr>
    </w:tbl>
    <w:p w14:paraId="27F31918">
      <w:pPr>
        <w:pStyle w:val="9"/>
        <w:adjustRightInd w:val="0"/>
        <w:snapToGrid w:val="0"/>
        <w:spacing w:after="0" w:line="360" w:lineRule="auto"/>
        <w:rPr>
          <w:rFonts w:hint="default" w:ascii="Times New Roman" w:hAnsi="Times New Roman" w:eastAsia="宋体" w:cs="Times New Roman"/>
          <w:lang w:val="en-US" w:eastAsia="zh-CN"/>
        </w:rPr>
      </w:pPr>
      <w:bookmarkStart w:id="636" w:name="_Toc22516"/>
      <w:bookmarkStart w:id="637" w:name="_Toc29595"/>
      <w:bookmarkStart w:id="638" w:name="_Toc23662"/>
      <w:bookmarkStart w:id="639" w:name="_Toc13219"/>
      <w:bookmarkStart w:id="640" w:name="_Toc29140"/>
      <w:bookmarkStart w:id="641" w:name="_Toc11050"/>
      <w:r>
        <w:rPr>
          <w:rFonts w:hint="default" w:ascii="Times New Roman" w:hAnsi="Times New Roman" w:eastAsia="宋体" w:cs="Times New Roman"/>
          <w:lang w:val="en-US" w:eastAsia="zh-CN"/>
        </w:rPr>
        <w:drawing>
          <wp:inline distT="0" distB="0" distL="114300" distR="114300">
            <wp:extent cx="5273040" cy="7070090"/>
            <wp:effectExtent l="0" t="0" r="0" b="0"/>
            <wp:docPr id="5" name="图片 5" descr="沙蔡路评价区域生态系统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沙蔡路评价区域生态系统类型图"/>
                    <pic:cNvPicPr>
                      <a:picLocks noChangeAspect="1"/>
                    </pic:cNvPicPr>
                  </pic:nvPicPr>
                  <pic:blipFill>
                    <a:blip r:embed="rId73"/>
                    <a:srcRect t="5121"/>
                    <a:stretch>
                      <a:fillRect/>
                    </a:stretch>
                  </pic:blipFill>
                  <pic:spPr>
                    <a:xfrm>
                      <a:off x="0" y="0"/>
                      <a:ext cx="5273040" cy="7070090"/>
                    </a:xfrm>
                    <a:prstGeom prst="rect">
                      <a:avLst/>
                    </a:prstGeom>
                    <a:ln>
                      <a:solidFill>
                        <a:schemeClr val="tx1"/>
                      </a:solidFill>
                    </a:ln>
                  </pic:spPr>
                </pic:pic>
              </a:graphicData>
            </a:graphic>
          </wp:inline>
        </w:drawing>
      </w:r>
    </w:p>
    <w:p w14:paraId="25F6297C">
      <w:pPr>
        <w:autoSpaceDE w:val="0"/>
        <w:autoSpaceDN w:val="0"/>
        <w:adjustRightInd w:val="0"/>
        <w:spacing w:line="360" w:lineRule="auto"/>
        <w:jc w:val="center"/>
        <w:rPr>
          <w:rFonts w:hint="default" w:ascii="Times New Roman" w:hAnsi="Times New Roman" w:eastAsia="宋体" w:cs="Times New Roman"/>
          <w:b/>
          <w:bCs/>
          <w:color w:val="auto"/>
          <w:kern w:val="0"/>
          <w:sz w:val="24"/>
          <w:szCs w:val="24"/>
          <w:lang w:val="en-US" w:eastAsia="zh-CN"/>
        </w:rPr>
      </w:pPr>
      <w:r>
        <w:rPr>
          <w:rFonts w:hint="default" w:ascii="Times New Roman" w:hAnsi="Times New Roman" w:eastAsia="宋体" w:cs="Times New Roman"/>
          <w:b/>
          <w:bCs/>
          <w:color w:val="auto"/>
          <w:kern w:val="0"/>
          <w:sz w:val="24"/>
          <w:szCs w:val="24"/>
          <w:lang w:val="en-US" w:eastAsia="zh-CN"/>
        </w:rPr>
        <w:t>图</w:t>
      </w:r>
      <w:r>
        <w:rPr>
          <w:rFonts w:hint="eastAsia" w:ascii="Times New Roman" w:hAnsi="Times New Roman" w:eastAsia="宋体" w:cs="Times New Roman"/>
          <w:b/>
          <w:bCs/>
          <w:color w:val="auto"/>
          <w:kern w:val="0"/>
          <w:sz w:val="24"/>
          <w:szCs w:val="24"/>
          <w:lang w:val="en-US" w:eastAsia="zh-CN"/>
        </w:rPr>
        <w:t>3-2  项目评价范围</w:t>
      </w:r>
      <w:r>
        <w:rPr>
          <w:rFonts w:hint="default" w:ascii="Times New Roman" w:hAnsi="Times New Roman" w:eastAsia="宋体" w:cs="Times New Roman"/>
          <w:b/>
          <w:bCs/>
          <w:color w:val="auto"/>
          <w:kern w:val="0"/>
          <w:sz w:val="24"/>
          <w:szCs w:val="24"/>
          <w:lang w:val="en-US" w:eastAsia="zh-CN"/>
        </w:rPr>
        <w:t>生态系统类型图</w:t>
      </w:r>
    </w:p>
    <w:p w14:paraId="0C18D4FC">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3.3陆生生态现状调查</w:t>
      </w:r>
      <w:bookmarkEnd w:id="636"/>
      <w:bookmarkEnd w:id="637"/>
      <w:bookmarkEnd w:id="638"/>
      <w:bookmarkEnd w:id="639"/>
      <w:bookmarkEnd w:id="640"/>
      <w:bookmarkEnd w:id="641"/>
    </w:p>
    <w:p w14:paraId="4768EBEE">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642" w:name="_Toc18119"/>
      <w:bookmarkStart w:id="643" w:name="_Toc27871"/>
      <w:bookmarkStart w:id="644" w:name="_Toc30507"/>
      <w:bookmarkStart w:id="645" w:name="_Toc2048"/>
      <w:bookmarkStart w:id="646" w:name="_Toc2543"/>
      <w:r>
        <w:rPr>
          <w:rFonts w:hint="default" w:ascii="Times New Roman" w:hAnsi="Times New Roman" w:eastAsia="宋体" w:cs="Times New Roman"/>
          <w:sz w:val="24"/>
          <w:szCs w:val="24"/>
          <w:lang w:val="en-US" w:eastAsia="zh-CN"/>
        </w:rPr>
        <w:t>3.</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.1调查方法</w:t>
      </w:r>
      <w:bookmarkEnd w:id="642"/>
      <w:bookmarkEnd w:id="643"/>
      <w:bookmarkEnd w:id="644"/>
      <w:bookmarkEnd w:id="645"/>
      <w:bookmarkEnd w:id="646"/>
    </w:p>
    <w:p w14:paraId="0F80D4F2">
      <w:pPr>
        <w:pStyle w:val="9"/>
        <w:adjustRightInd w:val="0"/>
        <w:snapToGrid w:val="0"/>
        <w:spacing w:after="0" w:line="360" w:lineRule="auto"/>
        <w:ind w:firstLine="482" w:firstLineChars="20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（1）植被群落特征调查</w:t>
      </w:r>
    </w:p>
    <w:p w14:paraId="2742B848">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采用野外实地调查与资料收集相结合的策略。野外调查采取点线结合，室内资料与野外调查相结合，以野外调查为主，路线调查与重点样方调查相结合的原则。选择不同类型的典型植被进行样方调查，并对主要群落的代表性样方进行群落种类组成、结构的记录和分析，对群落的植物生物量和生产量进行估算；根据</w:t>
      </w:r>
      <w:r>
        <w:rPr>
          <w:rFonts w:hint="eastAsia" w:ascii="Times New Roman" w:hAnsi="Times New Roman" w:eastAsia="宋体" w:cs="Times New Roman"/>
          <w:lang w:val="en-US" w:eastAsia="zh-CN"/>
        </w:rPr>
        <w:t>国家林业和草原局</w:t>
      </w:r>
      <w:r>
        <w:rPr>
          <w:rFonts w:hint="default" w:ascii="Times New Roman" w:hAnsi="Times New Roman" w:eastAsia="宋体" w:cs="Times New Roman"/>
          <w:lang w:val="en-US" w:eastAsia="zh-CN"/>
        </w:rPr>
        <w:t>所规定的</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全国重点保护野生植物资源调查技术规程</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（林业部</w:t>
      </w:r>
      <w:r>
        <w:rPr>
          <w:rFonts w:hint="eastAsia" w:ascii="Times New Roman" w:hAnsi="Times New Roman" w:eastAsia="宋体" w:cs="Times New Roman"/>
          <w:lang w:val="en-US" w:eastAsia="zh-CN"/>
        </w:rPr>
        <w:t>〔1997〕79号</w:t>
      </w:r>
      <w:r>
        <w:rPr>
          <w:rFonts w:hint="default" w:ascii="Times New Roman" w:hAnsi="Times New Roman" w:eastAsia="宋体" w:cs="Times New Roman"/>
          <w:lang w:val="en-US" w:eastAsia="zh-CN"/>
        </w:rPr>
        <w:t>文）中的典型样方法对淹没区和施工占用区珍稀保护植物数量进行调查。根据对文献资料的分析和整理结果，初步分析调查区域内植被类型和分布格局、陆生动物的分布概括。同时，通过实地调查和访问林业工人和技术人员了解珍稀动植物的分布和数量等。施工占用区珍稀保护植物的种类依据是《国家重点保护野生植物名录》（2021年第15号）、《中国生物多样性红色名录》（高等植物卷2013年第54号、脊椎动物卷2015年第32号、大型真菌卷2018年第10号）、《安徽省珍稀树种名录》（林自</w:t>
      </w:r>
      <w:r>
        <w:rPr>
          <w:rFonts w:hint="eastAsia" w:ascii="Times New Roman" w:hAnsi="Times New Roman" w:eastAsia="宋体" w:cs="Times New Roman"/>
          <w:lang w:val="en-US" w:eastAsia="zh-CN"/>
        </w:rPr>
        <w:t>〔1993〕143号</w:t>
      </w:r>
      <w:r>
        <w:rPr>
          <w:rFonts w:hint="default" w:ascii="Times New Roman" w:hAnsi="Times New Roman" w:eastAsia="宋体" w:cs="Times New Roman"/>
          <w:lang w:val="en-US" w:eastAsia="zh-CN"/>
        </w:rPr>
        <w:t>）。</w:t>
      </w:r>
    </w:p>
    <w:p w14:paraId="5B6BE603">
      <w:pPr>
        <w:pStyle w:val="9"/>
        <w:adjustRightInd w:val="0"/>
        <w:snapToGrid w:val="0"/>
        <w:spacing w:after="0" w:line="360" w:lineRule="auto"/>
        <w:ind w:firstLine="482" w:firstLineChars="200"/>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①调查原则</w:t>
      </w:r>
    </w:p>
    <w:p w14:paraId="57E98EA0">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依据《环境影响评价技术导则 生态影响》（</w:t>
      </w:r>
      <w:r>
        <w:rPr>
          <w:rFonts w:hint="default" w:ascii="Times New Roman" w:hAnsi="Times New Roman" w:eastAsia="宋体" w:cs="Times New Roman"/>
          <w:lang w:val="en-US" w:eastAsia="zh-CN"/>
        </w:rPr>
        <w:t>HJ 19-2022</w:t>
      </w:r>
      <w:r>
        <w:rPr>
          <w:rFonts w:hint="eastAsia" w:ascii="Times New Roman" w:hAnsi="Times New Roman" w:eastAsia="宋体" w:cs="Times New Roman"/>
          <w:lang w:val="en-US" w:eastAsia="zh-CN"/>
        </w:rPr>
        <w:t>），陆生生态一级评价每种群落类型设置的样方数量不少于</w:t>
      </w:r>
      <w:r>
        <w:rPr>
          <w:rFonts w:hint="default" w:ascii="Times New Roman" w:hAnsi="Times New Roman" w:eastAsia="宋体" w:cs="Times New Roman"/>
          <w:lang w:val="en-US" w:eastAsia="zh-CN"/>
        </w:rPr>
        <w:t>5</w:t>
      </w:r>
      <w:r>
        <w:rPr>
          <w:rFonts w:hint="eastAsia" w:ascii="Times New Roman" w:hAnsi="Times New Roman" w:eastAsia="宋体" w:cs="Times New Roman"/>
          <w:lang w:val="en-US" w:eastAsia="zh-CN"/>
        </w:rPr>
        <w:t>个，二级评价不少于</w:t>
      </w:r>
      <w:r>
        <w:rPr>
          <w:rFonts w:hint="default" w:ascii="Times New Roman" w:hAnsi="Times New Roman" w:eastAsia="宋体" w:cs="Times New Roman"/>
          <w:lang w:val="en-US" w:eastAsia="zh-CN"/>
        </w:rPr>
        <w:t>3</w:t>
      </w:r>
      <w:r>
        <w:rPr>
          <w:rFonts w:hint="eastAsia" w:ascii="Times New Roman" w:hAnsi="Times New Roman" w:eastAsia="宋体" w:cs="Times New Roman"/>
          <w:lang w:val="en-US" w:eastAsia="zh-CN"/>
        </w:rPr>
        <w:t>个，调查时间宜选择植物生长旺盛季节。三级评价现状调查以收集有效资料为主。植被现状调查内容主要包括：评价范围内的植物区系、植被类型，植物群落结构及群落中的优势种，并根据植被和植物群落调查结果，编制植被类型图，统计评价范围内的植被类型及面积，采用植被覆盖度等指标分析植被现状，图示植被覆盖度空间分布特点。</w:t>
      </w:r>
    </w:p>
    <w:p w14:paraId="02320907">
      <w:pPr>
        <w:pStyle w:val="9"/>
        <w:adjustRightInd w:val="0"/>
        <w:snapToGrid w:val="0"/>
        <w:spacing w:after="0" w:line="360" w:lineRule="auto"/>
        <w:ind w:firstLine="482" w:firstLineChars="200"/>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②样方调查</w:t>
      </w:r>
    </w:p>
    <w:p w14:paraId="0056551C">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参考《生物物种监测技术指南 陆生维管植物》（</w:t>
      </w:r>
      <w:r>
        <w:rPr>
          <w:rFonts w:hint="default" w:ascii="Times New Roman" w:hAnsi="Times New Roman" w:eastAsia="宋体" w:cs="Times New Roman"/>
          <w:lang w:val="en-US" w:eastAsia="zh-CN"/>
        </w:rPr>
        <w:t>HJ 710.1-2014</w:t>
      </w:r>
      <w:r>
        <w:rPr>
          <w:rFonts w:hint="eastAsia" w:ascii="Times New Roman" w:hAnsi="Times New Roman" w:eastAsia="宋体" w:cs="Times New Roman"/>
          <w:lang w:val="en-US" w:eastAsia="zh-CN"/>
        </w:rPr>
        <w:t>）中的相关规范，根据监测的目的，在监测区内选择具有代表性的群落类型，对群落中的植物多样性进行监测。植物现状调查采用现场踏查和资料查询相结合的方法，调查评价范围的植物区系类型、植被区划、植被类型、结构和植物物种组成情况。</w:t>
      </w:r>
    </w:p>
    <w:p w14:paraId="297BFE16">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w:t>
      </w:r>
      <w:r>
        <w:rPr>
          <w:rFonts w:hint="eastAsia" w:ascii="Times New Roman" w:hAnsi="Times New Roman" w:eastAsia="宋体" w:cs="Times New Roman"/>
          <w:lang w:val="en-US" w:eastAsia="zh-CN"/>
        </w:rPr>
        <w:t>25年6月，根据现场调查，评价范围内植被主要包括森林、灌丛、草地</w:t>
      </w:r>
      <w:r>
        <w:rPr>
          <w:rFonts w:hint="default" w:ascii="Times New Roman" w:hAnsi="Times New Roman" w:eastAsia="宋体" w:cs="Times New Roman"/>
          <w:lang w:val="en-US" w:eastAsia="zh-CN"/>
        </w:rPr>
        <w:t>3</w:t>
      </w:r>
      <w:r>
        <w:rPr>
          <w:rFonts w:hint="eastAsia" w:ascii="Times New Roman" w:hAnsi="Times New Roman" w:eastAsia="宋体" w:cs="Times New Roman"/>
          <w:lang w:val="en-US" w:eastAsia="zh-CN"/>
        </w:rPr>
        <w:t>种植物群落类型，调查范围涵盖建设用地、山地、湿地等各个生境类型。</w:t>
      </w:r>
    </w:p>
    <w:p w14:paraId="3D0C60CA">
      <w:pPr>
        <w:pStyle w:val="9"/>
        <w:adjustRightInd w:val="0"/>
        <w:snapToGrid w:val="0"/>
        <w:spacing w:after="0" w:line="360" w:lineRule="auto"/>
        <w:ind w:firstLine="482" w:firstLineChars="200"/>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③</w:t>
      </w:r>
      <w:r>
        <w:rPr>
          <w:rFonts w:hint="default" w:ascii="Times New Roman" w:hAnsi="Times New Roman" w:eastAsia="宋体" w:cs="Times New Roman"/>
          <w:b/>
          <w:bCs/>
          <w:lang w:val="en-US" w:eastAsia="zh-CN"/>
        </w:rPr>
        <w:t>群落多样性计算方法</w:t>
      </w:r>
    </w:p>
    <w:p w14:paraId="624937E6">
      <w:pPr>
        <w:pStyle w:val="9"/>
        <w:adjustRightInd w:val="0"/>
        <w:snapToGrid w:val="0"/>
        <w:spacing w:after="0" w:line="360" w:lineRule="auto"/>
        <w:jc w:val="center"/>
        <w:rPr>
          <w:rFonts w:hint="default" w:ascii="Times New Roman" w:hAnsi="Times New Roman" w:eastAsia="宋体" w:cs="Times New Roman"/>
          <w:lang w:val="en-US" w:eastAsia="zh-CN"/>
        </w:rPr>
      </w:pPr>
      <w:r>
        <w:rPr>
          <w:rFonts w:hint="default" w:ascii="Times New Roman" w:hAnsi="Times New Roman" w:cs="Times New Roman"/>
        </w:rPr>
        <w:drawing>
          <wp:inline distT="0" distB="0" distL="114300" distR="114300">
            <wp:extent cx="2863850" cy="1391285"/>
            <wp:effectExtent l="0" t="0" r="12700" b="18415"/>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74"/>
                    <a:stretch>
                      <a:fillRect/>
                    </a:stretch>
                  </pic:blipFill>
                  <pic:spPr>
                    <a:xfrm>
                      <a:off x="0" y="0"/>
                      <a:ext cx="2863850" cy="1391285"/>
                    </a:xfrm>
                    <a:prstGeom prst="rect">
                      <a:avLst/>
                    </a:prstGeom>
                    <a:noFill/>
                    <a:ln>
                      <a:noFill/>
                    </a:ln>
                  </pic:spPr>
                </pic:pic>
              </a:graphicData>
            </a:graphic>
          </wp:inline>
        </w:drawing>
      </w:r>
    </w:p>
    <w:p w14:paraId="47C2B476">
      <w:pPr>
        <w:pStyle w:val="9"/>
        <w:adjustRightInd w:val="0"/>
        <w:snapToGrid w:val="0"/>
        <w:spacing w:after="0" w:line="360" w:lineRule="auto"/>
        <w:ind w:firstLine="480" w:firstLineChars="200"/>
        <w:rPr>
          <w:rFonts w:hint="default" w:ascii="Times New Roman" w:hAnsi="Times New Roman" w:eastAsia="宋体" w:cs="Times New Roman"/>
          <w:b w:val="0"/>
          <w:bCs w:val="0"/>
          <w:highlight w:val="none"/>
          <w:lang w:val="en-US" w:eastAsia="zh-CN"/>
        </w:rPr>
      </w:pPr>
      <w:r>
        <w:rPr>
          <w:rFonts w:hint="default" w:ascii="Times New Roman" w:hAnsi="Times New Roman" w:eastAsia="宋体" w:cs="Times New Roman"/>
          <w:lang w:val="en-US" w:eastAsia="zh-CN"/>
        </w:rPr>
        <w:t>式中，Pi为群落中某个物种其个体数量占该群落中所有物种个体数量的总和的百分比，即Pi=Ni/N，Ni为第i个物种的数量，N为群落的个体总数。S为物种总数，运用软件BIOTOOL</w:t>
      </w:r>
      <w:r>
        <w:rPr>
          <w:rFonts w:hint="default" w:ascii="Times New Roman" w:hAnsi="Times New Roman" w:eastAsia="宋体" w:cs="Times New Roman"/>
          <w:b w:val="0"/>
          <w:bCs w:val="0"/>
          <w:highlight w:val="none"/>
          <w:lang w:val="en-US" w:eastAsia="zh-CN"/>
        </w:rPr>
        <w:t>S计算多样性指数。</w:t>
      </w:r>
    </w:p>
    <w:p w14:paraId="5968B707">
      <w:pPr>
        <w:pStyle w:val="9"/>
        <w:adjustRightInd w:val="0"/>
        <w:snapToGrid w:val="0"/>
        <w:spacing w:after="0" w:line="360" w:lineRule="auto"/>
        <w:ind w:firstLine="480" w:firstLineChars="200"/>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评价区现场调查情况见</w:t>
      </w:r>
      <w:r>
        <w:rPr>
          <w:rFonts w:hint="eastAsia" w:ascii="Times New Roman" w:hAnsi="Times New Roman" w:eastAsia="宋体" w:cs="Times New Roman"/>
          <w:b w:val="0"/>
          <w:bCs w:val="0"/>
          <w:color w:val="auto"/>
          <w:highlight w:val="none"/>
          <w:lang w:val="en-US" w:eastAsia="zh-CN"/>
        </w:rPr>
        <w:t>下图：</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85"/>
        <w:gridCol w:w="4437"/>
      </w:tblGrid>
      <w:tr w14:paraId="41818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085" w:type="dxa"/>
          </w:tcPr>
          <w:p w14:paraId="7F98C493">
            <w:pPr>
              <w:spacing w:before="114" w:line="218" w:lineRule="auto"/>
              <w:jc w:val="center"/>
              <w:rPr>
                <w:rFonts w:hint="eastAsia" w:ascii="宋体" w:hAnsi="宋体" w:eastAsia="宋体" w:cs="宋体"/>
                <w:b/>
                <w:bCs/>
                <w:color w:val="FF0000"/>
                <w:spacing w:val="-4"/>
                <w:sz w:val="24"/>
                <w:szCs w:val="24"/>
                <w:vertAlign w:val="baseline"/>
                <w:lang w:eastAsia="zh-CN"/>
              </w:rPr>
            </w:pPr>
            <w:r>
              <w:rPr>
                <w:rFonts w:hint="eastAsia" w:ascii="宋体" w:hAnsi="宋体" w:eastAsia="宋体" w:cs="宋体"/>
                <w:b/>
                <w:bCs/>
                <w:color w:val="FF0000"/>
                <w:spacing w:val="-4"/>
                <w:sz w:val="24"/>
                <w:szCs w:val="24"/>
                <w:vertAlign w:val="baseline"/>
                <w:lang w:eastAsia="zh-CN"/>
              </w:rPr>
              <w:drawing>
                <wp:inline distT="0" distB="0" distL="114300" distR="114300">
                  <wp:extent cx="2159000" cy="1920240"/>
                  <wp:effectExtent l="119380" t="0" r="0" b="0"/>
                  <wp:docPr id="128" name="图片 128" descr="01df37f3da5101d018600097e50d2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01df37f3da5101d018600097e50d22f"/>
                          <pic:cNvPicPr>
                            <a:picLocks noChangeAspect="1"/>
                          </pic:cNvPicPr>
                        </pic:nvPicPr>
                        <pic:blipFill>
                          <a:blip r:embed="rId75"/>
                          <a:srcRect r="15675"/>
                          <a:stretch>
                            <a:fillRect/>
                          </a:stretch>
                        </pic:blipFill>
                        <pic:spPr>
                          <a:xfrm rot="5400000">
                            <a:off x="0" y="0"/>
                            <a:ext cx="2159000" cy="1920240"/>
                          </a:xfrm>
                          <a:prstGeom prst="rect">
                            <a:avLst/>
                          </a:prstGeom>
                        </pic:spPr>
                      </pic:pic>
                    </a:graphicData>
                  </a:graphic>
                </wp:inline>
              </w:drawing>
            </w:r>
          </w:p>
        </w:tc>
        <w:tc>
          <w:tcPr>
            <w:tcW w:w="4437" w:type="dxa"/>
          </w:tcPr>
          <w:p w14:paraId="76EAFEA8">
            <w:pPr>
              <w:spacing w:before="114" w:line="218" w:lineRule="auto"/>
              <w:jc w:val="center"/>
              <w:rPr>
                <w:rFonts w:hint="eastAsia" w:ascii="宋体" w:hAnsi="宋体" w:eastAsia="宋体" w:cs="宋体"/>
                <w:b/>
                <w:bCs/>
                <w:color w:val="FF0000"/>
                <w:spacing w:val="-4"/>
                <w:sz w:val="24"/>
                <w:szCs w:val="24"/>
                <w:vertAlign w:val="baseline"/>
                <w:lang w:eastAsia="zh-CN"/>
              </w:rPr>
            </w:pPr>
            <w:r>
              <w:rPr>
                <w:rFonts w:hint="eastAsia" w:ascii="宋体" w:hAnsi="宋体" w:eastAsia="宋体" w:cs="宋体"/>
                <w:b/>
                <w:bCs/>
                <w:color w:val="FF0000"/>
                <w:spacing w:val="-4"/>
                <w:sz w:val="24"/>
                <w:szCs w:val="24"/>
                <w:vertAlign w:val="baseline"/>
                <w:lang w:eastAsia="zh-CN"/>
              </w:rPr>
              <w:drawing>
                <wp:inline distT="0" distB="0" distL="114300" distR="114300">
                  <wp:extent cx="2157095" cy="2298700"/>
                  <wp:effectExtent l="0" t="0" r="6350" b="14605"/>
                  <wp:docPr id="133" name="图片 133" descr="439f14eb05cb2cceb8939e14544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439f14eb05cb2cceb8939e145440163"/>
                          <pic:cNvPicPr>
                            <a:picLocks noChangeAspect="1"/>
                          </pic:cNvPicPr>
                        </pic:nvPicPr>
                        <pic:blipFill>
                          <a:blip r:embed="rId76"/>
                          <a:srcRect l="11852" r="17772"/>
                          <a:stretch>
                            <a:fillRect/>
                          </a:stretch>
                        </pic:blipFill>
                        <pic:spPr>
                          <a:xfrm rot="5400000">
                            <a:off x="0" y="0"/>
                            <a:ext cx="2157095" cy="2298700"/>
                          </a:xfrm>
                          <a:prstGeom prst="rect">
                            <a:avLst/>
                          </a:prstGeom>
                        </pic:spPr>
                      </pic:pic>
                    </a:graphicData>
                  </a:graphic>
                </wp:inline>
              </w:drawing>
            </w:r>
          </w:p>
        </w:tc>
      </w:tr>
      <w:tr w14:paraId="583CE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5" w:type="dxa"/>
          </w:tcPr>
          <w:p w14:paraId="489CDB29">
            <w:pPr>
              <w:spacing w:before="114" w:line="218" w:lineRule="auto"/>
              <w:jc w:val="center"/>
              <w:rPr>
                <w:rFonts w:hint="eastAsia" w:ascii="宋体" w:hAnsi="宋体" w:eastAsia="宋体" w:cs="宋体"/>
                <w:b/>
                <w:bCs/>
                <w:color w:val="FF0000"/>
                <w:spacing w:val="-4"/>
                <w:sz w:val="24"/>
                <w:szCs w:val="24"/>
                <w:vertAlign w:val="baseline"/>
                <w:lang w:eastAsia="zh-CN"/>
              </w:rPr>
            </w:pPr>
            <w:r>
              <w:rPr>
                <w:rFonts w:hint="eastAsia" w:ascii="宋体" w:hAnsi="宋体" w:eastAsia="宋体" w:cs="宋体"/>
                <w:b/>
                <w:bCs/>
                <w:color w:val="FF0000"/>
                <w:spacing w:val="-4"/>
                <w:sz w:val="24"/>
                <w:szCs w:val="24"/>
                <w:vertAlign w:val="baseline"/>
                <w:lang w:eastAsia="zh-CN"/>
              </w:rPr>
              <w:drawing>
                <wp:inline distT="0" distB="0" distL="114300" distR="114300">
                  <wp:extent cx="2406650" cy="1805305"/>
                  <wp:effectExtent l="0" t="0" r="12700" b="4445"/>
                  <wp:docPr id="132" name="图片 132" descr="1e0cce142968924d3396908d9ed2a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1e0cce142968924d3396908d9ed2a4a"/>
                          <pic:cNvPicPr>
                            <a:picLocks noChangeAspect="1"/>
                          </pic:cNvPicPr>
                        </pic:nvPicPr>
                        <pic:blipFill>
                          <a:blip r:embed="rId77"/>
                          <a:stretch>
                            <a:fillRect/>
                          </a:stretch>
                        </pic:blipFill>
                        <pic:spPr>
                          <a:xfrm>
                            <a:off x="0" y="0"/>
                            <a:ext cx="2406650" cy="1805305"/>
                          </a:xfrm>
                          <a:prstGeom prst="rect">
                            <a:avLst/>
                          </a:prstGeom>
                        </pic:spPr>
                      </pic:pic>
                    </a:graphicData>
                  </a:graphic>
                </wp:inline>
              </w:drawing>
            </w:r>
          </w:p>
        </w:tc>
        <w:tc>
          <w:tcPr>
            <w:tcW w:w="4437" w:type="dxa"/>
          </w:tcPr>
          <w:p w14:paraId="50AD1CB4">
            <w:pPr>
              <w:spacing w:before="114" w:line="218" w:lineRule="auto"/>
              <w:jc w:val="center"/>
              <w:rPr>
                <w:rFonts w:hint="eastAsia" w:ascii="宋体" w:hAnsi="宋体" w:eastAsia="宋体" w:cs="宋体"/>
                <w:b/>
                <w:bCs/>
                <w:color w:val="FF0000"/>
                <w:spacing w:val="-4"/>
                <w:sz w:val="24"/>
                <w:szCs w:val="24"/>
                <w:vertAlign w:val="baseline"/>
                <w:lang w:eastAsia="zh-CN"/>
              </w:rPr>
            </w:pPr>
            <w:r>
              <w:rPr>
                <w:rFonts w:hint="eastAsia" w:ascii="宋体" w:hAnsi="宋体" w:eastAsia="宋体" w:cs="宋体"/>
                <w:b/>
                <w:bCs/>
                <w:color w:val="FF0000"/>
                <w:spacing w:val="-4"/>
                <w:sz w:val="24"/>
                <w:szCs w:val="24"/>
                <w:vertAlign w:val="baseline"/>
                <w:lang w:eastAsia="zh-CN"/>
              </w:rPr>
              <w:drawing>
                <wp:inline distT="0" distB="0" distL="114300" distR="114300">
                  <wp:extent cx="2662555" cy="1854200"/>
                  <wp:effectExtent l="0" t="0" r="0" b="0"/>
                  <wp:docPr id="135" name="图片 135" descr="IMG_20240606_10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IMG_20240606_104721"/>
                          <pic:cNvPicPr>
                            <a:picLocks noChangeAspect="1"/>
                          </pic:cNvPicPr>
                        </pic:nvPicPr>
                        <pic:blipFill>
                          <a:blip r:embed="rId78"/>
                          <a:srcRect t="46432" b="1341"/>
                          <a:stretch>
                            <a:fillRect/>
                          </a:stretch>
                        </pic:blipFill>
                        <pic:spPr>
                          <a:xfrm>
                            <a:off x="0" y="0"/>
                            <a:ext cx="2662555" cy="1854200"/>
                          </a:xfrm>
                          <a:prstGeom prst="rect">
                            <a:avLst/>
                          </a:prstGeom>
                        </pic:spPr>
                      </pic:pic>
                    </a:graphicData>
                  </a:graphic>
                </wp:inline>
              </w:drawing>
            </w:r>
          </w:p>
        </w:tc>
      </w:tr>
      <w:tr w14:paraId="32938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5" w:type="dxa"/>
          </w:tcPr>
          <w:p w14:paraId="19D0259A">
            <w:pPr>
              <w:spacing w:before="114" w:line="218" w:lineRule="auto"/>
              <w:jc w:val="center"/>
              <w:rPr>
                <w:rFonts w:hint="eastAsia" w:ascii="宋体" w:hAnsi="宋体" w:eastAsia="宋体" w:cs="宋体"/>
                <w:b/>
                <w:bCs/>
                <w:color w:val="FF0000"/>
                <w:spacing w:val="-4"/>
                <w:sz w:val="24"/>
                <w:szCs w:val="24"/>
                <w:vertAlign w:val="baseline"/>
                <w:lang w:eastAsia="zh-CN"/>
              </w:rPr>
            </w:pPr>
            <w:r>
              <w:rPr>
                <w:rFonts w:hint="eastAsia" w:ascii="宋体" w:hAnsi="宋体" w:eastAsia="宋体" w:cs="宋体"/>
                <w:b/>
                <w:bCs/>
                <w:color w:val="FF0000"/>
                <w:spacing w:val="-4"/>
                <w:sz w:val="24"/>
                <w:szCs w:val="24"/>
                <w:vertAlign w:val="baseline"/>
                <w:lang w:eastAsia="zh-CN"/>
              </w:rPr>
              <w:drawing>
                <wp:inline distT="0" distB="0" distL="114300" distR="114300">
                  <wp:extent cx="2501265" cy="2023745"/>
                  <wp:effectExtent l="238760" t="0" r="0" b="0"/>
                  <wp:docPr id="136" name="图片 136" descr="17b070c80a42369fb3edc31f49d55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17b070c80a42369fb3edc31f49d55b5"/>
                          <pic:cNvPicPr>
                            <a:picLocks noChangeAspect="1"/>
                          </pic:cNvPicPr>
                        </pic:nvPicPr>
                        <pic:blipFill>
                          <a:blip r:embed="rId79"/>
                          <a:srcRect l="7296"/>
                          <a:stretch>
                            <a:fillRect/>
                          </a:stretch>
                        </pic:blipFill>
                        <pic:spPr>
                          <a:xfrm rot="5400000">
                            <a:off x="0" y="0"/>
                            <a:ext cx="2501265" cy="2023745"/>
                          </a:xfrm>
                          <a:prstGeom prst="rect">
                            <a:avLst/>
                          </a:prstGeom>
                        </pic:spPr>
                      </pic:pic>
                    </a:graphicData>
                  </a:graphic>
                </wp:inline>
              </w:drawing>
            </w:r>
          </w:p>
        </w:tc>
        <w:tc>
          <w:tcPr>
            <w:tcW w:w="4437" w:type="dxa"/>
          </w:tcPr>
          <w:p w14:paraId="2A521899">
            <w:pPr>
              <w:spacing w:before="114" w:line="218" w:lineRule="auto"/>
              <w:jc w:val="center"/>
              <w:rPr>
                <w:rFonts w:hint="eastAsia" w:ascii="宋体" w:hAnsi="宋体" w:eastAsia="宋体" w:cs="宋体"/>
                <w:b/>
                <w:bCs/>
                <w:color w:val="FF0000"/>
                <w:spacing w:val="-4"/>
                <w:sz w:val="24"/>
                <w:szCs w:val="24"/>
                <w:vertAlign w:val="baseline"/>
                <w:lang w:eastAsia="zh-CN"/>
              </w:rPr>
            </w:pPr>
            <w:r>
              <w:rPr>
                <w:rFonts w:hint="eastAsia" w:ascii="宋体" w:hAnsi="宋体" w:eastAsia="宋体" w:cs="宋体"/>
                <w:b/>
                <w:bCs/>
                <w:color w:val="FF0000"/>
                <w:spacing w:val="-4"/>
                <w:sz w:val="24"/>
                <w:szCs w:val="24"/>
                <w:vertAlign w:val="baseline"/>
                <w:lang w:eastAsia="zh-CN"/>
              </w:rPr>
              <w:drawing>
                <wp:inline distT="0" distB="0" distL="114300" distR="114300">
                  <wp:extent cx="2441575" cy="1997075"/>
                  <wp:effectExtent l="222250" t="0" r="0" b="0"/>
                  <wp:docPr id="137" name="图片 137" descr="390ced2f63740196b867a6624c559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390ced2f63740196b867a6624c559cd"/>
                          <pic:cNvPicPr>
                            <a:picLocks noChangeAspect="1"/>
                          </pic:cNvPicPr>
                        </pic:nvPicPr>
                        <pic:blipFill>
                          <a:blip r:embed="rId80"/>
                          <a:srcRect l="8300"/>
                          <a:stretch>
                            <a:fillRect/>
                          </a:stretch>
                        </pic:blipFill>
                        <pic:spPr>
                          <a:xfrm rot="5400000">
                            <a:off x="0" y="0"/>
                            <a:ext cx="2441575" cy="1997075"/>
                          </a:xfrm>
                          <a:prstGeom prst="rect">
                            <a:avLst/>
                          </a:prstGeom>
                        </pic:spPr>
                      </pic:pic>
                    </a:graphicData>
                  </a:graphic>
                </wp:inline>
              </w:drawing>
            </w:r>
          </w:p>
        </w:tc>
      </w:tr>
    </w:tbl>
    <w:p w14:paraId="32CA0366">
      <w:pPr>
        <w:autoSpaceDE w:val="0"/>
        <w:autoSpaceDN w:val="0"/>
        <w:adjustRightInd w:val="0"/>
        <w:spacing w:line="360" w:lineRule="auto"/>
        <w:jc w:val="center"/>
        <w:rPr>
          <w:rFonts w:hint="default" w:ascii="Times New Roman" w:hAnsi="Times New Roman" w:eastAsia="宋体" w:cs="Times New Roman"/>
          <w:b/>
          <w:bCs/>
          <w:color w:val="auto"/>
          <w:kern w:val="0"/>
          <w:sz w:val="24"/>
          <w:szCs w:val="24"/>
          <w:lang w:val="en-US" w:eastAsia="zh-CN"/>
        </w:rPr>
      </w:pPr>
      <w:r>
        <w:rPr>
          <w:rFonts w:hint="default" w:ascii="Times New Roman" w:hAnsi="Times New Roman" w:eastAsia="宋体" w:cs="Times New Roman"/>
          <w:b/>
          <w:bCs/>
          <w:color w:val="auto"/>
          <w:kern w:val="0"/>
          <w:sz w:val="24"/>
          <w:szCs w:val="24"/>
          <w:lang w:val="en-US" w:eastAsia="zh-CN"/>
        </w:rPr>
        <w:t>图</w:t>
      </w:r>
      <w:r>
        <w:rPr>
          <w:rFonts w:hint="eastAsia" w:ascii="Times New Roman" w:hAnsi="Times New Roman" w:eastAsia="宋体" w:cs="Times New Roman"/>
          <w:b/>
          <w:bCs/>
          <w:color w:val="auto"/>
          <w:kern w:val="0"/>
          <w:sz w:val="24"/>
          <w:szCs w:val="24"/>
          <w:lang w:val="en-US" w:eastAsia="zh-CN"/>
        </w:rPr>
        <w:t>3-3</w:t>
      </w:r>
      <w:r>
        <w:rPr>
          <w:rFonts w:hint="default" w:ascii="Times New Roman" w:hAnsi="Times New Roman" w:eastAsia="宋体" w:cs="Times New Roman"/>
          <w:b/>
          <w:bCs/>
          <w:color w:val="auto"/>
          <w:kern w:val="0"/>
          <w:sz w:val="24"/>
          <w:szCs w:val="24"/>
          <w:lang w:val="en-US" w:eastAsia="zh-CN"/>
        </w:rPr>
        <w:t xml:space="preserve">  评价区生态调查</w:t>
      </w:r>
    </w:p>
    <w:p w14:paraId="4BB5C729">
      <w:pPr>
        <w:pStyle w:val="9"/>
        <w:adjustRightInd w:val="0"/>
        <w:snapToGrid w:val="0"/>
        <w:spacing w:after="0" w:line="360" w:lineRule="auto"/>
        <w:ind w:firstLine="482" w:firstLineChars="20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（2）陆生动物调查</w:t>
      </w:r>
    </w:p>
    <w:p w14:paraId="35C707A5">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本项目主要</w:t>
      </w:r>
      <w:r>
        <w:rPr>
          <w:rFonts w:hint="default" w:ascii="Times New Roman" w:hAnsi="Times New Roman" w:eastAsia="宋体" w:cs="Times New Roman"/>
          <w:lang w:val="en-US" w:eastAsia="zh-CN"/>
        </w:rPr>
        <w:t>采用资料收集</w:t>
      </w:r>
      <w:r>
        <w:rPr>
          <w:rFonts w:hint="eastAsia" w:ascii="Times New Roman" w:hAnsi="Times New Roman" w:eastAsia="宋体" w:cs="Times New Roman"/>
          <w:lang w:val="en-US" w:eastAsia="zh-CN"/>
        </w:rPr>
        <w:t>的方法，本项目为金寨县沙坪沟钼矿采选项目配套道路，根据《安徽金沙钼业有限公司金寨县沙坪沟钼矿采选项目环境影响报告书》（2025.3）生态现状调查，本项目位于其调查范围内，因此本项目生态现状调查可</w:t>
      </w:r>
      <w:r>
        <w:rPr>
          <w:rFonts w:hint="default" w:ascii="Times New Roman" w:hAnsi="Times New Roman" w:eastAsia="宋体" w:cs="Times New Roman"/>
          <w:lang w:val="en-US" w:eastAsia="zh-CN"/>
        </w:rPr>
        <w:t>结合</w:t>
      </w:r>
      <w:r>
        <w:rPr>
          <w:rFonts w:hint="eastAsia" w:ascii="Times New Roman" w:hAnsi="Times New Roman" w:eastAsia="宋体" w:cs="Times New Roman"/>
          <w:lang w:val="en-US" w:eastAsia="zh-CN"/>
        </w:rPr>
        <w:t>其调查</w:t>
      </w:r>
      <w:r>
        <w:rPr>
          <w:rFonts w:hint="default" w:ascii="Times New Roman" w:hAnsi="Times New Roman" w:eastAsia="宋体" w:cs="Times New Roman"/>
          <w:lang w:val="en-US" w:eastAsia="zh-CN"/>
        </w:rPr>
        <w:t>资料进行分析和统计。</w:t>
      </w:r>
    </w:p>
    <w:p w14:paraId="2D13ABF1">
      <w:pPr>
        <w:pStyle w:val="9"/>
        <w:adjustRightInd w:val="0"/>
        <w:snapToGrid w:val="0"/>
        <w:spacing w:after="0" w:line="360" w:lineRule="auto"/>
        <w:ind w:firstLine="480" w:firstLineChars="200"/>
        <w:rPr>
          <w:rFonts w:hint="default" w:ascii="Times New Roman" w:hAnsi="Times New Roman" w:eastAsia="宋体" w:cs="Times New Roman"/>
          <w:b/>
          <w:bCs/>
          <w:lang w:val="en-US" w:eastAsia="zh-CN"/>
        </w:rPr>
      </w:pPr>
      <w:r>
        <w:rPr>
          <w:sz w:val="24"/>
        </w:rPr>
        <mc:AlternateContent>
          <mc:Choice Requires="wps">
            <w:drawing>
              <wp:anchor distT="0" distB="0" distL="114300" distR="114300" simplePos="0" relativeHeight="251672576" behindDoc="0" locked="0" layoutInCell="1" allowOverlap="1">
                <wp:simplePos x="0" y="0"/>
                <wp:positionH relativeFrom="column">
                  <wp:posOffset>2830195</wp:posOffset>
                </wp:positionH>
                <wp:positionV relativeFrom="paragraph">
                  <wp:posOffset>4233545</wp:posOffset>
                </wp:positionV>
                <wp:extent cx="1153795" cy="304800"/>
                <wp:effectExtent l="222250" t="142875" r="14605" b="9525"/>
                <wp:wrapNone/>
                <wp:docPr id="4" name="矩形标注 4"/>
                <wp:cNvGraphicFramePr/>
                <a:graphic xmlns:a="http://schemas.openxmlformats.org/drawingml/2006/main">
                  <a:graphicData uri="http://schemas.microsoft.com/office/word/2010/wordprocessingShape">
                    <wps:wsp>
                      <wps:cNvSpPr/>
                      <wps:spPr>
                        <a:xfrm>
                          <a:off x="2277745" y="4747895"/>
                          <a:ext cx="1153795" cy="304800"/>
                        </a:xfrm>
                        <a:prstGeom prst="wedgeRectCallout">
                          <a:avLst>
                            <a:gd name="adj1" fmla="val -69259"/>
                            <a:gd name="adj2" fmla="val -96875"/>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4531C6D">
                            <w:pPr>
                              <w:jc w:val="center"/>
                              <w:rPr>
                                <w:rFonts w:hint="default" w:eastAsiaTheme="minorEastAsia"/>
                                <w:color w:val="FF0000"/>
                                <w:lang w:val="en-US" w:eastAsia="zh-CN"/>
                              </w:rPr>
                            </w:pPr>
                            <w:r>
                              <w:rPr>
                                <w:rFonts w:hint="eastAsia"/>
                                <w:color w:val="FF0000"/>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2.85pt;margin-top:333.35pt;height:24pt;width:90.85pt;z-index:251672576;v-text-anchor:middle;mso-width-relative:page;mso-height-relative:page;" fillcolor="#FFFFFF [3212]" filled="t" stroked="f" coordsize="21600,21600" o:gfxdata="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8OMJ19oAAAALAQAADwAAAAAAAAABACAAAAAiAAAAZHJzL2Rv&#10;d25yZXYueG1sUEsBAhQAFAAAAAgAh07iQJeRCzmqAgAAMAUAAA4AAAAAAAAAAQAgAAAAKQEAAGRy&#10;cy9lMm9Eb2MueG1sUEsFBgAAAAAGAAYAWQEAAEUGAAAAAA==&#10;" adj="-4160,-10125">
                <v:fill on="t" focussize="0,0"/>
                <v:stroke on="f" weight="2pt"/>
                <v:imagedata o:title=""/>
                <o:lock v:ext="edit" aspectratio="f"/>
                <v:textbox>
                  <w:txbxContent>
                    <w:p w14:paraId="34531C6D">
                      <w:pPr>
                        <w:jc w:val="center"/>
                        <w:rPr>
                          <w:rFonts w:hint="default" w:eastAsiaTheme="minorEastAsia"/>
                          <w:color w:val="FF0000"/>
                          <w:lang w:val="en-US" w:eastAsia="zh-CN"/>
                        </w:rPr>
                      </w:pPr>
                      <w:r>
                        <w:rPr>
                          <w:rFonts w:hint="eastAsia"/>
                          <w:color w:val="FF0000"/>
                          <w:lang w:val="en-US" w:eastAsia="zh-CN"/>
                        </w:rPr>
                        <w:t>本项目位置</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1820545</wp:posOffset>
                </wp:positionH>
                <wp:positionV relativeFrom="paragraph">
                  <wp:posOffset>3957320</wp:posOffset>
                </wp:positionV>
                <wp:extent cx="762000" cy="742950"/>
                <wp:effectExtent l="11430" t="3175" r="26670" b="15875"/>
                <wp:wrapNone/>
                <wp:docPr id="3" name="任意多边形 3"/>
                <wp:cNvGraphicFramePr/>
                <a:graphic xmlns:a="http://schemas.openxmlformats.org/drawingml/2006/main">
                  <a:graphicData uri="http://schemas.microsoft.com/office/word/2010/wordprocessingShape">
                    <wps:wsp>
                      <wps:cNvSpPr/>
                      <wps:spPr>
                        <a:xfrm>
                          <a:off x="2963545" y="4871720"/>
                          <a:ext cx="762000" cy="742950"/>
                        </a:xfrm>
                        <a:custGeom>
                          <a:avLst/>
                          <a:gdLst>
                            <a:gd name="connisteX0" fmla="*/ 0 w 762265"/>
                            <a:gd name="connsiteY0" fmla="*/ 742950 h 742950"/>
                            <a:gd name="connisteX1" fmla="*/ 38100 w 762265"/>
                            <a:gd name="connsiteY1" fmla="*/ 676275 h 742950"/>
                            <a:gd name="connisteX2" fmla="*/ 104775 w 762265"/>
                            <a:gd name="connsiteY2" fmla="*/ 666750 h 742950"/>
                            <a:gd name="connisteX3" fmla="*/ 171450 w 762265"/>
                            <a:gd name="connsiteY3" fmla="*/ 666750 h 742950"/>
                            <a:gd name="connisteX4" fmla="*/ 219075 w 762265"/>
                            <a:gd name="connsiteY4" fmla="*/ 600075 h 742950"/>
                            <a:gd name="connisteX5" fmla="*/ 247650 w 762265"/>
                            <a:gd name="connsiteY5" fmla="*/ 533400 h 742950"/>
                            <a:gd name="connisteX6" fmla="*/ 314325 w 762265"/>
                            <a:gd name="connsiteY6" fmla="*/ 485775 h 742950"/>
                            <a:gd name="connisteX7" fmla="*/ 390525 w 762265"/>
                            <a:gd name="connsiteY7" fmla="*/ 476250 h 742950"/>
                            <a:gd name="connisteX8" fmla="*/ 457200 w 762265"/>
                            <a:gd name="connsiteY8" fmla="*/ 428625 h 742950"/>
                            <a:gd name="connisteX9" fmla="*/ 542925 w 762265"/>
                            <a:gd name="connsiteY9" fmla="*/ 371475 h 742950"/>
                            <a:gd name="connisteX10" fmla="*/ 609600 w 762265"/>
                            <a:gd name="connsiteY10" fmla="*/ 314325 h 742950"/>
                            <a:gd name="connisteX11" fmla="*/ 676275 w 762265"/>
                            <a:gd name="connsiteY11" fmla="*/ 266700 h 742950"/>
                            <a:gd name="connisteX12" fmla="*/ 704850 w 762265"/>
                            <a:gd name="connsiteY12" fmla="*/ 200025 h 742950"/>
                            <a:gd name="connisteX13" fmla="*/ 742950 w 762265"/>
                            <a:gd name="connsiteY13" fmla="*/ 133350 h 742950"/>
                            <a:gd name="connisteX14" fmla="*/ 762000 w 762265"/>
                            <a:gd name="connsiteY14" fmla="*/ 66675 h 742950"/>
                            <a:gd name="connisteX15" fmla="*/ 752475 w 762265"/>
                            <a:gd name="connsiteY15" fmla="*/ 0 h 742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Lst>
                          <a:rect l="l" t="t" r="r" b="b"/>
                          <a:pathLst>
                            <a:path w="762265" h="742950">
                              <a:moveTo>
                                <a:pt x="0" y="742950"/>
                              </a:moveTo>
                              <a:cubicBezTo>
                                <a:pt x="6350" y="729615"/>
                                <a:pt x="17145" y="691515"/>
                                <a:pt x="38100" y="676275"/>
                              </a:cubicBezTo>
                              <a:cubicBezTo>
                                <a:pt x="59055" y="661035"/>
                                <a:pt x="78105" y="668655"/>
                                <a:pt x="104775" y="666750"/>
                              </a:cubicBezTo>
                              <a:cubicBezTo>
                                <a:pt x="131445" y="664845"/>
                                <a:pt x="148590" y="680085"/>
                                <a:pt x="171450" y="666750"/>
                              </a:cubicBezTo>
                              <a:cubicBezTo>
                                <a:pt x="194310" y="653415"/>
                                <a:pt x="203835" y="626745"/>
                                <a:pt x="219075" y="600075"/>
                              </a:cubicBezTo>
                              <a:cubicBezTo>
                                <a:pt x="234315" y="573405"/>
                                <a:pt x="228600" y="556260"/>
                                <a:pt x="247650" y="533400"/>
                              </a:cubicBezTo>
                              <a:cubicBezTo>
                                <a:pt x="266700" y="510540"/>
                                <a:pt x="285750" y="497205"/>
                                <a:pt x="314325" y="485775"/>
                              </a:cubicBezTo>
                              <a:cubicBezTo>
                                <a:pt x="342900" y="474345"/>
                                <a:pt x="361950" y="487680"/>
                                <a:pt x="390525" y="476250"/>
                              </a:cubicBezTo>
                              <a:cubicBezTo>
                                <a:pt x="419100" y="464820"/>
                                <a:pt x="426720" y="449580"/>
                                <a:pt x="457200" y="428625"/>
                              </a:cubicBezTo>
                              <a:cubicBezTo>
                                <a:pt x="487680" y="407670"/>
                                <a:pt x="512445" y="394335"/>
                                <a:pt x="542925" y="371475"/>
                              </a:cubicBezTo>
                              <a:cubicBezTo>
                                <a:pt x="573405" y="348615"/>
                                <a:pt x="582930" y="335280"/>
                                <a:pt x="609600" y="314325"/>
                              </a:cubicBezTo>
                              <a:cubicBezTo>
                                <a:pt x="636270" y="293370"/>
                                <a:pt x="657225" y="289560"/>
                                <a:pt x="676275" y="266700"/>
                              </a:cubicBezTo>
                              <a:cubicBezTo>
                                <a:pt x="695325" y="243840"/>
                                <a:pt x="691515" y="226695"/>
                                <a:pt x="704850" y="200025"/>
                              </a:cubicBezTo>
                              <a:cubicBezTo>
                                <a:pt x="718185" y="173355"/>
                                <a:pt x="731520" y="160020"/>
                                <a:pt x="742950" y="133350"/>
                              </a:cubicBezTo>
                              <a:cubicBezTo>
                                <a:pt x="754380" y="106680"/>
                                <a:pt x="760095" y="93345"/>
                                <a:pt x="762000" y="66675"/>
                              </a:cubicBezTo>
                              <a:cubicBezTo>
                                <a:pt x="763905" y="40005"/>
                                <a:pt x="755015" y="12065"/>
                                <a:pt x="752475" y="0"/>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43.35pt;margin-top:311.6pt;height:58.5pt;width:60pt;z-index:251671552;mso-width-relative:page;mso-height-relative:page;" filled="f" stroked="t" coordsize="762265,742950" o:gfxdata="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" path="m0,742950c6350,729615,17145,691515,38100,676275c59055,661035,78105,668655,104775,666750c131445,664845,148590,680085,171450,666750c194310,653415,203835,626745,219075,600075c234315,573405,228600,556260,247650,533400c266700,510540,285750,497205,314325,485775c342900,474345,361950,487680,390525,476250c419100,464820,426720,449580,457200,428625c487680,407670,512445,394335,542925,371475c573405,348615,582930,335280,609600,314325c636270,293370,657225,289560,676275,266700c695325,243840,691515,226695,704850,200025c718185,173355,731520,160020,742950,133350c754380,106680,760095,93345,762000,66675c763905,40005,755015,12065,752475,0e">
                <v:path o:connectlocs="0,742950;38086,676275;104738,666750;171390,666750;218998,600075;247563,533400;314215,485775;390389,476250;457041,428625;542736,371475;609388,314325;676039,266700;704604,200025;742691,133350;761735,66675;752213,0" o:connectangles="0,0,0,0,0,0,0,0,0,0,0,0,0,0,0,0"/>
                <v:fill on="f" focussize="0,0"/>
                <v:stroke weight="2pt" color="#FF0000 [2404]" joinstyle="round"/>
                <v:imagedata o:title=""/>
                <o:lock v:ext="edit" aspectratio="f"/>
              </v:shape>
            </w:pict>
          </mc:Fallback>
        </mc:AlternateContent>
      </w:r>
      <w:r>
        <w:drawing>
          <wp:inline distT="0" distB="0" distL="114300" distR="114300">
            <wp:extent cx="4704080" cy="6724650"/>
            <wp:effectExtent l="9525" t="9525" r="10795" b="9525"/>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pic:cNvPicPr>
                      <a:picLocks noChangeAspect="1"/>
                    </pic:cNvPicPr>
                  </pic:nvPicPr>
                  <pic:blipFill>
                    <a:blip r:embed="rId81"/>
                    <a:stretch>
                      <a:fillRect/>
                    </a:stretch>
                  </pic:blipFill>
                  <pic:spPr>
                    <a:xfrm>
                      <a:off x="0" y="0"/>
                      <a:ext cx="4704080" cy="6724650"/>
                    </a:xfrm>
                    <a:prstGeom prst="rect">
                      <a:avLst/>
                    </a:prstGeom>
                    <a:noFill/>
                    <a:ln>
                      <a:solidFill>
                        <a:schemeClr val="tx1"/>
                      </a:solidFill>
                    </a:ln>
                  </pic:spPr>
                </pic:pic>
              </a:graphicData>
            </a:graphic>
          </wp:inline>
        </w:drawing>
      </w:r>
    </w:p>
    <w:p w14:paraId="7F36AAA0">
      <w:pPr>
        <w:autoSpaceDE w:val="0"/>
        <w:autoSpaceDN w:val="0"/>
        <w:adjustRightInd w:val="0"/>
        <w:spacing w:line="360" w:lineRule="auto"/>
        <w:jc w:val="center"/>
        <w:rPr>
          <w:rFonts w:hint="default" w:ascii="Times New Roman" w:hAnsi="Times New Roman" w:eastAsia="宋体" w:cs="Times New Roman"/>
          <w:b/>
          <w:bCs/>
          <w:color w:val="auto"/>
          <w:kern w:val="0"/>
          <w:sz w:val="24"/>
          <w:szCs w:val="24"/>
          <w:lang w:val="en-US" w:eastAsia="zh-CN"/>
        </w:rPr>
      </w:pPr>
      <w:r>
        <w:rPr>
          <w:rFonts w:hint="default" w:ascii="Times New Roman" w:hAnsi="Times New Roman" w:eastAsia="宋体" w:cs="Times New Roman"/>
          <w:b/>
          <w:bCs/>
          <w:color w:val="auto"/>
          <w:kern w:val="0"/>
          <w:sz w:val="24"/>
          <w:szCs w:val="24"/>
          <w:lang w:val="en-US" w:eastAsia="zh-CN"/>
        </w:rPr>
        <w:t>图</w:t>
      </w:r>
      <w:r>
        <w:rPr>
          <w:rFonts w:hint="eastAsia" w:ascii="Times New Roman" w:hAnsi="Times New Roman" w:eastAsia="宋体" w:cs="Times New Roman"/>
          <w:b/>
          <w:bCs/>
          <w:color w:val="auto"/>
          <w:kern w:val="0"/>
          <w:sz w:val="24"/>
          <w:szCs w:val="24"/>
          <w:lang w:val="en-US" w:eastAsia="zh-CN"/>
        </w:rPr>
        <w:t>3-4</w:t>
      </w:r>
      <w:r>
        <w:rPr>
          <w:rFonts w:hint="default" w:ascii="Times New Roman" w:hAnsi="Times New Roman" w:eastAsia="宋体" w:cs="Times New Roman"/>
          <w:b/>
          <w:bCs/>
          <w:color w:val="auto"/>
          <w:kern w:val="0"/>
          <w:sz w:val="24"/>
          <w:szCs w:val="24"/>
          <w:lang w:val="en-US" w:eastAsia="zh-CN"/>
        </w:rPr>
        <w:t xml:space="preserve">  </w:t>
      </w:r>
      <w:r>
        <w:rPr>
          <w:rFonts w:hint="eastAsia" w:ascii="Times New Roman" w:hAnsi="Times New Roman" w:eastAsia="宋体" w:cs="Times New Roman"/>
          <w:b/>
          <w:bCs/>
          <w:color w:val="auto"/>
          <w:kern w:val="0"/>
          <w:sz w:val="24"/>
          <w:szCs w:val="24"/>
          <w:lang w:val="en-US" w:eastAsia="zh-CN"/>
        </w:rPr>
        <w:t>本项目与安徽金沙钼业有限公司金寨县沙坪沟钼矿采选项目环境影响报告书》陆生动物调查样线范围关系</w:t>
      </w:r>
    </w:p>
    <w:p w14:paraId="3C2083C2">
      <w:pPr>
        <w:pStyle w:val="9"/>
        <w:adjustRightInd w:val="0"/>
        <w:snapToGrid w:val="0"/>
        <w:spacing w:after="0" w:line="360" w:lineRule="auto"/>
        <w:ind w:firstLine="482" w:firstLineChars="20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（3）景观调查</w:t>
      </w:r>
    </w:p>
    <w:p w14:paraId="24200D7D">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景观生态环境质量状况的评判是通过两个方面进行的，一是空间结构分析；二是功能与稳定性分析。空间结构分析一般通过拼块、生态位、成层及排序状况等来反映。景观生态学认为景观结构与功能是相匹配的，景观的结构是否合理从一定程度上决定了该生态体系功能状况的优劣。对结构的合理性判断是从对模地的判断入手的，因为模地的类型与属性对生态体系的动态和完整性起主导作用。判断模地有三个标准，即相对面积大，连通程度高，有动态控制功能。判断模地的标准可选用优势度值（Dd），而优势度值由密度（Rd）、频率（Rf）</w:t>
      </w:r>
      <w:r>
        <w:rPr>
          <w:rFonts w:hint="eastAsia" w:ascii="Times New Roman" w:hAnsi="Times New Roman" w:eastAsia="宋体" w:cs="Times New Roman"/>
          <w:lang w:val="en-US" w:eastAsia="zh-CN"/>
        </w:rPr>
        <w:t>和</w:t>
      </w:r>
      <w:r>
        <w:rPr>
          <w:rFonts w:hint="default" w:ascii="Times New Roman" w:hAnsi="Times New Roman" w:eastAsia="宋体" w:cs="Times New Roman"/>
          <w:lang w:val="en-US" w:eastAsia="zh-CN"/>
        </w:rPr>
        <w:t>景观比例（Lp）三个参数计算得出，其数学表达式如下：</w:t>
      </w:r>
    </w:p>
    <w:p w14:paraId="13E5BD90">
      <w:pPr>
        <w:pStyle w:val="9"/>
        <w:adjustRightInd w:val="0"/>
        <w:snapToGrid w:val="0"/>
        <w:spacing w:after="0" w:line="360" w:lineRule="auto"/>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drawing>
          <wp:inline distT="0" distB="0" distL="114300" distR="114300">
            <wp:extent cx="2451735" cy="1852930"/>
            <wp:effectExtent l="0" t="0" r="5715" b="13970"/>
            <wp:docPr id="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pic:cNvPicPr>
                      <a:picLocks noChangeAspect="1"/>
                    </pic:cNvPicPr>
                  </pic:nvPicPr>
                  <pic:blipFill>
                    <a:blip r:embed="rId82"/>
                    <a:stretch>
                      <a:fillRect/>
                    </a:stretch>
                  </pic:blipFill>
                  <pic:spPr>
                    <a:xfrm>
                      <a:off x="0" y="0"/>
                      <a:ext cx="2451735" cy="1852930"/>
                    </a:xfrm>
                    <a:prstGeom prst="rect">
                      <a:avLst/>
                    </a:prstGeom>
                    <a:noFill/>
                    <a:ln>
                      <a:noFill/>
                    </a:ln>
                  </pic:spPr>
                </pic:pic>
              </a:graphicData>
            </a:graphic>
          </wp:inline>
        </w:drawing>
      </w:r>
    </w:p>
    <w:p w14:paraId="761F50AE">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其中，密度与景观比例可综合反映某一类缀块在景观体系中的连通程度，频率可反映某一种拼块在景观体系中分布的均匀程度，景观比例则可反映某一类拼块在景观体系中的相对面积大小。将密度、频率和景观比例3个参数一起考虑便可得出优势度值，当某一类缀块优势度值明显大于其它各类缀块的优势度值时，可以判断此类拼块是景观体系中的模地，进而可以认为景观体系中的生态特征是由此类模地的生态特征所主导，如果某区域的景观体系以绿地为模地，则表明该区域的生态完整性较优。</w:t>
      </w:r>
    </w:p>
    <w:p w14:paraId="31DEB499">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①拼块划分原则</w:t>
      </w:r>
    </w:p>
    <w:p w14:paraId="4FF9C1DA">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拼块的类型，根据流域内景观生态环境的构成来分，一般是林地、草地、耕地农田、道路、建筑、水面、裸地等等。凡是不连续的同类组分就是同一类型拼块的一个拼块，即</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岛</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。不同类型的拼块分别由一个或一个以上的拼块。</w:t>
      </w:r>
    </w:p>
    <w:p w14:paraId="777D6976">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②样方的划分与统计</w:t>
      </w:r>
    </w:p>
    <w:p w14:paraId="25BD8BEE">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借助卫星影像图，在调查评价范围内，以1000m×1000m为一个样方进行全覆盖划分，统计样方总数和各类拼块所出现的样方数。</w:t>
      </w:r>
    </w:p>
    <w:p w14:paraId="759341DD">
      <w:pPr>
        <w:pStyle w:val="9"/>
        <w:adjustRightInd w:val="0"/>
        <w:snapToGrid w:val="0"/>
        <w:spacing w:after="0" w:line="360" w:lineRule="auto"/>
        <w:ind w:firstLine="482" w:firstLineChars="20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（4）植被覆盖度/生物量/生产力</w:t>
      </w:r>
    </w:p>
    <w:p w14:paraId="5C20B53F">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植被覆盖度通过ENVI5.3和ArcGIS软件反演遥感影像得到。生物量和生产力采用实测和估算结合的方法，主要参考《我国森林植被的生物量和净生产量》（方精云等生态学报，1996）和《中国森林生态系统生物量及其分配研究》（罗云建</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中国林业出版社，2013）等文献。</w:t>
      </w:r>
    </w:p>
    <w:p w14:paraId="21309565">
      <w:pPr>
        <w:pStyle w:val="9"/>
        <w:adjustRightInd w:val="0"/>
        <w:snapToGrid w:val="0"/>
        <w:spacing w:after="0" w:line="360" w:lineRule="auto"/>
        <w:ind w:firstLine="482" w:firstLineChars="20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（5）3S技术运用</w:t>
      </w:r>
    </w:p>
    <w:p w14:paraId="5E09D42A">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评价采用</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3S</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技术，弥补了传统调查方法的不足，增强了生态评价与制图的定量化分析，从而提高了调查的精度和准确性。</w:t>
      </w:r>
    </w:p>
    <w:p w14:paraId="3E1EF733">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①遥感技术（RS）</w:t>
      </w:r>
    </w:p>
    <w:p w14:paraId="213F1F18">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采用Landset（30m分辨率，2021年）卫星遥感图片，通过图像处理，取得假彩色合成图像，结合霞西镇1</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25000林相图，解译出工作区域的植被类型，能够全面真实反映评价区域的植被现状，遥感植被制图直观</w:t>
      </w:r>
      <w:r>
        <w:rPr>
          <w:rFonts w:hint="eastAsia" w:ascii="Times New Roman" w:hAnsi="Times New Roman" w:eastAsia="宋体" w:cs="Times New Roman"/>
          <w:lang w:val="en-US" w:eastAsia="zh-CN"/>
        </w:rPr>
        <w:t>地</w:t>
      </w:r>
      <w:r>
        <w:rPr>
          <w:rFonts w:hint="default" w:ascii="Times New Roman" w:hAnsi="Times New Roman" w:eastAsia="宋体" w:cs="Times New Roman"/>
          <w:lang w:val="en-US" w:eastAsia="zh-CN"/>
        </w:rPr>
        <w:t>揭示了评价区域各种植被的分布范围、规律、特征等，同时有助于野外调查时样方和样线的选择。其工作流程如下：</w:t>
      </w:r>
    </w:p>
    <w:p w14:paraId="7EEBCEC3">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1）图像判读，建立评价区植被解译标志；</w:t>
      </w:r>
    </w:p>
    <w:p w14:paraId="2121ABC4">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2）实地调查，修订解译标志，同时建立各种植被类型与影响的对应关系，确立解译标志；</w:t>
      </w:r>
    </w:p>
    <w:p w14:paraId="70362E19">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3）植被判读分类，建立植被数据库，以植物群落调查成果作为基础单位制作植被图。</w:t>
      </w:r>
    </w:p>
    <w:p w14:paraId="35D4D0E3">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②全球定位系统（GPS）</w:t>
      </w:r>
    </w:p>
    <w:p w14:paraId="0EBEC67A">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使用全球定位系统，用来测定调查点位的经纬坐标和海拔高程等。在生态调查与影响评价工作中，GPS主要用于两方面的工作：一是野外建立解译标志时，利用GPS测定试验点的坐标，将实验点准确定位于遥感图上，这样便能得到各种植被类型的准确对应关系，提高判读精度。二是对样方和样线进行定位。</w:t>
      </w:r>
    </w:p>
    <w:p w14:paraId="55DF8D5C">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③地理信息系统（GIS）</w:t>
      </w:r>
    </w:p>
    <w:p w14:paraId="73E17A19">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地理信息系统，是对空间数据进行管理、分析的信息系统。评价区调查与影响评价，在GIS中建立各种空间数据库，包括工作范围、基础要素、遥感影像、植被类型、资源植物、珍稀濒危植物、经济动物、珍稀濒危动物及样方、样线等。</w:t>
      </w:r>
    </w:p>
    <w:p w14:paraId="7B5F2586">
      <w:pPr>
        <w:pStyle w:val="9"/>
        <w:adjustRightInd w:val="0"/>
        <w:snapToGrid w:val="0"/>
        <w:spacing w:after="0" w:line="360" w:lineRule="auto"/>
        <w:ind w:firstLine="480" w:firstLineChars="200"/>
        <w:rPr>
          <w:rFonts w:hint="default" w:ascii="Times New Roman" w:hAnsi="Times New Roman" w:eastAsia="宋体" w:cs="Times New Roman"/>
          <w:highlight w:val="none"/>
          <w:lang w:val="en-US" w:eastAsia="zh-CN"/>
        </w:rPr>
      </w:pPr>
      <w:r>
        <w:rPr>
          <w:rFonts w:hint="default" w:ascii="Times New Roman" w:hAnsi="Times New Roman" w:eastAsia="宋体" w:cs="Times New Roman"/>
          <w:lang w:val="en-US" w:eastAsia="zh-CN"/>
        </w:rPr>
        <w:t>在GIS中可以对这些数据进行各种空间分析，如叠加分析（overlay）与制图、缓冲区分析（Buffer）等等。这样，能定量地反映水电站对生态环境的影响及生物多样性、景</w:t>
      </w:r>
      <w:r>
        <w:rPr>
          <w:rFonts w:hint="default" w:ascii="Times New Roman" w:hAnsi="Times New Roman" w:eastAsia="宋体" w:cs="Times New Roman"/>
          <w:highlight w:val="none"/>
          <w:lang w:val="en-US" w:eastAsia="zh-CN"/>
        </w:rPr>
        <w:t>观的变化趋势等。</w:t>
      </w:r>
    </w:p>
    <w:p w14:paraId="6A047370">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highlight w:val="none"/>
          <w:lang w:val="en-US" w:eastAsia="zh-CN"/>
        </w:rPr>
      </w:pPr>
      <w:bookmarkStart w:id="647" w:name="_Toc16886"/>
      <w:bookmarkStart w:id="648" w:name="_Toc15766"/>
      <w:bookmarkStart w:id="649" w:name="_Toc6893"/>
      <w:bookmarkStart w:id="650" w:name="_Toc4852"/>
      <w:bookmarkStart w:id="651" w:name="_Toc21126"/>
      <w:r>
        <w:rPr>
          <w:rFonts w:hint="default" w:ascii="Times New Roman" w:hAnsi="Times New Roman" w:eastAsia="宋体" w:cs="Times New Roman"/>
          <w:sz w:val="24"/>
          <w:szCs w:val="24"/>
          <w:highlight w:val="none"/>
          <w:lang w:val="en-US" w:eastAsia="zh-CN"/>
        </w:rPr>
        <w:t>3.</w:t>
      </w:r>
      <w:r>
        <w:rPr>
          <w:rFonts w:hint="eastAsia" w:ascii="Times New Roman" w:hAnsi="Times New Roman" w:eastAsia="宋体" w:cs="Times New Roman"/>
          <w:sz w:val="24"/>
          <w:szCs w:val="24"/>
          <w:highlight w:val="none"/>
          <w:lang w:val="en-US" w:eastAsia="zh-CN"/>
        </w:rPr>
        <w:t>3</w:t>
      </w:r>
      <w:r>
        <w:rPr>
          <w:rFonts w:hint="default" w:ascii="Times New Roman" w:hAnsi="Times New Roman" w:eastAsia="宋体" w:cs="Times New Roman"/>
          <w:sz w:val="24"/>
          <w:szCs w:val="24"/>
          <w:highlight w:val="none"/>
          <w:lang w:val="en-US" w:eastAsia="zh-CN"/>
        </w:rPr>
        <w:t>.2土地利用现状</w:t>
      </w:r>
      <w:bookmarkEnd w:id="647"/>
      <w:bookmarkEnd w:id="648"/>
      <w:bookmarkEnd w:id="649"/>
      <w:bookmarkEnd w:id="650"/>
      <w:bookmarkEnd w:id="651"/>
    </w:p>
    <w:p w14:paraId="4F693726">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基于金寨县的土地调查数据，结合</w:t>
      </w:r>
      <w:r>
        <w:rPr>
          <w:rFonts w:hint="eastAsia" w:ascii="Times New Roman" w:hAnsi="Times New Roman" w:eastAsia="宋体" w:cs="Times New Roman"/>
          <w:lang w:val="en-US" w:eastAsia="zh-CN"/>
        </w:rPr>
        <w:t>土地利用现状套图</w:t>
      </w:r>
      <w:r>
        <w:rPr>
          <w:rFonts w:hint="default" w:ascii="Times New Roman" w:hAnsi="Times New Roman" w:eastAsia="宋体" w:cs="Times New Roman"/>
          <w:lang w:val="en-US" w:eastAsia="zh-CN"/>
        </w:rPr>
        <w:t>和卫片解译，根据《土地利用现状分类》</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GB/T 21010-2017</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，评价区土地利用类型主要有耕地、园地、林地、住宅用地、交通运输用地、水域及水利设施用地、其他土地7个一级地类。评价区土地利用现状图见</w:t>
      </w:r>
      <w:r>
        <w:rPr>
          <w:rFonts w:hint="eastAsia" w:ascii="Times New Roman" w:hAnsi="Times New Roman" w:eastAsia="宋体" w:cs="Times New Roman"/>
          <w:lang w:val="en-US" w:eastAsia="zh-CN"/>
        </w:rPr>
        <w:t>下图，</w:t>
      </w:r>
      <w:r>
        <w:rPr>
          <w:rFonts w:hint="default" w:ascii="Times New Roman" w:hAnsi="Times New Roman" w:eastAsia="宋体" w:cs="Times New Roman"/>
          <w:lang w:val="en-US" w:eastAsia="zh-CN"/>
        </w:rPr>
        <w:t>土地利用现状数据见</w:t>
      </w:r>
      <w:r>
        <w:rPr>
          <w:rFonts w:hint="eastAsia" w:ascii="Times New Roman" w:hAnsi="Times New Roman" w:eastAsia="宋体" w:cs="Times New Roman"/>
          <w:lang w:val="en-US" w:eastAsia="zh-CN"/>
        </w:rPr>
        <w:t>下表</w:t>
      </w:r>
      <w:r>
        <w:rPr>
          <w:rFonts w:hint="default" w:ascii="Times New Roman" w:hAnsi="Times New Roman" w:eastAsia="宋体" w:cs="Times New Roman"/>
          <w:lang w:val="en-US" w:eastAsia="zh-CN"/>
        </w:rPr>
        <w:t>。</w:t>
      </w:r>
    </w:p>
    <w:p w14:paraId="4A35FD78">
      <w:pPr>
        <w:pStyle w:val="9"/>
        <w:adjustRightInd w:val="0"/>
        <w:snapToGrid w:val="0"/>
        <w:spacing w:after="0" w:line="360" w:lineRule="auto"/>
        <w:ind w:firstLine="480" w:firstLineChars="200"/>
        <w:rPr>
          <w:rFonts w:hint="eastAsia" w:ascii="Times New Roman" w:hAnsi="Times New Roman" w:eastAsia="宋体" w:cs="Times New Roman"/>
          <w:lang w:val="en-US" w:eastAsia="zh-CN"/>
        </w:rPr>
      </w:pPr>
      <w:r>
        <w:rPr>
          <w:rFonts w:hint="default" w:ascii="Times New Roman" w:hAnsi="Times New Roman" w:eastAsia="宋体" w:cs="Times New Roman"/>
          <w:lang w:val="en-US" w:eastAsia="zh-CN"/>
        </w:rPr>
        <w:t>评价范围内总面积</w:t>
      </w:r>
      <w:r>
        <w:rPr>
          <w:rFonts w:hint="eastAsia" w:ascii="Times New Roman" w:hAnsi="Times New Roman" w:eastAsia="宋体" w:cs="Times New Roman"/>
          <w:lang w:val="en-US" w:eastAsia="zh-CN"/>
        </w:rPr>
        <w:t>171.20</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具体如下表所示：</w:t>
      </w:r>
    </w:p>
    <w:p w14:paraId="7FD429C5">
      <w:pPr>
        <w:pStyle w:val="25"/>
        <w:adjustRightInd w:val="0"/>
        <w:snapToGrid w:val="0"/>
        <w:spacing w:after="0" w:line="240" w:lineRule="auto"/>
        <w:ind w:left="0" w:leftChars="0" w:firstLine="422" w:firstLineChars="200"/>
        <w:jc w:val="center"/>
        <w:rPr>
          <w:rFonts w:hint="default" w:ascii="Times New Roman" w:hAnsi="Times New Roman" w:eastAsia="宋体" w:cs="Times New Roman"/>
          <w:b/>
          <w:bCs/>
          <w:color w:val="000000" w:themeColor="text1"/>
          <w:sz w:val="21"/>
          <w:szCs w:val="18"/>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18"/>
          <w:highlight w:val="none"/>
          <w14:textFill>
            <w14:solidFill>
              <w14:schemeClr w14:val="tx1"/>
            </w14:solidFill>
          </w14:textFill>
        </w:rPr>
        <w:t>表</w:t>
      </w:r>
      <w:r>
        <w:rPr>
          <w:rFonts w:hint="default" w:ascii="Times New Roman" w:hAnsi="Times New Roman" w:eastAsia="宋体" w:cs="Times New Roman"/>
          <w:b/>
          <w:bCs/>
          <w:color w:val="000000" w:themeColor="text1"/>
          <w:sz w:val="21"/>
          <w:szCs w:val="18"/>
          <w:highlight w:val="none"/>
          <w:lang w:val="en-US" w:eastAsia="zh-CN"/>
          <w14:textFill>
            <w14:solidFill>
              <w14:schemeClr w14:val="tx1"/>
            </w14:solidFill>
          </w14:textFill>
        </w:rPr>
        <w:t>3-</w:t>
      </w:r>
      <w:r>
        <w:rPr>
          <w:rFonts w:hint="eastAsia" w:eastAsia="宋体" w:cs="Times New Roman"/>
          <w:b/>
          <w:bCs/>
          <w:color w:val="000000" w:themeColor="text1"/>
          <w:sz w:val="21"/>
          <w:szCs w:val="18"/>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 w:val="21"/>
          <w:szCs w:val="18"/>
          <w:highlight w:val="none"/>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z w:val="21"/>
          <w:szCs w:val="18"/>
          <w:highlight w:val="none"/>
          <w14:textFill>
            <w14:solidFill>
              <w14:schemeClr w14:val="tx1"/>
            </w14:solidFill>
          </w14:textFill>
        </w:rPr>
        <w:t xml:space="preserve"> 土地利用现状统计表</w:t>
      </w:r>
      <w:r>
        <w:rPr>
          <w:rFonts w:hint="default" w:ascii="Times New Roman" w:hAnsi="Times New Roman" w:eastAsia="宋体" w:cs="Times New Roman"/>
          <w:b/>
          <w:bCs/>
          <w:color w:val="000000" w:themeColor="text1"/>
          <w:sz w:val="21"/>
          <w:szCs w:val="18"/>
          <w:highlight w:val="none"/>
          <w:lang w:val="en-US" w:eastAsia="zh-CN"/>
          <w14:textFill>
            <w14:solidFill>
              <w14:schemeClr w14:val="tx1"/>
            </w14:solidFill>
          </w14:textFill>
        </w:rPr>
        <w:t xml:space="preserve">  单位：hm</w:t>
      </w:r>
      <w:r>
        <w:rPr>
          <w:rFonts w:hint="default" w:ascii="Times New Roman" w:hAnsi="Times New Roman" w:eastAsia="宋体" w:cs="Times New Roman"/>
          <w:b/>
          <w:bCs/>
          <w:color w:val="000000" w:themeColor="text1"/>
          <w:sz w:val="21"/>
          <w:szCs w:val="18"/>
          <w:highlight w:val="none"/>
          <w:vertAlign w:val="superscript"/>
          <w:lang w:val="en-US" w:eastAsia="zh-CN"/>
          <w14:textFill>
            <w14:solidFill>
              <w14:schemeClr w14:val="tx1"/>
            </w14:solidFill>
          </w14:textFill>
        </w:rPr>
        <w:t>2</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1790"/>
        <w:gridCol w:w="2116"/>
        <w:gridCol w:w="1290"/>
        <w:gridCol w:w="1174"/>
        <w:gridCol w:w="1324"/>
      </w:tblGrid>
      <w:tr w14:paraId="3529C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28" w:type="dxa"/>
            <w:vAlign w:val="center"/>
          </w:tcPr>
          <w:p w14:paraId="538E28C3">
            <w:pPr>
              <w:keepNext w:val="0"/>
              <w:keepLines w:val="0"/>
              <w:widowControl/>
              <w:suppressLineNumbers w:val="0"/>
              <w:spacing w:line="240" w:lineRule="auto"/>
              <w:jc w:val="center"/>
              <w:textAlignment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序号</w:t>
            </w:r>
          </w:p>
        </w:tc>
        <w:tc>
          <w:tcPr>
            <w:tcW w:w="3906" w:type="dxa"/>
            <w:gridSpan w:val="2"/>
            <w:vAlign w:val="center"/>
          </w:tcPr>
          <w:p w14:paraId="4FFE7A18">
            <w:pPr>
              <w:keepNext w:val="0"/>
              <w:keepLines w:val="0"/>
              <w:widowControl/>
              <w:suppressLineNumbers w:val="0"/>
              <w:jc w:val="center"/>
              <w:textAlignment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土地利用类型</w:t>
            </w:r>
          </w:p>
        </w:tc>
        <w:tc>
          <w:tcPr>
            <w:tcW w:w="2464" w:type="dxa"/>
            <w:gridSpan w:val="2"/>
            <w:vAlign w:val="center"/>
          </w:tcPr>
          <w:p w14:paraId="154136DF">
            <w:pPr>
              <w:keepNext w:val="0"/>
              <w:keepLines w:val="0"/>
              <w:widowControl/>
              <w:suppressLineNumbers w:val="0"/>
              <w:jc w:val="center"/>
              <w:textAlignment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面积</w:t>
            </w:r>
          </w:p>
        </w:tc>
        <w:tc>
          <w:tcPr>
            <w:tcW w:w="1324" w:type="dxa"/>
            <w:vAlign w:val="center"/>
          </w:tcPr>
          <w:p w14:paraId="5DE202E2">
            <w:pPr>
              <w:keepNext w:val="0"/>
              <w:keepLines w:val="0"/>
              <w:widowControl/>
              <w:suppressLineNumbers w:val="0"/>
              <w:jc w:val="center"/>
              <w:textAlignment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比例（%）</w:t>
            </w:r>
          </w:p>
        </w:tc>
      </w:tr>
      <w:tr w14:paraId="7FB0B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28" w:type="dxa"/>
            <w:vAlign w:val="center"/>
          </w:tcPr>
          <w:p w14:paraId="1D9D698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790" w:type="dxa"/>
            <w:vMerge w:val="restart"/>
            <w:shd w:val="clear" w:color="auto" w:fill="auto"/>
            <w:vAlign w:val="center"/>
          </w:tcPr>
          <w:p w14:paraId="61CF056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耕地</w:t>
            </w:r>
          </w:p>
        </w:tc>
        <w:tc>
          <w:tcPr>
            <w:tcW w:w="2116" w:type="dxa"/>
            <w:vAlign w:val="center"/>
          </w:tcPr>
          <w:p w14:paraId="7A82277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旱地</w:t>
            </w:r>
          </w:p>
        </w:tc>
        <w:tc>
          <w:tcPr>
            <w:tcW w:w="1290" w:type="dxa"/>
            <w:vAlign w:val="center"/>
          </w:tcPr>
          <w:p w14:paraId="5A7160EC">
            <w:pPr>
              <w:jc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7.7815</w:t>
            </w:r>
          </w:p>
        </w:tc>
        <w:tc>
          <w:tcPr>
            <w:tcW w:w="1174" w:type="dxa"/>
            <w:vMerge w:val="restart"/>
            <w:vAlign w:val="center"/>
          </w:tcPr>
          <w:p w14:paraId="5E0A413B">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18.5986</w:t>
            </w:r>
          </w:p>
        </w:tc>
        <w:tc>
          <w:tcPr>
            <w:tcW w:w="1324" w:type="dxa"/>
            <w:vMerge w:val="restart"/>
            <w:vAlign w:val="center"/>
          </w:tcPr>
          <w:p w14:paraId="2B50106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10.86 </w:t>
            </w:r>
          </w:p>
        </w:tc>
      </w:tr>
      <w:tr w14:paraId="35CD2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28" w:type="dxa"/>
            <w:vAlign w:val="center"/>
          </w:tcPr>
          <w:p w14:paraId="1B770E8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w:t>
            </w:r>
          </w:p>
        </w:tc>
        <w:tc>
          <w:tcPr>
            <w:tcW w:w="1790" w:type="dxa"/>
            <w:vMerge w:val="continue"/>
            <w:shd w:val="clear" w:color="auto" w:fill="auto"/>
            <w:vAlign w:val="center"/>
          </w:tcPr>
          <w:p w14:paraId="5D65A4D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2116" w:type="dxa"/>
            <w:vAlign w:val="center"/>
          </w:tcPr>
          <w:p w14:paraId="7C3DDF7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水田</w:t>
            </w:r>
          </w:p>
        </w:tc>
        <w:tc>
          <w:tcPr>
            <w:tcW w:w="1290" w:type="dxa"/>
            <w:vAlign w:val="center"/>
          </w:tcPr>
          <w:p w14:paraId="7C4071F8">
            <w:pPr>
              <w:jc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10.8171</w:t>
            </w:r>
          </w:p>
        </w:tc>
        <w:tc>
          <w:tcPr>
            <w:tcW w:w="1174" w:type="dxa"/>
            <w:vMerge w:val="continue"/>
            <w:vAlign w:val="center"/>
          </w:tcPr>
          <w:p w14:paraId="595FD5AC">
            <w:pPr>
              <w:jc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324" w:type="dxa"/>
            <w:vMerge w:val="continue"/>
            <w:vAlign w:val="center"/>
          </w:tcPr>
          <w:p w14:paraId="5DBC7C1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r>
      <w:tr w14:paraId="14CC4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28" w:type="dxa"/>
            <w:vAlign w:val="center"/>
          </w:tcPr>
          <w:p w14:paraId="249CDF7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w:t>
            </w:r>
          </w:p>
        </w:tc>
        <w:tc>
          <w:tcPr>
            <w:tcW w:w="1790" w:type="dxa"/>
            <w:vMerge w:val="restart"/>
            <w:shd w:val="clear" w:color="auto" w:fill="auto"/>
            <w:vAlign w:val="center"/>
          </w:tcPr>
          <w:p w14:paraId="6A2734AE">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林地</w:t>
            </w:r>
          </w:p>
        </w:tc>
        <w:tc>
          <w:tcPr>
            <w:tcW w:w="2116" w:type="dxa"/>
            <w:vAlign w:val="center"/>
          </w:tcPr>
          <w:p w14:paraId="4D996E0A">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灌木林地</w:t>
            </w:r>
          </w:p>
        </w:tc>
        <w:tc>
          <w:tcPr>
            <w:tcW w:w="1290" w:type="dxa"/>
            <w:vAlign w:val="center"/>
          </w:tcPr>
          <w:p w14:paraId="4FA72BB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0.3592</w:t>
            </w:r>
          </w:p>
        </w:tc>
        <w:tc>
          <w:tcPr>
            <w:tcW w:w="1174" w:type="dxa"/>
            <w:vMerge w:val="restart"/>
            <w:vAlign w:val="center"/>
          </w:tcPr>
          <w:p w14:paraId="16E1F41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143.2473</w:t>
            </w:r>
          </w:p>
        </w:tc>
        <w:tc>
          <w:tcPr>
            <w:tcW w:w="1324" w:type="dxa"/>
            <w:vMerge w:val="restart"/>
            <w:vAlign w:val="center"/>
          </w:tcPr>
          <w:p w14:paraId="18E6C5DB">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83.67 </w:t>
            </w:r>
          </w:p>
        </w:tc>
      </w:tr>
      <w:tr w14:paraId="7359C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28" w:type="dxa"/>
            <w:vAlign w:val="center"/>
          </w:tcPr>
          <w:p w14:paraId="4F59E76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w:t>
            </w:r>
          </w:p>
        </w:tc>
        <w:tc>
          <w:tcPr>
            <w:tcW w:w="1790" w:type="dxa"/>
            <w:vMerge w:val="continue"/>
            <w:shd w:val="clear" w:color="auto" w:fill="auto"/>
            <w:vAlign w:val="center"/>
          </w:tcPr>
          <w:p w14:paraId="2F69C35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2116" w:type="dxa"/>
            <w:vAlign w:val="center"/>
          </w:tcPr>
          <w:p w14:paraId="5CFF955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其他林地</w:t>
            </w:r>
          </w:p>
        </w:tc>
        <w:tc>
          <w:tcPr>
            <w:tcW w:w="1290" w:type="dxa"/>
            <w:vAlign w:val="center"/>
          </w:tcPr>
          <w:p w14:paraId="25DEDB8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0.4855</w:t>
            </w:r>
          </w:p>
        </w:tc>
        <w:tc>
          <w:tcPr>
            <w:tcW w:w="1174" w:type="dxa"/>
            <w:vMerge w:val="continue"/>
            <w:vAlign w:val="center"/>
          </w:tcPr>
          <w:p w14:paraId="057ECDB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324" w:type="dxa"/>
            <w:vMerge w:val="continue"/>
            <w:vAlign w:val="center"/>
          </w:tcPr>
          <w:p w14:paraId="35EC88E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r>
      <w:tr w14:paraId="7E7B9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28" w:type="dxa"/>
            <w:vAlign w:val="center"/>
          </w:tcPr>
          <w:p w14:paraId="06BA97D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w:t>
            </w:r>
          </w:p>
        </w:tc>
        <w:tc>
          <w:tcPr>
            <w:tcW w:w="1790" w:type="dxa"/>
            <w:vMerge w:val="continue"/>
            <w:shd w:val="clear" w:color="auto" w:fill="auto"/>
            <w:vAlign w:val="center"/>
          </w:tcPr>
          <w:p w14:paraId="0903868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2116" w:type="dxa"/>
            <w:vAlign w:val="center"/>
          </w:tcPr>
          <w:p w14:paraId="674B346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乔木林地</w:t>
            </w:r>
          </w:p>
        </w:tc>
        <w:tc>
          <w:tcPr>
            <w:tcW w:w="1290" w:type="dxa"/>
            <w:vAlign w:val="center"/>
          </w:tcPr>
          <w:p w14:paraId="2B55E07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137.0697</w:t>
            </w:r>
          </w:p>
        </w:tc>
        <w:tc>
          <w:tcPr>
            <w:tcW w:w="1174" w:type="dxa"/>
            <w:vMerge w:val="continue"/>
            <w:vAlign w:val="center"/>
          </w:tcPr>
          <w:p w14:paraId="6AFF0EC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324" w:type="dxa"/>
            <w:vMerge w:val="continue"/>
            <w:vAlign w:val="center"/>
          </w:tcPr>
          <w:p w14:paraId="008A1CB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r>
      <w:tr w14:paraId="5CCB9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28" w:type="dxa"/>
            <w:vAlign w:val="center"/>
          </w:tcPr>
          <w:p w14:paraId="0E30974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6</w:t>
            </w:r>
          </w:p>
        </w:tc>
        <w:tc>
          <w:tcPr>
            <w:tcW w:w="1790" w:type="dxa"/>
            <w:vMerge w:val="continue"/>
            <w:shd w:val="clear" w:color="auto" w:fill="auto"/>
            <w:vAlign w:val="center"/>
          </w:tcPr>
          <w:p w14:paraId="1BBFC80B">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2116" w:type="dxa"/>
            <w:vAlign w:val="center"/>
          </w:tcPr>
          <w:p w14:paraId="1F7B7C1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竹林地</w:t>
            </w:r>
          </w:p>
        </w:tc>
        <w:tc>
          <w:tcPr>
            <w:tcW w:w="1290" w:type="dxa"/>
            <w:vAlign w:val="center"/>
          </w:tcPr>
          <w:p w14:paraId="5A6729B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5.3329</w:t>
            </w:r>
          </w:p>
        </w:tc>
        <w:tc>
          <w:tcPr>
            <w:tcW w:w="1174" w:type="dxa"/>
            <w:vMerge w:val="continue"/>
            <w:vAlign w:val="center"/>
          </w:tcPr>
          <w:p w14:paraId="361A96AB">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324" w:type="dxa"/>
            <w:vMerge w:val="continue"/>
            <w:vAlign w:val="center"/>
          </w:tcPr>
          <w:p w14:paraId="34A213E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r>
      <w:tr w14:paraId="4C45F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28" w:type="dxa"/>
            <w:vAlign w:val="center"/>
          </w:tcPr>
          <w:p w14:paraId="070CE47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w:t>
            </w:r>
          </w:p>
        </w:tc>
        <w:tc>
          <w:tcPr>
            <w:tcW w:w="1790" w:type="dxa"/>
            <w:shd w:val="clear" w:color="auto" w:fill="auto"/>
            <w:vAlign w:val="center"/>
          </w:tcPr>
          <w:p w14:paraId="5CF9DB9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其他</w:t>
            </w: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土地</w:t>
            </w:r>
          </w:p>
        </w:tc>
        <w:tc>
          <w:tcPr>
            <w:tcW w:w="2116" w:type="dxa"/>
            <w:vAlign w:val="center"/>
          </w:tcPr>
          <w:p w14:paraId="4C65037E">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设施农用地</w:t>
            </w:r>
          </w:p>
        </w:tc>
        <w:tc>
          <w:tcPr>
            <w:tcW w:w="1290" w:type="dxa"/>
            <w:vAlign w:val="center"/>
          </w:tcPr>
          <w:p w14:paraId="63BD5B9E">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0.0201</w:t>
            </w:r>
          </w:p>
        </w:tc>
        <w:tc>
          <w:tcPr>
            <w:tcW w:w="1174" w:type="dxa"/>
            <w:vAlign w:val="center"/>
          </w:tcPr>
          <w:p w14:paraId="5063C16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0.0201</w:t>
            </w:r>
          </w:p>
        </w:tc>
        <w:tc>
          <w:tcPr>
            <w:tcW w:w="1324" w:type="dxa"/>
            <w:vAlign w:val="center"/>
          </w:tcPr>
          <w:p w14:paraId="538BF14B">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0.01 </w:t>
            </w:r>
          </w:p>
        </w:tc>
      </w:tr>
      <w:tr w14:paraId="6D3BF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28" w:type="dxa"/>
            <w:vAlign w:val="center"/>
          </w:tcPr>
          <w:p w14:paraId="304BD61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8</w:t>
            </w:r>
          </w:p>
        </w:tc>
        <w:tc>
          <w:tcPr>
            <w:tcW w:w="1790" w:type="dxa"/>
            <w:shd w:val="clear" w:color="auto" w:fill="auto"/>
            <w:vAlign w:val="center"/>
          </w:tcPr>
          <w:p w14:paraId="107BFE5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住宅</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用地</w:t>
            </w:r>
          </w:p>
        </w:tc>
        <w:tc>
          <w:tcPr>
            <w:tcW w:w="2116" w:type="dxa"/>
            <w:vAlign w:val="center"/>
          </w:tcPr>
          <w:p w14:paraId="4966019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农村宅基地</w:t>
            </w:r>
          </w:p>
        </w:tc>
        <w:tc>
          <w:tcPr>
            <w:tcW w:w="1290" w:type="dxa"/>
            <w:vAlign w:val="center"/>
          </w:tcPr>
          <w:p w14:paraId="60D82BB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2.0976</w:t>
            </w:r>
          </w:p>
        </w:tc>
        <w:tc>
          <w:tcPr>
            <w:tcW w:w="1174" w:type="dxa"/>
            <w:vAlign w:val="center"/>
          </w:tcPr>
          <w:p w14:paraId="606D4BB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2.0976</w:t>
            </w:r>
          </w:p>
        </w:tc>
        <w:tc>
          <w:tcPr>
            <w:tcW w:w="1324" w:type="dxa"/>
            <w:vAlign w:val="center"/>
          </w:tcPr>
          <w:p w14:paraId="394658BB">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1.23 </w:t>
            </w:r>
          </w:p>
        </w:tc>
      </w:tr>
      <w:tr w14:paraId="68C3D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28" w:type="dxa"/>
            <w:vAlign w:val="center"/>
          </w:tcPr>
          <w:p w14:paraId="561C2A5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9</w:t>
            </w:r>
          </w:p>
        </w:tc>
        <w:tc>
          <w:tcPr>
            <w:tcW w:w="1790" w:type="dxa"/>
            <w:vMerge w:val="restart"/>
            <w:shd w:val="clear" w:color="auto" w:fill="auto"/>
            <w:vAlign w:val="center"/>
          </w:tcPr>
          <w:p w14:paraId="571B46D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交通运输用地</w:t>
            </w:r>
          </w:p>
        </w:tc>
        <w:tc>
          <w:tcPr>
            <w:tcW w:w="2116" w:type="dxa"/>
            <w:vAlign w:val="center"/>
          </w:tcPr>
          <w:p w14:paraId="485B4E2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农村道路</w:t>
            </w:r>
          </w:p>
        </w:tc>
        <w:tc>
          <w:tcPr>
            <w:tcW w:w="1290" w:type="dxa"/>
            <w:vAlign w:val="center"/>
          </w:tcPr>
          <w:p w14:paraId="20DDC7B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1.2816</w:t>
            </w:r>
          </w:p>
        </w:tc>
        <w:tc>
          <w:tcPr>
            <w:tcW w:w="1174" w:type="dxa"/>
            <w:vMerge w:val="restart"/>
            <w:vAlign w:val="center"/>
          </w:tcPr>
          <w:p w14:paraId="1AA496F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1.9381</w:t>
            </w:r>
          </w:p>
        </w:tc>
        <w:tc>
          <w:tcPr>
            <w:tcW w:w="1324" w:type="dxa"/>
            <w:vMerge w:val="restart"/>
            <w:vAlign w:val="center"/>
          </w:tcPr>
          <w:p w14:paraId="52397D5A">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1.13 </w:t>
            </w:r>
          </w:p>
        </w:tc>
      </w:tr>
      <w:tr w14:paraId="5E4AA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28" w:type="dxa"/>
            <w:vAlign w:val="center"/>
          </w:tcPr>
          <w:p w14:paraId="454B816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w:t>
            </w:r>
          </w:p>
        </w:tc>
        <w:tc>
          <w:tcPr>
            <w:tcW w:w="1790" w:type="dxa"/>
            <w:vMerge w:val="continue"/>
            <w:shd w:val="clear" w:color="auto" w:fill="auto"/>
            <w:vAlign w:val="center"/>
          </w:tcPr>
          <w:p w14:paraId="4DA85B2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2116" w:type="dxa"/>
            <w:vAlign w:val="center"/>
          </w:tcPr>
          <w:p w14:paraId="191E5A5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城镇村道路用地</w:t>
            </w:r>
          </w:p>
        </w:tc>
        <w:tc>
          <w:tcPr>
            <w:tcW w:w="1290" w:type="dxa"/>
            <w:vAlign w:val="center"/>
          </w:tcPr>
          <w:p w14:paraId="110D825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0.0635</w:t>
            </w:r>
          </w:p>
        </w:tc>
        <w:tc>
          <w:tcPr>
            <w:tcW w:w="1174" w:type="dxa"/>
            <w:vMerge w:val="continue"/>
            <w:vAlign w:val="center"/>
          </w:tcPr>
          <w:p w14:paraId="6BDC7D0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324" w:type="dxa"/>
            <w:vMerge w:val="continue"/>
            <w:vAlign w:val="center"/>
          </w:tcPr>
          <w:p w14:paraId="2E16ADB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r>
      <w:tr w14:paraId="26FF3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28" w:type="dxa"/>
            <w:vAlign w:val="center"/>
          </w:tcPr>
          <w:p w14:paraId="410D188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11</w:t>
            </w:r>
          </w:p>
        </w:tc>
        <w:tc>
          <w:tcPr>
            <w:tcW w:w="1790" w:type="dxa"/>
            <w:vMerge w:val="continue"/>
            <w:shd w:val="clear" w:color="auto" w:fill="auto"/>
            <w:vAlign w:val="center"/>
          </w:tcPr>
          <w:p w14:paraId="649B108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2116" w:type="dxa"/>
            <w:vAlign w:val="center"/>
          </w:tcPr>
          <w:p w14:paraId="17006EC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公路用地</w:t>
            </w:r>
          </w:p>
        </w:tc>
        <w:tc>
          <w:tcPr>
            <w:tcW w:w="1290" w:type="dxa"/>
            <w:vAlign w:val="center"/>
          </w:tcPr>
          <w:p w14:paraId="2F1CA60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0.5930</w:t>
            </w:r>
          </w:p>
        </w:tc>
        <w:tc>
          <w:tcPr>
            <w:tcW w:w="1174" w:type="dxa"/>
            <w:vMerge w:val="continue"/>
            <w:vAlign w:val="center"/>
          </w:tcPr>
          <w:p w14:paraId="27C5A7B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324" w:type="dxa"/>
            <w:vMerge w:val="continue"/>
            <w:vAlign w:val="center"/>
          </w:tcPr>
          <w:p w14:paraId="674CEA4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r>
      <w:tr w14:paraId="442F2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28" w:type="dxa"/>
            <w:vAlign w:val="center"/>
          </w:tcPr>
          <w:p w14:paraId="58C7A4BE">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12</w:t>
            </w:r>
          </w:p>
        </w:tc>
        <w:tc>
          <w:tcPr>
            <w:tcW w:w="1790" w:type="dxa"/>
            <w:vMerge w:val="restart"/>
            <w:shd w:val="clear" w:color="auto" w:fill="auto"/>
            <w:vAlign w:val="center"/>
          </w:tcPr>
          <w:p w14:paraId="436F8C6A">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水域及水利设施用地</w:t>
            </w:r>
          </w:p>
        </w:tc>
        <w:tc>
          <w:tcPr>
            <w:tcW w:w="2116" w:type="dxa"/>
            <w:vAlign w:val="center"/>
          </w:tcPr>
          <w:p w14:paraId="0FB2986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14:textFill>
                  <w14:solidFill>
                    <w14:schemeClr w14:val="tx1"/>
                  </w14:solidFill>
                </w14:textFill>
              </w:rPr>
              <w:t>河流水面</w:t>
            </w:r>
          </w:p>
        </w:tc>
        <w:tc>
          <w:tcPr>
            <w:tcW w:w="1290" w:type="dxa"/>
            <w:vAlign w:val="center"/>
          </w:tcPr>
          <w:p w14:paraId="494C442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4.3288</w:t>
            </w:r>
          </w:p>
        </w:tc>
        <w:tc>
          <w:tcPr>
            <w:tcW w:w="1174" w:type="dxa"/>
            <w:vMerge w:val="restart"/>
            <w:vAlign w:val="center"/>
          </w:tcPr>
          <w:p w14:paraId="4718ED7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5.2995</w:t>
            </w:r>
          </w:p>
        </w:tc>
        <w:tc>
          <w:tcPr>
            <w:tcW w:w="1324" w:type="dxa"/>
            <w:vMerge w:val="restart"/>
            <w:vAlign w:val="center"/>
          </w:tcPr>
          <w:p w14:paraId="1D21DCA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3.10 </w:t>
            </w:r>
          </w:p>
        </w:tc>
      </w:tr>
      <w:tr w14:paraId="5DFA0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28" w:type="dxa"/>
            <w:vAlign w:val="center"/>
          </w:tcPr>
          <w:p w14:paraId="5CF0B63E">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13</w:t>
            </w:r>
          </w:p>
        </w:tc>
        <w:tc>
          <w:tcPr>
            <w:tcW w:w="1790" w:type="dxa"/>
            <w:vMerge w:val="continue"/>
            <w:shd w:val="clear" w:color="auto" w:fill="auto"/>
            <w:vAlign w:val="center"/>
          </w:tcPr>
          <w:p w14:paraId="3F7A45F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2116" w:type="dxa"/>
            <w:vAlign w:val="center"/>
          </w:tcPr>
          <w:p w14:paraId="3AA2995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坑塘水面</w:t>
            </w:r>
          </w:p>
        </w:tc>
        <w:tc>
          <w:tcPr>
            <w:tcW w:w="1290" w:type="dxa"/>
            <w:vAlign w:val="center"/>
          </w:tcPr>
          <w:p w14:paraId="573EBC4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0.0470</w:t>
            </w:r>
          </w:p>
        </w:tc>
        <w:tc>
          <w:tcPr>
            <w:tcW w:w="1174" w:type="dxa"/>
            <w:vMerge w:val="continue"/>
            <w:vAlign w:val="center"/>
          </w:tcPr>
          <w:p w14:paraId="6D0F8D9B">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324" w:type="dxa"/>
            <w:vMerge w:val="continue"/>
            <w:vAlign w:val="center"/>
          </w:tcPr>
          <w:p w14:paraId="796B645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r>
      <w:tr w14:paraId="7632A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28" w:type="dxa"/>
            <w:vAlign w:val="center"/>
          </w:tcPr>
          <w:p w14:paraId="550651EF">
            <w:pPr>
              <w:keepNext w:val="0"/>
              <w:keepLines w:val="0"/>
              <w:widowControl/>
              <w:suppressLineNumbers w:val="0"/>
              <w:jc w:val="center"/>
              <w:textAlignment w:val="cente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14</w:t>
            </w:r>
          </w:p>
        </w:tc>
        <w:tc>
          <w:tcPr>
            <w:tcW w:w="1790" w:type="dxa"/>
            <w:vMerge w:val="continue"/>
            <w:shd w:val="clear" w:color="auto" w:fill="auto"/>
            <w:vAlign w:val="center"/>
          </w:tcPr>
          <w:p w14:paraId="1AE69C1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2116" w:type="dxa"/>
            <w:vAlign w:val="center"/>
          </w:tcPr>
          <w:p w14:paraId="56C02B5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沟渠</w:t>
            </w:r>
          </w:p>
        </w:tc>
        <w:tc>
          <w:tcPr>
            <w:tcW w:w="1290" w:type="dxa"/>
            <w:vAlign w:val="center"/>
          </w:tcPr>
          <w:p w14:paraId="6B32E17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0.9237</w:t>
            </w:r>
          </w:p>
        </w:tc>
        <w:tc>
          <w:tcPr>
            <w:tcW w:w="1174" w:type="dxa"/>
            <w:vMerge w:val="continue"/>
            <w:vAlign w:val="center"/>
          </w:tcPr>
          <w:p w14:paraId="5644AD98">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324" w:type="dxa"/>
            <w:vMerge w:val="continue"/>
            <w:vAlign w:val="center"/>
          </w:tcPr>
          <w:p w14:paraId="635CEEE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r>
      <w:tr w14:paraId="018D5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4734" w:type="dxa"/>
            <w:gridSpan w:val="3"/>
            <w:vAlign w:val="center"/>
          </w:tcPr>
          <w:p w14:paraId="1A3687C3">
            <w:pPr>
              <w:keepNext w:val="0"/>
              <w:keepLines w:val="0"/>
              <w:widowControl/>
              <w:suppressLineNumbers w:val="0"/>
              <w:jc w:val="center"/>
              <w:textAlignment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合计</w:t>
            </w:r>
          </w:p>
        </w:tc>
        <w:tc>
          <w:tcPr>
            <w:tcW w:w="2464" w:type="dxa"/>
            <w:gridSpan w:val="2"/>
            <w:vAlign w:val="center"/>
          </w:tcPr>
          <w:p w14:paraId="65DC7DEA">
            <w:pPr>
              <w:keepNext w:val="0"/>
              <w:keepLines w:val="0"/>
              <w:widowControl/>
              <w:suppressLineNumbers w:val="0"/>
              <w:jc w:val="center"/>
              <w:textAlignment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171.2012</w:t>
            </w:r>
          </w:p>
        </w:tc>
        <w:tc>
          <w:tcPr>
            <w:tcW w:w="1324" w:type="dxa"/>
            <w:vAlign w:val="center"/>
          </w:tcPr>
          <w:p w14:paraId="6C0ED7C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r>
    </w:tbl>
    <w:p w14:paraId="489B633C">
      <w:pPr>
        <w:pStyle w:val="9"/>
        <w:adjustRightInd w:val="0"/>
        <w:snapToGrid w:val="0"/>
        <w:spacing w:after="0" w:line="360" w:lineRule="auto"/>
        <w:ind w:firstLine="480" w:firstLineChars="200"/>
        <w:rPr>
          <w:rFonts w:hint="default" w:ascii="Times New Roman" w:hAnsi="Times New Roman" w:eastAsia="宋体" w:cs="Times New Roman"/>
          <w:b/>
          <w:bCs/>
          <w:color w:val="000000" w:themeColor="text1"/>
          <w:sz w:val="21"/>
          <w:szCs w:val="18"/>
          <w:highlight w:val="none"/>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根据上表</w:t>
      </w:r>
      <w:r>
        <w:rPr>
          <w:rFonts w:hint="default" w:ascii="Times New Roman" w:hAnsi="Times New Roman" w:eastAsia="宋体" w:cs="Times New Roman"/>
          <w:color w:val="000000" w:themeColor="text1"/>
          <w:lang w:val="en-US" w:eastAsia="zh-CN"/>
          <w14:textFill>
            <w14:solidFill>
              <w14:schemeClr w14:val="tx1"/>
            </w14:solidFill>
          </w14:textFill>
        </w:rPr>
        <w:t>可见，评价区土地利用结构以林地为主，占</w:t>
      </w:r>
      <w:r>
        <w:rPr>
          <w:rFonts w:hint="eastAsia" w:ascii="Times New Roman" w:hAnsi="Times New Roman" w:eastAsia="宋体" w:cs="Times New Roman"/>
          <w:color w:val="000000" w:themeColor="text1"/>
          <w:lang w:val="en-US" w:eastAsia="zh-CN"/>
          <w14:textFill>
            <w14:solidFill>
              <w14:schemeClr w14:val="tx1"/>
            </w14:solidFill>
          </w14:textFill>
        </w:rPr>
        <w:t>83.67</w:t>
      </w:r>
      <w:r>
        <w:rPr>
          <w:rFonts w:hint="default" w:ascii="Times New Roman" w:hAnsi="Times New Roman" w:eastAsia="宋体" w:cs="Times New Roman"/>
          <w:color w:val="000000" w:themeColor="text1"/>
          <w:lang w:val="en-US" w:eastAsia="zh-CN"/>
          <w14:textFill>
            <w14:solidFill>
              <w14:schemeClr w14:val="tx1"/>
            </w14:solidFill>
          </w14:textFill>
        </w:rPr>
        <w:t>%</w:t>
      </w:r>
      <w:r>
        <w:rPr>
          <w:rFonts w:hint="eastAsia" w:ascii="Times New Roman" w:hAnsi="Times New Roman" w:eastAsia="宋体"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其次为耕地，占</w:t>
      </w:r>
      <w:r>
        <w:rPr>
          <w:rFonts w:hint="eastAsia" w:ascii="Times New Roman" w:hAnsi="Times New Roman" w:eastAsia="宋体" w:cs="Times New Roman"/>
          <w:color w:val="000000" w:themeColor="text1"/>
          <w:lang w:val="en-US" w:eastAsia="zh-CN"/>
          <w14:textFill>
            <w14:solidFill>
              <w14:schemeClr w14:val="tx1"/>
            </w14:solidFill>
          </w14:textFill>
        </w:rPr>
        <w:t>10.86</w:t>
      </w:r>
      <w:r>
        <w:rPr>
          <w:rFonts w:hint="default" w:ascii="Times New Roman" w:hAnsi="Times New Roman" w:eastAsia="宋体" w:cs="Times New Roman"/>
          <w:color w:val="000000" w:themeColor="text1"/>
          <w:lang w:val="en-US" w:eastAsia="zh-CN"/>
          <w14:textFill>
            <w14:solidFill>
              <w14:schemeClr w14:val="tx1"/>
            </w14:solidFill>
          </w14:textFill>
        </w:rPr>
        <w:t>%。</w:t>
      </w:r>
    </w:p>
    <w:p w14:paraId="131A7125">
      <w:pPr>
        <w:rPr>
          <w:rFonts w:hint="default"/>
          <w:lang w:val="en-US" w:eastAsia="zh-CN"/>
        </w:rPr>
      </w:pPr>
      <w:bookmarkStart w:id="652" w:name="_Toc10892"/>
      <w:bookmarkStart w:id="653" w:name="_Toc12980"/>
      <w:bookmarkStart w:id="654" w:name="_Toc14113"/>
      <w:bookmarkStart w:id="655" w:name="_Toc5856"/>
      <w:r>
        <w:rPr>
          <w:rFonts w:hint="default"/>
          <w:lang w:val="en-US" w:eastAsia="zh-CN"/>
        </w:rPr>
        <w:drawing>
          <wp:inline distT="0" distB="0" distL="114300" distR="114300">
            <wp:extent cx="5273040" cy="7451725"/>
            <wp:effectExtent l="9525" t="9525" r="13335" b="25400"/>
            <wp:docPr id="7" name="图片 7" descr="沙蔡路评价区域土地利用现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沙蔡路评价区域土地利用现状图"/>
                    <pic:cNvPicPr>
                      <a:picLocks noChangeAspect="1"/>
                    </pic:cNvPicPr>
                  </pic:nvPicPr>
                  <pic:blipFill>
                    <a:blip r:embed="rId83"/>
                    <a:stretch>
                      <a:fillRect/>
                    </a:stretch>
                  </pic:blipFill>
                  <pic:spPr>
                    <a:xfrm>
                      <a:off x="0" y="0"/>
                      <a:ext cx="5273040" cy="7451725"/>
                    </a:xfrm>
                    <a:prstGeom prst="rect">
                      <a:avLst/>
                    </a:prstGeom>
                    <a:ln>
                      <a:solidFill>
                        <a:schemeClr val="tx1"/>
                      </a:solidFill>
                    </a:ln>
                  </pic:spPr>
                </pic:pic>
              </a:graphicData>
            </a:graphic>
          </wp:inline>
        </w:drawing>
      </w:r>
    </w:p>
    <w:p w14:paraId="29171705">
      <w:pPr>
        <w:autoSpaceDE w:val="0"/>
        <w:autoSpaceDN w:val="0"/>
        <w:adjustRightInd w:val="0"/>
        <w:spacing w:line="360" w:lineRule="auto"/>
        <w:jc w:val="center"/>
        <w:rPr>
          <w:rFonts w:hint="default" w:ascii="Times New Roman" w:hAnsi="Times New Roman" w:eastAsia="宋体" w:cs="Times New Roman"/>
          <w:b/>
          <w:bCs/>
          <w:color w:val="000000" w:themeColor="text1"/>
          <w:kern w:val="0"/>
          <w:sz w:val="24"/>
          <w:szCs w:val="24"/>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14:textFill>
            <w14:solidFill>
              <w14:schemeClr w14:val="tx1"/>
            </w14:solidFill>
          </w14:textFill>
        </w:rPr>
        <w:t>图</w:t>
      </w:r>
      <w:r>
        <w:rPr>
          <w:rFonts w:hint="eastAsia" w:ascii="Times New Roman" w:hAnsi="Times New Roman" w:eastAsia="宋体" w:cs="Times New Roman"/>
          <w:b/>
          <w:bCs/>
          <w:color w:val="000000" w:themeColor="text1"/>
          <w:kern w:val="0"/>
          <w:sz w:val="24"/>
          <w:szCs w:val="24"/>
          <w:lang w:val="en-US" w:eastAsia="zh-CN"/>
          <w14:textFill>
            <w14:solidFill>
              <w14:schemeClr w14:val="tx1"/>
            </w14:solidFill>
          </w14:textFill>
        </w:rPr>
        <w:t>3-4  项目评价范围土地利用现状图</w:t>
      </w:r>
    </w:p>
    <w:p w14:paraId="24324D55">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656" w:name="_Toc9727"/>
      <w:r>
        <w:rPr>
          <w:rFonts w:hint="default" w:ascii="Times New Roman" w:hAnsi="Times New Roman" w:eastAsia="宋体" w:cs="Times New Roman"/>
          <w:sz w:val="24"/>
          <w:szCs w:val="24"/>
          <w:lang w:val="en-US" w:eastAsia="zh-CN"/>
        </w:rPr>
        <w:t>3.</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.3植被</w:t>
      </w:r>
      <w:bookmarkEnd w:id="652"/>
      <w:bookmarkEnd w:id="653"/>
      <w:bookmarkEnd w:id="654"/>
      <w:bookmarkEnd w:id="655"/>
      <w:bookmarkEnd w:id="656"/>
    </w:p>
    <w:p w14:paraId="3BED9800">
      <w:pPr>
        <w:pStyle w:val="9"/>
        <w:adjustRightInd w:val="0"/>
        <w:snapToGrid w:val="0"/>
        <w:spacing w:after="0" w:line="360" w:lineRule="auto"/>
        <w:ind w:firstLine="482" w:firstLineChars="20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（1）植被概况</w:t>
      </w:r>
    </w:p>
    <w:p w14:paraId="46E752DE">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按照《中国植被》和《安徽植被》的分类原则，评价区植被类型的外貌、结构和组成植被的植物区系具有北亚热带森林生态系统向暖温带森林生态系统的过渡地区的特征，评价区植被类型主要有</w:t>
      </w:r>
      <w:r>
        <w:rPr>
          <w:rFonts w:hint="eastAsia" w:ascii="Times New Roman" w:hAnsi="Times New Roman" w:eastAsia="宋体" w:cs="Times New Roman"/>
          <w:lang w:val="en-US" w:eastAsia="zh-CN"/>
        </w:rPr>
        <w:t>乔木林地</w:t>
      </w:r>
      <w:r>
        <w:rPr>
          <w:rFonts w:hint="default" w:ascii="Times New Roman" w:hAnsi="Times New Roman" w:eastAsia="宋体" w:cs="Times New Roman"/>
          <w:lang w:val="en-US" w:eastAsia="zh-CN"/>
        </w:rPr>
        <w:t>和</w:t>
      </w:r>
      <w:r>
        <w:rPr>
          <w:rFonts w:hint="eastAsia" w:ascii="Times New Roman" w:hAnsi="Times New Roman" w:eastAsia="宋体" w:cs="Times New Roman"/>
          <w:lang w:val="en-US" w:eastAsia="zh-CN"/>
        </w:rPr>
        <w:t>水田</w:t>
      </w:r>
      <w:r>
        <w:rPr>
          <w:rFonts w:hint="default" w:ascii="Times New Roman" w:hAnsi="Times New Roman" w:eastAsia="宋体" w:cs="Times New Roman"/>
          <w:lang w:val="en-US" w:eastAsia="zh-CN"/>
        </w:rPr>
        <w:t>等。优势种以禾本科、壳斗科、山茶科、杉科等科属为主。受人类活动影响，评价区范围内多见次生植被和人工作物。</w:t>
      </w:r>
    </w:p>
    <w:p w14:paraId="65D9580D">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①毛竹林</w:t>
      </w:r>
    </w:p>
    <w:p w14:paraId="5BBB3D4D">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毛竹林是评价区内常见植被类型，海拔</w:t>
      </w:r>
      <w:r>
        <w:rPr>
          <w:rFonts w:hint="eastAsia" w:ascii="Times New Roman" w:hAnsi="Times New Roman" w:eastAsia="宋体" w:cs="Times New Roman"/>
          <w:lang w:val="en-US" w:eastAsia="zh-CN"/>
        </w:rPr>
        <w:t>199</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366</w:t>
      </w:r>
      <w:r>
        <w:rPr>
          <w:rFonts w:hint="default" w:ascii="Times New Roman" w:hAnsi="Times New Roman" w:eastAsia="宋体" w:cs="Times New Roman"/>
          <w:lang w:val="en-US" w:eastAsia="zh-CN"/>
        </w:rPr>
        <w:t>m均可见，成片状分布，平均坡度约为45°，林冠郁闭度为0.74。同时分布有枫香、栗、苦楝、麻栎等。林下分布有</w:t>
      </w:r>
      <w:r>
        <w:rPr>
          <w:rFonts w:hint="eastAsia" w:ascii="Times New Roman" w:hAnsi="Times New Roman" w:eastAsia="宋体" w:cs="Times New Roman"/>
          <w:lang w:val="en-US" w:eastAsia="zh-CN"/>
        </w:rPr>
        <w:t>木樨</w:t>
      </w:r>
      <w:r>
        <w:rPr>
          <w:rFonts w:hint="default" w:ascii="Times New Roman" w:hAnsi="Times New Roman" w:eastAsia="宋体" w:cs="Times New Roman"/>
          <w:lang w:val="en-US" w:eastAsia="zh-CN"/>
        </w:rPr>
        <w:t>、山茶、荩草、芒、蛇莓、山胡椒、薹草、过路黄等。</w:t>
      </w:r>
    </w:p>
    <w:p w14:paraId="72878CD6">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②针叶林</w:t>
      </w:r>
    </w:p>
    <w:p w14:paraId="680E1681">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该群落类型在评价区分布较少，以杉木为主，并分布少量的马尾松、柳杉等，多分布于海拔2</w:t>
      </w:r>
      <w:r>
        <w:rPr>
          <w:rFonts w:hint="eastAsia" w:ascii="Times New Roman" w:hAnsi="Times New Roman" w:eastAsia="宋体" w:cs="Times New Roman"/>
          <w:lang w:val="en-US" w:eastAsia="zh-CN"/>
        </w:rPr>
        <w:t>53</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386</w:t>
      </w:r>
      <w:r>
        <w:rPr>
          <w:rFonts w:hint="default" w:ascii="Times New Roman" w:hAnsi="Times New Roman" w:eastAsia="宋体" w:cs="Times New Roman"/>
          <w:lang w:val="en-US" w:eastAsia="zh-CN"/>
        </w:rPr>
        <w:t>m，平均坡度约为40°，林冠郁闭度为0.75。林下成分简单，主要为山胡椒、高粱泡、芒、千里光、白英、地钱、深山含笑、蕨等植物。</w:t>
      </w:r>
    </w:p>
    <w:p w14:paraId="5360F961">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③阔叶林</w:t>
      </w:r>
    </w:p>
    <w:p w14:paraId="719734C2">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该群落类型在评价区常见，主要分布在评价区海拔</w:t>
      </w:r>
      <w:r>
        <w:rPr>
          <w:rFonts w:hint="eastAsia" w:ascii="Times New Roman" w:hAnsi="Times New Roman" w:eastAsia="宋体" w:cs="Times New Roman"/>
          <w:lang w:val="en-US" w:eastAsia="zh-CN"/>
        </w:rPr>
        <w:t>291</w:t>
      </w:r>
      <w:r>
        <w:rPr>
          <w:rFonts w:hint="default" w:ascii="Times New Roman" w:hAnsi="Times New Roman" w:eastAsia="宋体" w:cs="Times New Roman"/>
          <w:lang w:val="en-US" w:eastAsia="zh-CN"/>
        </w:rPr>
        <w:t>m</w:t>
      </w:r>
      <w:r>
        <w:rPr>
          <w:rFonts w:hint="eastAsia" w:ascii="Times New Roman" w:hAnsi="Times New Roman" w:eastAsia="宋体" w:cs="Times New Roman"/>
          <w:lang w:val="en-US" w:eastAsia="zh-CN"/>
        </w:rPr>
        <w:t>~443</w:t>
      </w:r>
      <w:r>
        <w:rPr>
          <w:rFonts w:hint="default" w:ascii="Times New Roman" w:hAnsi="Times New Roman" w:eastAsia="宋体" w:cs="Times New Roman"/>
          <w:lang w:val="en-US" w:eastAsia="zh-CN"/>
        </w:rPr>
        <w:t>m的山地，林冠郁闭度为0.85。群落树种组成最为复杂，乔木层树种有山核桃、枫香、栗、白栎、麻栎、山槐、青冈等。其灌木层主要分布有盐肤木山胡椒、映山红、芒等；草本层分布</w:t>
      </w:r>
      <w:r>
        <w:rPr>
          <w:rFonts w:hint="eastAsia" w:ascii="Times New Roman" w:hAnsi="Times New Roman" w:eastAsia="宋体" w:cs="Times New Roman"/>
          <w:lang w:val="en-US" w:eastAsia="zh-CN"/>
        </w:rPr>
        <w:t>有</w:t>
      </w:r>
      <w:r>
        <w:rPr>
          <w:rFonts w:hint="default" w:ascii="Times New Roman" w:hAnsi="Times New Roman" w:eastAsia="宋体" w:cs="Times New Roman"/>
          <w:lang w:val="en-US" w:eastAsia="zh-CN"/>
        </w:rPr>
        <w:t>荩草、附地菜、薄荷、贯众、龙芽草等。</w:t>
      </w:r>
    </w:p>
    <w:p w14:paraId="220A5EC8">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④针阔混交林</w:t>
      </w:r>
    </w:p>
    <w:p w14:paraId="59701A1F">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该群落类型主要分布在海拔2</w:t>
      </w:r>
      <w:r>
        <w:rPr>
          <w:rFonts w:hint="eastAsia" w:ascii="Times New Roman" w:hAnsi="Times New Roman" w:eastAsia="宋体" w:cs="Times New Roman"/>
          <w:lang w:val="en-US" w:eastAsia="zh-CN"/>
        </w:rPr>
        <w:t>81</w:t>
      </w:r>
      <w:r>
        <w:rPr>
          <w:rFonts w:hint="default" w:ascii="Times New Roman" w:hAnsi="Times New Roman" w:eastAsia="宋体" w:cs="Times New Roman"/>
          <w:lang w:val="en-US" w:eastAsia="zh-CN"/>
        </w:rPr>
        <w:t>m</w:t>
      </w:r>
      <w:r>
        <w:rPr>
          <w:rFonts w:hint="eastAsia" w:ascii="Times New Roman" w:hAnsi="Times New Roman" w:eastAsia="宋体" w:cs="Times New Roman"/>
          <w:lang w:val="en-US" w:eastAsia="zh-CN"/>
        </w:rPr>
        <w:t>~416</w:t>
      </w:r>
      <w:r>
        <w:rPr>
          <w:rFonts w:hint="default" w:ascii="Times New Roman" w:hAnsi="Times New Roman" w:eastAsia="宋体" w:cs="Times New Roman"/>
          <w:lang w:val="en-US" w:eastAsia="zh-CN"/>
        </w:rPr>
        <w:t>m左右，平均坡度约为40°，林冠郁闭度为0.60。样地内有成分较为复杂，乔木有杉木、栗、枫香等。林下分布有山胡椒、蛇莓、芒、荩草、绿叶胡枝子、牛筋草、野蔷薇等组成。</w:t>
      </w:r>
    </w:p>
    <w:p w14:paraId="49F7A2B9">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⑤茶树林</w:t>
      </w:r>
    </w:p>
    <w:p w14:paraId="1F8B1588">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茶树林主要分布在</w:t>
      </w:r>
      <w:r>
        <w:rPr>
          <w:rFonts w:hint="eastAsia" w:ascii="Times New Roman" w:hAnsi="Times New Roman" w:eastAsia="宋体" w:cs="Times New Roman"/>
          <w:lang w:val="en-US" w:eastAsia="zh-CN"/>
        </w:rPr>
        <w:t>190</w:t>
      </w:r>
      <w:r>
        <w:rPr>
          <w:rFonts w:hint="default" w:ascii="Times New Roman" w:hAnsi="Times New Roman" w:eastAsia="宋体" w:cs="Times New Roman"/>
          <w:lang w:val="en-US" w:eastAsia="zh-CN"/>
        </w:rPr>
        <w:t>m</w:t>
      </w:r>
      <w:r>
        <w:rPr>
          <w:rFonts w:hint="eastAsia" w:ascii="Times New Roman" w:hAnsi="Times New Roman" w:eastAsia="宋体" w:cs="Times New Roman"/>
          <w:lang w:val="en-US" w:eastAsia="zh-CN"/>
        </w:rPr>
        <w:t>~302</w:t>
      </w:r>
      <w:r>
        <w:rPr>
          <w:rFonts w:hint="default" w:ascii="Times New Roman" w:hAnsi="Times New Roman" w:eastAsia="宋体" w:cs="Times New Roman"/>
          <w:lang w:val="en-US" w:eastAsia="zh-CN"/>
        </w:rPr>
        <w:t>m一带，其优势种为茶树，并散布有白茅、芒等，草本层主要为车前、牡荆等。</w:t>
      </w:r>
    </w:p>
    <w:p w14:paraId="1736E018">
      <w:pPr>
        <w:pStyle w:val="9"/>
        <w:adjustRightInd w:val="0"/>
        <w:snapToGrid w:val="0"/>
        <w:spacing w:after="0" w:line="360" w:lineRule="auto"/>
        <w:ind w:firstLine="482" w:firstLineChars="20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（2）植被分布特征</w:t>
      </w:r>
    </w:p>
    <w:p w14:paraId="73FFB8CB">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①垂直分布特征：山地植被的分布受其山体的高低、坡向、土壤等自然因素的影响，特别是由于</w:t>
      </w:r>
      <w:r>
        <w:rPr>
          <w:rFonts w:hint="eastAsia" w:ascii="Times New Roman" w:hAnsi="Times New Roman" w:eastAsia="宋体" w:cs="Times New Roman"/>
          <w:lang w:val="en-US" w:eastAsia="zh-CN"/>
        </w:rPr>
        <w:t>海拔</w:t>
      </w:r>
      <w:r>
        <w:rPr>
          <w:rFonts w:hint="default" w:ascii="Times New Roman" w:hAnsi="Times New Roman" w:eastAsia="宋体" w:cs="Times New Roman"/>
          <w:lang w:val="en-US" w:eastAsia="zh-CN"/>
        </w:rPr>
        <w:t>所引起水热条</w:t>
      </w:r>
      <w:r>
        <w:rPr>
          <w:rFonts w:hint="default" w:ascii="Times New Roman" w:hAnsi="Times New Roman" w:eastAsia="宋体" w:cs="Times New Roman"/>
          <w:highlight w:val="none"/>
          <w:lang w:val="en-US" w:eastAsia="zh-CN"/>
        </w:rPr>
        <w:t>件的差异，导致植被从山体的基带向上随</w:t>
      </w:r>
      <w:r>
        <w:rPr>
          <w:rFonts w:hint="eastAsia" w:ascii="Times New Roman" w:hAnsi="Times New Roman" w:eastAsia="宋体" w:cs="Times New Roman"/>
          <w:highlight w:val="none"/>
          <w:lang w:val="en-US" w:eastAsia="zh-CN"/>
        </w:rPr>
        <w:t>海拔</w:t>
      </w:r>
      <w:r>
        <w:rPr>
          <w:rFonts w:hint="default" w:ascii="Times New Roman" w:hAnsi="Times New Roman" w:eastAsia="宋体" w:cs="Times New Roman"/>
          <w:highlight w:val="none"/>
          <w:lang w:val="en-US" w:eastAsia="zh-CN"/>
        </w:rPr>
        <w:t>的升高而有规律</w:t>
      </w:r>
      <w:r>
        <w:rPr>
          <w:rFonts w:hint="eastAsia" w:ascii="Times New Roman" w:hAnsi="Times New Roman" w:eastAsia="宋体" w:cs="Times New Roman"/>
          <w:highlight w:val="none"/>
          <w:lang w:val="en-US" w:eastAsia="zh-CN"/>
        </w:rPr>
        <w:t>地分布</w:t>
      </w:r>
      <w:r>
        <w:rPr>
          <w:rFonts w:hint="default" w:ascii="Times New Roman" w:hAnsi="Times New Roman" w:eastAsia="宋体" w:cs="Times New Roman"/>
          <w:highlight w:val="none"/>
          <w:lang w:val="en-US" w:eastAsia="zh-CN"/>
        </w:rPr>
        <w:t>。由于本区为丘陵地区，最低海拔为</w:t>
      </w:r>
      <w:r>
        <w:rPr>
          <w:rFonts w:hint="eastAsia" w:ascii="Times New Roman" w:hAnsi="Times New Roman" w:eastAsia="宋体" w:cs="Times New Roman"/>
          <w:highlight w:val="none"/>
          <w:lang w:val="en-US" w:eastAsia="zh-CN"/>
        </w:rPr>
        <w:t>190</w:t>
      </w:r>
      <w:r>
        <w:rPr>
          <w:rFonts w:hint="default" w:ascii="Times New Roman" w:hAnsi="Times New Roman" w:eastAsia="宋体" w:cs="Times New Roman"/>
          <w:highlight w:val="none"/>
          <w:lang w:val="en-US" w:eastAsia="zh-CN"/>
        </w:rPr>
        <w:t>m，最高海拔为</w:t>
      </w:r>
      <w:r>
        <w:rPr>
          <w:rFonts w:hint="eastAsia" w:ascii="Times New Roman" w:hAnsi="Times New Roman" w:eastAsia="宋体" w:cs="Times New Roman"/>
          <w:highlight w:val="none"/>
          <w:lang w:val="en-US" w:eastAsia="zh-CN"/>
        </w:rPr>
        <w:t>443</w:t>
      </w:r>
      <w:r>
        <w:rPr>
          <w:rFonts w:hint="default" w:ascii="Times New Roman" w:hAnsi="Times New Roman" w:eastAsia="宋体" w:cs="Times New Roman"/>
          <w:highlight w:val="none"/>
          <w:lang w:val="en-US" w:eastAsia="zh-CN"/>
        </w:rPr>
        <w:t>m，最大山体海拔差约为</w:t>
      </w:r>
      <w:r>
        <w:rPr>
          <w:rFonts w:hint="eastAsia" w:ascii="Times New Roman" w:hAnsi="Times New Roman" w:eastAsia="宋体" w:cs="Times New Roman"/>
          <w:highlight w:val="none"/>
          <w:lang w:val="en-US" w:eastAsia="zh-CN"/>
        </w:rPr>
        <w:t>253</w:t>
      </w:r>
      <w:r>
        <w:rPr>
          <w:rFonts w:hint="default" w:ascii="Times New Roman" w:hAnsi="Times New Roman" w:eastAsia="宋体" w:cs="Times New Roman"/>
          <w:highlight w:val="none"/>
          <w:lang w:val="en-US" w:eastAsia="zh-CN"/>
        </w:rPr>
        <w:t>m，因此植被的垂直分布规律呈非地带性，部分山体具有一定的垂直分布特性，具体为</w:t>
      </w:r>
      <w:r>
        <w:rPr>
          <w:rFonts w:hint="default" w:ascii="Times New Roman" w:hAnsi="Times New Roman" w:eastAsia="宋体" w:cs="Times New Roman"/>
          <w:lang w:val="en-US" w:eastAsia="zh-CN"/>
        </w:rPr>
        <w:t>低坡生长竹林，高坡生长阔叶乔木。由于人类活动频繁，评价区原生森林植被多已被毛竹为代表的竹林、栗和山核桃为代表的阔叶林、杉木为代表的针叶林，以及以茶树、芒等为代</w:t>
      </w:r>
      <w:r>
        <w:rPr>
          <w:rFonts w:hint="eastAsia" w:ascii="Times New Roman" w:hAnsi="Times New Roman" w:eastAsia="宋体" w:cs="Times New Roman"/>
          <w:lang w:val="en-US" w:eastAsia="zh-CN"/>
        </w:rPr>
        <w:t>表的</w:t>
      </w:r>
      <w:r>
        <w:rPr>
          <w:rFonts w:hint="default" w:ascii="Times New Roman" w:hAnsi="Times New Roman" w:eastAsia="宋体" w:cs="Times New Roman"/>
          <w:lang w:val="en-US" w:eastAsia="zh-CN"/>
        </w:rPr>
        <w:t>次生灌草丛等次生植被类型替代。</w:t>
      </w:r>
    </w:p>
    <w:p w14:paraId="6029A692">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②水平分布特征：评价区内地貌变化较大，植被水平分布特征明显，加上水分条件的变化以及人为活动的干扰等因素的影响，造成了评价区植被在东至西方向水平层面上存在一定差异。</w:t>
      </w:r>
    </w:p>
    <w:p w14:paraId="1BCEDEA9">
      <w:pPr>
        <w:pStyle w:val="9"/>
        <w:adjustRightInd w:val="0"/>
        <w:snapToGrid w:val="0"/>
        <w:spacing w:after="0" w:line="360" w:lineRule="auto"/>
        <w:ind w:firstLine="482" w:firstLineChars="20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（3）植被演替</w:t>
      </w:r>
    </w:p>
    <w:p w14:paraId="789B723A">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阔叶林</w:t>
      </w:r>
      <w:r>
        <w:rPr>
          <w:rFonts w:hint="default" w:ascii="Times New Roman" w:hAnsi="Times New Roman" w:eastAsia="宋体" w:cs="Times New Roman"/>
          <w:lang w:val="en-US" w:eastAsia="zh-CN"/>
        </w:rPr>
        <w:t>是评价区内面积最大、分布最广的植被类型，占植被总面积</w:t>
      </w:r>
      <w:r>
        <w:rPr>
          <w:rFonts w:hint="eastAsia" w:ascii="Times New Roman" w:hAnsi="Times New Roman" w:eastAsia="宋体" w:cs="Times New Roman"/>
          <w:lang w:val="en-US" w:eastAsia="zh-CN"/>
        </w:rPr>
        <w:t>83.06</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栽植植被</w:t>
      </w:r>
      <w:r>
        <w:rPr>
          <w:rFonts w:hint="default" w:ascii="Times New Roman" w:hAnsi="Times New Roman" w:eastAsia="宋体" w:cs="Times New Roman"/>
          <w:lang w:val="en-US" w:eastAsia="zh-CN"/>
        </w:rPr>
        <w:t>占总面积的</w:t>
      </w:r>
      <w:r>
        <w:rPr>
          <w:rFonts w:hint="eastAsia" w:ascii="Times New Roman" w:hAnsi="Times New Roman" w:eastAsia="宋体" w:cs="Times New Roman"/>
          <w:lang w:val="en-US" w:eastAsia="zh-CN"/>
        </w:rPr>
        <w:t>10.86</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灌丛</w:t>
      </w:r>
      <w:r>
        <w:rPr>
          <w:rFonts w:hint="default" w:ascii="Times New Roman" w:hAnsi="Times New Roman" w:eastAsia="宋体" w:cs="Times New Roman"/>
          <w:lang w:val="en-US" w:eastAsia="zh-CN"/>
        </w:rPr>
        <w:t>占植被总面</w:t>
      </w:r>
      <w:r>
        <w:rPr>
          <w:rFonts w:hint="eastAsia" w:ascii="Times New Roman" w:hAnsi="Times New Roman" w:eastAsia="宋体" w:cs="Times New Roman"/>
          <w:lang w:val="en-US" w:eastAsia="zh-CN"/>
        </w:rPr>
        <w:t>积的0.43</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竹林</w:t>
      </w:r>
      <w:r>
        <w:rPr>
          <w:rFonts w:hint="default" w:ascii="Times New Roman" w:hAnsi="Times New Roman" w:eastAsia="宋体" w:cs="Times New Roman"/>
          <w:lang w:val="en-US" w:eastAsia="zh-CN"/>
        </w:rPr>
        <w:t>占</w:t>
      </w:r>
      <w:r>
        <w:rPr>
          <w:rFonts w:hint="eastAsia" w:ascii="Times New Roman" w:hAnsi="Times New Roman" w:eastAsia="宋体" w:cs="Times New Roman"/>
          <w:lang w:val="en-US" w:eastAsia="zh-CN"/>
        </w:rPr>
        <w:t>0.18</w:t>
      </w:r>
      <w:r>
        <w:rPr>
          <w:rFonts w:hint="default" w:ascii="Times New Roman" w:hAnsi="Times New Roman" w:eastAsia="宋体" w:cs="Times New Roman"/>
          <w:lang w:val="en-US" w:eastAsia="zh-CN"/>
        </w:rPr>
        <w:t>%，可以看出评价区受人类活动影响</w:t>
      </w:r>
      <w:r>
        <w:rPr>
          <w:rFonts w:hint="eastAsia" w:ascii="Times New Roman" w:hAnsi="Times New Roman" w:eastAsia="宋体" w:cs="Times New Roman"/>
          <w:lang w:val="en-US" w:eastAsia="zh-CN"/>
        </w:rPr>
        <w:t>较明显</w:t>
      </w:r>
      <w:r>
        <w:rPr>
          <w:rFonts w:hint="default" w:ascii="Times New Roman" w:hAnsi="Times New Roman" w:eastAsia="宋体" w:cs="Times New Roman"/>
          <w:lang w:val="en-US" w:eastAsia="zh-CN"/>
        </w:rPr>
        <w:t>，评价区地带性植被受到</w:t>
      </w:r>
      <w:r>
        <w:rPr>
          <w:rFonts w:hint="eastAsia" w:ascii="Times New Roman" w:hAnsi="Times New Roman" w:eastAsia="宋体" w:cs="Times New Roman"/>
          <w:lang w:val="en-US" w:eastAsia="zh-CN"/>
        </w:rPr>
        <w:t>部分</w:t>
      </w:r>
      <w:r>
        <w:rPr>
          <w:rFonts w:hint="default" w:ascii="Times New Roman" w:hAnsi="Times New Roman" w:eastAsia="宋体" w:cs="Times New Roman"/>
          <w:lang w:val="en-US" w:eastAsia="zh-CN"/>
        </w:rPr>
        <w:t>破坏。</w:t>
      </w:r>
    </w:p>
    <w:p w14:paraId="23CC4766">
      <w:pPr>
        <w:pStyle w:val="1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drawing>
          <wp:inline distT="0" distB="0" distL="114300" distR="114300">
            <wp:extent cx="5273040" cy="7451725"/>
            <wp:effectExtent l="9525" t="9525" r="13335" b="25400"/>
            <wp:docPr id="25" name="图片 25" descr="沙蔡路评价区域植被类型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沙蔡路评价区域植被类型分布图"/>
                    <pic:cNvPicPr>
                      <a:picLocks noChangeAspect="1"/>
                    </pic:cNvPicPr>
                  </pic:nvPicPr>
                  <pic:blipFill>
                    <a:blip r:embed="rId84"/>
                    <a:stretch>
                      <a:fillRect/>
                    </a:stretch>
                  </pic:blipFill>
                  <pic:spPr>
                    <a:xfrm>
                      <a:off x="0" y="0"/>
                      <a:ext cx="5273040" cy="7451725"/>
                    </a:xfrm>
                    <a:prstGeom prst="rect">
                      <a:avLst/>
                    </a:prstGeom>
                    <a:ln>
                      <a:solidFill>
                        <a:schemeClr val="tx1"/>
                      </a:solidFill>
                    </a:ln>
                  </pic:spPr>
                </pic:pic>
              </a:graphicData>
            </a:graphic>
          </wp:inline>
        </w:drawing>
      </w:r>
    </w:p>
    <w:p w14:paraId="1B5EA4B9">
      <w:pPr>
        <w:autoSpaceDE w:val="0"/>
        <w:autoSpaceDN w:val="0"/>
        <w:adjustRightInd w:val="0"/>
        <w:spacing w:line="360" w:lineRule="auto"/>
        <w:jc w:val="center"/>
        <w:rPr>
          <w:rFonts w:hint="default"/>
          <w:lang w:val="en-US" w:eastAsia="zh-CN"/>
        </w:rPr>
      </w:pPr>
      <w:r>
        <w:rPr>
          <w:rFonts w:hint="default" w:ascii="Times New Roman" w:hAnsi="Times New Roman" w:eastAsia="宋体" w:cs="Times New Roman"/>
          <w:b/>
          <w:bCs/>
          <w:kern w:val="0"/>
          <w:sz w:val="24"/>
          <w:szCs w:val="24"/>
          <w:lang w:val="en-US" w:eastAsia="zh-CN"/>
        </w:rPr>
        <w:t>图</w:t>
      </w:r>
      <w:r>
        <w:rPr>
          <w:rFonts w:hint="eastAsia" w:ascii="Times New Roman" w:hAnsi="Times New Roman" w:eastAsia="宋体" w:cs="Times New Roman"/>
          <w:b/>
          <w:bCs/>
          <w:kern w:val="0"/>
          <w:sz w:val="24"/>
          <w:szCs w:val="24"/>
          <w:lang w:val="en-US" w:eastAsia="zh-CN"/>
        </w:rPr>
        <w:t>3-5  项目评价范围植被类型图</w:t>
      </w:r>
    </w:p>
    <w:p w14:paraId="1CF37007">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657" w:name="_Toc1836"/>
      <w:bookmarkStart w:id="658" w:name="_Toc20491"/>
      <w:bookmarkStart w:id="659" w:name="_Toc9113"/>
      <w:bookmarkStart w:id="660" w:name="_Toc22044"/>
      <w:bookmarkStart w:id="661" w:name="_Toc11377"/>
      <w:r>
        <w:rPr>
          <w:rFonts w:hint="default" w:ascii="Times New Roman" w:hAnsi="Times New Roman" w:eastAsia="宋体" w:cs="Times New Roman"/>
          <w:sz w:val="24"/>
          <w:szCs w:val="24"/>
          <w:lang w:val="en-US" w:eastAsia="zh-CN"/>
        </w:rPr>
        <w:t>3.</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.4陆生植物</w:t>
      </w:r>
      <w:bookmarkEnd w:id="657"/>
      <w:bookmarkEnd w:id="658"/>
      <w:bookmarkEnd w:id="659"/>
      <w:bookmarkEnd w:id="660"/>
      <w:bookmarkEnd w:id="661"/>
    </w:p>
    <w:p w14:paraId="723A1692">
      <w:pPr>
        <w:pStyle w:val="9"/>
        <w:adjustRightInd w:val="0"/>
        <w:snapToGrid w:val="0"/>
        <w:spacing w:after="0" w:line="360" w:lineRule="auto"/>
        <w:ind w:firstLine="482" w:firstLineChars="200"/>
        <w:rPr>
          <w:rFonts w:hint="default" w:ascii="Times New Roman" w:hAnsi="Times New Roman" w:eastAsia="宋体" w:cs="Times New Roman"/>
          <w:b/>
          <w:bCs w:val="0"/>
          <w:snapToGrid/>
          <w:color w:val="auto"/>
          <w:sz w:val="24"/>
          <w:szCs w:val="24"/>
          <w:lang w:val="en-US" w:eastAsia="zh-CN"/>
        </w:rPr>
      </w:pPr>
      <w:r>
        <w:rPr>
          <w:rFonts w:hint="default" w:ascii="Times New Roman" w:hAnsi="Times New Roman" w:eastAsia="宋体" w:cs="Times New Roman"/>
          <w:b/>
          <w:bCs w:val="0"/>
          <w:snapToGrid/>
          <w:color w:val="auto"/>
          <w:sz w:val="24"/>
          <w:szCs w:val="24"/>
          <w:lang w:eastAsia="zh-CN"/>
        </w:rPr>
        <w:t>（</w:t>
      </w:r>
      <w:r>
        <w:rPr>
          <w:rFonts w:hint="default" w:ascii="Times New Roman" w:hAnsi="Times New Roman" w:eastAsia="宋体" w:cs="Times New Roman"/>
          <w:b/>
          <w:bCs w:val="0"/>
          <w:snapToGrid/>
          <w:color w:val="auto"/>
          <w:sz w:val="24"/>
          <w:szCs w:val="24"/>
          <w:lang w:val="en-US" w:eastAsia="zh-CN"/>
        </w:rPr>
        <w:t>1</w:t>
      </w:r>
      <w:r>
        <w:rPr>
          <w:rFonts w:hint="default" w:ascii="Times New Roman" w:hAnsi="Times New Roman" w:eastAsia="宋体" w:cs="Times New Roman"/>
          <w:b/>
          <w:bCs w:val="0"/>
          <w:snapToGrid/>
          <w:color w:val="auto"/>
          <w:sz w:val="24"/>
          <w:szCs w:val="24"/>
          <w:lang w:eastAsia="zh-CN"/>
        </w:rPr>
        <w:t>）</w:t>
      </w:r>
      <w:r>
        <w:rPr>
          <w:rFonts w:hint="eastAsia" w:ascii="Times New Roman" w:hAnsi="Times New Roman" w:eastAsia="宋体" w:cs="Times New Roman"/>
          <w:b/>
          <w:bCs w:val="0"/>
          <w:snapToGrid/>
          <w:color w:val="auto"/>
          <w:sz w:val="24"/>
          <w:szCs w:val="24"/>
          <w:lang w:val="en-US" w:eastAsia="zh-CN"/>
        </w:rPr>
        <w:t>调查时间</w:t>
      </w:r>
    </w:p>
    <w:p w14:paraId="519F62EE">
      <w:pPr>
        <w:pStyle w:val="9"/>
        <w:adjustRightInd w:val="0"/>
        <w:snapToGrid w:val="0"/>
        <w:spacing w:after="0" w:line="360" w:lineRule="auto"/>
        <w:ind w:firstLine="480" w:firstLineChars="200"/>
        <w:rPr>
          <w:rFonts w:hint="default" w:ascii="Times New Roman" w:hAnsi="Times New Roman" w:eastAsia="宋体" w:cs="Times New Roman"/>
          <w:b w:val="0"/>
          <w:bCs/>
          <w:snapToGrid/>
          <w:color w:val="auto"/>
          <w:sz w:val="24"/>
          <w:szCs w:val="24"/>
          <w:lang w:val="en-US" w:eastAsia="zh-CN"/>
        </w:rPr>
      </w:pPr>
      <w:r>
        <w:rPr>
          <w:rFonts w:hint="eastAsia" w:ascii="Times New Roman" w:hAnsi="Times New Roman" w:eastAsia="宋体" w:cs="Times New Roman"/>
          <w:b w:val="0"/>
          <w:bCs/>
          <w:snapToGrid/>
          <w:color w:val="auto"/>
          <w:sz w:val="24"/>
          <w:szCs w:val="24"/>
          <w:lang w:val="en-US" w:eastAsia="zh-CN"/>
        </w:rPr>
        <w:t>2025年8月。</w:t>
      </w:r>
    </w:p>
    <w:p w14:paraId="1607CC7D">
      <w:pPr>
        <w:pStyle w:val="9"/>
        <w:adjustRightInd w:val="0"/>
        <w:snapToGrid w:val="0"/>
        <w:spacing w:after="0" w:line="360" w:lineRule="auto"/>
        <w:ind w:firstLine="482" w:firstLineChars="200"/>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（2）调查方法</w:t>
      </w:r>
    </w:p>
    <w:p w14:paraId="79C06FE0">
      <w:pPr>
        <w:pStyle w:val="9"/>
        <w:adjustRightInd w:val="0"/>
        <w:snapToGrid w:val="0"/>
        <w:spacing w:after="0"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本次植被调查方法主要包括样方调查和资料收集。</w:t>
      </w:r>
    </w:p>
    <w:p w14:paraId="7ECC40DD">
      <w:pPr>
        <w:pStyle w:val="9"/>
        <w:adjustRightInd w:val="0"/>
        <w:snapToGrid w:val="0"/>
        <w:spacing w:after="0" w:line="360" w:lineRule="auto"/>
        <w:ind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1</w:t>
      </w:r>
      <w:r>
        <w:rPr>
          <w:rFonts w:hint="eastAsia" w:ascii="Times New Roman" w:hAnsi="Times New Roman" w:eastAsia="宋体" w:cs="Times New Roman"/>
          <w:b/>
          <w:bCs/>
          <w:color w:val="auto"/>
          <w:sz w:val="24"/>
          <w:szCs w:val="24"/>
          <w:lang w:val="en-US" w:eastAsia="zh-CN"/>
        </w:rPr>
        <w:t>）样方调查</w:t>
      </w:r>
    </w:p>
    <w:p w14:paraId="5011DA6F">
      <w:pPr>
        <w:pStyle w:val="9"/>
        <w:adjustRightInd w:val="0"/>
        <w:snapToGrid w:val="0"/>
        <w:spacing w:after="0"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参考《生物物种监测技术指南 陆生维管植物》（</w:t>
      </w:r>
      <w:r>
        <w:rPr>
          <w:rFonts w:hint="default" w:ascii="Times New Roman" w:hAnsi="Times New Roman" w:eastAsia="宋体" w:cs="Times New Roman"/>
          <w:color w:val="auto"/>
          <w:sz w:val="24"/>
          <w:szCs w:val="24"/>
          <w:lang w:val="en-US" w:eastAsia="zh-CN"/>
        </w:rPr>
        <w:t>HJ 710.1-2014</w:t>
      </w:r>
      <w:r>
        <w:rPr>
          <w:rFonts w:hint="eastAsia" w:ascii="Times New Roman" w:hAnsi="Times New Roman" w:eastAsia="宋体" w:cs="Times New Roman"/>
          <w:color w:val="auto"/>
          <w:sz w:val="24"/>
          <w:szCs w:val="24"/>
          <w:lang w:val="en-US" w:eastAsia="zh-CN"/>
        </w:rPr>
        <w:t>）中的相关规范，根据监测的目的，在监测区内选择具有代表性的群落类型，对群落中的植物多样性进行监测。植物现状调查采用现场踏查和资料查询相结合的方法，调查评价范围的植物区系类型、植被区划、植被类型、结构和植物物种组成情况。</w:t>
      </w:r>
    </w:p>
    <w:p w14:paraId="74FCEC6D">
      <w:pPr>
        <w:pStyle w:val="9"/>
        <w:adjustRightInd w:val="0"/>
        <w:snapToGrid w:val="0"/>
        <w:spacing w:after="0" w:line="360" w:lineRule="auto"/>
        <w:ind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2</w:t>
      </w:r>
      <w:r>
        <w:rPr>
          <w:rFonts w:hint="eastAsia" w:ascii="Times New Roman" w:hAnsi="Times New Roman" w:eastAsia="宋体" w:cs="Times New Roman"/>
          <w:b/>
          <w:bCs/>
          <w:color w:val="auto"/>
          <w:sz w:val="24"/>
          <w:szCs w:val="24"/>
          <w:lang w:val="en-US" w:eastAsia="zh-CN"/>
        </w:rPr>
        <w:t>）资料查询</w:t>
      </w:r>
    </w:p>
    <w:p w14:paraId="36C9FF97">
      <w:pPr>
        <w:pStyle w:val="9"/>
        <w:adjustRightInd w:val="0"/>
        <w:snapToGrid w:val="0"/>
        <w:spacing w:after="0"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 xml:space="preserve">主要参考了《中国生物物种名录 </w:t>
      </w:r>
      <w:r>
        <w:rPr>
          <w:rFonts w:hint="default" w:ascii="Times New Roman" w:hAnsi="Times New Roman" w:eastAsia="宋体" w:cs="Times New Roman"/>
          <w:color w:val="auto"/>
          <w:sz w:val="24"/>
          <w:szCs w:val="24"/>
          <w:lang w:val="en-US" w:eastAsia="zh-CN"/>
        </w:rPr>
        <w:t xml:space="preserve">2023 </w:t>
      </w:r>
      <w:r>
        <w:rPr>
          <w:rFonts w:hint="eastAsia" w:ascii="Times New Roman" w:hAnsi="Times New Roman" w:eastAsia="宋体" w:cs="Times New Roman"/>
          <w:color w:val="auto"/>
          <w:sz w:val="24"/>
          <w:szCs w:val="24"/>
          <w:lang w:val="en-US" w:eastAsia="zh-CN"/>
        </w:rPr>
        <w:t>版》《中国种子植物区系地理》（吴征镒著）、《中国植被：类型和区划</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解读〈中华人民共和国植被图（</w:t>
      </w:r>
      <w:r>
        <w:rPr>
          <w:rFonts w:hint="default" w:ascii="Times New Roman" w:hAnsi="Times New Roman" w:eastAsia="宋体" w:cs="Times New Roman"/>
          <w:color w:val="auto"/>
          <w:sz w:val="24"/>
          <w:szCs w:val="24"/>
          <w:lang w:val="en-US" w:eastAsia="zh-CN"/>
        </w:rPr>
        <w:t>1:1000000</w:t>
      </w:r>
      <w:r>
        <w:rPr>
          <w:rFonts w:hint="eastAsia" w:ascii="Times New Roman" w:hAnsi="Times New Roman" w:eastAsia="宋体" w:cs="Times New Roman"/>
          <w:color w:val="auto"/>
          <w:sz w:val="24"/>
          <w:szCs w:val="24"/>
          <w:lang w:val="en-US" w:eastAsia="zh-CN"/>
        </w:rPr>
        <w:t>）》（侯学煜等）、《中国植物志》《安徽省陆生野生动植物资源》（安徽省林业厅主编）、《安徽植物志》（安徽师范大学主编）、《安徽植被》及相关期刊论文等。</w:t>
      </w:r>
    </w:p>
    <w:p w14:paraId="33079F1B">
      <w:pPr>
        <w:pStyle w:val="9"/>
        <w:adjustRightInd w:val="0"/>
        <w:snapToGrid w:val="0"/>
        <w:spacing w:after="0"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①植被和植物群落划分依据</w:t>
      </w:r>
    </w:p>
    <w:p w14:paraId="111995B3">
      <w:pPr>
        <w:pStyle w:val="9"/>
        <w:adjustRightInd w:val="0"/>
        <w:snapToGrid w:val="0"/>
        <w:spacing w:after="0"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植被、植物群落划分依据有：《中国植被》（吴征镒著）、《论中国植被分区的原则、依据和系统单位》（侯学煜著）、《普通生态学》（牛翠娟等著）、《安徽湿地维管植物多样性及植被分类系统》《从地带性植物群落生活型谱讨论安徽植被带的划分》。</w:t>
      </w:r>
    </w:p>
    <w:p w14:paraId="659C3BA4">
      <w:pPr>
        <w:pStyle w:val="9"/>
        <w:adjustRightInd w:val="0"/>
        <w:snapToGrid w:val="0"/>
        <w:spacing w:after="0"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②物种保护和濒危等级判定</w:t>
      </w:r>
    </w:p>
    <w:p w14:paraId="5BBB3A64">
      <w:pPr>
        <w:pStyle w:val="9"/>
        <w:adjustRightInd w:val="0"/>
        <w:snapToGrid w:val="0"/>
        <w:spacing w:after="0"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查询《国家重点保护野生植物名录》《安徽省重点保护野生植物名录》《中国生物多样性红色名录》《全国野生动植物及自然保护区建设工程总体规划》极小种群野生植物名录，判定植物物种保护等级、濒危等级、是否属于中国特有种、是否属于极小种群野生植物。</w:t>
      </w:r>
    </w:p>
    <w:p w14:paraId="003C17BC">
      <w:pPr>
        <w:pStyle w:val="9"/>
        <w:adjustRightInd w:val="0"/>
        <w:snapToGrid w:val="0"/>
        <w:spacing w:after="0" w:line="360" w:lineRule="auto"/>
        <w:ind w:firstLine="482" w:firstLineChars="200"/>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（3）植物样方设置情况</w:t>
      </w:r>
    </w:p>
    <w:p w14:paraId="1D5AEFF8">
      <w:pPr>
        <w:pStyle w:val="9"/>
        <w:adjustRightInd w:val="0"/>
        <w:snapToGrid w:val="0"/>
        <w:spacing w:after="0"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样地的设置遵循以下原则：①种的分布要有均匀性；②结构完整，层次分明；③环境条件（尤指土壤和地形）一致；④群落中心的部位，避免过渡地段。</w:t>
      </w:r>
    </w:p>
    <w:p w14:paraId="385A801B">
      <w:pPr>
        <w:pStyle w:val="9"/>
        <w:adjustRightInd w:val="0"/>
        <w:snapToGrid w:val="0"/>
        <w:spacing w:after="0"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植物现状调查采用现场踏查和资料查询相结合的方法，调查评价范围的植物区系类型、植被区划、植被类型、结构和植物物种组成情况。生态环境调查范围一般外扩约300</w:t>
      </w:r>
      <w:r>
        <w:rPr>
          <w:rFonts w:hint="default"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lang w:val="en-US" w:eastAsia="zh-CN"/>
        </w:rPr>
        <w:t>，但本项目所在区域山势陡峭，项目还未建设，交通极其不便，因此实际调查范围根据地形的可达性调整。</w:t>
      </w:r>
    </w:p>
    <w:p w14:paraId="7684977F">
      <w:pPr>
        <w:pStyle w:val="9"/>
        <w:adjustRightInd w:val="0"/>
        <w:snapToGrid w:val="0"/>
        <w:spacing w:after="0"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202</w:t>
      </w:r>
      <w:r>
        <w:rPr>
          <w:rFonts w:hint="eastAsia" w:ascii="Times New Roman" w:hAnsi="Times New Roman" w:eastAsia="宋体" w:cs="Times New Roman"/>
          <w:color w:val="auto"/>
          <w:sz w:val="24"/>
          <w:szCs w:val="24"/>
          <w:lang w:val="en-US" w:eastAsia="zh-CN"/>
        </w:rPr>
        <w:t>5年8月，在评价区分别设置了6个植物调查样方，森林、灌丛、草地、沼泽及水生植被调查样方个数分别为3个，其样方规格分别为</w:t>
      </w:r>
      <w:r>
        <w:rPr>
          <w:rFonts w:hint="default" w:ascii="Times New Roman" w:hAnsi="Times New Roman" w:eastAsia="宋体" w:cs="Times New Roman"/>
          <w:color w:val="auto"/>
          <w:sz w:val="24"/>
          <w:szCs w:val="24"/>
          <w:lang w:val="en-US" w:eastAsia="zh-CN"/>
        </w:rPr>
        <w:t>20m×20m</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5m×5m</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1m×1m</w:t>
      </w:r>
      <w:r>
        <w:rPr>
          <w:rFonts w:hint="eastAsia" w:ascii="Times New Roman" w:hAnsi="Times New Roman" w:eastAsia="宋体" w:cs="Times New Roman"/>
          <w:color w:val="auto"/>
          <w:sz w:val="24"/>
          <w:szCs w:val="24"/>
          <w:lang w:val="en-US" w:eastAsia="zh-CN"/>
        </w:rPr>
        <w:t>。样方位置详见下表，植物样方布设位置详见下图。调查时记录每个样方的植被类型、层次、层盖度、种类组成和生长状况，并拍摄样方照片。</w:t>
      </w:r>
    </w:p>
    <w:p w14:paraId="3852DB21">
      <w:pPr>
        <w:pStyle w:val="25"/>
        <w:adjustRightInd w:val="0"/>
        <w:snapToGrid w:val="0"/>
        <w:spacing w:after="0" w:line="240" w:lineRule="auto"/>
        <w:ind w:left="0" w:leftChars="0" w:firstLine="422" w:firstLineChars="200"/>
        <w:jc w:val="center"/>
        <w:rPr>
          <w:rFonts w:hint="default" w:ascii="Times New Roman" w:hAnsi="Times New Roman" w:eastAsia="宋体" w:cs="Times New Roman"/>
          <w:b/>
          <w:bCs/>
          <w:sz w:val="21"/>
          <w:szCs w:val="18"/>
          <w:highlight w:val="none"/>
          <w:lang w:val="en-US" w:eastAsia="zh-CN"/>
        </w:rPr>
      </w:pPr>
      <w:r>
        <w:rPr>
          <w:rFonts w:hint="default" w:ascii="Times New Roman" w:hAnsi="Times New Roman" w:eastAsia="宋体" w:cs="Times New Roman"/>
          <w:b/>
          <w:bCs/>
          <w:sz w:val="21"/>
          <w:szCs w:val="18"/>
          <w:highlight w:val="none"/>
        </w:rPr>
        <w:t>表</w:t>
      </w:r>
      <w:r>
        <w:rPr>
          <w:rFonts w:hint="default" w:ascii="Times New Roman" w:hAnsi="Times New Roman" w:eastAsia="宋体" w:cs="Times New Roman"/>
          <w:b/>
          <w:bCs/>
          <w:sz w:val="21"/>
          <w:szCs w:val="18"/>
          <w:highlight w:val="none"/>
          <w:lang w:val="en-US" w:eastAsia="zh-CN"/>
        </w:rPr>
        <w:t>3-</w:t>
      </w:r>
      <w:r>
        <w:rPr>
          <w:rFonts w:hint="eastAsia" w:eastAsia="宋体" w:cs="Times New Roman"/>
          <w:b/>
          <w:bCs/>
          <w:sz w:val="21"/>
          <w:szCs w:val="18"/>
          <w:highlight w:val="none"/>
          <w:lang w:val="en-US" w:eastAsia="zh-CN"/>
        </w:rPr>
        <w:t>3</w:t>
      </w:r>
      <w:r>
        <w:rPr>
          <w:rFonts w:hint="default" w:ascii="Times New Roman" w:hAnsi="Times New Roman" w:eastAsia="宋体" w:cs="Times New Roman"/>
          <w:b/>
          <w:bCs/>
          <w:sz w:val="21"/>
          <w:szCs w:val="18"/>
          <w:highlight w:val="none"/>
          <w:lang w:val="en-US" w:eastAsia="zh-CN"/>
        </w:rPr>
        <w:t xml:space="preserve"> </w:t>
      </w:r>
      <w:r>
        <w:rPr>
          <w:rFonts w:hint="default" w:ascii="Times New Roman" w:hAnsi="Times New Roman" w:eastAsia="宋体" w:cs="Times New Roman"/>
          <w:b/>
          <w:bCs/>
          <w:sz w:val="21"/>
          <w:szCs w:val="18"/>
          <w:highlight w:val="none"/>
        </w:rPr>
        <w:t xml:space="preserve"> 植物调查样方布设方案</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45"/>
        <w:gridCol w:w="3258"/>
        <w:gridCol w:w="1919"/>
      </w:tblGrid>
      <w:tr w14:paraId="2E56C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345" w:type="dxa"/>
            <w:shd w:val="clear" w:color="auto" w:fill="auto"/>
            <w:vAlign w:val="center"/>
          </w:tcPr>
          <w:p w14:paraId="71EC6AC2">
            <w:pPr>
              <w:pStyle w:val="25"/>
              <w:adjustRightInd w:val="0"/>
              <w:snapToGrid w:val="0"/>
              <w:spacing w:after="0" w:line="240" w:lineRule="auto"/>
              <w:ind w:left="0" w:leftChars="0" w:firstLine="0" w:firstLineChars="0"/>
              <w:jc w:val="center"/>
              <w:rPr>
                <w:rFonts w:hint="default" w:ascii="Times New Roman" w:hAnsi="Times New Roman" w:eastAsia="宋体" w:cs="Times New Roman"/>
                <w:b/>
                <w:bCs/>
                <w:kern w:val="2"/>
                <w:sz w:val="21"/>
                <w:szCs w:val="21"/>
                <w:highlight w:val="none"/>
                <w:vertAlign w:val="baseline"/>
                <w:lang w:val="en-US" w:eastAsia="zh-CN" w:bidi="ar-SA"/>
              </w:rPr>
            </w:pPr>
            <w:r>
              <w:rPr>
                <w:rFonts w:hint="eastAsia" w:eastAsia="宋体" w:cs="Times New Roman"/>
                <w:b/>
                <w:bCs/>
                <w:sz w:val="21"/>
                <w:szCs w:val="21"/>
                <w:highlight w:val="none"/>
                <w:vertAlign w:val="baseline"/>
                <w:lang w:val="en-US" w:eastAsia="zh-CN"/>
              </w:rPr>
              <w:t>样地编号</w:t>
            </w:r>
          </w:p>
        </w:tc>
        <w:tc>
          <w:tcPr>
            <w:tcW w:w="3258" w:type="dxa"/>
            <w:shd w:val="clear" w:color="auto" w:fill="auto"/>
            <w:vAlign w:val="center"/>
          </w:tcPr>
          <w:p w14:paraId="10C12EB0">
            <w:pPr>
              <w:keepNext w:val="0"/>
              <w:keepLines w:val="0"/>
              <w:widowControl/>
              <w:suppressLineNumbers w:val="0"/>
              <w:spacing w:line="240" w:lineRule="auto"/>
              <w:jc w:val="center"/>
              <w:textAlignment w:val="bottom"/>
              <w:rPr>
                <w:rFonts w:hint="default" w:ascii="Times New Roman" w:hAnsi="Times New Roman" w:eastAsia="宋体" w:cs="Times New Roman"/>
                <w:b/>
                <w:bCs/>
                <w:kern w:val="2"/>
                <w:sz w:val="21"/>
                <w:szCs w:val="21"/>
                <w:highlight w:val="none"/>
                <w:vertAlign w:val="baseline"/>
                <w:lang w:val="en-US" w:eastAsia="zh-CN" w:bidi="ar-SA"/>
              </w:rPr>
            </w:pPr>
            <w:r>
              <w:rPr>
                <w:rFonts w:hint="eastAsia" w:ascii="Times New Roman" w:hAnsi="Times New Roman" w:eastAsia="宋体" w:cs="Times New Roman"/>
                <w:b/>
                <w:bCs/>
                <w:i w:val="0"/>
                <w:iCs w:val="0"/>
                <w:color w:val="000000"/>
                <w:kern w:val="0"/>
                <w:sz w:val="21"/>
                <w:szCs w:val="21"/>
                <w:highlight w:val="none"/>
                <w:u w:val="none"/>
                <w:lang w:val="en-US" w:eastAsia="zh-CN" w:bidi="ar"/>
              </w:rPr>
              <w:t>主要生境</w:t>
            </w:r>
          </w:p>
        </w:tc>
        <w:tc>
          <w:tcPr>
            <w:tcW w:w="1919" w:type="dxa"/>
            <w:shd w:val="clear" w:color="auto" w:fill="auto"/>
            <w:vAlign w:val="center"/>
          </w:tcPr>
          <w:p w14:paraId="20E972FE">
            <w:pPr>
              <w:pStyle w:val="25"/>
              <w:adjustRightInd w:val="0"/>
              <w:snapToGrid w:val="0"/>
              <w:spacing w:after="0" w:line="240" w:lineRule="auto"/>
              <w:ind w:left="0" w:leftChars="0" w:firstLine="0" w:firstLineChars="0"/>
              <w:jc w:val="center"/>
              <w:rPr>
                <w:rFonts w:hint="default" w:ascii="Times New Roman" w:hAnsi="Times New Roman" w:eastAsia="宋体" w:cs="Times New Roman"/>
                <w:b/>
                <w:bCs/>
                <w:kern w:val="2"/>
                <w:sz w:val="21"/>
                <w:szCs w:val="21"/>
                <w:highlight w:val="none"/>
                <w:vertAlign w:val="baseline"/>
                <w:lang w:val="en-US" w:eastAsia="zh-CN" w:bidi="ar-SA"/>
              </w:rPr>
            </w:pPr>
            <w:r>
              <w:rPr>
                <w:rFonts w:hint="eastAsia" w:ascii="Times New Roman" w:hAnsi="Times New Roman" w:eastAsia="宋体" w:cs="Times New Roman"/>
                <w:b/>
                <w:bCs/>
                <w:sz w:val="21"/>
                <w:szCs w:val="21"/>
                <w:highlight w:val="none"/>
                <w:vertAlign w:val="baseline"/>
                <w:lang w:val="en-US" w:eastAsia="zh-CN"/>
              </w:rPr>
              <w:t>样方数量</w:t>
            </w:r>
          </w:p>
        </w:tc>
      </w:tr>
      <w:tr w14:paraId="2F913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3345" w:type="dxa"/>
            <w:vAlign w:val="center"/>
          </w:tcPr>
          <w:p w14:paraId="39FDA62B">
            <w:pPr>
              <w:keepNext w:val="0"/>
              <w:keepLines w:val="0"/>
              <w:widowControl/>
              <w:suppressLineNumbers w:val="0"/>
              <w:spacing w:line="240" w:lineRule="auto"/>
              <w:jc w:val="center"/>
              <w:textAlignment w:val="center"/>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eastAsia="宋体" w:cs="Times New Roman"/>
                <w:b w:val="0"/>
                <w:bCs w:val="0"/>
                <w:sz w:val="21"/>
                <w:szCs w:val="21"/>
                <w:highlight w:val="none"/>
                <w:vertAlign w:val="baseline"/>
                <w:lang w:val="en-US" w:eastAsia="zh-CN"/>
              </w:rPr>
              <w:t>TE1</w:t>
            </w:r>
          </w:p>
        </w:tc>
        <w:tc>
          <w:tcPr>
            <w:tcW w:w="3258" w:type="dxa"/>
            <w:vAlign w:val="center"/>
          </w:tcPr>
          <w:p w14:paraId="2FF94C98">
            <w:pPr>
              <w:keepNext w:val="0"/>
              <w:keepLines w:val="0"/>
              <w:widowControl/>
              <w:suppressLineNumbers w:val="0"/>
              <w:jc w:val="center"/>
              <w:textAlignment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林地</w:t>
            </w:r>
            <w:r>
              <w:rPr>
                <w:rFonts w:hint="eastAsia" w:ascii="Times New Roman" w:hAnsi="Times New Roman" w:eastAsia="宋体" w:cs="Times New Roman"/>
                <w:b w:val="0"/>
                <w:bCs w:val="0"/>
                <w:sz w:val="21"/>
                <w:szCs w:val="21"/>
                <w:highlight w:val="none"/>
                <w:vertAlign w:val="baseline"/>
                <w:lang w:val="en-US" w:eastAsia="zh-CN"/>
              </w:rPr>
              <w:t>、耕地、湿地</w:t>
            </w:r>
          </w:p>
        </w:tc>
        <w:tc>
          <w:tcPr>
            <w:tcW w:w="1919" w:type="dxa"/>
            <w:vAlign w:val="center"/>
          </w:tcPr>
          <w:p w14:paraId="0915B3D0">
            <w:pPr>
              <w:keepNext w:val="0"/>
              <w:keepLines w:val="0"/>
              <w:widowControl/>
              <w:suppressLineNumbers w:val="0"/>
              <w:jc w:val="center"/>
              <w:textAlignment w:val="center"/>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eastAsia="宋体" w:cs="Times New Roman"/>
                <w:b w:val="0"/>
                <w:bCs w:val="0"/>
                <w:sz w:val="21"/>
                <w:szCs w:val="21"/>
                <w:highlight w:val="none"/>
                <w:vertAlign w:val="baseline"/>
                <w:lang w:val="en-US" w:eastAsia="zh-CN"/>
              </w:rPr>
              <w:t>3</w:t>
            </w:r>
          </w:p>
        </w:tc>
      </w:tr>
      <w:tr w14:paraId="726C3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3345" w:type="dxa"/>
            <w:vAlign w:val="center"/>
          </w:tcPr>
          <w:p w14:paraId="6EB46214">
            <w:pPr>
              <w:keepNext w:val="0"/>
              <w:keepLines w:val="0"/>
              <w:widowControl/>
              <w:suppressLineNumbers w:val="0"/>
              <w:spacing w:line="240" w:lineRule="auto"/>
              <w:jc w:val="center"/>
              <w:textAlignment w:val="center"/>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eastAsia="宋体" w:cs="Times New Roman"/>
                <w:b w:val="0"/>
                <w:bCs w:val="0"/>
                <w:sz w:val="21"/>
                <w:szCs w:val="21"/>
                <w:highlight w:val="none"/>
                <w:vertAlign w:val="baseline"/>
                <w:lang w:val="en-US" w:eastAsia="zh-CN"/>
              </w:rPr>
              <w:t>TE2</w:t>
            </w:r>
          </w:p>
        </w:tc>
        <w:tc>
          <w:tcPr>
            <w:tcW w:w="3258" w:type="dxa"/>
            <w:vAlign w:val="center"/>
          </w:tcPr>
          <w:p w14:paraId="19619AB2">
            <w:pPr>
              <w:jc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林地</w:t>
            </w:r>
            <w:r>
              <w:rPr>
                <w:rFonts w:hint="eastAsia" w:ascii="Times New Roman" w:hAnsi="Times New Roman" w:eastAsia="宋体" w:cs="Times New Roman"/>
                <w:b w:val="0"/>
                <w:bCs w:val="0"/>
                <w:sz w:val="21"/>
                <w:szCs w:val="21"/>
                <w:highlight w:val="none"/>
                <w:vertAlign w:val="baseline"/>
                <w:lang w:val="en-US" w:eastAsia="zh-CN"/>
              </w:rPr>
              <w:t>、耕地、湿地</w:t>
            </w:r>
          </w:p>
        </w:tc>
        <w:tc>
          <w:tcPr>
            <w:tcW w:w="1919" w:type="dxa"/>
            <w:vAlign w:val="center"/>
          </w:tcPr>
          <w:p w14:paraId="180D6242">
            <w:pPr>
              <w:keepNext w:val="0"/>
              <w:keepLines w:val="0"/>
              <w:widowControl/>
              <w:suppressLineNumbers w:val="0"/>
              <w:jc w:val="center"/>
              <w:textAlignment w:val="center"/>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eastAsia="宋体" w:cs="Times New Roman"/>
                <w:b w:val="0"/>
                <w:bCs w:val="0"/>
                <w:sz w:val="21"/>
                <w:szCs w:val="21"/>
                <w:highlight w:val="none"/>
                <w:vertAlign w:val="baseline"/>
                <w:lang w:val="en-US" w:eastAsia="zh-CN"/>
              </w:rPr>
              <w:t>3</w:t>
            </w:r>
          </w:p>
        </w:tc>
      </w:tr>
    </w:tbl>
    <w:p w14:paraId="75C29F09">
      <w:pPr>
        <w:spacing w:line="240" w:lineRule="auto"/>
        <w:ind w:firstLine="0" w:firstLineChars="0"/>
        <w:jc w:val="center"/>
        <w:rPr>
          <w:rFonts w:hint="eastAsia" w:ascii="Times New Roman" w:hAnsi="Times New Roman" w:eastAsia="宋体" w:cs="Times New Roman"/>
          <w:b/>
          <w:bCs/>
          <w:color w:val="auto"/>
          <w:sz w:val="24"/>
          <w:szCs w:val="32"/>
          <w:lang w:eastAsia="zh-CN"/>
        </w:rPr>
      </w:pPr>
      <w:r>
        <w:rPr>
          <w:rFonts w:hint="eastAsia" w:ascii="Times New Roman" w:hAnsi="Times New Roman" w:eastAsia="宋体" w:cs="Times New Roman"/>
          <w:b/>
          <w:bCs/>
          <w:color w:val="auto"/>
          <w:sz w:val="24"/>
          <w:szCs w:val="32"/>
          <w:lang w:eastAsia="zh-CN"/>
        </w:rPr>
        <w:drawing>
          <wp:inline distT="0" distB="0" distL="114300" distR="114300">
            <wp:extent cx="5273040" cy="4009390"/>
            <wp:effectExtent l="9525" t="9525" r="13335" b="19685"/>
            <wp:docPr id="2" name="图片 2" descr="fb6692318af1f020fdf42db2eecb8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b6692318af1f020fdf42db2eecb8919"/>
                    <pic:cNvPicPr>
                      <a:picLocks noChangeAspect="1"/>
                    </pic:cNvPicPr>
                  </pic:nvPicPr>
                  <pic:blipFill>
                    <a:blip r:embed="rId85"/>
                    <a:stretch>
                      <a:fillRect/>
                    </a:stretch>
                  </pic:blipFill>
                  <pic:spPr>
                    <a:xfrm>
                      <a:off x="0" y="0"/>
                      <a:ext cx="5273040" cy="4009390"/>
                    </a:xfrm>
                    <a:prstGeom prst="rect">
                      <a:avLst/>
                    </a:prstGeom>
                    <a:ln>
                      <a:solidFill>
                        <a:schemeClr val="tx1"/>
                      </a:solidFill>
                    </a:ln>
                  </pic:spPr>
                </pic:pic>
              </a:graphicData>
            </a:graphic>
          </wp:inline>
        </w:drawing>
      </w:r>
    </w:p>
    <w:p w14:paraId="4DF18F94">
      <w:pPr>
        <w:autoSpaceDE w:val="0"/>
        <w:autoSpaceDN w:val="0"/>
        <w:adjustRightInd w:val="0"/>
        <w:spacing w:line="360" w:lineRule="auto"/>
        <w:jc w:val="center"/>
        <w:rPr>
          <w:rFonts w:hint="default" w:ascii="Times New Roman" w:hAnsi="Times New Roman" w:eastAsia="宋体" w:cs="Times New Roman"/>
          <w:b/>
          <w:bCs/>
          <w:color w:val="000000" w:themeColor="text1"/>
          <w:kern w:val="0"/>
          <w:sz w:val="24"/>
          <w:szCs w:val="24"/>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14:textFill>
            <w14:solidFill>
              <w14:schemeClr w14:val="tx1"/>
            </w14:solidFill>
          </w14:textFill>
        </w:rPr>
        <w:t>图</w:t>
      </w:r>
      <w:r>
        <w:rPr>
          <w:rFonts w:hint="eastAsia" w:ascii="Times New Roman" w:hAnsi="Times New Roman" w:eastAsia="宋体" w:cs="Times New Roman"/>
          <w:b/>
          <w:bCs/>
          <w:color w:val="000000" w:themeColor="text1"/>
          <w:kern w:val="0"/>
          <w:sz w:val="24"/>
          <w:szCs w:val="24"/>
          <w:lang w:val="en-US" w:eastAsia="zh-CN"/>
          <w14:textFill>
            <w14:solidFill>
              <w14:schemeClr w14:val="tx1"/>
            </w14:solidFill>
          </w14:textFill>
        </w:rPr>
        <w:t>3-6</w:t>
      </w:r>
      <w:r>
        <w:rPr>
          <w:rFonts w:hint="default" w:ascii="Times New Roman" w:hAnsi="Times New Roman" w:eastAsia="宋体" w:cs="Times New Roman"/>
          <w:b/>
          <w:bCs/>
          <w:color w:val="000000" w:themeColor="text1"/>
          <w:kern w:val="0"/>
          <w:sz w:val="24"/>
          <w:szCs w:val="24"/>
          <w:lang w:val="en-US" w:eastAsia="zh-CN"/>
          <w14:textFill>
            <w14:solidFill>
              <w14:schemeClr w14:val="tx1"/>
            </w14:solidFill>
          </w14:textFill>
        </w:rPr>
        <w:t xml:space="preserve">  项目植物群落调查样方设置示意图</w:t>
      </w:r>
    </w:p>
    <w:p w14:paraId="21EBB15C">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样方调查结果分析</w:t>
      </w:r>
    </w:p>
    <w:p w14:paraId="3ED485A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color w:val="auto"/>
          <w:sz w:val="24"/>
          <w:szCs w:val="24"/>
        </w:rPr>
        <w:t>根据现场植被</w:t>
      </w:r>
      <w:r>
        <w:rPr>
          <w:rFonts w:hint="default" w:ascii="Times New Roman" w:hAnsi="Times New Roman" w:eastAsia="宋体" w:cs="Times New Roman"/>
          <w:snapToGrid w:val="0"/>
          <w:kern w:val="0"/>
          <w:sz w:val="24"/>
          <w:szCs w:val="22"/>
          <w:lang w:val="en-US" w:eastAsia="zh-CN" w:bidi="ar-SA"/>
        </w:rPr>
        <w:t>调查样方统计分析：</w:t>
      </w:r>
    </w:p>
    <w:p w14:paraId="3F03868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①本次设置的</w:t>
      </w:r>
      <w:r>
        <w:rPr>
          <w:rFonts w:hint="eastAsia" w:ascii="Times New Roman" w:hAnsi="Times New Roman" w:eastAsia="宋体" w:cs="Times New Roman"/>
          <w:snapToGrid w:val="0"/>
          <w:kern w:val="0"/>
          <w:sz w:val="24"/>
          <w:szCs w:val="22"/>
          <w:lang w:val="en-US" w:eastAsia="zh-CN" w:bidi="ar-SA"/>
        </w:rPr>
        <w:t>6</w:t>
      </w:r>
      <w:r>
        <w:rPr>
          <w:rFonts w:hint="default" w:ascii="Times New Roman" w:hAnsi="Times New Roman" w:eastAsia="宋体" w:cs="Times New Roman"/>
          <w:snapToGrid w:val="0"/>
          <w:kern w:val="0"/>
          <w:sz w:val="24"/>
          <w:szCs w:val="22"/>
          <w:lang w:val="en-US" w:eastAsia="zh-CN" w:bidi="ar-SA"/>
        </w:rPr>
        <w:t>个样方点位中：其中乔木主要涉及马尾松、杉木、化香树、枫香等，林下灌木、草本植物较多，盖度较高。</w:t>
      </w:r>
    </w:p>
    <w:p w14:paraId="12236B2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highlight w:val="none"/>
          <w:lang w:val="en-US" w:eastAsia="zh-CN" w:bidi="ar-SA"/>
        </w:rPr>
      </w:pPr>
      <w:r>
        <w:rPr>
          <w:rFonts w:hint="default" w:ascii="Times New Roman" w:hAnsi="Times New Roman" w:eastAsia="宋体" w:cs="Times New Roman"/>
          <w:snapToGrid w:val="0"/>
          <w:kern w:val="0"/>
          <w:sz w:val="24"/>
          <w:szCs w:val="22"/>
          <w:lang w:val="en-US" w:eastAsia="zh-CN" w:bidi="ar-SA"/>
        </w:rPr>
        <w:t>②项目区评价范围</w:t>
      </w:r>
      <w:r>
        <w:rPr>
          <w:rFonts w:hint="default" w:ascii="Times New Roman" w:hAnsi="Times New Roman" w:eastAsia="宋体" w:cs="Times New Roman"/>
          <w:snapToGrid w:val="0"/>
          <w:kern w:val="0"/>
          <w:sz w:val="24"/>
          <w:szCs w:val="22"/>
          <w:highlight w:val="none"/>
          <w:lang w:val="en-US" w:eastAsia="zh-CN" w:bidi="ar-SA"/>
        </w:rPr>
        <w:t>内植被良好，评价区内人工植被多为一些经济林，主要为马尾松林，马尾松林和人工林分布面积较大。</w:t>
      </w:r>
    </w:p>
    <w:p w14:paraId="0033559E">
      <w:pPr>
        <w:keepNext w:val="0"/>
        <w:keepLines w:val="0"/>
        <w:pageBreakBefore w:val="0"/>
        <w:widowControl/>
        <w:suppressLineNumbers w:val="0"/>
        <w:kinsoku/>
        <w:wordWrap/>
        <w:overflowPunct/>
        <w:topLinePunct w:val="0"/>
        <w:autoSpaceDE/>
        <w:autoSpaceDN/>
        <w:bidi w:val="0"/>
        <w:adjustRightInd/>
        <w:snapToGrid/>
        <w:spacing w:before="157" w:beforeLines="50" w:line="360" w:lineRule="auto"/>
        <w:ind w:firstLine="482" w:firstLineChars="200"/>
        <w:jc w:val="left"/>
        <w:textAlignment w:val="auto"/>
        <w:rPr>
          <w:rFonts w:hint="default" w:ascii="Times New Roman" w:hAnsi="Times New Roman" w:eastAsia="宋体" w:cs="Times New Roman"/>
          <w:b/>
          <w:bCs w:val="0"/>
          <w:snapToGrid/>
          <w:color w:val="auto"/>
          <w:sz w:val="24"/>
          <w:szCs w:val="24"/>
          <w:highlight w:val="none"/>
          <w:lang w:val="en-US" w:eastAsia="zh-CN"/>
        </w:rPr>
      </w:pPr>
      <w:r>
        <w:rPr>
          <w:rFonts w:hint="default" w:ascii="Times New Roman" w:hAnsi="Times New Roman" w:eastAsia="宋体" w:cs="Times New Roman"/>
          <w:b/>
          <w:bCs w:val="0"/>
          <w:snapToGrid/>
          <w:color w:val="auto"/>
          <w:sz w:val="24"/>
          <w:szCs w:val="24"/>
          <w:highlight w:val="none"/>
          <w:lang w:eastAsia="zh-CN"/>
        </w:rPr>
        <w:t>（</w:t>
      </w:r>
      <w:r>
        <w:rPr>
          <w:rFonts w:hint="eastAsia" w:ascii="Times New Roman" w:hAnsi="Times New Roman" w:eastAsia="宋体" w:cs="Times New Roman"/>
          <w:b/>
          <w:bCs w:val="0"/>
          <w:snapToGrid/>
          <w:color w:val="auto"/>
          <w:sz w:val="24"/>
          <w:szCs w:val="24"/>
          <w:highlight w:val="none"/>
          <w:lang w:val="en-US" w:eastAsia="zh-CN"/>
        </w:rPr>
        <w:t>5</w:t>
      </w:r>
      <w:r>
        <w:rPr>
          <w:rFonts w:hint="default" w:ascii="Times New Roman" w:hAnsi="Times New Roman" w:eastAsia="宋体" w:cs="Times New Roman"/>
          <w:b/>
          <w:bCs w:val="0"/>
          <w:snapToGrid/>
          <w:color w:val="auto"/>
          <w:sz w:val="24"/>
          <w:szCs w:val="24"/>
          <w:highlight w:val="none"/>
          <w:lang w:eastAsia="zh-CN"/>
        </w:rPr>
        <w:t>）</w:t>
      </w:r>
      <w:r>
        <w:rPr>
          <w:rFonts w:hint="default" w:ascii="Times New Roman" w:hAnsi="Times New Roman" w:eastAsia="宋体" w:cs="Times New Roman"/>
          <w:b/>
          <w:bCs w:val="0"/>
          <w:snapToGrid/>
          <w:color w:val="auto"/>
          <w:sz w:val="24"/>
          <w:szCs w:val="24"/>
          <w:highlight w:val="none"/>
          <w:lang w:val="en-US" w:eastAsia="zh-CN"/>
        </w:rPr>
        <w:t>植物物种分析</w:t>
      </w:r>
    </w:p>
    <w:p w14:paraId="7FAE328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color w:val="auto"/>
          <w:sz w:val="24"/>
          <w:szCs w:val="24"/>
          <w:lang w:val="en-US" w:eastAsia="zh-CN"/>
        </w:rPr>
        <w:t>根据</w:t>
      </w:r>
      <w:r>
        <w:rPr>
          <w:rFonts w:hint="default" w:ascii="Times New Roman" w:hAnsi="Times New Roman" w:eastAsia="宋体" w:cs="Times New Roman"/>
          <w:color w:val="auto"/>
          <w:sz w:val="24"/>
          <w:szCs w:val="24"/>
        </w:rPr>
        <w:t>样</w:t>
      </w:r>
      <w:r>
        <w:rPr>
          <w:rFonts w:hint="default" w:ascii="Times New Roman" w:hAnsi="Times New Roman" w:eastAsia="宋体" w:cs="Times New Roman"/>
          <w:snapToGrid w:val="0"/>
          <w:kern w:val="0"/>
          <w:sz w:val="24"/>
          <w:szCs w:val="22"/>
          <w:lang w:val="en-US" w:eastAsia="zh-CN" w:bidi="ar-SA"/>
        </w:rPr>
        <w:t>方调查结果，调查样方涉及</w:t>
      </w:r>
      <w:r>
        <w:rPr>
          <w:rFonts w:hint="eastAsia" w:ascii="Times New Roman" w:hAnsi="Times New Roman" w:eastAsia="宋体" w:cs="Times New Roman"/>
          <w:snapToGrid w:val="0"/>
          <w:kern w:val="0"/>
          <w:sz w:val="24"/>
          <w:szCs w:val="22"/>
          <w:lang w:val="en-US" w:eastAsia="zh-CN" w:bidi="ar-SA"/>
        </w:rPr>
        <w:t>31</w:t>
      </w:r>
      <w:r>
        <w:rPr>
          <w:rFonts w:hint="default" w:ascii="Times New Roman" w:hAnsi="Times New Roman" w:eastAsia="宋体" w:cs="Times New Roman"/>
          <w:snapToGrid w:val="0"/>
          <w:kern w:val="0"/>
          <w:sz w:val="24"/>
          <w:szCs w:val="22"/>
          <w:lang w:val="en-US" w:eastAsia="zh-CN" w:bidi="ar-SA"/>
        </w:rPr>
        <w:t>科</w:t>
      </w:r>
      <w:r>
        <w:rPr>
          <w:rFonts w:hint="eastAsia" w:ascii="Times New Roman" w:hAnsi="Times New Roman" w:eastAsia="宋体" w:cs="Times New Roman"/>
          <w:snapToGrid w:val="0"/>
          <w:kern w:val="0"/>
          <w:sz w:val="24"/>
          <w:szCs w:val="22"/>
          <w:lang w:val="en-US" w:eastAsia="zh-CN" w:bidi="ar-SA"/>
        </w:rPr>
        <w:t>53</w:t>
      </w:r>
      <w:r>
        <w:rPr>
          <w:rFonts w:hint="default" w:ascii="Times New Roman" w:hAnsi="Times New Roman" w:eastAsia="宋体" w:cs="Times New Roman"/>
          <w:snapToGrid w:val="0"/>
          <w:kern w:val="0"/>
          <w:sz w:val="24"/>
          <w:szCs w:val="22"/>
          <w:lang w:val="en-US" w:eastAsia="zh-CN" w:bidi="ar-SA"/>
        </w:rPr>
        <w:t>属</w:t>
      </w:r>
      <w:r>
        <w:rPr>
          <w:rFonts w:hint="eastAsia" w:ascii="Times New Roman" w:hAnsi="Times New Roman" w:eastAsia="宋体" w:cs="Times New Roman"/>
          <w:snapToGrid w:val="0"/>
          <w:kern w:val="0"/>
          <w:sz w:val="24"/>
          <w:szCs w:val="22"/>
          <w:lang w:val="en-US" w:eastAsia="zh-CN" w:bidi="ar-SA"/>
        </w:rPr>
        <w:t>96</w:t>
      </w:r>
      <w:r>
        <w:rPr>
          <w:rFonts w:hint="default" w:ascii="Times New Roman" w:hAnsi="Times New Roman" w:eastAsia="宋体" w:cs="Times New Roman"/>
          <w:snapToGrid w:val="0"/>
          <w:kern w:val="0"/>
          <w:sz w:val="24"/>
          <w:szCs w:val="22"/>
          <w:lang w:val="en-US" w:eastAsia="zh-CN" w:bidi="ar-SA"/>
        </w:rPr>
        <w:t>种，其中种子植物</w:t>
      </w:r>
      <w:r>
        <w:rPr>
          <w:rFonts w:hint="eastAsia" w:ascii="Times New Roman" w:hAnsi="Times New Roman" w:eastAsia="宋体" w:cs="Times New Roman"/>
          <w:snapToGrid w:val="0"/>
          <w:kern w:val="0"/>
          <w:sz w:val="24"/>
          <w:szCs w:val="22"/>
          <w:lang w:val="en-US" w:eastAsia="zh-CN" w:bidi="ar-SA"/>
        </w:rPr>
        <w:t>29</w:t>
      </w:r>
      <w:r>
        <w:rPr>
          <w:rFonts w:hint="default" w:ascii="Times New Roman" w:hAnsi="Times New Roman" w:eastAsia="宋体" w:cs="Times New Roman"/>
          <w:snapToGrid w:val="0"/>
          <w:kern w:val="0"/>
          <w:sz w:val="24"/>
          <w:szCs w:val="22"/>
          <w:lang w:val="en-US" w:eastAsia="zh-CN" w:bidi="ar-SA"/>
        </w:rPr>
        <w:t>科</w:t>
      </w:r>
      <w:r>
        <w:rPr>
          <w:rFonts w:hint="eastAsia" w:ascii="Times New Roman" w:hAnsi="Times New Roman" w:eastAsia="宋体" w:cs="Times New Roman"/>
          <w:snapToGrid w:val="0"/>
          <w:kern w:val="0"/>
          <w:sz w:val="24"/>
          <w:szCs w:val="22"/>
          <w:lang w:val="en-US" w:eastAsia="zh-CN" w:bidi="ar-SA"/>
        </w:rPr>
        <w:t>50</w:t>
      </w:r>
      <w:r>
        <w:rPr>
          <w:rFonts w:hint="default" w:ascii="Times New Roman" w:hAnsi="Times New Roman" w:eastAsia="宋体" w:cs="Times New Roman"/>
          <w:snapToGrid w:val="0"/>
          <w:kern w:val="0"/>
          <w:sz w:val="24"/>
          <w:szCs w:val="22"/>
          <w:lang w:val="en-US" w:eastAsia="zh-CN" w:bidi="ar-SA"/>
        </w:rPr>
        <w:t>属</w:t>
      </w:r>
      <w:r>
        <w:rPr>
          <w:rFonts w:hint="eastAsia" w:ascii="Times New Roman" w:hAnsi="Times New Roman" w:eastAsia="宋体" w:cs="Times New Roman"/>
          <w:snapToGrid w:val="0"/>
          <w:kern w:val="0"/>
          <w:sz w:val="24"/>
          <w:szCs w:val="22"/>
          <w:lang w:val="en-US" w:eastAsia="zh-CN" w:bidi="ar-SA"/>
        </w:rPr>
        <w:t>93</w:t>
      </w:r>
      <w:r>
        <w:rPr>
          <w:rFonts w:hint="default" w:ascii="Times New Roman" w:hAnsi="Times New Roman" w:eastAsia="宋体" w:cs="Times New Roman"/>
          <w:snapToGrid w:val="0"/>
          <w:kern w:val="0"/>
          <w:sz w:val="24"/>
          <w:szCs w:val="22"/>
          <w:lang w:val="en-US" w:eastAsia="zh-CN" w:bidi="ar-SA"/>
        </w:rPr>
        <w:t>种，蕨类植物2科3属3种，种子植物占绝对优势。其中红线范围涉及13科14属17种，红线范围外评价范围内涉及44科79属98种，不涉及国家重点保护野生植物。可见评价范围内植物种类较丰富。</w:t>
      </w:r>
    </w:p>
    <w:p w14:paraId="1677C3AF">
      <w:pPr>
        <w:overflowPunct w:val="0"/>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b/>
          <w:bCs/>
          <w:color w:val="auto"/>
          <w:sz w:val="21"/>
          <w:szCs w:val="18"/>
        </w:rPr>
        <w:t>表</w:t>
      </w:r>
      <w:r>
        <w:rPr>
          <w:rFonts w:hint="eastAsia" w:ascii="Times New Roman" w:hAnsi="Times New Roman" w:eastAsia="宋体" w:cs="Times New Roman"/>
          <w:b/>
          <w:bCs/>
          <w:color w:val="auto"/>
          <w:sz w:val="21"/>
          <w:szCs w:val="18"/>
          <w:lang w:val="en-US" w:eastAsia="zh-CN"/>
        </w:rPr>
        <w:t>3-4</w:t>
      </w:r>
      <w:r>
        <w:rPr>
          <w:rFonts w:hint="default" w:ascii="Times New Roman" w:hAnsi="Times New Roman" w:eastAsia="宋体" w:cs="Times New Roman"/>
          <w:b/>
          <w:bCs/>
          <w:color w:val="auto"/>
          <w:sz w:val="21"/>
          <w:szCs w:val="18"/>
        </w:rPr>
        <w:t xml:space="preserve">  评价区植物种类统计表</w:t>
      </w:r>
    </w:p>
    <w:tbl>
      <w:tblPr>
        <w:tblStyle w:val="75"/>
        <w:tblW w:w="503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650"/>
        <w:gridCol w:w="1547"/>
        <w:gridCol w:w="1517"/>
        <w:gridCol w:w="1760"/>
        <w:gridCol w:w="1902"/>
      </w:tblGrid>
      <w:tr w14:paraId="70A170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908" w:type="pct"/>
            <w:gridSpan w:val="2"/>
            <w:vAlign w:val="center"/>
          </w:tcPr>
          <w:p w14:paraId="36AF5B13">
            <w:pPr>
              <w:overflowPunct w:val="0"/>
              <w:spacing w:line="240" w:lineRule="auto"/>
              <w:ind w:firstLine="0" w:firstLineChars="0"/>
              <w:jc w:val="center"/>
              <w:rPr>
                <w:rFonts w:hint="default" w:ascii="Times New Roman" w:hAnsi="Times New Roman" w:eastAsia="宋体" w:cs="Times New Roman"/>
                <w:b/>
                <w:bCs/>
                <w:color w:val="auto"/>
                <w:sz w:val="21"/>
              </w:rPr>
            </w:pPr>
            <w:r>
              <w:rPr>
                <w:rFonts w:hint="default" w:ascii="Times New Roman" w:hAnsi="Times New Roman" w:eastAsia="宋体" w:cs="Times New Roman"/>
                <w:b/>
                <w:bCs/>
                <w:color w:val="auto"/>
                <w:sz w:val="21"/>
              </w:rPr>
              <w:t>植物种类</w:t>
            </w:r>
          </w:p>
        </w:tc>
        <w:tc>
          <w:tcPr>
            <w:tcW w:w="905" w:type="pct"/>
            <w:vAlign w:val="center"/>
          </w:tcPr>
          <w:p w14:paraId="2244391D">
            <w:pPr>
              <w:overflowPunct w:val="0"/>
              <w:spacing w:line="240" w:lineRule="auto"/>
              <w:ind w:firstLine="0" w:firstLineChars="0"/>
              <w:jc w:val="center"/>
              <w:rPr>
                <w:rFonts w:hint="eastAsia" w:ascii="Times New Roman" w:hAnsi="Times New Roman" w:eastAsia="宋体" w:cs="Times New Roman"/>
                <w:b/>
                <w:bCs/>
                <w:color w:val="auto"/>
                <w:sz w:val="21"/>
                <w:lang w:val="en-US" w:eastAsia="zh-CN"/>
              </w:rPr>
            </w:pPr>
            <w:r>
              <w:rPr>
                <w:rFonts w:hint="eastAsia" w:ascii="Times New Roman" w:hAnsi="Times New Roman" w:eastAsia="宋体" w:cs="Times New Roman"/>
                <w:b/>
                <w:bCs/>
                <w:color w:val="auto"/>
                <w:sz w:val="21"/>
                <w:lang w:val="en-US" w:eastAsia="zh-CN"/>
              </w:rPr>
              <w:t>科</w:t>
            </w:r>
          </w:p>
        </w:tc>
        <w:tc>
          <w:tcPr>
            <w:tcW w:w="1050" w:type="pct"/>
            <w:vAlign w:val="center"/>
          </w:tcPr>
          <w:p w14:paraId="73EDAC38">
            <w:pPr>
              <w:overflowPunct w:val="0"/>
              <w:spacing w:line="240" w:lineRule="auto"/>
              <w:ind w:firstLine="0" w:firstLineChars="0"/>
              <w:jc w:val="center"/>
              <w:rPr>
                <w:rFonts w:hint="eastAsia" w:ascii="Times New Roman" w:hAnsi="Times New Roman" w:eastAsia="宋体" w:cs="Times New Roman"/>
                <w:b/>
                <w:bCs/>
                <w:color w:val="auto"/>
                <w:sz w:val="21"/>
                <w:lang w:val="en-US" w:eastAsia="zh-CN"/>
              </w:rPr>
            </w:pPr>
            <w:r>
              <w:rPr>
                <w:rFonts w:hint="eastAsia" w:ascii="Times New Roman" w:hAnsi="Times New Roman" w:eastAsia="宋体" w:cs="Times New Roman"/>
                <w:b/>
                <w:bCs/>
                <w:color w:val="auto"/>
                <w:sz w:val="21"/>
                <w:lang w:val="en-US" w:eastAsia="zh-CN"/>
              </w:rPr>
              <w:t>属</w:t>
            </w:r>
          </w:p>
        </w:tc>
        <w:tc>
          <w:tcPr>
            <w:tcW w:w="1135" w:type="pct"/>
            <w:vAlign w:val="center"/>
          </w:tcPr>
          <w:p w14:paraId="44785DBF">
            <w:pPr>
              <w:overflowPunct w:val="0"/>
              <w:spacing w:line="240" w:lineRule="auto"/>
              <w:ind w:firstLine="0" w:firstLineChars="0"/>
              <w:jc w:val="center"/>
              <w:rPr>
                <w:rFonts w:hint="eastAsia" w:ascii="Times New Roman" w:hAnsi="Times New Roman" w:eastAsia="宋体" w:cs="Times New Roman"/>
                <w:b/>
                <w:bCs/>
                <w:color w:val="auto"/>
                <w:sz w:val="21"/>
                <w:lang w:val="en-US" w:eastAsia="zh-CN"/>
              </w:rPr>
            </w:pPr>
            <w:r>
              <w:rPr>
                <w:rFonts w:hint="eastAsia" w:ascii="Times New Roman" w:hAnsi="Times New Roman" w:eastAsia="宋体" w:cs="Times New Roman"/>
                <w:b/>
                <w:bCs/>
                <w:color w:val="auto"/>
                <w:sz w:val="21"/>
                <w:lang w:val="en-US" w:eastAsia="zh-CN"/>
              </w:rPr>
              <w:t>种</w:t>
            </w:r>
          </w:p>
        </w:tc>
      </w:tr>
      <w:tr w14:paraId="77BCB6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908" w:type="pct"/>
            <w:gridSpan w:val="2"/>
            <w:vAlign w:val="center"/>
          </w:tcPr>
          <w:p w14:paraId="2610A01E">
            <w:pPr>
              <w:overflowPunct w:val="0"/>
              <w:spacing w:line="240" w:lineRule="auto"/>
              <w:ind w:firstLine="0" w:firstLineChars="0"/>
              <w:jc w:val="center"/>
              <w:rPr>
                <w:rFonts w:hint="default" w:ascii="Times New Roman" w:hAnsi="Times New Roman" w:eastAsia="宋体" w:cs="Times New Roman"/>
                <w:b w:val="0"/>
                <w:bCs w:val="0"/>
                <w:color w:val="auto"/>
                <w:sz w:val="21"/>
              </w:rPr>
            </w:pPr>
            <w:r>
              <w:rPr>
                <w:rFonts w:hint="default" w:ascii="Times New Roman" w:hAnsi="Times New Roman" w:eastAsia="宋体" w:cs="Times New Roman"/>
                <w:b w:val="0"/>
                <w:bCs w:val="0"/>
                <w:color w:val="auto"/>
                <w:sz w:val="21"/>
              </w:rPr>
              <w:t>蕨类植物</w:t>
            </w:r>
          </w:p>
        </w:tc>
        <w:tc>
          <w:tcPr>
            <w:tcW w:w="905" w:type="pct"/>
            <w:vAlign w:val="center"/>
          </w:tcPr>
          <w:p w14:paraId="732D7385">
            <w:pPr>
              <w:overflowPunct w:val="0"/>
              <w:spacing w:line="240" w:lineRule="auto"/>
              <w:ind w:firstLine="0" w:firstLineChars="0"/>
              <w:jc w:val="center"/>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2</w:t>
            </w:r>
          </w:p>
        </w:tc>
        <w:tc>
          <w:tcPr>
            <w:tcW w:w="1050" w:type="pct"/>
            <w:vAlign w:val="center"/>
          </w:tcPr>
          <w:p w14:paraId="75AD560A">
            <w:pPr>
              <w:overflowPunct w:val="0"/>
              <w:spacing w:line="240" w:lineRule="auto"/>
              <w:ind w:firstLine="0" w:firstLineChars="0"/>
              <w:jc w:val="center"/>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3</w:t>
            </w:r>
          </w:p>
        </w:tc>
        <w:tc>
          <w:tcPr>
            <w:tcW w:w="1135" w:type="pct"/>
            <w:vAlign w:val="center"/>
          </w:tcPr>
          <w:p w14:paraId="0987F9C5">
            <w:pPr>
              <w:overflowPunct w:val="0"/>
              <w:spacing w:line="240" w:lineRule="auto"/>
              <w:ind w:firstLine="0" w:firstLineChars="0"/>
              <w:jc w:val="center"/>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3</w:t>
            </w:r>
          </w:p>
        </w:tc>
      </w:tr>
      <w:tr w14:paraId="7A3680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985" w:type="pct"/>
            <w:vMerge w:val="restart"/>
            <w:vAlign w:val="center"/>
          </w:tcPr>
          <w:p w14:paraId="7B146395">
            <w:pPr>
              <w:overflowPunct w:val="0"/>
              <w:spacing w:line="240" w:lineRule="auto"/>
              <w:ind w:firstLine="0" w:firstLineChars="0"/>
              <w:jc w:val="center"/>
              <w:rPr>
                <w:rFonts w:hint="default" w:ascii="Times New Roman" w:hAnsi="Times New Roman" w:eastAsia="宋体" w:cs="Times New Roman"/>
                <w:b w:val="0"/>
                <w:bCs w:val="0"/>
                <w:color w:val="auto"/>
                <w:sz w:val="21"/>
              </w:rPr>
            </w:pPr>
            <w:r>
              <w:rPr>
                <w:rFonts w:hint="default" w:ascii="Times New Roman" w:hAnsi="Times New Roman" w:eastAsia="宋体" w:cs="Times New Roman"/>
                <w:b w:val="0"/>
                <w:bCs w:val="0"/>
                <w:color w:val="auto"/>
                <w:sz w:val="21"/>
              </w:rPr>
              <w:t>种子植物</w:t>
            </w:r>
          </w:p>
        </w:tc>
        <w:tc>
          <w:tcPr>
            <w:tcW w:w="923" w:type="pct"/>
            <w:vAlign w:val="center"/>
          </w:tcPr>
          <w:p w14:paraId="5221DA56">
            <w:pPr>
              <w:overflowPunct w:val="0"/>
              <w:spacing w:line="240" w:lineRule="auto"/>
              <w:ind w:firstLine="0" w:firstLineChars="0"/>
              <w:jc w:val="center"/>
              <w:rPr>
                <w:rFonts w:hint="default" w:ascii="Times New Roman" w:hAnsi="Times New Roman" w:eastAsia="宋体" w:cs="Times New Roman"/>
                <w:b w:val="0"/>
                <w:bCs w:val="0"/>
                <w:color w:val="auto"/>
                <w:sz w:val="21"/>
              </w:rPr>
            </w:pPr>
            <w:r>
              <w:rPr>
                <w:rFonts w:hint="default" w:ascii="Times New Roman" w:hAnsi="Times New Roman" w:eastAsia="宋体" w:cs="Times New Roman"/>
                <w:b w:val="0"/>
                <w:bCs w:val="0"/>
                <w:color w:val="auto"/>
                <w:sz w:val="21"/>
              </w:rPr>
              <w:t>被子植物</w:t>
            </w:r>
          </w:p>
        </w:tc>
        <w:tc>
          <w:tcPr>
            <w:tcW w:w="905" w:type="pct"/>
            <w:vAlign w:val="center"/>
          </w:tcPr>
          <w:p w14:paraId="093E71B3">
            <w:pPr>
              <w:overflowPunct w:val="0"/>
              <w:spacing w:line="240" w:lineRule="auto"/>
              <w:ind w:firstLine="0" w:firstLineChars="0"/>
              <w:jc w:val="center"/>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26</w:t>
            </w:r>
          </w:p>
        </w:tc>
        <w:tc>
          <w:tcPr>
            <w:tcW w:w="1050" w:type="pct"/>
            <w:vAlign w:val="center"/>
          </w:tcPr>
          <w:p w14:paraId="115FA13D">
            <w:pPr>
              <w:overflowPunct w:val="0"/>
              <w:spacing w:line="240" w:lineRule="auto"/>
              <w:ind w:firstLine="0" w:firstLineChars="0"/>
              <w:jc w:val="center"/>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45</w:t>
            </w:r>
          </w:p>
        </w:tc>
        <w:tc>
          <w:tcPr>
            <w:tcW w:w="1135" w:type="pct"/>
            <w:vAlign w:val="center"/>
          </w:tcPr>
          <w:p w14:paraId="563EAAD3">
            <w:pPr>
              <w:overflowPunct w:val="0"/>
              <w:spacing w:line="240" w:lineRule="auto"/>
              <w:ind w:firstLine="0" w:firstLineChars="0"/>
              <w:jc w:val="center"/>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86</w:t>
            </w:r>
          </w:p>
        </w:tc>
      </w:tr>
      <w:tr w14:paraId="698822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985" w:type="pct"/>
            <w:vMerge w:val="continue"/>
            <w:vAlign w:val="center"/>
          </w:tcPr>
          <w:p w14:paraId="4FEB2CDA">
            <w:pPr>
              <w:overflowPunct w:val="0"/>
              <w:spacing w:line="240" w:lineRule="auto"/>
              <w:ind w:firstLine="0" w:firstLineChars="0"/>
              <w:jc w:val="center"/>
              <w:rPr>
                <w:rFonts w:hint="default" w:ascii="Times New Roman" w:hAnsi="Times New Roman" w:eastAsia="宋体" w:cs="Times New Roman"/>
                <w:b w:val="0"/>
                <w:bCs w:val="0"/>
                <w:color w:val="auto"/>
                <w:sz w:val="21"/>
              </w:rPr>
            </w:pPr>
          </w:p>
        </w:tc>
        <w:tc>
          <w:tcPr>
            <w:tcW w:w="923" w:type="pct"/>
            <w:vAlign w:val="center"/>
          </w:tcPr>
          <w:p w14:paraId="7C430007">
            <w:pPr>
              <w:overflowPunct w:val="0"/>
              <w:spacing w:line="240" w:lineRule="auto"/>
              <w:ind w:firstLine="0" w:firstLineChars="0"/>
              <w:jc w:val="center"/>
              <w:rPr>
                <w:rFonts w:hint="default" w:ascii="Times New Roman" w:hAnsi="Times New Roman" w:eastAsia="宋体" w:cs="Times New Roman"/>
                <w:b w:val="0"/>
                <w:bCs w:val="0"/>
                <w:color w:val="auto"/>
                <w:sz w:val="21"/>
              </w:rPr>
            </w:pPr>
            <w:r>
              <w:rPr>
                <w:rFonts w:hint="default" w:ascii="Times New Roman" w:hAnsi="Times New Roman" w:eastAsia="宋体" w:cs="Times New Roman"/>
                <w:b w:val="0"/>
                <w:bCs w:val="0"/>
                <w:color w:val="auto"/>
                <w:sz w:val="21"/>
              </w:rPr>
              <w:t>裸子植物</w:t>
            </w:r>
          </w:p>
        </w:tc>
        <w:tc>
          <w:tcPr>
            <w:tcW w:w="905" w:type="pct"/>
            <w:vAlign w:val="center"/>
          </w:tcPr>
          <w:p w14:paraId="79CA900B">
            <w:pPr>
              <w:overflowPunct w:val="0"/>
              <w:spacing w:line="240" w:lineRule="auto"/>
              <w:ind w:firstLine="0" w:firstLineChars="0"/>
              <w:jc w:val="center"/>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3</w:t>
            </w:r>
          </w:p>
        </w:tc>
        <w:tc>
          <w:tcPr>
            <w:tcW w:w="1050" w:type="pct"/>
            <w:vAlign w:val="center"/>
          </w:tcPr>
          <w:p w14:paraId="0B059BF0">
            <w:pPr>
              <w:overflowPunct w:val="0"/>
              <w:spacing w:line="240" w:lineRule="auto"/>
              <w:ind w:firstLine="0" w:firstLineChars="0"/>
              <w:jc w:val="center"/>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w:t>
            </w:r>
          </w:p>
        </w:tc>
        <w:tc>
          <w:tcPr>
            <w:tcW w:w="1135" w:type="pct"/>
            <w:vAlign w:val="center"/>
          </w:tcPr>
          <w:p w14:paraId="15854C43">
            <w:pPr>
              <w:overflowPunct w:val="0"/>
              <w:spacing w:line="240" w:lineRule="auto"/>
              <w:ind w:firstLine="0" w:firstLineChars="0"/>
              <w:jc w:val="center"/>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w:t>
            </w:r>
          </w:p>
        </w:tc>
      </w:tr>
      <w:tr w14:paraId="05A8F7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985" w:type="pct"/>
            <w:vMerge w:val="continue"/>
            <w:vAlign w:val="center"/>
          </w:tcPr>
          <w:p w14:paraId="5F0BE182">
            <w:pPr>
              <w:overflowPunct w:val="0"/>
              <w:spacing w:line="240" w:lineRule="auto"/>
              <w:ind w:firstLine="0" w:firstLineChars="0"/>
              <w:jc w:val="center"/>
              <w:rPr>
                <w:rFonts w:hint="default" w:ascii="Times New Roman" w:hAnsi="Times New Roman" w:eastAsia="宋体" w:cs="Times New Roman"/>
                <w:b w:val="0"/>
                <w:bCs w:val="0"/>
                <w:color w:val="auto"/>
                <w:sz w:val="21"/>
              </w:rPr>
            </w:pPr>
          </w:p>
        </w:tc>
        <w:tc>
          <w:tcPr>
            <w:tcW w:w="923" w:type="pct"/>
            <w:vAlign w:val="center"/>
          </w:tcPr>
          <w:p w14:paraId="49FC6DB8">
            <w:pPr>
              <w:overflowPunct w:val="0"/>
              <w:spacing w:line="240" w:lineRule="auto"/>
              <w:ind w:firstLine="0" w:firstLineChars="0"/>
              <w:jc w:val="center"/>
              <w:rPr>
                <w:rFonts w:hint="default" w:ascii="Times New Roman" w:hAnsi="Times New Roman" w:eastAsia="宋体" w:cs="Times New Roman"/>
                <w:b w:val="0"/>
                <w:bCs w:val="0"/>
                <w:color w:val="auto"/>
                <w:sz w:val="21"/>
              </w:rPr>
            </w:pPr>
            <w:r>
              <w:rPr>
                <w:rFonts w:hint="default" w:ascii="Times New Roman" w:hAnsi="Times New Roman" w:eastAsia="宋体" w:cs="Times New Roman"/>
                <w:b w:val="0"/>
                <w:bCs w:val="0"/>
                <w:color w:val="auto"/>
                <w:sz w:val="21"/>
              </w:rPr>
              <w:t>合计</w:t>
            </w:r>
          </w:p>
        </w:tc>
        <w:tc>
          <w:tcPr>
            <w:tcW w:w="905" w:type="pct"/>
            <w:vAlign w:val="center"/>
          </w:tcPr>
          <w:p w14:paraId="17EAE6F2">
            <w:pPr>
              <w:overflowPunct w:val="0"/>
              <w:spacing w:line="240" w:lineRule="auto"/>
              <w:ind w:firstLine="0" w:firstLineChars="0"/>
              <w:jc w:val="center"/>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29</w:t>
            </w:r>
          </w:p>
        </w:tc>
        <w:tc>
          <w:tcPr>
            <w:tcW w:w="1050" w:type="pct"/>
            <w:vAlign w:val="center"/>
          </w:tcPr>
          <w:p w14:paraId="4699B7A3">
            <w:pPr>
              <w:overflowPunct w:val="0"/>
              <w:spacing w:line="240" w:lineRule="auto"/>
              <w:ind w:firstLine="0" w:firstLineChars="0"/>
              <w:jc w:val="center"/>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50</w:t>
            </w:r>
          </w:p>
        </w:tc>
        <w:tc>
          <w:tcPr>
            <w:tcW w:w="1135" w:type="pct"/>
            <w:vAlign w:val="center"/>
          </w:tcPr>
          <w:p w14:paraId="41EB83F1">
            <w:pPr>
              <w:overflowPunct w:val="0"/>
              <w:spacing w:line="240" w:lineRule="auto"/>
              <w:ind w:firstLine="0" w:firstLineChars="0"/>
              <w:jc w:val="center"/>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93</w:t>
            </w:r>
          </w:p>
        </w:tc>
      </w:tr>
      <w:tr w14:paraId="68B361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908" w:type="pct"/>
            <w:gridSpan w:val="2"/>
            <w:vAlign w:val="center"/>
          </w:tcPr>
          <w:p w14:paraId="042AD136">
            <w:pPr>
              <w:overflowPunct w:val="0"/>
              <w:spacing w:line="240" w:lineRule="auto"/>
              <w:ind w:firstLine="0" w:firstLineChars="0"/>
              <w:jc w:val="center"/>
              <w:rPr>
                <w:rFonts w:hint="eastAsia" w:ascii="Times New Roman" w:hAnsi="Times New Roman" w:eastAsia="宋体" w:cs="Times New Roman"/>
                <w:b/>
                <w:bCs/>
                <w:color w:val="auto"/>
                <w:sz w:val="21"/>
                <w:lang w:val="en-US" w:eastAsia="zh-CN"/>
              </w:rPr>
            </w:pPr>
            <w:r>
              <w:rPr>
                <w:rFonts w:hint="eastAsia" w:ascii="Times New Roman" w:hAnsi="Times New Roman" w:eastAsia="宋体" w:cs="Times New Roman"/>
                <w:b/>
                <w:bCs/>
                <w:color w:val="auto"/>
                <w:sz w:val="21"/>
                <w:lang w:val="en-US" w:eastAsia="zh-CN"/>
              </w:rPr>
              <w:t>合计</w:t>
            </w:r>
          </w:p>
        </w:tc>
        <w:tc>
          <w:tcPr>
            <w:tcW w:w="905" w:type="pct"/>
            <w:vAlign w:val="center"/>
          </w:tcPr>
          <w:p w14:paraId="1DDDEC6A">
            <w:pPr>
              <w:overflowPunct w:val="0"/>
              <w:spacing w:line="240" w:lineRule="auto"/>
              <w:ind w:firstLine="0" w:firstLineChars="0"/>
              <w:jc w:val="center"/>
              <w:rPr>
                <w:rFonts w:hint="default" w:ascii="Times New Roman" w:hAnsi="Times New Roman" w:eastAsia="宋体" w:cs="Times New Roman"/>
                <w:b/>
                <w:bCs/>
                <w:color w:val="auto"/>
                <w:sz w:val="21"/>
                <w:lang w:val="en-US" w:eastAsia="zh-CN"/>
              </w:rPr>
            </w:pPr>
            <w:r>
              <w:rPr>
                <w:rFonts w:hint="eastAsia" w:ascii="Times New Roman" w:hAnsi="Times New Roman" w:eastAsia="宋体" w:cs="Times New Roman"/>
                <w:b/>
                <w:bCs/>
                <w:color w:val="auto"/>
                <w:sz w:val="21"/>
                <w:lang w:val="en-US" w:eastAsia="zh-CN"/>
              </w:rPr>
              <w:t>31</w:t>
            </w:r>
          </w:p>
        </w:tc>
        <w:tc>
          <w:tcPr>
            <w:tcW w:w="1050" w:type="pct"/>
            <w:vAlign w:val="center"/>
          </w:tcPr>
          <w:p w14:paraId="290B2ACF">
            <w:pPr>
              <w:overflowPunct w:val="0"/>
              <w:spacing w:line="240" w:lineRule="auto"/>
              <w:ind w:firstLine="0" w:firstLineChars="0"/>
              <w:jc w:val="center"/>
              <w:rPr>
                <w:rFonts w:hint="default" w:ascii="Times New Roman" w:hAnsi="Times New Roman" w:eastAsia="宋体" w:cs="Times New Roman"/>
                <w:b/>
                <w:bCs/>
                <w:color w:val="auto"/>
                <w:sz w:val="21"/>
                <w:lang w:val="en-US" w:eastAsia="zh-CN"/>
              </w:rPr>
            </w:pPr>
            <w:r>
              <w:rPr>
                <w:rFonts w:hint="eastAsia" w:ascii="Times New Roman" w:hAnsi="Times New Roman" w:eastAsia="宋体" w:cs="Times New Roman"/>
                <w:b/>
                <w:bCs/>
                <w:color w:val="auto"/>
                <w:sz w:val="21"/>
                <w:lang w:val="en-US" w:eastAsia="zh-CN"/>
              </w:rPr>
              <w:t>53</w:t>
            </w:r>
          </w:p>
        </w:tc>
        <w:tc>
          <w:tcPr>
            <w:tcW w:w="1135" w:type="pct"/>
            <w:vAlign w:val="center"/>
          </w:tcPr>
          <w:p w14:paraId="5C8D285E">
            <w:pPr>
              <w:overflowPunct w:val="0"/>
              <w:spacing w:line="240" w:lineRule="auto"/>
              <w:ind w:firstLine="0" w:firstLineChars="0"/>
              <w:jc w:val="center"/>
              <w:rPr>
                <w:rFonts w:hint="default" w:ascii="Times New Roman" w:hAnsi="Times New Roman" w:eastAsia="宋体" w:cs="Times New Roman"/>
                <w:b/>
                <w:bCs/>
                <w:color w:val="auto"/>
                <w:sz w:val="21"/>
                <w:lang w:val="en-US" w:eastAsia="zh-CN"/>
              </w:rPr>
            </w:pPr>
            <w:r>
              <w:rPr>
                <w:rFonts w:hint="eastAsia" w:ascii="Times New Roman" w:hAnsi="Times New Roman" w:eastAsia="宋体" w:cs="Times New Roman"/>
                <w:b/>
                <w:bCs/>
                <w:color w:val="auto"/>
                <w:sz w:val="21"/>
                <w:lang w:val="en-US" w:eastAsia="zh-CN"/>
              </w:rPr>
              <w:t>96</w:t>
            </w:r>
          </w:p>
        </w:tc>
      </w:tr>
    </w:tbl>
    <w:p w14:paraId="4D9067F1">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662" w:name="_Toc22244"/>
      <w:bookmarkStart w:id="663" w:name="_Toc8919"/>
      <w:bookmarkStart w:id="664" w:name="_Toc8173"/>
      <w:bookmarkStart w:id="665" w:name="_Toc19959"/>
      <w:bookmarkStart w:id="666" w:name="_Toc15980"/>
      <w:r>
        <w:rPr>
          <w:rFonts w:hint="default" w:ascii="Times New Roman" w:hAnsi="Times New Roman" w:eastAsia="宋体" w:cs="Times New Roman"/>
          <w:sz w:val="24"/>
          <w:szCs w:val="24"/>
          <w:lang w:val="en-US" w:eastAsia="zh-CN"/>
        </w:rPr>
        <w:t>3.</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.5陆生动物</w:t>
      </w:r>
      <w:bookmarkEnd w:id="662"/>
      <w:bookmarkEnd w:id="663"/>
      <w:bookmarkEnd w:id="664"/>
      <w:bookmarkEnd w:id="665"/>
      <w:bookmarkEnd w:id="666"/>
    </w:p>
    <w:p w14:paraId="15E3ED5D">
      <w:pPr>
        <w:pStyle w:val="9"/>
        <w:adjustRightInd w:val="0"/>
        <w:snapToGrid w:val="0"/>
        <w:spacing w:after="0" w:line="360" w:lineRule="auto"/>
        <w:ind w:firstLine="482" w:firstLineChars="200"/>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（1）引用资料</w:t>
      </w:r>
    </w:p>
    <w:p w14:paraId="50EA05DD">
      <w:pPr>
        <w:pStyle w:val="9"/>
        <w:adjustRightInd w:val="0"/>
        <w:snapToGrid w:val="0"/>
        <w:spacing w:after="0" w:line="360" w:lineRule="auto"/>
        <w:ind w:firstLine="480" w:firstLineChars="200"/>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本次调查</w:t>
      </w:r>
      <w:r>
        <w:rPr>
          <w:rFonts w:hint="eastAsia" w:ascii="Times New Roman" w:hAnsi="Times New Roman" w:eastAsia="宋体" w:cs="Times New Roman"/>
          <w:b w:val="0"/>
          <w:bCs w:val="0"/>
          <w:lang w:val="en-US" w:eastAsia="zh-CN"/>
        </w:rPr>
        <w:t>以</w:t>
      </w:r>
      <w:r>
        <w:rPr>
          <w:rFonts w:hint="default" w:ascii="Times New Roman" w:hAnsi="Times New Roman" w:eastAsia="宋体" w:cs="Times New Roman"/>
          <w:b w:val="0"/>
          <w:bCs w:val="0"/>
          <w:lang w:val="en-US" w:eastAsia="zh-CN"/>
        </w:rPr>
        <w:t>资料查询</w:t>
      </w:r>
      <w:r>
        <w:rPr>
          <w:rFonts w:hint="eastAsia" w:ascii="Times New Roman" w:hAnsi="Times New Roman" w:eastAsia="宋体" w:cs="Times New Roman"/>
          <w:b w:val="0"/>
          <w:bCs w:val="0"/>
          <w:lang w:val="en-US" w:eastAsia="zh-CN"/>
        </w:rPr>
        <w:t>为主</w:t>
      </w:r>
      <w:r>
        <w:rPr>
          <w:rFonts w:hint="default" w:ascii="Times New Roman" w:hAnsi="Times New Roman" w:eastAsia="宋体" w:cs="Times New Roman"/>
          <w:b w:val="0"/>
          <w:bCs w:val="0"/>
          <w:lang w:val="en-US" w:eastAsia="zh-CN"/>
        </w:rPr>
        <w:t>，主要是本区域5年内的相关书籍、环境影响评价报告</w:t>
      </w:r>
      <w:r>
        <w:rPr>
          <w:rFonts w:hint="eastAsia" w:ascii="Times New Roman" w:hAnsi="Times New Roman" w:eastAsia="宋体" w:cs="Times New Roman"/>
          <w:b w:val="0"/>
          <w:bCs w:val="0"/>
          <w:lang w:val="en-US" w:eastAsia="zh-CN"/>
        </w:rPr>
        <w:t>（如《安徽金沙钼业有限公司金寨县沙坪沟钼矿采选项目环境影响报告书》）</w:t>
      </w:r>
      <w:r>
        <w:rPr>
          <w:rFonts w:hint="default" w:ascii="Times New Roman" w:hAnsi="Times New Roman" w:eastAsia="宋体" w:cs="Times New Roman"/>
          <w:b w:val="0"/>
          <w:bCs w:val="0"/>
          <w:lang w:val="en-US" w:eastAsia="zh-CN"/>
        </w:rPr>
        <w:t>、科学考察报告、学术期刊论文等资</w:t>
      </w:r>
      <w:r>
        <w:rPr>
          <w:rFonts w:hint="eastAsia" w:ascii="Times New Roman" w:hAnsi="Times New Roman" w:eastAsia="宋体" w:cs="Times New Roman"/>
          <w:b w:val="0"/>
          <w:bCs w:val="0"/>
          <w:lang w:val="en-US" w:eastAsia="zh-CN"/>
        </w:rPr>
        <w:t>料和</w:t>
      </w:r>
      <w:r>
        <w:rPr>
          <w:rFonts w:hint="default" w:ascii="Times New Roman" w:hAnsi="Times New Roman" w:eastAsia="宋体" w:cs="Times New Roman"/>
          <w:b w:val="0"/>
          <w:bCs w:val="0"/>
          <w:lang w:val="en-US" w:eastAsia="zh-CN"/>
        </w:rPr>
        <w:t>不同的季节的区域野生动物现状资料：</w:t>
      </w:r>
    </w:p>
    <w:p w14:paraId="600DE244">
      <w:pPr>
        <w:pStyle w:val="9"/>
        <w:adjustRightInd w:val="0"/>
        <w:snapToGrid w:val="0"/>
        <w:spacing w:after="0" w:line="360" w:lineRule="auto"/>
        <w:ind w:firstLine="480" w:firstLineChars="200"/>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①</w:t>
      </w:r>
      <w:r>
        <w:rPr>
          <w:rFonts w:hint="default" w:ascii="Times New Roman" w:hAnsi="Times New Roman" w:eastAsia="宋体" w:cs="Times New Roman"/>
          <w:b w:val="0"/>
          <w:bCs w:val="0"/>
          <w:lang w:val="en-US" w:eastAsia="zh-CN"/>
        </w:rPr>
        <w:t>书籍</w:t>
      </w:r>
    </w:p>
    <w:p w14:paraId="744F1023">
      <w:pPr>
        <w:pStyle w:val="9"/>
        <w:adjustRightInd w:val="0"/>
        <w:snapToGrid w:val="0"/>
        <w:spacing w:after="0" w:line="360" w:lineRule="auto"/>
        <w:ind w:firstLine="480" w:firstLineChars="200"/>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主要有《中国动物地理》（张荣祖等著）、《安徽省陆生野生动植物资源》（安徽省林业厅主编）、《安徽省鸟类分布名录与图鉴》（侯银续等著）、《安徽省两栖爬行动物志》（陈壁辉等著）、《安徽兽类志》（王岐山主编）、《中国爬行动物图鉴》（季达明等著）、《中国鸟类野外手册》（[英]约翰·马敬能等著）等。</w:t>
      </w:r>
    </w:p>
    <w:p w14:paraId="161266BD">
      <w:pPr>
        <w:pStyle w:val="9"/>
        <w:adjustRightInd w:val="0"/>
        <w:snapToGrid w:val="0"/>
        <w:spacing w:after="0" w:line="360" w:lineRule="auto"/>
        <w:ind w:firstLine="480" w:firstLineChars="200"/>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②</w:t>
      </w:r>
      <w:r>
        <w:rPr>
          <w:rFonts w:hint="default" w:ascii="Times New Roman" w:hAnsi="Times New Roman" w:eastAsia="宋体" w:cs="Times New Roman"/>
          <w:b w:val="0"/>
          <w:bCs w:val="0"/>
          <w:lang w:val="en-US" w:eastAsia="zh-CN"/>
        </w:rPr>
        <w:t>物种保护及濒危等级判定</w:t>
      </w:r>
    </w:p>
    <w:p w14:paraId="24D3CD15">
      <w:pPr>
        <w:pStyle w:val="9"/>
        <w:adjustRightInd w:val="0"/>
        <w:snapToGrid w:val="0"/>
        <w:spacing w:after="0" w:line="360" w:lineRule="auto"/>
        <w:ind w:firstLine="480" w:firstLineChars="200"/>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通过查询《国家重点保护野生动物名录</w:t>
      </w:r>
      <w:r>
        <w:rPr>
          <w:rFonts w:hint="eastAsia" w:ascii="Times New Roman" w:hAnsi="Times New Roman" w:eastAsia="宋体" w:cs="Times New Roman"/>
          <w:b w:val="0"/>
          <w:bCs w:val="0"/>
          <w:lang w:val="en-US" w:eastAsia="zh-CN"/>
        </w:rPr>
        <w:t>》《</w:t>
      </w:r>
      <w:r>
        <w:rPr>
          <w:rFonts w:hint="default" w:ascii="Times New Roman" w:hAnsi="Times New Roman" w:eastAsia="宋体" w:cs="Times New Roman"/>
          <w:b w:val="0"/>
          <w:bCs w:val="0"/>
          <w:lang w:val="en-US" w:eastAsia="zh-CN"/>
        </w:rPr>
        <w:t>安徽省重点保护野生动物名 录</w:t>
      </w:r>
      <w:r>
        <w:rPr>
          <w:rFonts w:hint="eastAsia" w:ascii="Times New Roman" w:hAnsi="Times New Roman" w:eastAsia="宋体" w:cs="Times New Roman"/>
          <w:b w:val="0"/>
          <w:bCs w:val="0"/>
          <w:lang w:val="en-US" w:eastAsia="zh-CN"/>
        </w:rPr>
        <w:t>》《</w:t>
      </w:r>
      <w:r>
        <w:rPr>
          <w:rFonts w:hint="default" w:ascii="Times New Roman" w:hAnsi="Times New Roman" w:eastAsia="宋体" w:cs="Times New Roman"/>
          <w:b w:val="0"/>
          <w:bCs w:val="0"/>
          <w:lang w:val="en-US" w:eastAsia="zh-CN"/>
        </w:rPr>
        <w:t>中国生物多样性红色名录》，判定物种保护等级、濒危等级、是否属于中国特有种。</w:t>
      </w:r>
    </w:p>
    <w:p w14:paraId="5EB01A1A">
      <w:pPr>
        <w:pStyle w:val="9"/>
        <w:adjustRightInd w:val="0"/>
        <w:snapToGrid w:val="0"/>
        <w:spacing w:after="0" w:line="360" w:lineRule="auto"/>
        <w:ind w:firstLine="480" w:firstLineChars="200"/>
        <w:rPr>
          <w:rFonts w:hint="eastAsia"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③</w:t>
      </w:r>
      <w:r>
        <w:rPr>
          <w:rFonts w:hint="eastAsia" w:ascii="Times New Roman" w:hAnsi="Times New Roman" w:eastAsia="宋体" w:cs="Times New Roman"/>
          <w:b w:val="0"/>
          <w:bCs w:val="0"/>
          <w:lang w:val="en-US" w:eastAsia="zh-CN"/>
        </w:rPr>
        <w:t>本区域5年内的环境影响评价报告</w:t>
      </w:r>
    </w:p>
    <w:p w14:paraId="66DB8F81">
      <w:pPr>
        <w:pStyle w:val="9"/>
        <w:adjustRightInd w:val="0"/>
        <w:snapToGrid w:val="0"/>
        <w:spacing w:after="0" w:line="360" w:lineRule="auto"/>
        <w:ind w:firstLine="480" w:firstLineChars="200"/>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主要为《安徽金沙钼业有限公司金寨县沙坪沟钼矿采选项目环境影响报告书》（2025年3月）。</w:t>
      </w:r>
    </w:p>
    <w:p w14:paraId="7658EE41">
      <w:pPr>
        <w:pStyle w:val="9"/>
        <w:adjustRightInd w:val="0"/>
        <w:snapToGrid w:val="0"/>
        <w:spacing w:after="0" w:line="360" w:lineRule="auto"/>
        <w:ind w:firstLine="482" w:firstLineChars="200"/>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（2）</w:t>
      </w:r>
      <w:r>
        <w:rPr>
          <w:rFonts w:hint="default" w:ascii="Times New Roman" w:hAnsi="Times New Roman" w:eastAsia="宋体" w:cs="Times New Roman"/>
          <w:b/>
          <w:bCs/>
          <w:lang w:val="en-US" w:eastAsia="zh-CN"/>
        </w:rPr>
        <w:t>分类系统</w:t>
      </w:r>
    </w:p>
    <w:p w14:paraId="19ABAA38">
      <w:pPr>
        <w:pStyle w:val="9"/>
        <w:adjustRightInd w:val="0"/>
        <w:snapToGrid w:val="0"/>
        <w:spacing w:after="0" w:line="360" w:lineRule="auto"/>
        <w:ind w:firstLine="480" w:firstLineChars="200"/>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鸟类分类系统参考《中国鸟类分类与分布名录（第三版）》（郑光美著）；两栖爬行分类系统及物种命名参考《中国两栖、爬行动物更新名录》（王剀等著）；哺乳类分类系统参考《中国兽类名录（2021版）》（魏辅文等著）。依据《中国生物物种名录2023版》（http://www.sp2000.org.cn）规范物种名称。</w:t>
      </w:r>
    </w:p>
    <w:p w14:paraId="594298CB">
      <w:pPr>
        <w:pStyle w:val="9"/>
        <w:adjustRightInd w:val="0"/>
        <w:snapToGrid w:val="0"/>
        <w:spacing w:after="0" w:line="360" w:lineRule="auto"/>
        <w:ind w:firstLine="482" w:firstLineChars="20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w:t>
      </w:r>
      <w:r>
        <w:rPr>
          <w:rFonts w:hint="eastAsia" w:ascii="Times New Roman" w:hAnsi="Times New Roman" w:eastAsia="宋体" w:cs="Times New Roman"/>
          <w:b/>
          <w:bCs/>
          <w:lang w:val="en-US" w:eastAsia="zh-CN"/>
        </w:rPr>
        <w:t>3</w:t>
      </w:r>
      <w:r>
        <w:rPr>
          <w:rFonts w:hint="default" w:ascii="Times New Roman" w:hAnsi="Times New Roman" w:eastAsia="宋体" w:cs="Times New Roman"/>
          <w:b/>
          <w:bCs/>
          <w:lang w:val="en-US" w:eastAsia="zh-CN"/>
        </w:rPr>
        <w:t>）</w:t>
      </w:r>
      <w:r>
        <w:rPr>
          <w:rFonts w:hint="default" w:ascii="Times New Roman" w:hAnsi="Times New Roman" w:eastAsia="宋体" w:cs="Times New Roman"/>
          <w:b/>
          <w:bCs/>
          <w:lang w:val="zh-TW" w:eastAsia="zh-CN"/>
        </w:rPr>
        <w:t>调查结果</w:t>
      </w:r>
    </w:p>
    <w:p w14:paraId="396512EC">
      <w:pPr>
        <w:pStyle w:val="9"/>
        <w:adjustRightInd w:val="0"/>
        <w:snapToGrid w:val="0"/>
        <w:spacing w:after="0" w:line="360" w:lineRule="auto"/>
        <w:ind w:firstLine="480" w:firstLineChars="200"/>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本项目区域位于《安徽金沙钼业有限公司金寨县沙坪沟钼矿采选项目环境影响报告书》（2025年3月）调查范围内，调查结果参考该报告内容。</w:t>
      </w:r>
    </w:p>
    <w:p w14:paraId="66F9413E">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snapToGrid w:val="0"/>
          <w:kern w:val="0"/>
          <w:sz w:val="24"/>
          <w:szCs w:val="22"/>
          <w:lang w:val="en-US" w:eastAsia="zh-CN" w:bidi="ar-SA"/>
        </w:rPr>
      </w:pPr>
      <w:r>
        <w:rPr>
          <w:rFonts w:hint="default" w:ascii="Times New Roman" w:hAnsi="Times New Roman" w:eastAsia="宋体" w:cs="Times New Roman"/>
          <w:b/>
          <w:bCs/>
          <w:snapToGrid w:val="0"/>
          <w:kern w:val="0"/>
          <w:sz w:val="24"/>
          <w:szCs w:val="22"/>
          <w:lang w:val="en-US" w:eastAsia="zh-CN" w:bidi="ar-SA"/>
        </w:rPr>
        <w:t>（一）两栖爬行类</w:t>
      </w:r>
    </w:p>
    <w:p w14:paraId="014EB53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eastAsia" w:ascii="Times New Roman" w:hAnsi="Times New Roman" w:eastAsia="宋体" w:cs="Times New Roman"/>
          <w:snapToGrid w:val="0"/>
          <w:kern w:val="0"/>
          <w:sz w:val="24"/>
          <w:szCs w:val="22"/>
          <w:lang w:val="en-US" w:eastAsia="zh-CN" w:bidi="ar-SA"/>
        </w:rPr>
        <w:t>项目</w:t>
      </w:r>
      <w:r>
        <w:rPr>
          <w:rFonts w:hint="default" w:ascii="Times New Roman" w:hAnsi="Times New Roman" w:eastAsia="宋体" w:cs="Times New Roman"/>
          <w:snapToGrid w:val="0"/>
          <w:kern w:val="0"/>
          <w:sz w:val="24"/>
          <w:szCs w:val="22"/>
          <w:lang w:val="en-US" w:eastAsia="zh-CN" w:bidi="ar-SA"/>
        </w:rPr>
        <w:t>地处大别山腹部，地势起伏大，人口密度低，农业用地面积占比低，人为活动干扰较小，适合爬行类动物栖息。两栖类动物主要分布于沿线的溪流及其附近区域。</w:t>
      </w:r>
    </w:p>
    <w:p w14:paraId="47BC219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（1）种类组成</w:t>
      </w:r>
    </w:p>
    <w:p w14:paraId="431CDC4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1）两栖类</w:t>
      </w:r>
    </w:p>
    <w:p w14:paraId="040427A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eastAsia" w:ascii="Times New Roman" w:hAnsi="Times New Roman" w:eastAsia="宋体" w:cs="Times New Roman"/>
          <w:snapToGrid w:val="0"/>
          <w:kern w:val="0"/>
          <w:sz w:val="24"/>
          <w:szCs w:val="22"/>
          <w:lang w:val="en-US" w:eastAsia="zh-CN" w:bidi="ar-SA"/>
        </w:rPr>
        <w:t>根据资料统计，2024年</w:t>
      </w:r>
      <w:r>
        <w:rPr>
          <w:rFonts w:hint="default" w:ascii="Times New Roman" w:hAnsi="Times New Roman" w:eastAsia="宋体" w:cs="Times New Roman"/>
          <w:snapToGrid w:val="0"/>
          <w:kern w:val="0"/>
          <w:sz w:val="24"/>
          <w:szCs w:val="22"/>
          <w:lang w:val="en-US" w:eastAsia="zh-CN" w:bidi="ar-SA"/>
        </w:rPr>
        <w:t>10月（秋季）监测到两栖纲野生动物2目4科6属7种，主要为安徽瑶螈（Yaotriton anhuiensis）（有尾目蝾螈科）、大别山林蛙（Rana dabieshanensis）（无尾目蛙科蛙属）、泽陆蛙（Rana limnocharis）（无尾目叉舌蛙科蛙属）、中华蟾蜍（Bufo bufogargarizans）（无尾目蟾蜍科蟾蜍属）、叶氏肛刺蛙（Yerana yei）（无尾目叉舌蛙科肛刺蛙属）、曲氏林蛙（Rana qu）（无尾目蛙科林蛙属）、虎纹蛙（Hoplobatrachus chinensis）（无尾目叉舌蛙科虎纹蛙属）等，其中曲氏林蛙为安徽新发现种，虎纹蛙和叶氏肛刺蛙为国家二级保护物种，主要存在于林地生境，与输水管线远离。其中安徽瑶螈、叶氏肛刺蛙和虎纹蛙被列入《中国生物多样性红色名录》，其濒危等级依次分别为危易（VU）、危易（VU）和濒危（EN）。12月（冬季）未监测到两栖纲野生动物。另据2023年调查历史资料，调查区内尚有其他两栖类物种生存，总计为2目5科15种。</w:t>
      </w:r>
    </w:p>
    <w:p w14:paraId="60357BE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2）爬行类</w:t>
      </w:r>
    </w:p>
    <w:p w14:paraId="05D61E0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eastAsia" w:ascii="Times New Roman" w:hAnsi="Times New Roman" w:eastAsia="宋体" w:cs="Times New Roman"/>
          <w:snapToGrid w:val="0"/>
          <w:kern w:val="0"/>
          <w:sz w:val="24"/>
          <w:szCs w:val="22"/>
          <w:lang w:val="en-US" w:eastAsia="zh-CN" w:bidi="ar-SA"/>
        </w:rPr>
        <w:t>根据资料统计，2024年</w:t>
      </w:r>
      <w:r>
        <w:rPr>
          <w:rFonts w:hint="default" w:ascii="Times New Roman" w:hAnsi="Times New Roman" w:eastAsia="宋体" w:cs="Times New Roman"/>
          <w:snapToGrid w:val="0"/>
          <w:kern w:val="0"/>
          <w:sz w:val="24"/>
          <w:szCs w:val="22"/>
          <w:lang w:val="en-US" w:eastAsia="zh-CN" w:bidi="ar-SA"/>
        </w:rPr>
        <w:t>10月（秋季）监测到爬行类野生动物1目2科4属4种，分别是赤链华游蛇（Sinonatrix annularis）（有鳞目游蛇科华游蛇属）、乌梢蛇（Zaocysdhumnades）（有鳞目游蛇科乌梢蛇属）、赤链蛇（Dinodon rufozonatum）（有鳞目游蛇科白环蛇属）和北草蜥（Takydromus septentrionalis）（有鳞目蜥蜴科草蜥属）。其中乌梢蛇为安徽省二级保护动物，同赤链蛇以及赤链华游蛇一同分别被列入《中国生物多样性红色名录》，其濒危等级依次为易危（VU）、易危（VU）和近危（NT）。查区内尚有其他爬行类物种生存，总计为1目6科12属12种。</w:t>
      </w:r>
    </w:p>
    <w:p w14:paraId="57A232D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（2）区系组成</w:t>
      </w:r>
    </w:p>
    <w:p w14:paraId="39C32CF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eastAsia" w:ascii="Times New Roman" w:hAnsi="Times New Roman" w:eastAsia="宋体" w:cs="Times New Roman"/>
          <w:snapToGrid w:val="0"/>
          <w:kern w:val="0"/>
          <w:sz w:val="24"/>
          <w:szCs w:val="22"/>
          <w:lang w:val="en-US" w:eastAsia="zh-CN" w:bidi="ar-SA"/>
        </w:rPr>
        <w:t>根据资料统计，2024年</w:t>
      </w:r>
      <w:r>
        <w:rPr>
          <w:rFonts w:hint="default" w:ascii="Times New Roman" w:hAnsi="Times New Roman" w:eastAsia="宋体" w:cs="Times New Roman"/>
          <w:snapToGrid w:val="0"/>
          <w:kern w:val="0"/>
          <w:sz w:val="24"/>
          <w:szCs w:val="22"/>
          <w:lang w:val="en-US" w:eastAsia="zh-CN" w:bidi="ar-SA"/>
        </w:rPr>
        <w:t>10月（秋季）评价区两栖和爬行动物主要为东洋界物种，为8种；广布种有2种；古北界1种（北草蜥）。12月（冬季）评价区未监测到两栖纲、爬行纲野生动物。</w:t>
      </w:r>
    </w:p>
    <w:p w14:paraId="24AAAEF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（3）两栖、爬行类生境状况</w:t>
      </w:r>
    </w:p>
    <w:p w14:paraId="4F75D49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调查范围内有山涧溪流、稻田、池塘等多种生境类型，构成了适宜两栖、爬行动物栖息的生境。本项评价范围内主要为林地和耕地，然而调查区域内河流、池塘等生境类型的占比也相对较高。因此，可为两栖动物和涉水爬行动物的栖息和繁殖提供</w:t>
      </w:r>
      <w:r>
        <w:rPr>
          <w:rFonts w:hint="eastAsia" w:ascii="Times New Roman" w:hAnsi="Times New Roman" w:eastAsia="宋体" w:cs="Times New Roman"/>
          <w:snapToGrid w:val="0"/>
          <w:kern w:val="0"/>
          <w:sz w:val="24"/>
          <w:szCs w:val="22"/>
          <w:lang w:val="en-US" w:eastAsia="zh-CN" w:bidi="ar-SA"/>
        </w:rPr>
        <w:t>有力</w:t>
      </w:r>
      <w:r>
        <w:rPr>
          <w:rFonts w:hint="default" w:ascii="Times New Roman" w:hAnsi="Times New Roman" w:eastAsia="宋体" w:cs="Times New Roman"/>
          <w:snapToGrid w:val="0"/>
          <w:kern w:val="0"/>
          <w:sz w:val="24"/>
          <w:szCs w:val="22"/>
          <w:lang w:val="en-US" w:eastAsia="zh-CN" w:bidi="ar-SA"/>
        </w:rPr>
        <w:t>保障。在实地调查中，所记录的两栖动物主要属于常见物种，这些物种分布广泛、数量众多，并且具备出色的适应能力。林地范围广泛，可为陆生爬行动物提供良好的栖息生境。</w:t>
      </w:r>
    </w:p>
    <w:p w14:paraId="77E31A67">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snapToGrid w:val="0"/>
          <w:kern w:val="0"/>
          <w:sz w:val="24"/>
          <w:szCs w:val="22"/>
          <w:lang w:val="en-US" w:eastAsia="zh-CN" w:bidi="ar-SA"/>
        </w:rPr>
      </w:pPr>
      <w:r>
        <w:rPr>
          <w:rFonts w:hint="default" w:ascii="Times New Roman" w:hAnsi="Times New Roman" w:eastAsia="宋体" w:cs="Times New Roman"/>
          <w:b/>
          <w:bCs/>
          <w:snapToGrid w:val="0"/>
          <w:kern w:val="0"/>
          <w:sz w:val="24"/>
          <w:szCs w:val="22"/>
          <w:lang w:val="en-US" w:eastAsia="zh-CN" w:bidi="ar-SA"/>
        </w:rPr>
        <w:t>（二）鸟类</w:t>
      </w:r>
    </w:p>
    <w:p w14:paraId="41F2DB2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（1）物种名录</w:t>
      </w:r>
    </w:p>
    <w:p w14:paraId="53CAF82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eastAsia" w:ascii="Times New Roman" w:hAnsi="Times New Roman" w:eastAsia="宋体" w:cs="Times New Roman"/>
          <w:snapToGrid w:val="0"/>
          <w:kern w:val="0"/>
          <w:sz w:val="24"/>
          <w:szCs w:val="22"/>
          <w:lang w:val="en-US" w:eastAsia="zh-CN" w:bidi="ar-SA"/>
        </w:rPr>
        <w:t>根据资料统计，2024年</w:t>
      </w:r>
      <w:r>
        <w:rPr>
          <w:rFonts w:hint="default" w:ascii="Times New Roman" w:hAnsi="Times New Roman" w:eastAsia="宋体" w:cs="Times New Roman"/>
          <w:snapToGrid w:val="0"/>
          <w:kern w:val="0"/>
          <w:sz w:val="24"/>
          <w:szCs w:val="22"/>
          <w:lang w:val="en-US" w:eastAsia="zh-CN" w:bidi="ar-SA"/>
        </w:rPr>
        <w:t>10月（秋季）共记录到鸟类12目32科59属75种，其中雀形目鸟类有50种，占秋季总种类数的66.67%，是评价区秋季鸟类群落中的优势目级阶元。其中国家二级保护物种有凤头鹰、黑鸢、画眉、普通鵟、雀鹰、日本松雀鹰、松雀鹰、小白额雁、鸳鸯、云雀等10种，安徽省一级保护鸟类1种：大斑啄木鸟。</w:t>
      </w:r>
    </w:p>
    <w:p w14:paraId="1FBE782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 xml:space="preserve">安徽省二级保护鸟类6种，分别为珠颈斑鸠、山斑鸠、棕背伯劳、红嘴蓝鹊、喜鹊和暗绿绣眼鸟。访谈得知有国家一级保护鸟类白冠长尾雉活动。 </w:t>
      </w:r>
    </w:p>
    <w:p w14:paraId="7992FB5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12月（冬季）共记录到鸟类13目32科50属69种，其中雀形目鸟类有44种，占冬季总种类数的63.77%，是评价区秋季鸟类群落中的优势目级阶元。麻雀和喜鹊为主要优势种。记录到国家二级重点保护鸟类 7 种，分别为画眉、黑鸢、白胸翡翠、苍鹰、领鸺鹠、凤头鹰、普通鵟；安徽省一级保护鸟类1种：星头啄木鸟。安徽省二级保护鸟类16种，分别为棕背伯劳、红嘴蓝鹊、喜鹊、斑鱼狗、冠鱼狗、黑水鸡、牛头伯劳、普通翠鸟、赤麻鸭、环颈雉、暗绿绣眼鸟、松鸦、珠颈斑鸠、山斑鸠、绿头鸭和斑嘴鸭等。红外相机监测拍到调查区域分布有白冠长尾雉等国家一级保护鸟类活动。</w:t>
      </w:r>
    </w:p>
    <w:p w14:paraId="3C69ACD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eastAsia" w:ascii="Times New Roman" w:hAnsi="Times New Roman" w:eastAsia="宋体" w:cs="Times New Roman"/>
          <w:snapToGrid w:val="0"/>
          <w:kern w:val="0"/>
          <w:sz w:val="24"/>
          <w:szCs w:val="22"/>
          <w:lang w:val="en-US" w:eastAsia="zh-CN" w:bidi="ar-SA"/>
        </w:rPr>
        <w:t>引用报告</w:t>
      </w:r>
      <w:r>
        <w:rPr>
          <w:rFonts w:hint="default" w:ascii="Times New Roman" w:hAnsi="Times New Roman" w:eastAsia="宋体" w:cs="Times New Roman"/>
          <w:snapToGrid w:val="0"/>
          <w:kern w:val="0"/>
          <w:sz w:val="24"/>
          <w:szCs w:val="22"/>
          <w:lang w:val="en-US" w:eastAsia="zh-CN" w:bidi="ar-SA"/>
        </w:rPr>
        <w:t>全调查区范围内鸟类共记录到14目36科72属99种；结合2023年调查历史资料，可知鸟类总种数为15目41科86属121种。</w:t>
      </w:r>
    </w:p>
    <w:p w14:paraId="726221A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 xml:space="preserve">（2）鸟类区系组成 </w:t>
      </w:r>
    </w:p>
    <w:p w14:paraId="5D2994C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eastAsia" w:ascii="Times New Roman" w:hAnsi="Times New Roman" w:eastAsia="宋体" w:cs="Times New Roman"/>
          <w:snapToGrid w:val="0"/>
          <w:kern w:val="0"/>
          <w:sz w:val="24"/>
          <w:szCs w:val="22"/>
          <w:lang w:val="en-US" w:eastAsia="zh-CN" w:bidi="ar-SA"/>
        </w:rPr>
        <w:t>根据资料统计，2024年</w:t>
      </w:r>
      <w:r>
        <w:rPr>
          <w:rFonts w:hint="default" w:ascii="Times New Roman" w:hAnsi="Times New Roman" w:eastAsia="宋体" w:cs="Times New Roman"/>
          <w:snapToGrid w:val="0"/>
          <w:kern w:val="0"/>
          <w:sz w:val="24"/>
          <w:szCs w:val="22"/>
          <w:lang w:val="en-US" w:eastAsia="zh-CN" w:bidi="ar-SA"/>
        </w:rPr>
        <w:t>10月（秋季）东洋界鸟类有30种，占全部种类的40%；广布种20种，古北界鸟类25种。调查区秋季鸟类群落区系结构中东洋界稍占优势，各类区系大致呈均匀分布。12月（冬季）东洋界鸟类有29种，占全部种类的 42.03%；广布种和古北界鸟类均为20种。调查区冬季鸟类群落区系结构中东洋界稍占优势，各类区系大致呈均匀分布。</w:t>
      </w:r>
    </w:p>
    <w:p w14:paraId="515FB6D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（3）不同居留型鸟类资源状况</w:t>
      </w:r>
    </w:p>
    <w:p w14:paraId="1662EFE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eastAsia" w:ascii="Times New Roman" w:hAnsi="Times New Roman" w:eastAsia="宋体" w:cs="Times New Roman"/>
          <w:snapToGrid w:val="0"/>
          <w:kern w:val="0"/>
          <w:sz w:val="24"/>
          <w:szCs w:val="22"/>
          <w:lang w:val="en-US" w:eastAsia="zh-CN" w:bidi="ar-SA"/>
        </w:rPr>
        <w:t>根据资料统计，2024年</w:t>
      </w:r>
      <w:r>
        <w:rPr>
          <w:rFonts w:hint="default" w:ascii="Times New Roman" w:hAnsi="Times New Roman" w:eastAsia="宋体" w:cs="Times New Roman"/>
          <w:snapToGrid w:val="0"/>
          <w:kern w:val="0"/>
          <w:sz w:val="24"/>
          <w:szCs w:val="22"/>
          <w:lang w:val="en-US" w:eastAsia="zh-CN" w:bidi="ar-SA"/>
        </w:rPr>
        <w:t xml:space="preserve">10月（秋季）评价区内留鸟有55种，占总鸟种的73.33%，常见的有金翅雀、黑鸢和喜鹊等。夏候鸟和冬候鸟分别有2种和18种，分别占总鸟种的2.67%和24%。夏候鸟为黄眉柳莺和暗绿绣眼鸟；冬候鸟常见种为斑嘴鸭、鸳鸯和小鹀等；旅鸟4种。12月（冬季）评价区内留鸟有 51 种，占总鸟种的 73.91%；冬候鸟17种，占总鸟种的24.64%。值得注意的是，暗绿绣眼鸟虽然为夏候鸟，但在冬季调查时，该鸟类仍然有出现。 </w:t>
      </w:r>
    </w:p>
    <w:p w14:paraId="78AA23F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根据Shannon-Wiener指数，秋季的多样性指数为3.61，冬季的多样性指数为3.59。总体而言，调查范围内鸟类生物多样性指数为优秀。</w:t>
      </w:r>
    </w:p>
    <w:p w14:paraId="063B81BA">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snapToGrid w:val="0"/>
          <w:kern w:val="0"/>
          <w:sz w:val="24"/>
          <w:szCs w:val="22"/>
          <w:lang w:val="en-US" w:eastAsia="zh-CN" w:bidi="ar-SA"/>
        </w:rPr>
      </w:pPr>
      <w:r>
        <w:rPr>
          <w:rFonts w:hint="default" w:ascii="Times New Roman" w:hAnsi="Times New Roman" w:eastAsia="宋体" w:cs="Times New Roman"/>
          <w:b/>
          <w:bCs/>
          <w:snapToGrid w:val="0"/>
          <w:kern w:val="0"/>
          <w:sz w:val="24"/>
          <w:szCs w:val="22"/>
          <w:lang w:val="en-US" w:eastAsia="zh-CN" w:bidi="ar-SA"/>
        </w:rPr>
        <w:t xml:space="preserve">（三）哺乳类 </w:t>
      </w:r>
    </w:p>
    <w:p w14:paraId="05AB55E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（1）物种名录</w:t>
      </w:r>
    </w:p>
    <w:p w14:paraId="70F13C3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全区共调查到哺乳动物5目10科20种。结合2023年调查历史资料可知，全区哺乳动物有5目10科22种。</w:t>
      </w:r>
    </w:p>
    <w:p w14:paraId="201D62C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10月（秋季）实地调查到哺乳动物多为小型动物，总计4目6科10种，其中猪獾（Arctonyx collaris）和黄鼬（Mustela sibirica）为省二级保护动物。12月（冬季）实地调查共记录到哺乳动物 5 目 10 科 20 种。其中貉（Nyctereutesprocyonoides）为国家二级保护动物，鼬獾（Melogale moschata）和花面狸（Paguma larvata）为省一级保护动物，小麂（Muntiacus reevesi）、猪獾和黄鼬为省级二级保护动物；小麂、貉、猪獾、鼬獾和花面狸被列入《中国生物多样性红色名录-脊椎动物卷（2020）》中的近危物种，其余物种受威胁等级皆为无危啮齿目、劳亚食虫目和食肉目是调查区哺乳动物群落中的优势类群，主要是各种鼬科、鼠科动物，代表性的有猪獾、黄鼬、赤腹松鼠、褐家鼠等，多分布于评价区内的林地和灌丛中。部分哺乳动物具有夜行性，如猪獾和黄鼬等，其夜间活动较日间频繁。</w:t>
      </w:r>
    </w:p>
    <w:p w14:paraId="6BD04DA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（2）区系特征</w:t>
      </w:r>
    </w:p>
    <w:p w14:paraId="46EE386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在调查到的22种哺乳动物中（含 2023 年历史资料），广布种有9种，东洋界为9种，古北界4种。区系分布以前两者为主。</w:t>
      </w:r>
    </w:p>
    <w:p w14:paraId="7457229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 xml:space="preserve">（3）哺乳类生境状况 </w:t>
      </w:r>
    </w:p>
    <w:p w14:paraId="124E5CB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调查区地处大别山腹部，地势起伏较大、人口密度较低，人为干扰较小，调查区范围内及其周</w:t>
      </w:r>
      <w:r>
        <w:rPr>
          <w:rFonts w:hint="eastAsia" w:ascii="Times New Roman" w:hAnsi="Times New Roman" w:eastAsia="宋体" w:cs="Times New Roman"/>
          <w:snapToGrid w:val="0"/>
          <w:kern w:val="0"/>
          <w:sz w:val="24"/>
          <w:szCs w:val="22"/>
          <w:lang w:val="en-US" w:eastAsia="zh-CN" w:bidi="ar-SA"/>
        </w:rPr>
        <w:t>边</w:t>
      </w:r>
      <w:r>
        <w:rPr>
          <w:rFonts w:hint="default" w:ascii="Times New Roman" w:hAnsi="Times New Roman" w:eastAsia="宋体" w:cs="Times New Roman"/>
          <w:snapToGrid w:val="0"/>
          <w:kern w:val="0"/>
          <w:sz w:val="24"/>
          <w:szCs w:val="22"/>
          <w:lang w:val="en-US" w:eastAsia="zh-CN" w:bidi="ar-SA"/>
        </w:rPr>
        <w:t>5-10km范围内适宜中小型哺乳类觅食、栖息和繁殖的生境较多。</w:t>
      </w:r>
    </w:p>
    <w:p w14:paraId="3D0B037D">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eastAsia" w:ascii="Times New Roman" w:hAnsi="Times New Roman" w:eastAsia="宋体" w:cs="Times New Roman"/>
          <w:b/>
          <w:bCs/>
          <w:snapToGrid w:val="0"/>
          <w:kern w:val="0"/>
          <w:sz w:val="24"/>
          <w:szCs w:val="22"/>
          <w:lang w:val="en-US" w:eastAsia="zh-CN" w:bidi="ar-SA"/>
        </w:rPr>
      </w:pPr>
      <w:r>
        <w:rPr>
          <w:rFonts w:hint="eastAsia" w:ascii="Times New Roman" w:hAnsi="Times New Roman" w:eastAsia="宋体" w:cs="Times New Roman"/>
          <w:b/>
          <w:bCs/>
          <w:snapToGrid w:val="0"/>
          <w:kern w:val="0"/>
          <w:sz w:val="24"/>
          <w:szCs w:val="22"/>
          <w:lang w:val="en-US" w:eastAsia="zh-CN" w:bidi="ar-SA"/>
        </w:rPr>
        <w:t>（四）鱼类</w:t>
      </w:r>
    </w:p>
    <w:p w14:paraId="144104F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根据野外实地调查结合资料查询，评价区内记录有鱼类5目13科54种，其中鲤形目鱼类有39种，占72.22%；鲇形目7种，占总数的12.96%；鲈形目6种，占总数的11.11%；合鳃目和鳉形目鱼类各1种，分别占总数的18.52%。实地调查记录到鱼类4目5科11种，调查到的鱼类均不属于国家和省级重点保护野生动物，均不属于极危、濒危、易危物种。鱼类群落结构中，鲤形目种类数最多，为8种，占总种类的72.73%，是评价区水域鱼类群落中的优势类群。</w:t>
      </w:r>
    </w:p>
    <w:p w14:paraId="0E3312C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实地调查共记录到评价区鱼类 192 尾、1721g，根据鱼类Shannon-Wiener生物多样性指数计算结果，各调查点位及评价区的值均在1~2之间，即生物多样性指标等级均为中等</w:t>
      </w:r>
      <w:r>
        <w:rPr>
          <w:rFonts w:hint="eastAsia" w:ascii="Times New Roman" w:hAnsi="Times New Roman" w:eastAsia="宋体" w:cs="Times New Roman"/>
          <w:snapToGrid w:val="0"/>
          <w:kern w:val="0"/>
          <w:sz w:val="24"/>
          <w:szCs w:val="22"/>
          <w:lang w:val="en-US" w:eastAsia="zh-CN" w:bidi="ar-SA"/>
        </w:rPr>
        <w:t>。</w:t>
      </w:r>
    </w:p>
    <w:p w14:paraId="3E9EF027">
      <w:pPr>
        <w:keepNext w:val="0"/>
        <w:keepLines w:val="0"/>
        <w:pageBreakBefore w:val="0"/>
        <w:widowControl/>
        <w:numPr>
          <w:ilvl w:val="0"/>
          <w:numId w:val="5"/>
        </w:numPr>
        <w:suppressLineNumbers w:val="0"/>
        <w:kinsoku/>
        <w:wordWrap/>
        <w:overflowPunct/>
        <w:topLinePunct w:val="0"/>
        <w:autoSpaceDE/>
        <w:autoSpaceDN/>
        <w:bidi w:val="0"/>
        <w:adjustRightInd/>
        <w:snapToGrid/>
        <w:spacing w:line="360" w:lineRule="auto"/>
        <w:ind w:firstLine="482" w:firstLineChars="200"/>
        <w:jc w:val="left"/>
        <w:textAlignment w:val="auto"/>
        <w:rPr>
          <w:rFonts w:hint="eastAsia" w:ascii="Times New Roman" w:hAnsi="Times New Roman" w:eastAsia="宋体" w:cs="Times New Roman"/>
          <w:b/>
          <w:bCs/>
          <w:snapToGrid w:val="0"/>
          <w:kern w:val="0"/>
          <w:sz w:val="24"/>
          <w:szCs w:val="22"/>
          <w:lang w:val="en-US" w:eastAsia="zh-CN" w:bidi="ar-SA"/>
        </w:rPr>
      </w:pPr>
      <w:r>
        <w:rPr>
          <w:rFonts w:hint="eastAsia" w:ascii="Times New Roman" w:hAnsi="Times New Roman" w:eastAsia="宋体" w:cs="Times New Roman"/>
          <w:b/>
          <w:bCs/>
          <w:snapToGrid w:val="0"/>
          <w:kern w:val="0"/>
          <w:sz w:val="24"/>
          <w:szCs w:val="22"/>
          <w:lang w:val="en-US" w:eastAsia="zh-CN" w:bidi="ar-SA"/>
        </w:rPr>
        <w:t>底栖动物调查结果</w:t>
      </w:r>
    </w:p>
    <w:p w14:paraId="4D74E79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 xml:space="preserve">（1）种类组成和群落特征 </w:t>
      </w:r>
    </w:p>
    <w:p w14:paraId="473D0F6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 xml:space="preserve">评价区内野外实地调查共记录到底栖动物 15 种（部分样品仅能鉴定到科、属），隶属于 3 门 12 科 15 种，3 个门类分别为软体动物门、节肢动物门、环节动物门，其中，软体动物门有 4 科 4 属 6 种，为优势门类。不同类群中，铜锈环棱螺为优势种，梨形环棱螺、伟蜓属（1 种）、真龙虱属（1 种）和水丝蚓属（1 种）为稀有种，其余底栖动物均为常见种。 </w:t>
      </w:r>
    </w:p>
    <w:p w14:paraId="2575C60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调查到的底栖动物均不属于国家和省级重点保护野生动物，均不属于《中国生物多样性红色名录》的极危、濒危、易危物种。</w:t>
      </w:r>
    </w:p>
    <w:p w14:paraId="6EFC189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（2）密度、生物量</w:t>
      </w:r>
    </w:p>
    <w:p w14:paraId="0DC0812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评价区底栖动物的平均总个体密度为27.67ind/m</w:t>
      </w:r>
      <w:r>
        <w:rPr>
          <w:rFonts w:hint="default" w:ascii="Times New Roman" w:hAnsi="Times New Roman" w:eastAsia="宋体" w:cs="Times New Roman"/>
          <w:snapToGrid w:val="0"/>
          <w:kern w:val="0"/>
          <w:sz w:val="24"/>
          <w:szCs w:val="22"/>
          <w:vertAlign w:val="superscript"/>
          <w:lang w:val="en-US" w:eastAsia="zh-CN" w:bidi="ar-SA"/>
        </w:rPr>
        <w:t>2</w:t>
      </w:r>
      <w:r>
        <w:rPr>
          <w:rFonts w:hint="default" w:ascii="Times New Roman" w:hAnsi="Times New Roman" w:eastAsia="宋体" w:cs="Times New Roman"/>
          <w:snapToGrid w:val="0"/>
          <w:kern w:val="0"/>
          <w:sz w:val="24"/>
          <w:szCs w:val="22"/>
          <w:lang w:val="en-US" w:eastAsia="zh-CN" w:bidi="ar-SA"/>
        </w:rPr>
        <w:t>、平均总生物量为7.34g/m</w:t>
      </w:r>
      <w:r>
        <w:rPr>
          <w:rFonts w:hint="default" w:ascii="Times New Roman" w:hAnsi="Times New Roman" w:eastAsia="宋体" w:cs="Times New Roman"/>
          <w:snapToGrid w:val="0"/>
          <w:kern w:val="0"/>
          <w:sz w:val="24"/>
          <w:szCs w:val="22"/>
          <w:vertAlign w:val="superscript"/>
          <w:lang w:val="en-US" w:eastAsia="zh-CN" w:bidi="ar-SA"/>
        </w:rPr>
        <w:t>2</w:t>
      </w:r>
      <w:r>
        <w:rPr>
          <w:rFonts w:hint="default" w:ascii="Times New Roman" w:hAnsi="Times New Roman" w:eastAsia="宋体" w:cs="Times New Roman"/>
          <w:snapToGrid w:val="0"/>
          <w:kern w:val="0"/>
          <w:sz w:val="24"/>
          <w:szCs w:val="22"/>
          <w:lang w:val="en-US" w:eastAsia="zh-CN" w:bidi="ar-SA"/>
        </w:rPr>
        <w:t>，其中点位 W1、W2采集到的底栖动物个体密度较高，分别为34.99ind/m</w:t>
      </w:r>
      <w:r>
        <w:rPr>
          <w:rFonts w:hint="default" w:ascii="Times New Roman" w:hAnsi="Times New Roman" w:eastAsia="宋体" w:cs="Times New Roman"/>
          <w:snapToGrid w:val="0"/>
          <w:kern w:val="0"/>
          <w:sz w:val="24"/>
          <w:szCs w:val="22"/>
          <w:vertAlign w:val="superscript"/>
          <w:lang w:val="en-US" w:eastAsia="zh-CN" w:bidi="ar-SA"/>
        </w:rPr>
        <w:t>2</w:t>
      </w:r>
      <w:r>
        <w:rPr>
          <w:rFonts w:hint="default" w:ascii="Times New Roman" w:hAnsi="Times New Roman" w:eastAsia="宋体" w:cs="Times New Roman"/>
          <w:snapToGrid w:val="0"/>
          <w:kern w:val="0"/>
          <w:sz w:val="24"/>
          <w:szCs w:val="22"/>
          <w:lang w:val="en-US" w:eastAsia="zh-CN" w:bidi="ar-SA"/>
        </w:rPr>
        <w:t>、41.67ind/m</w:t>
      </w:r>
      <w:r>
        <w:rPr>
          <w:rFonts w:hint="default" w:ascii="Times New Roman" w:hAnsi="Times New Roman" w:eastAsia="宋体" w:cs="Times New Roman"/>
          <w:snapToGrid w:val="0"/>
          <w:kern w:val="0"/>
          <w:sz w:val="24"/>
          <w:szCs w:val="22"/>
          <w:vertAlign w:val="superscript"/>
          <w:lang w:val="en-US" w:eastAsia="zh-CN" w:bidi="ar-SA"/>
        </w:rPr>
        <w:t>2</w:t>
      </w:r>
      <w:r>
        <w:rPr>
          <w:rFonts w:hint="default" w:ascii="Times New Roman" w:hAnsi="Times New Roman" w:eastAsia="宋体" w:cs="Times New Roman"/>
          <w:snapToGrid w:val="0"/>
          <w:kern w:val="0"/>
          <w:sz w:val="24"/>
          <w:szCs w:val="22"/>
          <w:lang w:val="en-US" w:eastAsia="zh-CN" w:bidi="ar-SA"/>
        </w:rPr>
        <w:t>，W2采集到的底栖动物生物量最高，为27.3g/m</w:t>
      </w:r>
      <w:r>
        <w:rPr>
          <w:rFonts w:hint="default" w:ascii="Times New Roman" w:hAnsi="Times New Roman" w:eastAsia="宋体" w:cs="Times New Roman"/>
          <w:snapToGrid w:val="0"/>
          <w:kern w:val="0"/>
          <w:sz w:val="24"/>
          <w:szCs w:val="22"/>
          <w:vertAlign w:val="superscript"/>
          <w:lang w:val="en-US" w:eastAsia="zh-CN" w:bidi="ar-SA"/>
        </w:rPr>
        <w:t>2</w:t>
      </w:r>
      <w:r>
        <w:rPr>
          <w:rFonts w:hint="default" w:ascii="Times New Roman" w:hAnsi="Times New Roman" w:eastAsia="宋体" w:cs="Times New Roman"/>
          <w:snapToGrid w:val="0"/>
          <w:kern w:val="0"/>
          <w:sz w:val="24"/>
          <w:szCs w:val="22"/>
          <w:lang w:val="en-US" w:eastAsia="zh-CN" w:bidi="ar-SA"/>
        </w:rPr>
        <w:t>。</w:t>
      </w:r>
    </w:p>
    <w:p w14:paraId="3544146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（3）生物多样性指标</w:t>
      </w:r>
    </w:p>
    <w:p w14:paraId="717A240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kern w:val="0"/>
          <w:sz w:val="24"/>
          <w:szCs w:val="22"/>
          <w:lang w:val="en-US" w:eastAsia="zh-CN" w:bidi="ar-SA"/>
        </w:rPr>
      </w:pPr>
      <w:r>
        <w:rPr>
          <w:rFonts w:hint="default" w:ascii="Times New Roman" w:hAnsi="Times New Roman" w:eastAsia="宋体" w:cs="Times New Roman"/>
          <w:snapToGrid w:val="0"/>
          <w:kern w:val="0"/>
          <w:sz w:val="24"/>
          <w:szCs w:val="22"/>
          <w:lang w:val="en-US" w:eastAsia="zh-CN" w:bidi="ar-SA"/>
        </w:rPr>
        <w:t>根据</w:t>
      </w:r>
      <w:r>
        <w:rPr>
          <w:rFonts w:hint="eastAsia" w:ascii="Times New Roman" w:hAnsi="Times New Roman" w:eastAsia="宋体" w:cs="Times New Roman"/>
          <w:snapToGrid w:val="0"/>
          <w:kern w:val="0"/>
          <w:sz w:val="24"/>
          <w:szCs w:val="22"/>
          <w:lang w:val="en-US" w:eastAsia="zh-CN" w:bidi="ar-SA"/>
        </w:rPr>
        <w:t>引用报告书</w:t>
      </w:r>
      <w:r>
        <w:rPr>
          <w:rFonts w:hint="default" w:ascii="Times New Roman" w:hAnsi="Times New Roman" w:eastAsia="宋体" w:cs="Times New Roman"/>
          <w:snapToGrid w:val="0"/>
          <w:kern w:val="0"/>
          <w:sz w:val="24"/>
          <w:szCs w:val="22"/>
          <w:lang w:val="en-US" w:eastAsia="zh-CN" w:bidi="ar-SA"/>
        </w:rPr>
        <w:t>底栖动物 Shannon-Wiener 生物多样性指数计算结果，综合来看，评价区内底栖动物多样性（H’=1.98）为中等。</w:t>
      </w:r>
    </w:p>
    <w:p w14:paraId="58DE0020">
      <w:pPr>
        <w:keepNext w:val="0"/>
        <w:keepLines w:val="0"/>
        <w:pageBreakBefore w:val="0"/>
        <w:widowControl/>
        <w:suppressLineNumbers w:val="0"/>
        <w:kinsoku/>
        <w:wordWrap/>
        <w:overflowPunct/>
        <w:topLinePunct w:val="0"/>
        <w:autoSpaceDE/>
        <w:autoSpaceDN/>
        <w:bidi w:val="0"/>
        <w:adjustRightInd/>
        <w:snapToGrid/>
        <w:spacing w:before="157" w:beforeLines="50" w:line="360" w:lineRule="auto"/>
        <w:ind w:firstLine="482" w:firstLineChars="200"/>
        <w:jc w:val="left"/>
        <w:textAlignment w:val="auto"/>
        <w:rPr>
          <w:rFonts w:hint="default" w:ascii="Times New Roman" w:hAnsi="Times New Roman" w:eastAsia="宋体" w:cs="Times New Roman"/>
          <w:b/>
          <w:bCs w:val="0"/>
          <w:snapToGrid/>
          <w:color w:val="auto"/>
          <w:sz w:val="24"/>
          <w:szCs w:val="24"/>
          <w:highlight w:val="none"/>
          <w:lang w:val="en-US" w:eastAsia="zh-CN"/>
        </w:rPr>
      </w:pPr>
      <w:r>
        <w:rPr>
          <w:rFonts w:hint="eastAsia" w:ascii="Times New Roman" w:hAnsi="Times New Roman" w:eastAsia="宋体" w:cs="Times New Roman"/>
          <w:b/>
          <w:bCs w:val="0"/>
          <w:snapToGrid/>
          <w:color w:val="auto"/>
          <w:sz w:val="24"/>
          <w:szCs w:val="24"/>
          <w:highlight w:val="none"/>
          <w:lang w:val="en-US" w:eastAsia="zh-CN"/>
        </w:rPr>
        <w:t>（4）总结</w:t>
      </w:r>
    </w:p>
    <w:p w14:paraId="7898099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lang w:val="en-US" w:eastAsia="zh-CN"/>
        </w:rPr>
      </w:pPr>
      <w:r>
        <w:rPr>
          <w:rFonts w:hint="default" w:ascii="Times New Roman" w:hAnsi="Times New Roman" w:eastAsia="宋体" w:cs="Times New Roman"/>
          <w:snapToGrid w:val="0"/>
          <w:kern w:val="0"/>
          <w:sz w:val="24"/>
          <w:szCs w:val="22"/>
          <w:lang w:val="en-US" w:eastAsia="zh-CN" w:bidi="ar-SA"/>
        </w:rPr>
        <w:t>总体而言，</w:t>
      </w:r>
      <w:r>
        <w:rPr>
          <w:rFonts w:hint="eastAsia" w:ascii="Times New Roman" w:hAnsi="Times New Roman" w:eastAsia="宋体" w:cs="Times New Roman"/>
          <w:snapToGrid w:val="0"/>
          <w:kern w:val="0"/>
          <w:sz w:val="24"/>
          <w:szCs w:val="22"/>
          <w:lang w:val="en-US" w:eastAsia="zh-CN" w:bidi="ar-SA"/>
        </w:rPr>
        <w:t>项目</w:t>
      </w:r>
      <w:r>
        <w:rPr>
          <w:rFonts w:hint="default" w:ascii="Times New Roman" w:hAnsi="Times New Roman" w:eastAsia="宋体" w:cs="Times New Roman"/>
          <w:snapToGrid w:val="0"/>
          <w:kern w:val="0"/>
          <w:sz w:val="24"/>
          <w:szCs w:val="22"/>
          <w:lang w:val="en-US" w:eastAsia="zh-CN" w:bidi="ar-SA"/>
        </w:rPr>
        <w:t>调查区域内有大量保护动物分布，两栖爬行类一般活动于远离</w:t>
      </w:r>
      <w:r>
        <w:rPr>
          <w:rFonts w:hint="eastAsia" w:ascii="Times New Roman" w:hAnsi="Times New Roman" w:eastAsia="宋体" w:cs="Times New Roman"/>
          <w:snapToGrid w:val="0"/>
          <w:kern w:val="0"/>
          <w:sz w:val="24"/>
          <w:szCs w:val="22"/>
          <w:lang w:val="en-US" w:eastAsia="zh-CN" w:bidi="ar-SA"/>
        </w:rPr>
        <w:t>项目区内</w:t>
      </w:r>
      <w:r>
        <w:rPr>
          <w:rFonts w:hint="default" w:ascii="Times New Roman" w:hAnsi="Times New Roman" w:eastAsia="宋体" w:cs="Times New Roman"/>
          <w:snapToGrid w:val="0"/>
          <w:kern w:val="0"/>
          <w:sz w:val="24"/>
          <w:szCs w:val="22"/>
          <w:lang w:val="en-US" w:eastAsia="zh-CN" w:bidi="ar-SA"/>
        </w:rPr>
        <w:t>的水田、溪流及灌草丛。鸟类生物多活跃于山坡林地、农田及河流，其生物多样性指数在3.0以上，物种十分丰富。兽类一般活动于山坡之上的林地，且一般于夜间活动，远离人类。调查范围内居于大别山腹地，生境丰富，适合野生动物活动的场所极多，受干扰后，野生动物能很快迁移并找到适合的替代生境</w:t>
      </w:r>
      <w:r>
        <w:rPr>
          <w:rFonts w:hint="eastAsia" w:ascii="Times New Roman" w:hAnsi="Times New Roman" w:eastAsia="宋体" w:cs="Times New Roman"/>
          <w:snapToGrid w:val="0"/>
          <w:kern w:val="0"/>
          <w:sz w:val="24"/>
          <w:szCs w:val="22"/>
          <w:lang w:val="en-US" w:eastAsia="zh-CN" w:bidi="ar-SA"/>
        </w:rPr>
        <w:t>。</w:t>
      </w:r>
    </w:p>
    <w:p w14:paraId="49E438DD">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667" w:name="_Toc21473"/>
      <w:r>
        <w:rPr>
          <w:rFonts w:hint="default" w:ascii="Times New Roman" w:hAnsi="Times New Roman" w:eastAsia="宋体" w:cs="Times New Roman"/>
          <w:sz w:val="28"/>
          <w:szCs w:val="28"/>
          <w:lang w:val="en-US" w:eastAsia="zh-CN"/>
        </w:rPr>
        <w:t>3.</w:t>
      </w:r>
      <w:r>
        <w:rPr>
          <w:rFonts w:hint="eastAsia" w:ascii="Times New Roman" w:hAnsi="Times New Roman" w:eastAsia="宋体" w:cs="Times New Roman"/>
          <w:sz w:val="28"/>
          <w:szCs w:val="28"/>
          <w:lang w:val="en-US" w:eastAsia="zh-CN"/>
        </w:rPr>
        <w:t>4土壤侵蚀现状</w:t>
      </w:r>
      <w:bookmarkEnd w:id="667"/>
    </w:p>
    <w:p w14:paraId="23E95C89">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（1）水土流失现状</w:t>
      </w:r>
    </w:p>
    <w:p w14:paraId="416BFD8F">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工程涉及县域仅1个，为安徽省六安市金寨县。根据《六安市</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十四五</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水</w:t>
      </w:r>
      <w:r>
        <w:rPr>
          <w:rFonts w:hint="eastAsia" w:ascii="Times New Roman" w:hAnsi="Times New Roman" w:eastAsia="宋体" w:cs="Times New Roman"/>
          <w:lang w:val="en-US" w:eastAsia="zh-CN"/>
        </w:rPr>
        <w:t>土保持</w:t>
      </w:r>
      <w:r>
        <w:rPr>
          <w:rFonts w:hint="default" w:ascii="Times New Roman" w:hAnsi="Times New Roman" w:eastAsia="宋体" w:cs="Times New Roman"/>
          <w:lang w:val="en-US" w:eastAsia="zh-CN"/>
        </w:rPr>
        <w:t>规划》，金寨县现状水土流失情况均不强烈，无明显流失面积占74.58%</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水土保持状况良好。水土流失现状见</w:t>
      </w:r>
      <w:r>
        <w:rPr>
          <w:rFonts w:hint="eastAsia" w:ascii="Times New Roman" w:hAnsi="Times New Roman" w:eastAsia="宋体" w:cs="Times New Roman"/>
          <w:lang w:val="en-US" w:eastAsia="zh-CN"/>
        </w:rPr>
        <w:t>下表</w:t>
      </w:r>
      <w:r>
        <w:rPr>
          <w:rFonts w:hint="default" w:ascii="Times New Roman" w:hAnsi="Times New Roman" w:eastAsia="宋体" w:cs="Times New Roman"/>
          <w:lang w:val="en-US" w:eastAsia="zh-CN"/>
        </w:rPr>
        <w:t>。</w:t>
      </w:r>
    </w:p>
    <w:p w14:paraId="67B6BEF6">
      <w:pPr>
        <w:overflowPunct w:val="0"/>
        <w:spacing w:line="240" w:lineRule="auto"/>
        <w:ind w:firstLine="0" w:firstLineChars="0"/>
        <w:jc w:val="center"/>
        <w:rPr>
          <w:rFonts w:hint="default" w:ascii="Times New Roman" w:hAnsi="Times New Roman" w:eastAsia="宋体" w:cs="Times New Roman"/>
          <w:b/>
          <w:bCs/>
          <w:color w:val="auto"/>
          <w:sz w:val="21"/>
          <w:szCs w:val="18"/>
          <w:lang w:val="en-US" w:eastAsia="zh-CN"/>
        </w:rPr>
      </w:pPr>
      <w:r>
        <w:rPr>
          <w:rFonts w:hint="default" w:ascii="Times New Roman" w:hAnsi="Times New Roman" w:eastAsia="宋体" w:cs="Times New Roman"/>
          <w:b/>
          <w:bCs/>
          <w:color w:val="auto"/>
          <w:sz w:val="21"/>
          <w:szCs w:val="18"/>
          <w:lang w:val="en-US" w:eastAsia="zh-CN"/>
        </w:rPr>
        <w:t>表</w:t>
      </w:r>
      <w:r>
        <w:rPr>
          <w:rFonts w:hint="eastAsia" w:ascii="Times New Roman" w:hAnsi="Times New Roman" w:eastAsia="宋体" w:cs="Times New Roman"/>
          <w:b/>
          <w:bCs/>
          <w:color w:val="auto"/>
          <w:sz w:val="21"/>
          <w:szCs w:val="18"/>
          <w:lang w:val="en-US" w:eastAsia="zh-CN"/>
        </w:rPr>
        <w:t xml:space="preserve">3-9  </w:t>
      </w:r>
      <w:r>
        <w:rPr>
          <w:rFonts w:hint="default" w:ascii="Times New Roman" w:hAnsi="Times New Roman" w:eastAsia="宋体" w:cs="Times New Roman"/>
          <w:b/>
          <w:bCs/>
          <w:color w:val="auto"/>
          <w:sz w:val="21"/>
          <w:szCs w:val="18"/>
          <w:lang w:val="en-US" w:eastAsia="zh-CN"/>
        </w:rPr>
        <w:t>项目区水土流失现状</w:t>
      </w:r>
    </w:p>
    <w:tbl>
      <w:tblPr>
        <w:tblStyle w:val="75"/>
        <w:tblW w:w="5041"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40"/>
        <w:gridCol w:w="709"/>
        <w:gridCol w:w="1213"/>
        <w:gridCol w:w="952"/>
        <w:gridCol w:w="905"/>
        <w:gridCol w:w="916"/>
        <w:gridCol w:w="916"/>
        <w:gridCol w:w="916"/>
        <w:gridCol w:w="916"/>
      </w:tblGrid>
      <w:tr w14:paraId="571BD1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939" w:type="dxa"/>
            <w:vMerge w:val="restart"/>
            <w:vAlign w:val="center"/>
          </w:tcPr>
          <w:p w14:paraId="4EE52E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地市</w:t>
            </w:r>
          </w:p>
        </w:tc>
        <w:tc>
          <w:tcPr>
            <w:tcW w:w="709" w:type="dxa"/>
            <w:vMerge w:val="restart"/>
            <w:vAlign w:val="center"/>
          </w:tcPr>
          <w:p w14:paraId="4D82F6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县区</w:t>
            </w:r>
          </w:p>
        </w:tc>
        <w:tc>
          <w:tcPr>
            <w:tcW w:w="1212" w:type="dxa"/>
            <w:vMerge w:val="restart"/>
            <w:vAlign w:val="center"/>
          </w:tcPr>
          <w:p w14:paraId="250FE7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无明显流失面积（km</w:t>
            </w:r>
            <w:r>
              <w:rPr>
                <w:rFonts w:hint="eastAsia" w:ascii="Times New Roman" w:hAnsi="Times New Roman" w:eastAsia="宋体" w:cs="Times New Roman"/>
                <w:b/>
                <w:bCs/>
                <w:color w:val="000000" w:themeColor="text1"/>
                <w:kern w:val="0"/>
                <w:sz w:val="21"/>
                <w:szCs w:val="21"/>
                <w:highlight w:val="none"/>
                <w:vertAlign w:val="superscript"/>
                <w:lang w:val="en-US" w:eastAsia="zh-CN" w:bidi="ar-SA"/>
                <w14:textFill>
                  <w14:solidFill>
                    <w14:schemeClr w14:val="tx1"/>
                  </w14:solidFill>
                </w14:textFill>
              </w:rPr>
              <w:t>2</w:t>
            </w:r>
            <w:r>
              <w:rPr>
                <w:rFonts w:hint="eastAsia"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w:t>
            </w:r>
          </w:p>
        </w:tc>
        <w:tc>
          <w:tcPr>
            <w:tcW w:w="4600" w:type="dxa"/>
            <w:gridSpan w:val="5"/>
            <w:vAlign w:val="center"/>
          </w:tcPr>
          <w:p w14:paraId="73EFEB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水土流失面积（km</w:t>
            </w:r>
            <w:r>
              <w:rPr>
                <w:rFonts w:hint="eastAsia" w:ascii="Times New Roman" w:hAnsi="Times New Roman" w:eastAsia="宋体" w:cs="Times New Roman"/>
                <w:b/>
                <w:bCs/>
                <w:color w:val="000000" w:themeColor="text1"/>
                <w:kern w:val="0"/>
                <w:sz w:val="21"/>
                <w:szCs w:val="21"/>
                <w:highlight w:val="none"/>
                <w:vertAlign w:val="superscript"/>
                <w:lang w:val="en-US" w:eastAsia="zh-CN" w:bidi="ar-SA"/>
                <w14:textFill>
                  <w14:solidFill>
                    <w14:schemeClr w14:val="tx1"/>
                  </w14:solidFill>
                </w14:textFill>
              </w:rPr>
              <w:t>2</w:t>
            </w:r>
            <w:r>
              <w:rPr>
                <w:rFonts w:hint="eastAsia"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w:t>
            </w:r>
          </w:p>
        </w:tc>
        <w:tc>
          <w:tcPr>
            <w:tcW w:w="915" w:type="dxa"/>
            <w:vMerge w:val="restart"/>
            <w:vAlign w:val="center"/>
          </w:tcPr>
          <w:p w14:paraId="39DC99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总面积（km</w:t>
            </w:r>
            <w:r>
              <w:rPr>
                <w:rFonts w:hint="eastAsia" w:ascii="Times New Roman" w:hAnsi="Times New Roman" w:eastAsia="宋体" w:cs="Times New Roman"/>
                <w:b/>
                <w:bCs/>
                <w:color w:val="000000" w:themeColor="text1"/>
                <w:kern w:val="0"/>
                <w:sz w:val="21"/>
                <w:szCs w:val="21"/>
                <w:highlight w:val="none"/>
                <w:vertAlign w:val="superscript"/>
                <w:lang w:val="en-US" w:eastAsia="zh-CN" w:bidi="ar-SA"/>
                <w14:textFill>
                  <w14:solidFill>
                    <w14:schemeClr w14:val="tx1"/>
                  </w14:solidFill>
                </w14:textFill>
              </w:rPr>
              <w:t>2</w:t>
            </w:r>
            <w:r>
              <w:rPr>
                <w:rFonts w:hint="eastAsia"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w:t>
            </w:r>
          </w:p>
        </w:tc>
      </w:tr>
      <w:tr w14:paraId="27BB37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939" w:type="dxa"/>
            <w:vMerge w:val="continue"/>
            <w:vAlign w:val="center"/>
          </w:tcPr>
          <w:p w14:paraId="12D176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p>
        </w:tc>
        <w:tc>
          <w:tcPr>
            <w:tcW w:w="709" w:type="dxa"/>
            <w:vMerge w:val="continue"/>
            <w:vAlign w:val="center"/>
          </w:tcPr>
          <w:p w14:paraId="31F8163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p>
        </w:tc>
        <w:tc>
          <w:tcPr>
            <w:tcW w:w="1212" w:type="dxa"/>
            <w:vMerge w:val="continue"/>
            <w:vAlign w:val="center"/>
          </w:tcPr>
          <w:p w14:paraId="3335B3C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p>
        </w:tc>
        <w:tc>
          <w:tcPr>
            <w:tcW w:w="951" w:type="dxa"/>
            <w:vAlign w:val="center"/>
          </w:tcPr>
          <w:p w14:paraId="48C48A5C">
            <w:pPr>
              <w:keepNext w:val="0"/>
              <w:keepLines w:val="0"/>
              <w:widowControl/>
              <w:suppressLineNumbers w:val="0"/>
              <w:jc w:val="center"/>
              <w:textAlignment w:val="cente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轻度</w:t>
            </w:r>
          </w:p>
        </w:tc>
        <w:tc>
          <w:tcPr>
            <w:tcW w:w="904" w:type="dxa"/>
            <w:vAlign w:val="center"/>
          </w:tcPr>
          <w:p w14:paraId="0A23B28B">
            <w:pPr>
              <w:keepNext w:val="0"/>
              <w:keepLines w:val="0"/>
              <w:widowControl/>
              <w:suppressLineNumbers w:val="0"/>
              <w:jc w:val="center"/>
              <w:textAlignment w:val="cente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中度</w:t>
            </w:r>
          </w:p>
        </w:tc>
        <w:tc>
          <w:tcPr>
            <w:tcW w:w="915" w:type="dxa"/>
            <w:vAlign w:val="center"/>
          </w:tcPr>
          <w:p w14:paraId="684B34AA">
            <w:pPr>
              <w:keepNext w:val="0"/>
              <w:keepLines w:val="0"/>
              <w:widowControl/>
              <w:suppressLineNumbers w:val="0"/>
              <w:jc w:val="center"/>
              <w:textAlignment w:val="cente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强烈</w:t>
            </w:r>
          </w:p>
        </w:tc>
        <w:tc>
          <w:tcPr>
            <w:tcW w:w="915" w:type="dxa"/>
            <w:vAlign w:val="center"/>
          </w:tcPr>
          <w:p w14:paraId="22DFD3E7">
            <w:pPr>
              <w:keepNext w:val="0"/>
              <w:keepLines w:val="0"/>
              <w:widowControl/>
              <w:suppressLineNumbers w:val="0"/>
              <w:jc w:val="center"/>
              <w:textAlignment w:val="cente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极强烈</w:t>
            </w:r>
          </w:p>
        </w:tc>
        <w:tc>
          <w:tcPr>
            <w:tcW w:w="915" w:type="dxa"/>
            <w:vAlign w:val="center"/>
          </w:tcPr>
          <w:p w14:paraId="339FB9AF">
            <w:pPr>
              <w:keepNext w:val="0"/>
              <w:keepLines w:val="0"/>
              <w:widowControl/>
              <w:suppressLineNumbers w:val="0"/>
              <w:jc w:val="center"/>
              <w:textAlignment w:val="cente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剧烈</w:t>
            </w:r>
          </w:p>
        </w:tc>
        <w:tc>
          <w:tcPr>
            <w:tcW w:w="915" w:type="dxa"/>
            <w:vMerge w:val="continue"/>
            <w:vAlign w:val="center"/>
          </w:tcPr>
          <w:p w14:paraId="56C4DAB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p>
        </w:tc>
      </w:tr>
      <w:tr w14:paraId="04B817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939" w:type="dxa"/>
            <w:vAlign w:val="center"/>
          </w:tcPr>
          <w:p w14:paraId="25FD3E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六安市</w:t>
            </w:r>
          </w:p>
        </w:tc>
        <w:tc>
          <w:tcPr>
            <w:tcW w:w="709" w:type="dxa"/>
            <w:vAlign w:val="center"/>
          </w:tcPr>
          <w:p w14:paraId="2686431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金寨县</w:t>
            </w:r>
          </w:p>
        </w:tc>
        <w:tc>
          <w:tcPr>
            <w:tcW w:w="1212" w:type="dxa"/>
            <w:vAlign w:val="center"/>
          </w:tcPr>
          <w:p w14:paraId="1BE2059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2923.38</w:t>
            </w:r>
          </w:p>
        </w:tc>
        <w:tc>
          <w:tcPr>
            <w:tcW w:w="951" w:type="dxa"/>
            <w:vAlign w:val="center"/>
          </w:tcPr>
          <w:p w14:paraId="3FB91AD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948.29</w:t>
            </w:r>
          </w:p>
        </w:tc>
        <w:tc>
          <w:tcPr>
            <w:tcW w:w="904" w:type="dxa"/>
            <w:vAlign w:val="center"/>
          </w:tcPr>
          <w:p w14:paraId="4B01572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33.67</w:t>
            </w:r>
          </w:p>
        </w:tc>
        <w:tc>
          <w:tcPr>
            <w:tcW w:w="915" w:type="dxa"/>
            <w:vAlign w:val="center"/>
          </w:tcPr>
          <w:p w14:paraId="66CA8C8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13.14</w:t>
            </w:r>
          </w:p>
        </w:tc>
        <w:tc>
          <w:tcPr>
            <w:tcW w:w="915" w:type="dxa"/>
            <w:vAlign w:val="center"/>
          </w:tcPr>
          <w:p w14:paraId="25C48D3B">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0.48</w:t>
            </w:r>
          </w:p>
        </w:tc>
        <w:tc>
          <w:tcPr>
            <w:tcW w:w="915" w:type="dxa"/>
            <w:vAlign w:val="center"/>
          </w:tcPr>
          <w:p w14:paraId="52DFD08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0.04</w:t>
            </w:r>
          </w:p>
        </w:tc>
        <w:tc>
          <w:tcPr>
            <w:tcW w:w="915" w:type="dxa"/>
            <w:vAlign w:val="center"/>
          </w:tcPr>
          <w:p w14:paraId="6F77AC0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3919</w:t>
            </w:r>
          </w:p>
        </w:tc>
      </w:tr>
    </w:tbl>
    <w:p w14:paraId="1AA11254">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（2）</w:t>
      </w:r>
      <w:r>
        <w:rPr>
          <w:rFonts w:hint="default" w:ascii="Times New Roman" w:hAnsi="Times New Roman" w:eastAsia="宋体" w:cs="Times New Roman"/>
          <w:lang w:val="en-US" w:eastAsia="zh-CN"/>
        </w:rPr>
        <w:t>土壤侵蚀现状</w:t>
      </w:r>
    </w:p>
    <w:p w14:paraId="2C401156">
      <w:pPr>
        <w:pStyle w:val="9"/>
        <w:adjustRightInd w:val="0"/>
        <w:snapToGrid w:val="0"/>
        <w:spacing w:after="0"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结合《六安市</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十四五</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水土保持规划》、安徽省土壤类型分布图</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数据来源</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国家科技基础条件平台一国家地球系统科学数据中心</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，并参考相关研究</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程先富</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余芬</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安徽省土壤侵蚀空间分布及其与环境因子的关系[J]地理研究</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2010, 29</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8</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1 461-1470.</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本项目区域土壤侵蚀现状为</w:t>
      </w:r>
      <w:r>
        <w:rPr>
          <w:rFonts w:hint="eastAsia" w:ascii="Times New Roman" w:hAnsi="Times New Roman" w:eastAsia="宋体" w:cs="Times New Roman"/>
          <w:lang w:val="en-US" w:eastAsia="zh-CN"/>
        </w:rPr>
        <w:t>轻度</w:t>
      </w:r>
      <w:r>
        <w:rPr>
          <w:rFonts w:hint="default" w:ascii="Times New Roman" w:hAnsi="Times New Roman" w:eastAsia="宋体" w:cs="Times New Roman"/>
          <w:lang w:val="en-US" w:eastAsia="zh-CN"/>
        </w:rPr>
        <w:t>侵蚀，侵蚀程度主要为轻度侵蚀。土壤流失的表现形式以面蚀为主，水土流失主要发生在坡耕地。</w:t>
      </w:r>
    </w:p>
    <w:p w14:paraId="6B190D26">
      <w:pPr>
        <w:pStyle w:val="10"/>
      </w:pPr>
      <w:r>
        <w:drawing>
          <wp:inline distT="0" distB="0" distL="114300" distR="114300">
            <wp:extent cx="5701030" cy="6887845"/>
            <wp:effectExtent l="0" t="0" r="13970" b="8255"/>
            <wp:docPr id="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
                    <pic:cNvPicPr>
                      <a:picLocks noChangeAspect="1"/>
                    </pic:cNvPicPr>
                  </pic:nvPicPr>
                  <pic:blipFill>
                    <a:blip r:embed="rId86"/>
                    <a:stretch>
                      <a:fillRect/>
                    </a:stretch>
                  </pic:blipFill>
                  <pic:spPr>
                    <a:xfrm>
                      <a:off x="0" y="0"/>
                      <a:ext cx="5701030" cy="6887845"/>
                    </a:xfrm>
                    <a:prstGeom prst="rect">
                      <a:avLst/>
                    </a:prstGeom>
                    <a:noFill/>
                    <a:ln>
                      <a:noFill/>
                    </a:ln>
                  </pic:spPr>
                </pic:pic>
              </a:graphicData>
            </a:graphic>
          </wp:inline>
        </w:drawing>
      </w:r>
    </w:p>
    <w:p w14:paraId="450D4D97">
      <w:pPr>
        <w:autoSpaceDE w:val="0"/>
        <w:autoSpaceDN w:val="0"/>
        <w:adjustRightInd w:val="0"/>
        <w:spacing w:line="360" w:lineRule="auto"/>
        <w:jc w:val="center"/>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图</w:t>
      </w:r>
      <w:r>
        <w:rPr>
          <w:rFonts w:hint="eastAsia" w:ascii="Times New Roman" w:hAnsi="Times New Roman" w:eastAsia="宋体" w:cs="Times New Roman"/>
          <w:b/>
          <w:bCs/>
          <w:kern w:val="0"/>
          <w:sz w:val="24"/>
          <w:szCs w:val="24"/>
          <w:lang w:val="en-US" w:eastAsia="zh-CN"/>
        </w:rPr>
        <w:t>3</w:t>
      </w:r>
      <w:r>
        <w:rPr>
          <w:rFonts w:hint="default" w:ascii="Times New Roman" w:hAnsi="Times New Roman" w:eastAsia="宋体" w:cs="Times New Roman"/>
          <w:b/>
          <w:bCs/>
          <w:kern w:val="0"/>
          <w:sz w:val="24"/>
          <w:szCs w:val="24"/>
          <w:lang w:val="en-US" w:eastAsia="zh-CN"/>
        </w:rPr>
        <w:t>-</w:t>
      </w:r>
      <w:r>
        <w:rPr>
          <w:rFonts w:hint="eastAsia" w:ascii="Times New Roman" w:hAnsi="Times New Roman" w:eastAsia="宋体" w:cs="Times New Roman"/>
          <w:b/>
          <w:bCs/>
          <w:kern w:val="0"/>
          <w:sz w:val="24"/>
          <w:szCs w:val="24"/>
          <w:lang w:val="en-US" w:eastAsia="zh-CN"/>
        </w:rPr>
        <w:t>8</w:t>
      </w:r>
      <w:r>
        <w:rPr>
          <w:rFonts w:hint="default" w:ascii="Times New Roman" w:hAnsi="Times New Roman" w:eastAsia="宋体" w:cs="Times New Roman"/>
          <w:b/>
          <w:bCs/>
          <w:kern w:val="0"/>
          <w:sz w:val="24"/>
          <w:szCs w:val="24"/>
          <w:lang w:val="en-US" w:eastAsia="zh-CN"/>
        </w:rPr>
        <w:t xml:space="preserve">  </w:t>
      </w:r>
      <w:r>
        <w:rPr>
          <w:rFonts w:hint="eastAsia" w:ascii="Times New Roman" w:hAnsi="Times New Roman" w:eastAsia="宋体" w:cs="Times New Roman"/>
          <w:b/>
          <w:bCs/>
          <w:kern w:val="0"/>
          <w:sz w:val="24"/>
          <w:szCs w:val="24"/>
          <w:lang w:val="en-US" w:eastAsia="zh-CN"/>
        </w:rPr>
        <w:t>区域土壤侵蚀现状图</w:t>
      </w:r>
    </w:p>
    <w:p w14:paraId="63C24818">
      <w:pPr>
        <w:rPr>
          <w:rFonts w:hint="default" w:ascii="Times New Roman" w:hAnsi="Times New Roman" w:cs="Times New Roman"/>
          <w:lang w:val="en-US" w:eastAsia="zh-CN"/>
        </w:rPr>
        <w:sectPr>
          <w:headerReference r:id="rId11" w:type="default"/>
          <w:footerReference r:id="rId12"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7D20F01">
      <w:pPr>
        <w:pStyle w:val="3"/>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jc w:val="center"/>
        <w:textAlignment w:val="auto"/>
        <w:outlineLvl w:val="0"/>
        <w:rPr>
          <w:rFonts w:hint="default" w:ascii="Times New Roman" w:hAnsi="Times New Roman" w:eastAsia="宋体" w:cs="Times New Roman"/>
          <w:sz w:val="32"/>
          <w:szCs w:val="32"/>
          <w:lang w:val="en-US" w:eastAsia="zh-CN"/>
        </w:rPr>
      </w:pPr>
      <w:bookmarkStart w:id="668" w:name="_Toc25643"/>
      <w:bookmarkStart w:id="669" w:name="_Toc19948"/>
      <w:bookmarkStart w:id="670" w:name="_Toc1706"/>
      <w:bookmarkStart w:id="671" w:name="_Toc8949"/>
      <w:bookmarkStart w:id="672" w:name="_Toc6932"/>
      <w:bookmarkStart w:id="673" w:name="_Toc20496"/>
      <w:r>
        <w:rPr>
          <w:rFonts w:hint="eastAsia" w:ascii="Times New Roman" w:hAnsi="Times New Roman" w:eastAsia="宋体" w:cs="Times New Roman"/>
          <w:sz w:val="32"/>
          <w:szCs w:val="32"/>
          <w:lang w:val="en-US" w:eastAsia="zh-CN"/>
        </w:rPr>
        <w:t>4</w:t>
      </w:r>
      <w:r>
        <w:rPr>
          <w:rFonts w:hint="default" w:ascii="Times New Roman" w:hAnsi="Times New Roman" w:eastAsia="宋体" w:cs="Times New Roman"/>
          <w:sz w:val="32"/>
          <w:szCs w:val="32"/>
          <w:lang w:val="en-US" w:eastAsia="zh-CN"/>
        </w:rPr>
        <w:t xml:space="preserve">  生态影响预测与评价</w:t>
      </w:r>
      <w:bookmarkEnd w:id="668"/>
      <w:bookmarkEnd w:id="669"/>
      <w:bookmarkEnd w:id="670"/>
      <w:bookmarkEnd w:id="671"/>
      <w:bookmarkEnd w:id="672"/>
      <w:bookmarkEnd w:id="673"/>
    </w:p>
    <w:p w14:paraId="6F4961DA">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674" w:name="_Toc10767"/>
      <w:bookmarkStart w:id="675" w:name="_Toc28932"/>
      <w:bookmarkStart w:id="676" w:name="_Toc7836"/>
      <w:bookmarkStart w:id="677" w:name="_Toc23872"/>
      <w:bookmarkStart w:id="678" w:name="_Toc11838"/>
      <w:bookmarkStart w:id="679" w:name="_Toc5439"/>
      <w:r>
        <w:rPr>
          <w:rFonts w:hint="default" w:ascii="Times New Roman" w:hAnsi="Times New Roman" w:eastAsia="宋体" w:cs="Times New Roman"/>
          <w:sz w:val="28"/>
          <w:szCs w:val="28"/>
          <w:lang w:val="en-US" w:eastAsia="zh-CN"/>
        </w:rPr>
        <w:t>4.1对土地利用类型的影响</w:t>
      </w:r>
      <w:bookmarkEnd w:id="674"/>
      <w:bookmarkEnd w:id="675"/>
      <w:bookmarkEnd w:id="676"/>
      <w:bookmarkEnd w:id="677"/>
      <w:bookmarkEnd w:id="678"/>
      <w:bookmarkEnd w:id="679"/>
    </w:p>
    <w:p w14:paraId="414B6FF8">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根据遥感解译及现场调查，评价区的主要土地利用类型有</w:t>
      </w:r>
      <w:r>
        <w:rPr>
          <w:rFonts w:hint="eastAsia" w:ascii="Times New Roman" w:hAnsi="Times New Roman" w:eastAsia="宋体" w:cs="Times New Roman"/>
          <w:sz w:val="24"/>
          <w:szCs w:val="21"/>
          <w:lang w:val="en-US" w:eastAsia="zh-CN"/>
        </w:rPr>
        <w:t>耕地</w:t>
      </w:r>
      <w:r>
        <w:rPr>
          <w:rFonts w:hint="default" w:ascii="Times New Roman" w:hAnsi="Times New Roman" w:eastAsia="宋体" w:cs="Times New Roman"/>
          <w:sz w:val="24"/>
          <w:szCs w:val="21"/>
          <w:lang w:val="en-US" w:eastAsia="zh-CN"/>
        </w:rPr>
        <w:t>、林地、</w:t>
      </w:r>
      <w:r>
        <w:rPr>
          <w:rFonts w:hint="eastAsia" w:ascii="Times New Roman" w:hAnsi="Times New Roman" w:eastAsia="宋体" w:cs="Times New Roman"/>
          <w:sz w:val="24"/>
          <w:szCs w:val="21"/>
          <w:lang w:val="en-US" w:eastAsia="zh-CN"/>
        </w:rPr>
        <w:t>住宅用地</w:t>
      </w:r>
      <w:r>
        <w:rPr>
          <w:rFonts w:hint="default" w:ascii="Times New Roman" w:hAnsi="Times New Roman" w:eastAsia="宋体" w:cs="Times New Roman"/>
          <w:sz w:val="24"/>
          <w:szCs w:val="21"/>
          <w:lang w:val="en-US" w:eastAsia="zh-CN"/>
        </w:rPr>
        <w:t>、交通</w:t>
      </w:r>
      <w:r>
        <w:rPr>
          <w:rFonts w:hint="eastAsia" w:ascii="Times New Roman" w:hAnsi="Times New Roman" w:eastAsia="宋体" w:cs="Times New Roman"/>
          <w:sz w:val="24"/>
          <w:szCs w:val="21"/>
          <w:lang w:val="en-US" w:eastAsia="zh-CN"/>
        </w:rPr>
        <w:t>运输</w:t>
      </w:r>
      <w:r>
        <w:rPr>
          <w:rFonts w:hint="default" w:ascii="Times New Roman" w:hAnsi="Times New Roman" w:eastAsia="宋体" w:cs="Times New Roman"/>
          <w:sz w:val="24"/>
          <w:szCs w:val="21"/>
          <w:lang w:val="en-US" w:eastAsia="zh-CN"/>
        </w:rPr>
        <w:t>用地和水域及水利设施用地</w:t>
      </w:r>
      <w:r>
        <w:rPr>
          <w:rFonts w:hint="eastAsia" w:ascii="Times New Roman" w:hAnsi="Times New Roman" w:eastAsia="宋体" w:cs="Times New Roman"/>
          <w:sz w:val="24"/>
          <w:szCs w:val="21"/>
          <w:lang w:val="en-US" w:eastAsia="zh-CN"/>
        </w:rPr>
        <w:t>等</w:t>
      </w:r>
      <w:r>
        <w:rPr>
          <w:rFonts w:hint="default" w:ascii="Times New Roman" w:hAnsi="Times New Roman" w:eastAsia="宋体" w:cs="Times New Roman"/>
          <w:sz w:val="24"/>
          <w:szCs w:val="21"/>
          <w:lang w:val="en-US" w:eastAsia="zh-CN"/>
        </w:rPr>
        <w:t>。本工程属于线性工程，不涉及水域，项目占地面积小，对评价区的土地利用类型的影响有限。</w:t>
      </w:r>
    </w:p>
    <w:p w14:paraId="09934C20">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680" w:name="_Toc5416"/>
      <w:bookmarkStart w:id="681" w:name="_Toc25968"/>
      <w:bookmarkStart w:id="682" w:name="_Toc17040"/>
      <w:bookmarkStart w:id="683" w:name="_Toc13546"/>
      <w:bookmarkStart w:id="684" w:name="_Toc25053"/>
      <w:bookmarkStart w:id="685" w:name="_Toc31548"/>
      <w:r>
        <w:rPr>
          <w:rFonts w:hint="default" w:ascii="Times New Roman" w:hAnsi="Times New Roman" w:eastAsia="宋体" w:cs="Times New Roman"/>
          <w:sz w:val="28"/>
          <w:szCs w:val="28"/>
          <w:lang w:val="en-US" w:eastAsia="zh-CN"/>
        </w:rPr>
        <w:t>4.2景观/生态系统影响分析</w:t>
      </w:r>
      <w:bookmarkEnd w:id="680"/>
      <w:bookmarkEnd w:id="681"/>
      <w:bookmarkEnd w:id="682"/>
      <w:bookmarkEnd w:id="683"/>
      <w:bookmarkEnd w:id="684"/>
      <w:bookmarkEnd w:id="685"/>
    </w:p>
    <w:p w14:paraId="7B68707A">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686" w:name="_Toc3958"/>
      <w:bookmarkStart w:id="687" w:name="_Toc20200"/>
      <w:bookmarkStart w:id="688" w:name="_Toc3891"/>
      <w:bookmarkStart w:id="689" w:name="_Toc7109"/>
      <w:bookmarkStart w:id="690" w:name="_Toc18434"/>
      <w:r>
        <w:rPr>
          <w:rFonts w:hint="default" w:ascii="Times New Roman" w:hAnsi="Times New Roman" w:eastAsia="宋体" w:cs="Times New Roman"/>
          <w:sz w:val="24"/>
          <w:szCs w:val="24"/>
          <w:lang w:val="en-US" w:eastAsia="zh-CN"/>
        </w:rPr>
        <w:t>4.2.1对森林生态系统影响分析</w:t>
      </w:r>
      <w:bookmarkEnd w:id="686"/>
      <w:bookmarkEnd w:id="687"/>
      <w:bookmarkEnd w:id="688"/>
      <w:bookmarkEnd w:id="689"/>
      <w:bookmarkEnd w:id="690"/>
    </w:p>
    <w:p w14:paraId="0EEB2B53">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评价区的森林生态系统主要为绿化树木以及评价区零散分布的</w:t>
      </w:r>
      <w:r>
        <w:rPr>
          <w:rFonts w:hint="eastAsia" w:ascii="Times New Roman" w:hAnsi="Times New Roman" w:eastAsia="宋体" w:cs="Times New Roman"/>
          <w:sz w:val="24"/>
          <w:szCs w:val="21"/>
          <w:lang w:val="en-US" w:eastAsia="zh-CN"/>
        </w:rPr>
        <w:t>阔叶林</w:t>
      </w:r>
      <w:r>
        <w:rPr>
          <w:rFonts w:hint="default" w:ascii="Times New Roman" w:hAnsi="Times New Roman" w:eastAsia="宋体" w:cs="Times New Roman"/>
          <w:sz w:val="24"/>
          <w:szCs w:val="21"/>
          <w:lang w:val="en-US" w:eastAsia="zh-CN"/>
        </w:rPr>
        <w:t>地。工程建设对森林生态系统的影响主要体现在施工扰动、施工人员活动和运行期的维护等方面。</w:t>
      </w:r>
    </w:p>
    <w:p w14:paraId="0E0BFA85">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（1）施工扰动：施工产生的扬尘、废气、废水、废渣等可能进入生态系统，损害系统生态环境质量，间接影响系统内动植物的生长、发育和繁衍。</w:t>
      </w:r>
    </w:p>
    <w:p w14:paraId="0770DA37">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w:t>
      </w:r>
      <w:r>
        <w:rPr>
          <w:rFonts w:hint="eastAsia" w:ascii="Times New Roman" w:hAnsi="Times New Roman" w:eastAsia="宋体" w:cs="Times New Roman"/>
          <w:sz w:val="24"/>
          <w:szCs w:val="21"/>
          <w:lang w:val="en-US" w:eastAsia="zh-CN"/>
        </w:rPr>
        <w:t>2</w:t>
      </w:r>
      <w:r>
        <w:rPr>
          <w:rFonts w:hint="default" w:ascii="Times New Roman" w:hAnsi="Times New Roman" w:eastAsia="宋体" w:cs="Times New Roman"/>
          <w:sz w:val="24"/>
          <w:szCs w:val="21"/>
          <w:lang w:val="en-US" w:eastAsia="zh-CN"/>
        </w:rPr>
        <w:t>）施工人员活动：施工人员的活动如对沿线植被乱砍滥伐、随意践踏，开挖土方乱堆乱放占压林地、毁坏植被，生活垃圾处理不善、野外用火管理不善、防火意识淡薄等也会对森林资源造成直接的损害。</w:t>
      </w:r>
    </w:p>
    <w:p w14:paraId="00238CE5">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对于施工期产生的扬尘、废气和废渣可以通过相应的环境保护措施，使其对森林生态系统的影响降至最低。森林生态系统一般具有较高的稳定性和较强的抵抗外界干扰能力，少量的林木修剪、短暂的施工期环境质量影响等不会改变森林生态系统的结构和功能，不会使森林生态系统的群落向灌草丛生态系统演替，也不会对沿线森林生态系统环境造成系统性的破坏，所以项目对森林生态系统的影响较小。</w:t>
      </w:r>
    </w:p>
    <w:p w14:paraId="7E15D1D9">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691" w:name="_Toc20038"/>
      <w:bookmarkStart w:id="692" w:name="_Toc23888"/>
      <w:bookmarkStart w:id="693" w:name="_Toc32605"/>
      <w:bookmarkStart w:id="694" w:name="_Toc10435"/>
      <w:bookmarkStart w:id="695" w:name="_Toc504"/>
      <w:bookmarkStart w:id="696" w:name="_Toc107514172"/>
      <w:bookmarkStart w:id="697" w:name="_Toc14859"/>
      <w:r>
        <w:rPr>
          <w:rFonts w:hint="default" w:ascii="Times New Roman" w:hAnsi="Times New Roman" w:eastAsia="宋体" w:cs="Times New Roman"/>
          <w:sz w:val="24"/>
          <w:szCs w:val="24"/>
          <w:lang w:val="en-US" w:eastAsia="zh-CN"/>
        </w:rPr>
        <w:t>4.2.2对农田生态系统的影响分析</w:t>
      </w:r>
      <w:bookmarkEnd w:id="691"/>
      <w:bookmarkEnd w:id="692"/>
      <w:bookmarkEnd w:id="693"/>
      <w:bookmarkEnd w:id="694"/>
      <w:bookmarkEnd w:id="695"/>
      <w:bookmarkEnd w:id="696"/>
      <w:bookmarkEnd w:id="697"/>
    </w:p>
    <w:p w14:paraId="57B48133">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评价区农业耕作主要种植稻谷、玉米等常见农作物、经济作物。本项目对农业生产的影响主要为挖掘、人员的践踏、施工机具的碾压，亦会伤害部分农作物，同时还会伤及附近植物的根系，影响农作物的正常生长。</w:t>
      </w:r>
    </w:p>
    <w:p w14:paraId="7616A9F2">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农田生态系统是人类活动干预下形成的人工生态系统，可调控性能力强，生态功能单一、明确，农作物受到破坏时，可人为干预</w:t>
      </w:r>
      <w:r>
        <w:rPr>
          <w:rFonts w:hint="eastAsia" w:ascii="Times New Roman" w:hAnsi="Times New Roman" w:eastAsia="宋体" w:cs="Times New Roman"/>
          <w:sz w:val="24"/>
          <w:szCs w:val="21"/>
          <w:lang w:val="en-US" w:eastAsia="zh-CN"/>
        </w:rPr>
        <w:t>达到</w:t>
      </w:r>
      <w:r>
        <w:rPr>
          <w:rFonts w:hint="default" w:ascii="Times New Roman" w:hAnsi="Times New Roman" w:eastAsia="宋体" w:cs="Times New Roman"/>
          <w:sz w:val="24"/>
          <w:szCs w:val="21"/>
          <w:lang w:val="en-US" w:eastAsia="zh-CN"/>
        </w:rPr>
        <w:t>功能目标的恢复性强。同时，工程施工完成后可以恢复耕作，故工程对区域内农作物的影响有限。</w:t>
      </w:r>
    </w:p>
    <w:p w14:paraId="2AEE667A">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698" w:name="_Toc17119"/>
      <w:bookmarkStart w:id="699" w:name="_Toc3940"/>
      <w:bookmarkStart w:id="700" w:name="_Toc3919"/>
      <w:bookmarkStart w:id="701" w:name="_Toc7175"/>
      <w:bookmarkStart w:id="702" w:name="_Toc31573"/>
      <w:bookmarkStart w:id="703" w:name="_Toc22490"/>
      <w:bookmarkStart w:id="704" w:name="_Toc107514173"/>
      <w:r>
        <w:rPr>
          <w:rFonts w:hint="default" w:ascii="Times New Roman" w:hAnsi="Times New Roman" w:eastAsia="宋体" w:cs="Times New Roman"/>
          <w:sz w:val="24"/>
          <w:szCs w:val="24"/>
          <w:lang w:val="en-US" w:eastAsia="zh-CN"/>
        </w:rPr>
        <w:t>4.2.3对</w:t>
      </w:r>
      <w:r>
        <w:rPr>
          <w:rFonts w:hint="eastAsia" w:ascii="Times New Roman" w:hAnsi="Times New Roman" w:eastAsia="宋体" w:cs="Times New Roman"/>
          <w:sz w:val="24"/>
          <w:szCs w:val="24"/>
          <w:lang w:val="en-US" w:eastAsia="zh-CN"/>
        </w:rPr>
        <w:t>聚落</w:t>
      </w:r>
      <w:r>
        <w:rPr>
          <w:rFonts w:hint="default" w:ascii="Times New Roman" w:hAnsi="Times New Roman" w:eastAsia="宋体" w:cs="Times New Roman"/>
          <w:sz w:val="24"/>
          <w:szCs w:val="24"/>
          <w:lang w:val="en-US" w:eastAsia="zh-CN"/>
        </w:rPr>
        <w:t>生态系统的影响分析</w:t>
      </w:r>
      <w:bookmarkEnd w:id="698"/>
      <w:bookmarkEnd w:id="699"/>
      <w:bookmarkEnd w:id="700"/>
      <w:bookmarkEnd w:id="701"/>
      <w:bookmarkEnd w:id="702"/>
      <w:bookmarkEnd w:id="703"/>
      <w:bookmarkEnd w:id="704"/>
    </w:p>
    <w:p w14:paraId="17F25593">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eastAsia" w:ascii="Times New Roman" w:hAnsi="Times New Roman" w:eastAsia="宋体" w:cs="Times New Roman"/>
          <w:sz w:val="24"/>
          <w:szCs w:val="21"/>
          <w:lang w:val="en-US" w:eastAsia="zh-CN"/>
        </w:rPr>
        <w:t>聚落</w:t>
      </w:r>
      <w:r>
        <w:rPr>
          <w:rFonts w:hint="default" w:ascii="Times New Roman" w:hAnsi="Times New Roman" w:eastAsia="宋体" w:cs="Times New Roman"/>
          <w:sz w:val="24"/>
          <w:szCs w:val="21"/>
          <w:lang w:val="en-US" w:eastAsia="zh-CN"/>
        </w:rPr>
        <w:t>是一个复合的</w:t>
      </w:r>
      <w:r>
        <w:rPr>
          <w:rFonts w:hint="eastAsia" w:ascii="Times New Roman" w:hAnsi="Times New Roman" w:eastAsia="宋体" w:cs="Times New Roman"/>
          <w:sz w:val="24"/>
          <w:szCs w:val="21"/>
          <w:lang w:val="en-US" w:eastAsia="zh-CN"/>
        </w:rPr>
        <w:t>人工</w:t>
      </w:r>
      <w:r>
        <w:rPr>
          <w:rFonts w:hint="default" w:ascii="Times New Roman" w:hAnsi="Times New Roman" w:eastAsia="宋体" w:cs="Times New Roman"/>
          <w:sz w:val="24"/>
          <w:szCs w:val="21"/>
          <w:lang w:val="en-US" w:eastAsia="zh-CN"/>
        </w:rPr>
        <w:t>生态系统，与自然生态系统在结构和功能上都存在明显差别，主要表现为当地百姓居住和社会经济活动生产的功能。工程建设可能对当地居住和社会经济活动产生影响。</w:t>
      </w:r>
    </w:p>
    <w:p w14:paraId="303E7372">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由于施工人员的进入，导致人口集中，生产生活垃圾等污染物的排放，施工活动对动植物的干扰，可能对评价范围内原有的生态环境造成负面影响。</w:t>
      </w:r>
    </w:p>
    <w:p w14:paraId="56CFE2CD">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eastAsia" w:ascii="Times New Roman" w:hAnsi="Times New Roman" w:eastAsia="宋体" w:cs="Times New Roman"/>
          <w:sz w:val="24"/>
          <w:szCs w:val="21"/>
          <w:lang w:val="en-US" w:eastAsia="zh-CN"/>
        </w:rPr>
        <w:t>本项目施工前，已对大部分居民进行搬迁，评价范围内会遗留少部分居民未搬迁，</w:t>
      </w:r>
      <w:r>
        <w:rPr>
          <w:rFonts w:hint="default" w:ascii="Times New Roman" w:hAnsi="Times New Roman" w:eastAsia="宋体" w:cs="Times New Roman"/>
          <w:sz w:val="24"/>
          <w:szCs w:val="21"/>
          <w:lang w:val="en-US" w:eastAsia="zh-CN"/>
        </w:rPr>
        <w:t>施工前注意对施工人员进行环保意识的宣传教育，在施工</w:t>
      </w:r>
      <w:r>
        <w:rPr>
          <w:rFonts w:hint="eastAsia" w:ascii="Times New Roman" w:hAnsi="Times New Roman" w:eastAsia="宋体" w:cs="Times New Roman"/>
          <w:sz w:val="24"/>
          <w:szCs w:val="21"/>
          <w:lang w:val="en-US" w:eastAsia="zh-CN"/>
        </w:rPr>
        <w:t>期间</w:t>
      </w:r>
      <w:r>
        <w:rPr>
          <w:rFonts w:hint="default" w:ascii="Times New Roman" w:hAnsi="Times New Roman" w:eastAsia="宋体" w:cs="Times New Roman"/>
          <w:sz w:val="24"/>
          <w:szCs w:val="21"/>
          <w:lang w:val="en-US" w:eastAsia="zh-CN"/>
        </w:rPr>
        <w:t>避免或尽量减少垃圾和污水的排放，尽量利用系统内已有的污水、固废收集设施，拟建项目对评价范围内的</w:t>
      </w:r>
      <w:r>
        <w:rPr>
          <w:rFonts w:hint="eastAsia" w:ascii="Times New Roman" w:hAnsi="Times New Roman" w:eastAsia="宋体" w:cs="Times New Roman"/>
          <w:sz w:val="24"/>
          <w:szCs w:val="21"/>
          <w:lang w:val="en-US" w:eastAsia="zh-CN"/>
        </w:rPr>
        <w:t>聚落</w:t>
      </w:r>
      <w:r>
        <w:rPr>
          <w:rFonts w:hint="default" w:ascii="Times New Roman" w:hAnsi="Times New Roman" w:eastAsia="宋体" w:cs="Times New Roman"/>
          <w:sz w:val="24"/>
          <w:szCs w:val="21"/>
          <w:lang w:val="en-US" w:eastAsia="zh-CN"/>
        </w:rPr>
        <w:t>生态系统影响较小。</w:t>
      </w:r>
    </w:p>
    <w:p w14:paraId="6829F8F2">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1"/>
          <w:lang w:val="en-US" w:eastAsia="zh-CN"/>
        </w:rPr>
      </w:pPr>
      <w:bookmarkStart w:id="705" w:name="_Toc21735"/>
      <w:bookmarkStart w:id="706" w:name="_Toc25804"/>
      <w:bookmarkStart w:id="707" w:name="_Toc107514174"/>
      <w:bookmarkStart w:id="708" w:name="_Toc2955"/>
      <w:bookmarkStart w:id="709" w:name="_Toc27516"/>
      <w:bookmarkStart w:id="710" w:name="_Toc14022"/>
      <w:bookmarkStart w:id="711" w:name="_Toc10420"/>
      <w:r>
        <w:rPr>
          <w:rFonts w:hint="default" w:ascii="Times New Roman" w:hAnsi="Times New Roman" w:eastAsia="宋体" w:cs="Times New Roman"/>
          <w:sz w:val="24"/>
          <w:szCs w:val="21"/>
          <w:lang w:val="en-US" w:eastAsia="zh-CN"/>
        </w:rPr>
        <w:t>4.2.4对</w:t>
      </w:r>
      <w:r>
        <w:rPr>
          <w:rFonts w:hint="eastAsia" w:ascii="Times New Roman" w:hAnsi="Times New Roman" w:eastAsia="宋体" w:cs="Times New Roman"/>
          <w:sz w:val="24"/>
          <w:szCs w:val="21"/>
          <w:lang w:val="en-US" w:eastAsia="zh-CN"/>
        </w:rPr>
        <w:t>湿地生态系统</w:t>
      </w:r>
      <w:r>
        <w:rPr>
          <w:rFonts w:hint="default" w:ascii="Times New Roman" w:hAnsi="Times New Roman" w:eastAsia="宋体" w:cs="Times New Roman"/>
          <w:sz w:val="24"/>
          <w:szCs w:val="21"/>
          <w:lang w:val="en-US" w:eastAsia="zh-CN"/>
        </w:rPr>
        <w:t>的影响</w:t>
      </w:r>
      <w:r>
        <w:rPr>
          <w:rFonts w:hint="default" w:ascii="Times New Roman" w:hAnsi="Times New Roman" w:eastAsia="宋体" w:cs="Times New Roman"/>
          <w:sz w:val="24"/>
          <w:szCs w:val="24"/>
          <w:lang w:val="en-US" w:eastAsia="zh-CN"/>
        </w:rPr>
        <w:t>分析</w:t>
      </w:r>
      <w:bookmarkEnd w:id="705"/>
      <w:bookmarkEnd w:id="706"/>
      <w:bookmarkEnd w:id="707"/>
      <w:bookmarkEnd w:id="708"/>
      <w:bookmarkEnd w:id="709"/>
      <w:bookmarkEnd w:id="710"/>
      <w:bookmarkEnd w:id="711"/>
    </w:p>
    <w:p w14:paraId="6A90C1E2">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eastAsia" w:ascii="Times New Roman" w:hAnsi="Times New Roman" w:eastAsia="宋体" w:cs="Times New Roman"/>
          <w:sz w:val="24"/>
          <w:szCs w:val="21"/>
          <w:lang w:val="en-US" w:eastAsia="zh-CN"/>
        </w:rPr>
        <w:t>湿地生态系统</w:t>
      </w:r>
      <w:r>
        <w:rPr>
          <w:rFonts w:hint="default" w:ascii="Times New Roman" w:hAnsi="Times New Roman" w:eastAsia="宋体" w:cs="Times New Roman"/>
          <w:sz w:val="24"/>
          <w:szCs w:val="21"/>
          <w:lang w:val="en-US" w:eastAsia="zh-CN"/>
        </w:rPr>
        <w:t>，属</w:t>
      </w:r>
      <w:r>
        <w:rPr>
          <w:rFonts w:hint="eastAsia" w:ascii="Times New Roman" w:hAnsi="Times New Roman" w:eastAsia="宋体" w:cs="Times New Roman"/>
          <w:sz w:val="24"/>
          <w:szCs w:val="21"/>
          <w:lang w:val="en-US" w:eastAsia="zh-CN"/>
        </w:rPr>
        <w:t>陆水</w:t>
      </w:r>
      <w:r>
        <w:rPr>
          <w:rFonts w:hint="default" w:ascii="Times New Roman" w:hAnsi="Times New Roman" w:eastAsia="宋体" w:cs="Times New Roman"/>
          <w:sz w:val="24"/>
          <w:szCs w:val="21"/>
          <w:lang w:val="en-US" w:eastAsia="zh-CN"/>
        </w:rPr>
        <w:t>生态系统的一种，是一个复合生态系统，并具有栖息地功能、过滤作用、屏蔽作用、通道作用、源汇等多种功能。评价区的</w:t>
      </w:r>
      <w:r>
        <w:rPr>
          <w:rFonts w:hint="eastAsia" w:ascii="Times New Roman" w:hAnsi="Times New Roman" w:eastAsia="宋体" w:cs="Times New Roman"/>
          <w:sz w:val="24"/>
          <w:szCs w:val="21"/>
          <w:lang w:val="en-US" w:eastAsia="zh-CN"/>
        </w:rPr>
        <w:t>湿地生态系统</w:t>
      </w:r>
      <w:r>
        <w:rPr>
          <w:rFonts w:hint="default" w:ascii="Times New Roman" w:hAnsi="Times New Roman" w:eastAsia="宋体" w:cs="Times New Roman"/>
          <w:sz w:val="24"/>
          <w:szCs w:val="21"/>
          <w:lang w:val="en-US" w:eastAsia="zh-CN"/>
        </w:rPr>
        <w:t>主要是前畈河以及一些坑塘水面，项目建设不涉及</w:t>
      </w:r>
      <w:r>
        <w:rPr>
          <w:rFonts w:hint="eastAsia" w:ascii="Times New Roman" w:hAnsi="Times New Roman" w:eastAsia="宋体" w:cs="Times New Roman"/>
          <w:sz w:val="24"/>
          <w:szCs w:val="21"/>
          <w:lang w:val="en-US" w:eastAsia="zh-CN"/>
        </w:rPr>
        <w:t>湿地生态系统</w:t>
      </w:r>
      <w:r>
        <w:rPr>
          <w:rFonts w:hint="default" w:ascii="Times New Roman" w:hAnsi="Times New Roman" w:eastAsia="宋体" w:cs="Times New Roman"/>
          <w:sz w:val="24"/>
          <w:szCs w:val="21"/>
          <w:lang w:val="en-US" w:eastAsia="zh-CN"/>
        </w:rPr>
        <w:t>，故建设项目对</w:t>
      </w:r>
      <w:r>
        <w:rPr>
          <w:rFonts w:hint="eastAsia" w:ascii="Times New Roman" w:hAnsi="Times New Roman" w:eastAsia="宋体" w:cs="Times New Roman"/>
          <w:sz w:val="24"/>
          <w:szCs w:val="21"/>
          <w:lang w:val="en-US" w:eastAsia="zh-CN"/>
        </w:rPr>
        <w:t>湿地生态系统</w:t>
      </w:r>
      <w:r>
        <w:rPr>
          <w:rFonts w:hint="default" w:ascii="Times New Roman" w:hAnsi="Times New Roman" w:eastAsia="宋体" w:cs="Times New Roman"/>
          <w:sz w:val="24"/>
          <w:szCs w:val="21"/>
          <w:lang w:val="en-US" w:eastAsia="zh-CN"/>
        </w:rPr>
        <w:t>的影响较小。</w:t>
      </w:r>
    </w:p>
    <w:p w14:paraId="41B55246">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712" w:name="_Toc30212"/>
      <w:bookmarkStart w:id="713" w:name="_Toc26486"/>
      <w:bookmarkStart w:id="714" w:name="_Toc18897"/>
      <w:bookmarkStart w:id="715" w:name="_Toc3820"/>
      <w:bookmarkStart w:id="716" w:name="_Toc22457"/>
      <w:bookmarkStart w:id="717" w:name="_Toc28689"/>
      <w:r>
        <w:rPr>
          <w:rFonts w:hint="default" w:ascii="Times New Roman" w:hAnsi="Times New Roman" w:eastAsia="宋体" w:cs="Times New Roman"/>
          <w:sz w:val="28"/>
          <w:szCs w:val="28"/>
          <w:lang w:val="en-US" w:eastAsia="zh-CN"/>
        </w:rPr>
        <w:t>4.3植物多样性影响分析</w:t>
      </w:r>
      <w:bookmarkEnd w:id="712"/>
      <w:bookmarkEnd w:id="713"/>
      <w:bookmarkEnd w:id="714"/>
      <w:bookmarkEnd w:id="715"/>
      <w:bookmarkEnd w:id="716"/>
      <w:bookmarkEnd w:id="717"/>
    </w:p>
    <w:p w14:paraId="38463904">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718" w:name="_Toc29737"/>
      <w:bookmarkStart w:id="719" w:name="_Toc2481"/>
      <w:bookmarkStart w:id="720" w:name="_Toc24185"/>
      <w:bookmarkStart w:id="721" w:name="_Toc16163"/>
      <w:bookmarkStart w:id="722" w:name="_Toc30534"/>
      <w:r>
        <w:rPr>
          <w:rFonts w:hint="default" w:ascii="Times New Roman" w:hAnsi="Times New Roman" w:eastAsia="宋体" w:cs="Times New Roman"/>
          <w:sz w:val="24"/>
          <w:szCs w:val="24"/>
          <w:lang w:val="en-US" w:eastAsia="zh-CN"/>
        </w:rPr>
        <w:t>4.3.1工程占地对植物的影响</w:t>
      </w:r>
      <w:bookmarkEnd w:id="718"/>
      <w:bookmarkEnd w:id="719"/>
      <w:bookmarkEnd w:id="720"/>
      <w:bookmarkEnd w:id="721"/>
      <w:bookmarkEnd w:id="722"/>
    </w:p>
    <w:p w14:paraId="7E156E33">
      <w:pPr>
        <w:pStyle w:val="9"/>
        <w:adjustRightInd w:val="0"/>
        <w:snapToGrid w:val="0"/>
        <w:spacing w:after="0" w:line="360" w:lineRule="auto"/>
        <w:ind w:firstLine="480" w:firstLineChars="200"/>
        <w:rPr>
          <w:rFonts w:hint="default" w:ascii="Times New Roman" w:hAnsi="Times New Roman" w:eastAsia="宋体" w:cs="Times New Roman"/>
          <w:color w:val="000000" w:themeColor="text1"/>
          <w:sz w:val="24"/>
          <w:szCs w:val="21"/>
          <w:lang w:val="en-US" w:eastAsia="zh-CN"/>
          <w14:textFill>
            <w14:solidFill>
              <w14:schemeClr w14:val="tx1"/>
            </w14:solidFill>
          </w14:textFill>
        </w:rPr>
      </w:pPr>
      <w:r>
        <w:rPr>
          <w:rFonts w:hint="default" w:ascii="Times New Roman" w:hAnsi="Times New Roman" w:eastAsia="宋体" w:cs="Times New Roman"/>
          <w:sz w:val="24"/>
          <w:szCs w:val="21"/>
          <w:highlight w:val="none"/>
          <w:lang w:eastAsia="zh-CN"/>
        </w:rPr>
        <w:t>本工程</w:t>
      </w:r>
      <w:r>
        <w:rPr>
          <w:rFonts w:hint="default" w:ascii="Times New Roman" w:hAnsi="Times New Roman" w:eastAsia="宋体" w:cs="Times New Roman"/>
          <w:sz w:val="24"/>
          <w:szCs w:val="21"/>
          <w:highlight w:val="none"/>
          <w:lang w:val="en-US" w:eastAsia="zh-CN"/>
        </w:rPr>
        <w:t>占地面积为5.2909hm</w:t>
      </w:r>
      <w:r>
        <w:rPr>
          <w:rFonts w:hint="default" w:ascii="Times New Roman" w:hAnsi="Times New Roman" w:eastAsia="宋体" w:cs="Times New Roman"/>
          <w:sz w:val="24"/>
          <w:szCs w:val="21"/>
          <w:highlight w:val="none"/>
          <w:vertAlign w:val="superscript"/>
          <w:lang w:val="en-US" w:eastAsia="zh-CN"/>
        </w:rPr>
        <w:t>2</w:t>
      </w:r>
      <w:r>
        <w:rPr>
          <w:rFonts w:hint="default" w:ascii="Times New Roman" w:hAnsi="Times New Roman" w:eastAsia="宋体" w:cs="Times New Roman"/>
          <w:sz w:val="24"/>
          <w:szCs w:val="21"/>
          <w:highlight w:val="none"/>
          <w:lang w:val="en-US" w:eastAsia="zh-CN"/>
        </w:rPr>
        <w:t>，均为永久占地</w:t>
      </w:r>
      <w:r>
        <w:rPr>
          <w:rFonts w:hint="default" w:ascii="Times New Roman" w:hAnsi="Times New Roman" w:eastAsia="宋体" w:cs="Times New Roman"/>
          <w:sz w:val="24"/>
          <w:szCs w:val="21"/>
          <w:highlight w:val="none"/>
          <w:lang w:eastAsia="zh-CN"/>
        </w:rPr>
        <w:t>。</w:t>
      </w:r>
      <w:r>
        <w:rPr>
          <w:rFonts w:hint="default" w:ascii="Times New Roman" w:hAnsi="Times New Roman" w:eastAsia="宋体" w:cs="Times New Roman"/>
          <w:sz w:val="24"/>
          <w:szCs w:val="21"/>
          <w:highlight w:val="none"/>
          <w:lang w:val="en-US" w:eastAsia="zh-CN"/>
        </w:rPr>
        <w:t>其中农用地4.7699hm</w:t>
      </w:r>
      <w:r>
        <w:rPr>
          <w:rFonts w:hint="default" w:ascii="Times New Roman" w:hAnsi="Times New Roman" w:eastAsia="宋体" w:cs="Times New Roman"/>
          <w:sz w:val="24"/>
          <w:szCs w:val="21"/>
          <w:highlight w:val="none"/>
          <w:vertAlign w:val="superscript"/>
          <w:lang w:val="en-US" w:eastAsia="zh-CN"/>
        </w:rPr>
        <w:t>2</w:t>
      </w:r>
      <w:r>
        <w:rPr>
          <w:rFonts w:hint="default" w:ascii="Times New Roman" w:hAnsi="Times New Roman" w:eastAsia="宋体" w:cs="Times New Roman"/>
          <w:sz w:val="24"/>
          <w:szCs w:val="21"/>
          <w:highlight w:val="none"/>
          <w:vertAlign w:val="baseline"/>
          <w:lang w:val="en-US" w:eastAsia="zh-CN"/>
        </w:rPr>
        <w:t>（其中：</w:t>
      </w:r>
      <w:r>
        <w:rPr>
          <w:rFonts w:hint="default" w:ascii="Times New Roman" w:hAnsi="Times New Roman" w:eastAsia="宋体" w:cs="Times New Roman"/>
          <w:sz w:val="24"/>
          <w:szCs w:val="21"/>
          <w:highlight w:val="none"/>
          <w:lang w:val="en-US" w:eastAsia="zh-CN"/>
        </w:rPr>
        <w:t>耕地0.52</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38hm</w:t>
      </w:r>
      <w:r>
        <w:rPr>
          <w:rFonts w:hint="default" w:ascii="Times New Roman" w:hAnsi="Times New Roman" w:eastAsia="宋体" w:cs="Times New Roman"/>
          <w:color w:val="000000" w:themeColor="text1"/>
          <w:sz w:val="24"/>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，其他农用地4.2461hm</w:t>
      </w:r>
      <w:r>
        <w:rPr>
          <w:rFonts w:hint="default" w:ascii="Times New Roman" w:hAnsi="Times New Roman" w:eastAsia="宋体" w:cs="Times New Roman"/>
          <w:color w:val="000000" w:themeColor="text1"/>
          <w:sz w:val="24"/>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，建设用地0.4273hm</w:t>
      </w:r>
      <w:r>
        <w:rPr>
          <w:rFonts w:hint="default" w:ascii="Times New Roman" w:hAnsi="Times New Roman" w:eastAsia="宋体" w:cs="Times New Roman"/>
          <w:color w:val="000000" w:themeColor="text1"/>
          <w:sz w:val="24"/>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，未利用土地0.0937hm</w:t>
      </w:r>
      <w:r>
        <w:rPr>
          <w:rFonts w:hint="default" w:ascii="Times New Roman" w:hAnsi="Times New Roman" w:eastAsia="宋体" w:cs="Times New Roman"/>
          <w:color w:val="000000" w:themeColor="text1"/>
          <w:sz w:val="24"/>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1"/>
          <w:lang w:val="en-US" w:eastAsia="zh-CN"/>
          <w14:textFill>
            <w14:solidFill>
              <w14:schemeClr w14:val="tx1"/>
            </w14:solidFill>
          </w14:textFill>
        </w:rPr>
        <w:t>。项目建设占地会使占地内的农作物受到损失。因工程永久占用而损失的植被面积以及生物量损失估算情况计算如下：</w:t>
      </w:r>
    </w:p>
    <w:p w14:paraId="0EC55060">
      <w:pPr>
        <w:overflowPunct w:val="0"/>
        <w:spacing w:line="240" w:lineRule="auto"/>
        <w:ind w:firstLine="0" w:firstLineChars="0"/>
        <w:jc w:val="center"/>
        <w:rPr>
          <w:rFonts w:hint="default" w:ascii="Times New Roman" w:hAnsi="Times New Roman" w:eastAsia="宋体" w:cs="Times New Roman"/>
          <w:b/>
          <w:bCs/>
          <w:color w:val="000000" w:themeColor="text1"/>
          <w:sz w:val="21"/>
          <w:szCs w:val="18"/>
          <w14:textFill>
            <w14:solidFill>
              <w14:schemeClr w14:val="tx1"/>
            </w14:solidFill>
          </w14:textFill>
        </w:rPr>
      </w:pPr>
      <w:r>
        <w:rPr>
          <w:rFonts w:hint="default" w:ascii="Times New Roman" w:hAnsi="Times New Roman" w:eastAsia="宋体" w:cs="Times New Roman"/>
          <w:b/>
          <w:bCs/>
          <w:color w:val="000000" w:themeColor="text1"/>
          <w:sz w:val="21"/>
          <w:szCs w:val="18"/>
          <w14:textFill>
            <w14:solidFill>
              <w14:schemeClr w14:val="tx1"/>
            </w14:solidFill>
          </w14:textFill>
        </w:rPr>
        <w:t>表4-</w:t>
      </w:r>
      <w:r>
        <w:rPr>
          <w:rFonts w:hint="eastAsia" w:ascii="Times New Roman" w:hAnsi="Times New Roman" w:eastAsia="宋体" w:cs="Times New Roman"/>
          <w:b/>
          <w:bCs/>
          <w:color w:val="000000" w:themeColor="text1"/>
          <w:sz w:val="21"/>
          <w:szCs w:val="18"/>
          <w:lang w:val="en-US" w:eastAsia="zh-CN"/>
          <w14:textFill>
            <w14:solidFill>
              <w14:schemeClr w14:val="tx1"/>
            </w14:solidFill>
          </w14:textFill>
        </w:rPr>
        <w:t>1</w:t>
      </w:r>
      <w:r>
        <w:rPr>
          <w:rFonts w:hint="default" w:ascii="Times New Roman" w:hAnsi="Times New Roman" w:eastAsia="宋体" w:cs="Times New Roman"/>
          <w:b/>
          <w:bCs/>
          <w:color w:val="000000" w:themeColor="text1"/>
          <w:sz w:val="21"/>
          <w:szCs w:val="18"/>
          <w:lang w:val="en-US" w:eastAsia="zh-CN"/>
          <w14:textFill>
            <w14:solidFill>
              <w14:schemeClr w14:val="tx1"/>
            </w14:solidFill>
          </w14:textFill>
        </w:rPr>
        <w:t xml:space="preserve">  拟建项目占地生物量损失估算表</w:t>
      </w:r>
    </w:p>
    <w:tbl>
      <w:tblPr>
        <w:tblStyle w:val="75"/>
        <w:tblW w:w="506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317"/>
        <w:gridCol w:w="2347"/>
        <w:gridCol w:w="1857"/>
        <w:gridCol w:w="1895"/>
      </w:tblGrid>
      <w:tr w14:paraId="48BA13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jc w:val="center"/>
        </w:trPr>
        <w:tc>
          <w:tcPr>
            <w:tcW w:w="2770" w:type="pct"/>
            <w:gridSpan w:val="2"/>
            <w:tcBorders>
              <w:right w:val="single" w:color="auto" w:sz="4" w:space="0"/>
            </w:tcBorders>
            <w:vAlign w:val="center"/>
          </w:tcPr>
          <w:p w14:paraId="6644BD16">
            <w:pPr>
              <w:overflowPunct w:val="0"/>
              <w:spacing w:line="240" w:lineRule="auto"/>
              <w:ind w:firstLine="0" w:firstLineChars="0"/>
              <w:jc w:val="center"/>
              <w:rPr>
                <w:rFonts w:hint="default" w:ascii="Times New Roman" w:hAnsi="Times New Roman" w:eastAsia="宋体" w:cs="Times New Roman"/>
                <w:b/>
                <w:bCs/>
                <w:color w:val="000000" w:themeColor="text1"/>
                <w:sz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lang w:val="en-US" w:eastAsia="zh-CN"/>
                <w14:textFill>
                  <w14:solidFill>
                    <w14:schemeClr w14:val="tx1"/>
                  </w14:solidFill>
                </w14:textFill>
              </w:rPr>
              <w:t>占用植被类型及面积</w:t>
            </w:r>
          </w:p>
        </w:tc>
        <w:tc>
          <w:tcPr>
            <w:tcW w:w="1103" w:type="pct"/>
            <w:vMerge w:val="restart"/>
            <w:tcBorders>
              <w:left w:val="single" w:color="auto" w:sz="4" w:space="0"/>
            </w:tcBorders>
            <w:vAlign w:val="center"/>
          </w:tcPr>
          <w:p w14:paraId="1C1B8BCA">
            <w:pPr>
              <w:overflowPunct w:val="0"/>
              <w:spacing w:line="240" w:lineRule="auto"/>
              <w:ind w:firstLine="0" w:firstLineChars="0"/>
              <w:jc w:val="center"/>
              <w:rPr>
                <w:rFonts w:hint="default" w:ascii="Times New Roman" w:hAnsi="Times New Roman" w:eastAsia="宋体" w:cs="Times New Roman"/>
                <w:b/>
                <w:bCs/>
                <w:color w:val="000000" w:themeColor="text1"/>
                <w:sz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lang w:val="en-US" w:eastAsia="zh-CN"/>
                <w14:textFill>
                  <w14:solidFill>
                    <w14:schemeClr w14:val="tx1"/>
                  </w14:solidFill>
                </w14:textFill>
              </w:rPr>
              <w:t>平均生物量</w:t>
            </w:r>
          </w:p>
          <w:p w14:paraId="160A4BBE">
            <w:pPr>
              <w:overflowPunct w:val="0"/>
              <w:spacing w:line="240" w:lineRule="auto"/>
              <w:ind w:firstLine="0" w:firstLineChars="0"/>
              <w:jc w:val="center"/>
              <w:rPr>
                <w:rFonts w:hint="default" w:ascii="Times New Roman" w:hAnsi="Times New Roman" w:eastAsia="宋体" w:cs="Times New Roman"/>
                <w:b/>
                <w:bCs/>
                <w:color w:val="000000" w:themeColor="text1"/>
                <w:sz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lang w:val="en-US" w:eastAsia="zh-CN"/>
                <w14:textFill>
                  <w14:solidFill>
                    <w14:schemeClr w14:val="tx1"/>
                  </w14:solidFill>
                </w14:textFill>
              </w:rPr>
              <w:t>(</w:t>
            </w:r>
            <w:r>
              <w:rPr>
                <w:rFonts w:hint="default" w:ascii="Times New Roman" w:hAnsi="Times New Roman" w:eastAsia="宋体" w:cs="Times New Roman"/>
                <w:b/>
                <w:bCs/>
                <w:color w:val="000000" w:themeColor="text1"/>
                <w:sz w:val="21"/>
                <w:lang w:val="en-US" w:eastAsia="zh-CN"/>
                <w14:textFill>
                  <w14:solidFill>
                    <w14:schemeClr w14:val="tx1"/>
                  </w14:solidFill>
                </w14:textFill>
              </w:rPr>
              <w:t>t/hm</w:t>
            </w:r>
            <w:r>
              <w:rPr>
                <w:rFonts w:hint="default" w:ascii="Times New Roman" w:hAnsi="Times New Roman" w:eastAsia="宋体" w:cs="Times New Roman"/>
                <w:b/>
                <w:bCs/>
                <w:color w:val="000000" w:themeColor="text1"/>
                <w:sz w:val="21"/>
                <w:vertAlign w:val="superscript"/>
                <w:lang w:val="en-US" w:eastAsia="zh-CN"/>
                <w14:textFill>
                  <w14:solidFill>
                    <w14:schemeClr w14:val="tx1"/>
                  </w14:solidFill>
                </w14:textFill>
              </w:rPr>
              <w:t>2</w:t>
            </w:r>
            <w:r>
              <w:rPr>
                <w:rFonts w:hint="eastAsia" w:ascii="Times New Roman" w:hAnsi="Times New Roman" w:eastAsia="宋体" w:cs="Times New Roman"/>
                <w:b/>
                <w:bCs/>
                <w:color w:val="000000" w:themeColor="text1"/>
                <w:sz w:val="21"/>
                <w:vertAlign w:val="superscript"/>
                <w:lang w:val="en-US" w:eastAsia="zh-CN"/>
                <w14:textFill>
                  <w14:solidFill>
                    <w14:schemeClr w14:val="tx1"/>
                  </w14:solidFill>
                </w14:textFill>
              </w:rPr>
              <w:t>)</w:t>
            </w:r>
          </w:p>
        </w:tc>
        <w:tc>
          <w:tcPr>
            <w:tcW w:w="1125" w:type="pct"/>
            <w:vMerge w:val="restart"/>
            <w:tcBorders>
              <w:right w:val="single" w:color="auto" w:sz="4" w:space="0"/>
            </w:tcBorders>
            <w:vAlign w:val="center"/>
          </w:tcPr>
          <w:p w14:paraId="31BDC243">
            <w:pPr>
              <w:overflowPunct w:val="0"/>
              <w:spacing w:line="240" w:lineRule="auto"/>
              <w:ind w:firstLine="0" w:firstLineChars="0"/>
              <w:jc w:val="center"/>
              <w:rPr>
                <w:rFonts w:hint="default" w:ascii="Times New Roman" w:hAnsi="Times New Roman" w:eastAsia="宋体" w:cs="Times New Roman"/>
                <w:b/>
                <w:bCs/>
                <w:color w:val="000000" w:themeColor="text1"/>
                <w:sz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lang w:val="en-US" w:eastAsia="zh-CN"/>
                <w14:textFill>
                  <w14:solidFill>
                    <w14:schemeClr w14:val="tx1"/>
                  </w14:solidFill>
                </w14:textFill>
              </w:rPr>
              <w:t>损失生物量</w:t>
            </w:r>
          </w:p>
          <w:p w14:paraId="481FFED7">
            <w:pPr>
              <w:overflowPunct w:val="0"/>
              <w:spacing w:line="240" w:lineRule="auto"/>
              <w:ind w:firstLine="0" w:firstLineChars="0"/>
              <w:jc w:val="center"/>
              <w:rPr>
                <w:rFonts w:hint="default" w:ascii="Times New Roman" w:hAnsi="Times New Roman" w:eastAsia="宋体" w:cs="Times New Roman"/>
                <w:b/>
                <w:bCs/>
                <w:color w:val="000000" w:themeColor="text1"/>
                <w:sz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lang w:val="en-US" w:eastAsia="zh-CN"/>
                <w14:textFill>
                  <w14:solidFill>
                    <w14:schemeClr w14:val="tx1"/>
                  </w14:solidFill>
                </w14:textFill>
              </w:rPr>
              <w:t>(</w:t>
            </w:r>
            <w:r>
              <w:rPr>
                <w:rFonts w:hint="default" w:ascii="Times New Roman" w:hAnsi="Times New Roman" w:eastAsia="宋体" w:cs="Times New Roman"/>
                <w:b/>
                <w:bCs/>
                <w:color w:val="000000" w:themeColor="text1"/>
                <w:sz w:val="21"/>
                <w:lang w:val="en-US" w:eastAsia="zh-CN"/>
                <w14:textFill>
                  <w14:solidFill>
                    <w14:schemeClr w14:val="tx1"/>
                  </w14:solidFill>
                </w14:textFill>
              </w:rPr>
              <w:t>t</w:t>
            </w:r>
            <w:r>
              <w:rPr>
                <w:rFonts w:hint="eastAsia" w:ascii="Times New Roman" w:hAnsi="Times New Roman" w:eastAsia="宋体" w:cs="Times New Roman"/>
                <w:b/>
                <w:bCs/>
                <w:color w:val="000000" w:themeColor="text1"/>
                <w:sz w:val="21"/>
                <w:lang w:val="en-US" w:eastAsia="zh-CN"/>
                <w14:textFill>
                  <w14:solidFill>
                    <w14:schemeClr w14:val="tx1"/>
                  </w14:solidFill>
                </w14:textFill>
              </w:rPr>
              <w:t>)</w:t>
            </w:r>
          </w:p>
        </w:tc>
      </w:tr>
      <w:tr w14:paraId="0C23AD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7" w:hRule="atLeast"/>
          <w:jc w:val="center"/>
        </w:trPr>
        <w:tc>
          <w:tcPr>
            <w:tcW w:w="1376" w:type="pct"/>
            <w:tcBorders>
              <w:right w:val="single" w:color="auto" w:sz="4" w:space="0"/>
            </w:tcBorders>
            <w:vAlign w:val="center"/>
          </w:tcPr>
          <w:p w14:paraId="19D47F43">
            <w:pPr>
              <w:overflowPunct w:val="0"/>
              <w:spacing w:line="240" w:lineRule="auto"/>
              <w:ind w:firstLine="0" w:firstLineChars="0"/>
              <w:jc w:val="center"/>
              <w:rPr>
                <w:rFonts w:hint="default" w:ascii="Times New Roman" w:hAnsi="Times New Roman" w:eastAsia="宋体" w:cs="Times New Roman"/>
                <w:b/>
                <w:bCs/>
                <w:color w:val="000000" w:themeColor="text1"/>
                <w:sz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lang w:val="en-US" w:eastAsia="zh-CN"/>
                <w14:textFill>
                  <w14:solidFill>
                    <w14:schemeClr w14:val="tx1"/>
                  </w14:solidFill>
                </w14:textFill>
              </w:rPr>
              <w:t>类型</w:t>
            </w:r>
          </w:p>
        </w:tc>
        <w:tc>
          <w:tcPr>
            <w:tcW w:w="1393" w:type="pct"/>
            <w:tcBorders>
              <w:left w:val="single" w:color="auto" w:sz="4" w:space="0"/>
              <w:right w:val="single" w:color="auto" w:sz="4" w:space="0"/>
            </w:tcBorders>
            <w:vAlign w:val="center"/>
          </w:tcPr>
          <w:p w14:paraId="72537E93">
            <w:pPr>
              <w:keepNext w:val="0"/>
              <w:keepLines w:val="0"/>
              <w:widowControl/>
              <w:suppressLineNumbers w:val="0"/>
              <w:jc w:val="center"/>
              <w:rPr>
                <w:rFonts w:hint="default" w:ascii="Times New Roman" w:hAnsi="Times New Roman" w:eastAsia="宋体" w:cs="Times New Roman"/>
                <w:b/>
                <w:bCs/>
                <w:color w:val="000000" w:themeColor="text1"/>
                <w:sz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lang w:val="en-US" w:eastAsia="zh-CN"/>
                <w14:textFill>
                  <w14:solidFill>
                    <w14:schemeClr w14:val="tx1"/>
                  </w14:solidFill>
                </w14:textFill>
              </w:rPr>
              <w:t>面积（hm</w:t>
            </w:r>
            <w:r>
              <w:rPr>
                <w:rFonts w:hint="default" w:ascii="Times New Roman" w:hAnsi="Times New Roman" w:eastAsia="宋体" w:cs="Times New Roman"/>
                <w:b/>
                <w:bCs/>
                <w:color w:val="000000" w:themeColor="text1"/>
                <w:sz w:val="21"/>
                <w:vertAlign w:val="superscript"/>
                <w:lang w:val="en-US" w:eastAsia="zh-CN"/>
                <w14:textFill>
                  <w14:solidFill>
                    <w14:schemeClr w14:val="tx1"/>
                  </w14:solidFill>
                </w14:textFill>
              </w:rPr>
              <w:t>2</w:t>
            </w:r>
            <w:r>
              <w:rPr>
                <w:rFonts w:hint="default" w:ascii="Times New Roman" w:hAnsi="Times New Roman" w:eastAsia="宋体" w:cs="Times New Roman"/>
                <w:b/>
                <w:bCs/>
                <w:color w:val="000000" w:themeColor="text1"/>
                <w:sz w:val="21"/>
                <w:lang w:val="en-US" w:eastAsia="zh-CN"/>
                <w14:textFill>
                  <w14:solidFill>
                    <w14:schemeClr w14:val="tx1"/>
                  </w14:solidFill>
                </w14:textFill>
              </w:rPr>
              <w:t>）</w:t>
            </w:r>
          </w:p>
        </w:tc>
        <w:tc>
          <w:tcPr>
            <w:tcW w:w="1103" w:type="pct"/>
            <w:vMerge w:val="continue"/>
            <w:tcBorders>
              <w:left w:val="single" w:color="auto" w:sz="4" w:space="0"/>
            </w:tcBorders>
            <w:vAlign w:val="center"/>
          </w:tcPr>
          <w:p w14:paraId="53DBC868">
            <w:pPr>
              <w:overflowPunct w:val="0"/>
              <w:spacing w:line="240" w:lineRule="auto"/>
              <w:ind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p>
        </w:tc>
        <w:tc>
          <w:tcPr>
            <w:tcW w:w="1125" w:type="pct"/>
            <w:vMerge w:val="continue"/>
            <w:tcBorders>
              <w:right w:val="single" w:color="auto" w:sz="4" w:space="0"/>
            </w:tcBorders>
            <w:vAlign w:val="center"/>
          </w:tcPr>
          <w:p w14:paraId="29776488">
            <w:pPr>
              <w:overflowPunct w:val="0"/>
              <w:spacing w:line="240" w:lineRule="auto"/>
              <w:ind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p>
        </w:tc>
      </w:tr>
      <w:tr w14:paraId="462161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7" w:hRule="atLeast"/>
          <w:jc w:val="center"/>
        </w:trPr>
        <w:tc>
          <w:tcPr>
            <w:tcW w:w="1376" w:type="pct"/>
            <w:tcBorders>
              <w:right w:val="single" w:color="auto" w:sz="4" w:space="0"/>
            </w:tcBorders>
            <w:vAlign w:val="center"/>
          </w:tcPr>
          <w:p w14:paraId="2316B5CB">
            <w:pPr>
              <w:overflowPunct w:val="0"/>
              <w:spacing w:line="240" w:lineRule="auto"/>
              <w:ind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ascii="Times New Roman" w:hAnsi="Times New Roman" w:eastAsia="宋体" w:cs="Times New Roman"/>
                <w:color w:val="000000" w:themeColor="text1"/>
                <w:sz w:val="21"/>
                <w:lang w:val="en-US" w:eastAsia="zh-CN"/>
                <w14:textFill>
                  <w14:solidFill>
                    <w14:schemeClr w14:val="tx1"/>
                  </w14:solidFill>
                </w14:textFill>
              </w:rPr>
              <w:t>耕地</w:t>
            </w:r>
          </w:p>
        </w:tc>
        <w:tc>
          <w:tcPr>
            <w:tcW w:w="1393" w:type="pct"/>
            <w:tcBorders>
              <w:left w:val="single" w:color="auto" w:sz="4" w:space="0"/>
              <w:right w:val="single" w:color="auto" w:sz="4" w:space="0"/>
            </w:tcBorders>
            <w:vAlign w:val="center"/>
          </w:tcPr>
          <w:p w14:paraId="60FA29D2">
            <w:pPr>
              <w:overflowPunct w:val="0"/>
              <w:spacing w:line="240" w:lineRule="auto"/>
              <w:ind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ascii="Times New Roman" w:hAnsi="Times New Roman" w:eastAsia="宋体" w:cs="Times New Roman"/>
                <w:color w:val="000000" w:themeColor="text1"/>
                <w:sz w:val="21"/>
                <w:lang w:val="en-US" w:eastAsia="zh-CN"/>
                <w14:textFill>
                  <w14:solidFill>
                    <w14:schemeClr w14:val="tx1"/>
                  </w14:solidFill>
                </w14:textFill>
              </w:rPr>
              <w:t>0.5238</w:t>
            </w:r>
          </w:p>
        </w:tc>
        <w:tc>
          <w:tcPr>
            <w:tcW w:w="1103" w:type="pct"/>
            <w:tcBorders>
              <w:left w:val="single" w:color="auto" w:sz="4" w:space="0"/>
            </w:tcBorders>
            <w:vAlign w:val="center"/>
          </w:tcPr>
          <w:p w14:paraId="5087DBCD">
            <w:pPr>
              <w:keepNext w:val="0"/>
              <w:keepLines w:val="0"/>
              <w:widowControl/>
              <w:suppressLineNumbers w:val="0"/>
              <w:jc w:val="center"/>
              <w:textAlignment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1.1</w:t>
            </w:r>
          </w:p>
        </w:tc>
        <w:tc>
          <w:tcPr>
            <w:tcW w:w="1895" w:type="dxa"/>
            <w:tcBorders>
              <w:right w:val="single" w:color="auto" w:sz="4" w:space="0"/>
            </w:tcBorders>
            <w:vAlign w:val="center"/>
          </w:tcPr>
          <w:p w14:paraId="1FF6F2BB">
            <w:pPr>
              <w:keepNext w:val="0"/>
              <w:keepLines w:val="0"/>
              <w:widowControl/>
              <w:suppressLineNumbers w:val="0"/>
              <w:jc w:val="center"/>
              <w:textAlignment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0.0058 </w:t>
            </w:r>
          </w:p>
        </w:tc>
      </w:tr>
      <w:tr w14:paraId="758680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7" w:hRule="atLeast"/>
          <w:jc w:val="center"/>
        </w:trPr>
        <w:tc>
          <w:tcPr>
            <w:tcW w:w="1376" w:type="pct"/>
            <w:tcBorders>
              <w:right w:val="single" w:color="auto" w:sz="4" w:space="0"/>
            </w:tcBorders>
            <w:vAlign w:val="center"/>
          </w:tcPr>
          <w:p w14:paraId="085DE535">
            <w:pPr>
              <w:overflowPunct w:val="0"/>
              <w:spacing w:line="240" w:lineRule="auto"/>
              <w:ind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color w:val="000000" w:themeColor="text1"/>
                <w:sz w:val="21"/>
                <w:lang w:val="en-US" w:eastAsia="zh-CN"/>
                <w14:textFill>
                  <w14:solidFill>
                    <w14:schemeClr w14:val="tx1"/>
                  </w14:solidFill>
                </w14:textFill>
              </w:rPr>
              <w:t>其他农用地</w:t>
            </w:r>
          </w:p>
        </w:tc>
        <w:tc>
          <w:tcPr>
            <w:tcW w:w="1393" w:type="pct"/>
            <w:tcBorders>
              <w:left w:val="single" w:color="auto" w:sz="4" w:space="0"/>
              <w:right w:val="single" w:color="auto" w:sz="4" w:space="0"/>
            </w:tcBorders>
            <w:vAlign w:val="center"/>
          </w:tcPr>
          <w:p w14:paraId="13BFDD75">
            <w:pPr>
              <w:overflowPunct w:val="0"/>
              <w:spacing w:line="240" w:lineRule="auto"/>
              <w:ind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ascii="Times New Roman" w:hAnsi="Times New Roman" w:eastAsia="宋体" w:cs="Times New Roman"/>
                <w:color w:val="000000" w:themeColor="text1"/>
                <w:sz w:val="21"/>
                <w:lang w:val="en-US" w:eastAsia="zh-CN"/>
                <w14:textFill>
                  <w14:solidFill>
                    <w14:schemeClr w14:val="tx1"/>
                  </w14:solidFill>
                </w14:textFill>
              </w:rPr>
              <w:t>4.2461</w:t>
            </w:r>
          </w:p>
        </w:tc>
        <w:tc>
          <w:tcPr>
            <w:tcW w:w="1103" w:type="pct"/>
            <w:tcBorders>
              <w:left w:val="single" w:color="auto" w:sz="4" w:space="0"/>
            </w:tcBorders>
            <w:vAlign w:val="center"/>
          </w:tcPr>
          <w:p w14:paraId="1FE6EFF5">
            <w:pPr>
              <w:keepNext w:val="0"/>
              <w:keepLines w:val="0"/>
              <w:widowControl/>
              <w:suppressLineNumbers w:val="0"/>
              <w:jc w:val="center"/>
              <w:textAlignment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0.7</w:t>
            </w:r>
          </w:p>
        </w:tc>
        <w:tc>
          <w:tcPr>
            <w:tcW w:w="1895" w:type="dxa"/>
            <w:tcBorders>
              <w:right w:val="single" w:color="auto" w:sz="4" w:space="0"/>
            </w:tcBorders>
            <w:vAlign w:val="center"/>
          </w:tcPr>
          <w:p w14:paraId="71A4AE47">
            <w:pPr>
              <w:keepNext w:val="0"/>
              <w:keepLines w:val="0"/>
              <w:widowControl/>
              <w:suppressLineNumbers w:val="0"/>
              <w:jc w:val="center"/>
              <w:textAlignment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0.0297 </w:t>
            </w:r>
          </w:p>
        </w:tc>
      </w:tr>
      <w:tr w14:paraId="765D25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7" w:hRule="atLeast"/>
          <w:jc w:val="center"/>
        </w:trPr>
        <w:tc>
          <w:tcPr>
            <w:tcW w:w="1376" w:type="pct"/>
            <w:tcBorders>
              <w:right w:val="single" w:color="auto" w:sz="4" w:space="0"/>
            </w:tcBorders>
            <w:vAlign w:val="center"/>
          </w:tcPr>
          <w:p w14:paraId="7B5E773D">
            <w:pPr>
              <w:overflowPunct w:val="0"/>
              <w:spacing w:line="240" w:lineRule="auto"/>
              <w:ind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color w:val="000000" w:themeColor="text1"/>
                <w:sz w:val="21"/>
                <w:lang w:val="en-US" w:eastAsia="zh-CN"/>
                <w14:textFill>
                  <w14:solidFill>
                    <w14:schemeClr w14:val="tx1"/>
                  </w14:solidFill>
                </w14:textFill>
              </w:rPr>
              <w:t>建设用地</w:t>
            </w:r>
          </w:p>
        </w:tc>
        <w:tc>
          <w:tcPr>
            <w:tcW w:w="1393" w:type="pct"/>
            <w:tcBorders>
              <w:left w:val="single" w:color="auto" w:sz="4" w:space="0"/>
              <w:right w:val="single" w:color="auto" w:sz="4" w:space="0"/>
            </w:tcBorders>
            <w:vAlign w:val="center"/>
          </w:tcPr>
          <w:p w14:paraId="354953E7">
            <w:pPr>
              <w:overflowPunct w:val="0"/>
              <w:spacing w:line="240" w:lineRule="auto"/>
              <w:ind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ascii="Times New Roman" w:hAnsi="Times New Roman" w:eastAsia="宋体" w:cs="Times New Roman"/>
                <w:color w:val="000000" w:themeColor="text1"/>
                <w:sz w:val="21"/>
                <w:lang w:val="en-US" w:eastAsia="zh-CN"/>
                <w14:textFill>
                  <w14:solidFill>
                    <w14:schemeClr w14:val="tx1"/>
                  </w14:solidFill>
                </w14:textFill>
              </w:rPr>
              <w:t>0.4273</w:t>
            </w:r>
          </w:p>
        </w:tc>
        <w:tc>
          <w:tcPr>
            <w:tcW w:w="1103" w:type="pct"/>
            <w:tcBorders>
              <w:left w:val="single" w:color="auto" w:sz="4" w:space="0"/>
            </w:tcBorders>
            <w:vAlign w:val="center"/>
          </w:tcPr>
          <w:p w14:paraId="56C05651">
            <w:pPr>
              <w:keepNext w:val="0"/>
              <w:keepLines w:val="0"/>
              <w:widowControl/>
              <w:suppressLineNumbers w:val="0"/>
              <w:jc w:val="center"/>
              <w:textAlignment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895" w:type="dxa"/>
            <w:tcBorders>
              <w:right w:val="single" w:color="auto" w:sz="4" w:space="0"/>
            </w:tcBorders>
            <w:vAlign w:val="center"/>
          </w:tcPr>
          <w:p w14:paraId="6D82694A">
            <w:pPr>
              <w:keepNext w:val="0"/>
              <w:keepLines w:val="0"/>
              <w:widowControl/>
              <w:suppressLineNumbers w:val="0"/>
              <w:jc w:val="center"/>
              <w:textAlignment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r>
      <w:tr w14:paraId="6493FD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7" w:hRule="atLeast"/>
          <w:jc w:val="center"/>
        </w:trPr>
        <w:tc>
          <w:tcPr>
            <w:tcW w:w="1376" w:type="pct"/>
            <w:tcBorders>
              <w:right w:val="single" w:color="auto" w:sz="4" w:space="0"/>
            </w:tcBorders>
            <w:vAlign w:val="center"/>
          </w:tcPr>
          <w:p w14:paraId="75FC8B93">
            <w:pPr>
              <w:overflowPunct w:val="0"/>
              <w:spacing w:line="240" w:lineRule="auto"/>
              <w:ind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color w:val="000000" w:themeColor="text1"/>
                <w:sz w:val="21"/>
                <w:lang w:val="en-US" w:eastAsia="zh-CN"/>
                <w14:textFill>
                  <w14:solidFill>
                    <w14:schemeClr w14:val="tx1"/>
                  </w14:solidFill>
                </w14:textFill>
              </w:rPr>
              <w:t>未利用土地</w:t>
            </w:r>
          </w:p>
        </w:tc>
        <w:tc>
          <w:tcPr>
            <w:tcW w:w="1393" w:type="pct"/>
            <w:tcBorders>
              <w:left w:val="single" w:color="auto" w:sz="4" w:space="0"/>
              <w:right w:val="single" w:color="auto" w:sz="4" w:space="0"/>
            </w:tcBorders>
            <w:vAlign w:val="center"/>
          </w:tcPr>
          <w:p w14:paraId="367BC4AC">
            <w:pPr>
              <w:overflowPunct w:val="0"/>
              <w:spacing w:line="240" w:lineRule="auto"/>
              <w:ind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ascii="Times New Roman" w:hAnsi="Times New Roman" w:eastAsia="宋体" w:cs="Times New Roman"/>
                <w:color w:val="000000" w:themeColor="text1"/>
                <w:sz w:val="21"/>
                <w:lang w:val="en-US" w:eastAsia="zh-CN"/>
                <w14:textFill>
                  <w14:solidFill>
                    <w14:schemeClr w14:val="tx1"/>
                  </w14:solidFill>
                </w14:textFill>
              </w:rPr>
              <w:t>0.0937</w:t>
            </w:r>
          </w:p>
        </w:tc>
        <w:tc>
          <w:tcPr>
            <w:tcW w:w="1103" w:type="pct"/>
            <w:tcBorders>
              <w:left w:val="single" w:color="auto" w:sz="4" w:space="0"/>
            </w:tcBorders>
            <w:vAlign w:val="center"/>
          </w:tcPr>
          <w:p w14:paraId="3D3C9D59">
            <w:pPr>
              <w:keepNext w:val="0"/>
              <w:keepLines w:val="0"/>
              <w:widowControl/>
              <w:suppressLineNumbers w:val="0"/>
              <w:jc w:val="center"/>
              <w:textAlignment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0.4</w:t>
            </w:r>
          </w:p>
        </w:tc>
        <w:tc>
          <w:tcPr>
            <w:tcW w:w="1895" w:type="dxa"/>
            <w:tcBorders>
              <w:right w:val="single" w:color="auto" w:sz="4" w:space="0"/>
            </w:tcBorders>
            <w:vAlign w:val="center"/>
          </w:tcPr>
          <w:p w14:paraId="181B6FBD">
            <w:pPr>
              <w:keepNext w:val="0"/>
              <w:keepLines w:val="0"/>
              <w:widowControl/>
              <w:suppressLineNumbers w:val="0"/>
              <w:jc w:val="center"/>
              <w:textAlignment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0.0004 </w:t>
            </w:r>
          </w:p>
        </w:tc>
      </w:tr>
      <w:tr w14:paraId="3DB158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7" w:hRule="atLeast"/>
          <w:jc w:val="center"/>
        </w:trPr>
        <w:tc>
          <w:tcPr>
            <w:tcW w:w="1376" w:type="pct"/>
            <w:tcBorders>
              <w:right w:val="single" w:color="auto" w:sz="4" w:space="0"/>
            </w:tcBorders>
            <w:vAlign w:val="center"/>
          </w:tcPr>
          <w:p w14:paraId="74A2D422">
            <w:pPr>
              <w:overflowPunct w:val="0"/>
              <w:spacing w:line="240" w:lineRule="auto"/>
              <w:ind w:firstLine="0" w:firstLineChars="0"/>
              <w:jc w:val="center"/>
              <w:rPr>
                <w:rFonts w:hint="default" w:ascii="Times New Roman" w:hAnsi="Times New Roman" w:eastAsia="宋体" w:cs="Times New Roman"/>
                <w:b/>
                <w:bCs/>
                <w:color w:val="000000" w:themeColor="text1"/>
                <w:sz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lang w:val="en-US" w:eastAsia="zh-CN"/>
                <w14:textFill>
                  <w14:solidFill>
                    <w14:schemeClr w14:val="tx1"/>
                  </w14:solidFill>
                </w14:textFill>
              </w:rPr>
              <w:t>合计</w:t>
            </w:r>
          </w:p>
        </w:tc>
        <w:tc>
          <w:tcPr>
            <w:tcW w:w="1393" w:type="pct"/>
            <w:tcBorders>
              <w:left w:val="single" w:color="auto" w:sz="4" w:space="0"/>
              <w:right w:val="single" w:color="auto" w:sz="4" w:space="0"/>
            </w:tcBorders>
            <w:vAlign w:val="center"/>
          </w:tcPr>
          <w:p w14:paraId="04821AB7">
            <w:pPr>
              <w:overflowPunct w:val="0"/>
              <w:spacing w:line="240" w:lineRule="auto"/>
              <w:ind w:firstLine="0" w:firstLineChars="0"/>
              <w:jc w:val="center"/>
              <w:rPr>
                <w:rFonts w:hint="default" w:ascii="Times New Roman" w:hAnsi="Times New Roman" w:eastAsia="宋体" w:cs="Times New Roman"/>
                <w:b/>
                <w:bCs/>
                <w:color w:val="000000" w:themeColor="text1"/>
                <w:sz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lang w:val="en-US" w:eastAsia="zh-CN"/>
                <w14:textFill>
                  <w14:solidFill>
                    <w14:schemeClr w14:val="tx1"/>
                  </w14:solidFill>
                </w14:textFill>
              </w:rPr>
              <w:t>5.2909</w:t>
            </w:r>
          </w:p>
        </w:tc>
        <w:tc>
          <w:tcPr>
            <w:tcW w:w="1103" w:type="pct"/>
            <w:tcBorders>
              <w:left w:val="single" w:color="auto" w:sz="4" w:space="0"/>
            </w:tcBorders>
            <w:vAlign w:val="center"/>
          </w:tcPr>
          <w:p w14:paraId="2D41C8DC">
            <w:pPr>
              <w:keepNext w:val="0"/>
              <w:keepLines w:val="0"/>
              <w:widowControl/>
              <w:suppressLineNumbers w:val="0"/>
              <w:jc w:val="center"/>
              <w:textAlignment w:val="center"/>
              <w:rPr>
                <w:rFonts w:hint="default" w:ascii="Times New Roman" w:hAnsi="Times New Roman" w:eastAsia="宋体" w:cs="Times New Roman"/>
                <w:b/>
                <w:bCs/>
                <w:color w:val="000000" w:themeColor="text1"/>
                <w:sz w:val="21"/>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bidi="ar"/>
                <w14:textFill>
                  <w14:solidFill>
                    <w14:schemeClr w14:val="tx1"/>
                  </w14:solidFill>
                </w14:textFill>
              </w:rPr>
              <w:t>--</w:t>
            </w:r>
          </w:p>
        </w:tc>
        <w:tc>
          <w:tcPr>
            <w:tcW w:w="1895" w:type="dxa"/>
            <w:tcBorders>
              <w:right w:val="single" w:color="auto" w:sz="4" w:space="0"/>
            </w:tcBorders>
            <w:vAlign w:val="center"/>
          </w:tcPr>
          <w:p w14:paraId="6586B392">
            <w:pPr>
              <w:keepNext w:val="0"/>
              <w:keepLines w:val="0"/>
              <w:widowControl/>
              <w:suppressLineNumbers w:val="0"/>
              <w:jc w:val="center"/>
              <w:textAlignment w:val="center"/>
              <w:rPr>
                <w:rFonts w:hint="default" w:ascii="Times New Roman" w:hAnsi="Times New Roman" w:eastAsia="宋体" w:cs="Times New Roman"/>
                <w:b/>
                <w:bCs/>
                <w:color w:val="000000" w:themeColor="text1"/>
                <w:sz w:val="21"/>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bidi="ar"/>
                <w14:textFill>
                  <w14:solidFill>
                    <w14:schemeClr w14:val="tx1"/>
                  </w14:solidFill>
                </w14:textFill>
              </w:rPr>
              <w:t xml:space="preserve">0.0359 </w:t>
            </w:r>
          </w:p>
        </w:tc>
      </w:tr>
    </w:tbl>
    <w:p w14:paraId="0C2141FC">
      <w:pPr>
        <w:pStyle w:val="9"/>
        <w:adjustRightInd w:val="0"/>
        <w:snapToGrid w:val="0"/>
        <w:spacing w:after="0" w:line="240" w:lineRule="auto"/>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1"/>
          <w:szCs w:val="18"/>
          <w:lang w:val="en-US" w:eastAsia="zh-CN"/>
        </w:rPr>
        <w:t>注：参考资料：冯宗伟《中国森林生态系统的生物量与生产力》和中国环境出版社《非污染生态评价技术导则培训教材》。</w:t>
      </w:r>
    </w:p>
    <w:p w14:paraId="424E515D">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由上表可以看出，拟建项目建设造成评价区域内生物量损失最大的植被类型为农田，生物量损失约为</w:t>
      </w:r>
      <w:r>
        <w:rPr>
          <w:rFonts w:hint="eastAsia" w:ascii="Times New Roman" w:hAnsi="Times New Roman" w:eastAsia="宋体" w:cs="Times New Roman"/>
          <w:sz w:val="24"/>
          <w:szCs w:val="21"/>
          <w:lang w:val="en-US" w:eastAsia="zh-CN"/>
        </w:rPr>
        <w:t>0.0359t</w:t>
      </w:r>
      <w:r>
        <w:rPr>
          <w:rFonts w:hint="default" w:ascii="Times New Roman" w:hAnsi="Times New Roman" w:eastAsia="宋体" w:cs="Times New Roman"/>
          <w:sz w:val="24"/>
          <w:szCs w:val="21"/>
          <w:lang w:val="en-US" w:eastAsia="zh-CN"/>
        </w:rPr>
        <w:t>；但由于评价区域内生物量较丰富，拟建项目建设占地所损失的生物量占评价区域内总生物量的比例</w:t>
      </w:r>
      <w:r>
        <w:rPr>
          <w:rFonts w:hint="eastAsia" w:ascii="Times New Roman" w:hAnsi="Times New Roman" w:eastAsia="宋体" w:cs="Times New Roman"/>
          <w:sz w:val="24"/>
          <w:szCs w:val="21"/>
          <w:lang w:val="en-US" w:eastAsia="zh-CN"/>
        </w:rPr>
        <w:t>很小</w:t>
      </w:r>
      <w:r>
        <w:rPr>
          <w:rFonts w:hint="default" w:ascii="Times New Roman" w:hAnsi="Times New Roman" w:eastAsia="宋体" w:cs="Times New Roman"/>
          <w:sz w:val="24"/>
          <w:szCs w:val="21"/>
          <w:lang w:val="en-US" w:eastAsia="zh-CN"/>
        </w:rPr>
        <w:t>，拟建项目建设占地对区域内生物量的损失是可接受的，对区域生态系统的生产力水平影响有限。</w:t>
      </w:r>
    </w:p>
    <w:p w14:paraId="48131E64">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723" w:name="_Toc14646"/>
      <w:bookmarkStart w:id="724" w:name="_Toc15227"/>
      <w:bookmarkStart w:id="725" w:name="_Toc2694"/>
      <w:bookmarkStart w:id="726" w:name="_Toc23206"/>
      <w:bookmarkStart w:id="727" w:name="_Toc7255"/>
      <w:bookmarkStart w:id="728" w:name="_Toc21266"/>
      <w:r>
        <w:rPr>
          <w:rFonts w:hint="default" w:ascii="Times New Roman" w:hAnsi="Times New Roman" w:eastAsia="宋体" w:cs="Times New Roman"/>
          <w:sz w:val="24"/>
          <w:szCs w:val="24"/>
          <w:lang w:val="en-US" w:eastAsia="zh-CN"/>
        </w:rPr>
        <w:t>4.3.2施工活动对植物多样性的影响分析</w:t>
      </w:r>
      <w:bookmarkEnd w:id="723"/>
      <w:bookmarkEnd w:id="724"/>
      <w:bookmarkEnd w:id="725"/>
      <w:bookmarkEnd w:id="726"/>
      <w:bookmarkEnd w:id="727"/>
      <w:bookmarkEnd w:id="728"/>
    </w:p>
    <w:p w14:paraId="68DE694F">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施工过程产生的</w:t>
      </w:r>
      <w:r>
        <w:rPr>
          <w:rFonts w:hint="eastAsia" w:ascii="Times New Roman" w:hAnsi="Times New Roman" w:eastAsia="宋体" w:cs="Times New Roman"/>
          <w:sz w:val="24"/>
          <w:szCs w:val="21"/>
          <w:lang w:val="en-US" w:eastAsia="zh-CN"/>
        </w:rPr>
        <w:t>“</w:t>
      </w:r>
      <w:r>
        <w:rPr>
          <w:rFonts w:hint="default" w:ascii="Times New Roman" w:hAnsi="Times New Roman" w:eastAsia="宋体" w:cs="Times New Roman"/>
          <w:sz w:val="24"/>
          <w:szCs w:val="21"/>
          <w:lang w:val="en-US" w:eastAsia="zh-CN"/>
        </w:rPr>
        <w:t>三废</w:t>
      </w:r>
      <w:r>
        <w:rPr>
          <w:rFonts w:hint="eastAsia" w:ascii="Times New Roman" w:hAnsi="Times New Roman" w:eastAsia="宋体" w:cs="Times New Roman"/>
          <w:sz w:val="24"/>
          <w:szCs w:val="21"/>
          <w:lang w:val="en-US" w:eastAsia="zh-CN"/>
        </w:rPr>
        <w:t>”</w:t>
      </w:r>
      <w:r>
        <w:rPr>
          <w:rFonts w:hint="default" w:ascii="Times New Roman" w:hAnsi="Times New Roman" w:eastAsia="宋体" w:cs="Times New Roman"/>
          <w:sz w:val="24"/>
          <w:szCs w:val="21"/>
          <w:lang w:val="en-US" w:eastAsia="zh-CN"/>
        </w:rPr>
        <w:t>将会对施工区及周边区</w:t>
      </w:r>
      <w:r>
        <w:rPr>
          <w:rFonts w:hint="eastAsia" w:ascii="Times New Roman" w:hAnsi="Times New Roman" w:eastAsia="宋体" w:cs="Times New Roman"/>
          <w:sz w:val="24"/>
          <w:szCs w:val="21"/>
          <w:lang w:val="en-US" w:eastAsia="zh-CN"/>
        </w:rPr>
        <w:t>域的</w:t>
      </w:r>
      <w:r>
        <w:rPr>
          <w:rFonts w:hint="default" w:ascii="Times New Roman" w:hAnsi="Times New Roman" w:eastAsia="宋体" w:cs="Times New Roman"/>
          <w:sz w:val="24"/>
          <w:szCs w:val="21"/>
          <w:lang w:val="en-US" w:eastAsia="zh-CN"/>
        </w:rPr>
        <w:t>植物产生不利影响。如扬尘覆盖植物叶片表面，影响植物的光合作用、呼吸作用等生理活动，从而影响植物的正常生长与发育。施工机械和运输车辆会排放</w:t>
      </w:r>
      <w:r>
        <w:rPr>
          <w:rFonts w:hint="eastAsia" w:ascii="Times New Roman" w:hAnsi="Times New Roman" w:eastAsia="宋体" w:cs="Times New Roman"/>
          <w:sz w:val="24"/>
          <w:szCs w:val="21"/>
          <w:lang w:val="en-US" w:eastAsia="zh-CN"/>
        </w:rPr>
        <w:t>有</w:t>
      </w:r>
      <w:r>
        <w:rPr>
          <w:rFonts w:hint="default" w:ascii="Times New Roman" w:hAnsi="Times New Roman" w:eastAsia="宋体" w:cs="Times New Roman"/>
          <w:sz w:val="24"/>
          <w:szCs w:val="21"/>
          <w:lang w:val="en-US" w:eastAsia="zh-CN"/>
        </w:rPr>
        <w:t>毒有害尾气，危害植物的生长与发育。夜间车辆的灯光可能打破植物正常的光周期，从而影响部分植物正常的生长与发育。施工期短暂，且随着施工活动的结束施工影响也随之结束，因此施工期影响总体较小。</w:t>
      </w:r>
    </w:p>
    <w:p w14:paraId="26BDDCC0">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729" w:name="_Toc31286"/>
      <w:bookmarkStart w:id="730" w:name="_Toc32513"/>
      <w:bookmarkStart w:id="731" w:name="_Toc32106"/>
      <w:bookmarkStart w:id="732" w:name="_Toc24039"/>
      <w:bookmarkStart w:id="733" w:name="_Toc7755"/>
      <w:bookmarkStart w:id="734" w:name="_Toc18460"/>
      <w:r>
        <w:rPr>
          <w:rFonts w:hint="default" w:ascii="Times New Roman" w:hAnsi="Times New Roman" w:eastAsia="宋体" w:cs="Times New Roman"/>
          <w:sz w:val="24"/>
          <w:szCs w:val="24"/>
          <w:lang w:val="en-US" w:eastAsia="zh-CN"/>
        </w:rPr>
        <w:t>4.3.3外来物种对植物多样性的影响分析</w:t>
      </w:r>
      <w:bookmarkEnd w:id="729"/>
      <w:bookmarkEnd w:id="730"/>
      <w:bookmarkEnd w:id="731"/>
      <w:bookmarkEnd w:id="732"/>
      <w:bookmarkEnd w:id="733"/>
      <w:bookmarkEnd w:id="734"/>
    </w:p>
    <w:p w14:paraId="6FFB3F6A">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项目施工中车辆及人流量的增大可能会引起沿线现有外来物种的分布范围扩大，工程建设形成裸地，若不及时进行采用本地物种绿化，存在一定几率造成局部区域外来物种侵入并逐步形成单一优势植物群落，进而对本地物种造成不利影响。总体来看，针对现有外来植物的入侵性，只要做好施工期防护措施，因工程实施引起大规模生物入侵的可能性较小。</w:t>
      </w:r>
    </w:p>
    <w:p w14:paraId="495CBA0D">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735" w:name="_Toc10490"/>
      <w:bookmarkStart w:id="736" w:name="_Toc16395"/>
      <w:bookmarkStart w:id="737" w:name="_Toc3716"/>
      <w:bookmarkStart w:id="738" w:name="_Toc11045"/>
      <w:bookmarkStart w:id="739" w:name="_Toc107514180"/>
      <w:bookmarkStart w:id="740" w:name="_Toc26068"/>
      <w:bookmarkStart w:id="741" w:name="_Toc14564"/>
      <w:bookmarkStart w:id="742" w:name="_Toc13879"/>
      <w:bookmarkStart w:id="743" w:name="_Toc3005"/>
      <w:r>
        <w:rPr>
          <w:rFonts w:hint="default" w:ascii="Times New Roman" w:hAnsi="Times New Roman" w:eastAsia="宋体" w:cs="Times New Roman"/>
          <w:sz w:val="28"/>
          <w:szCs w:val="28"/>
          <w:lang w:val="en-US" w:eastAsia="zh-CN"/>
        </w:rPr>
        <w:t>4.4动物多样性影响分析</w:t>
      </w:r>
      <w:bookmarkEnd w:id="735"/>
      <w:bookmarkEnd w:id="736"/>
      <w:bookmarkEnd w:id="737"/>
      <w:bookmarkEnd w:id="738"/>
      <w:bookmarkEnd w:id="739"/>
      <w:bookmarkEnd w:id="740"/>
      <w:bookmarkEnd w:id="741"/>
      <w:bookmarkEnd w:id="742"/>
      <w:bookmarkEnd w:id="743"/>
    </w:p>
    <w:p w14:paraId="373891BC">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744" w:name="_Toc18647"/>
      <w:bookmarkStart w:id="745" w:name="_Toc30839"/>
      <w:bookmarkStart w:id="746" w:name="_Toc10812"/>
      <w:bookmarkStart w:id="747" w:name="_Toc107514181"/>
      <w:bookmarkStart w:id="748" w:name="_Toc11917"/>
      <w:bookmarkStart w:id="749" w:name="_Toc2322"/>
      <w:bookmarkStart w:id="750" w:name="_Toc12024"/>
      <w:r>
        <w:rPr>
          <w:rFonts w:hint="default" w:ascii="Times New Roman" w:hAnsi="Times New Roman" w:eastAsia="宋体" w:cs="Times New Roman"/>
          <w:sz w:val="24"/>
          <w:szCs w:val="24"/>
          <w:lang w:val="en-US" w:eastAsia="zh-CN"/>
        </w:rPr>
        <w:t>4.4.1对两栖类动物影响</w:t>
      </w:r>
      <w:bookmarkEnd w:id="744"/>
      <w:bookmarkEnd w:id="745"/>
      <w:bookmarkEnd w:id="746"/>
      <w:bookmarkEnd w:id="747"/>
      <w:bookmarkEnd w:id="748"/>
      <w:bookmarkEnd w:id="749"/>
      <w:bookmarkEnd w:id="750"/>
    </w:p>
    <w:p w14:paraId="3B41637C">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工程建设对两栖类动物的影响主要是导致其在施工区及外围地带的分布及种群数量的变化，不会改变其区系组成和种群数量。工程实施过程使区域的人为扰动加重，导致施工区两栖类动物的栖息环境发生改变，一定程度上影响两栖类动物的繁殖觅食活动。</w:t>
      </w:r>
    </w:p>
    <w:p w14:paraId="291789E0">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一般两栖类动物的繁殖活动是需要水的，其卵产于小溪和沟渠等水体中。一般于黄昏至黎明时在隐蔽处活动频繁，酷热或严寒季节以夏蛰或冬眠方式度过。其食物一般以昆虫等动物为主要食物来源。鱼、蛇、鸟、兽等均为它们的天敌。</w:t>
      </w:r>
    </w:p>
    <w:p w14:paraId="22152C89">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工程对其影响主要是在穿越或靠近这些水体施工时，施工人员的生活污水和生活垃圾、施工机械机修及工作时油污跑冒滴漏产生的含油污水等废水、废渣排放带来的局部生境污染以及施工噪声和施工人员捕杀等都会驱赶这些两栖类暂时离开栖息地。拟建项目评价区内的陆栖型和树栖型两栖类，如泽蛙</w:t>
      </w:r>
      <w:r>
        <w:rPr>
          <w:rFonts w:hint="eastAsia" w:ascii="Times New Roman" w:hAnsi="Times New Roman" w:eastAsia="宋体" w:cs="Times New Roman"/>
          <w:sz w:val="24"/>
          <w:szCs w:val="21"/>
          <w:lang w:val="en-US" w:eastAsia="zh-CN"/>
        </w:rPr>
        <w:t>、</w:t>
      </w:r>
      <w:r>
        <w:rPr>
          <w:rFonts w:hint="default" w:ascii="Times New Roman" w:hAnsi="Times New Roman" w:eastAsia="宋体" w:cs="Times New Roman"/>
          <w:sz w:val="24"/>
          <w:szCs w:val="21"/>
          <w:lang w:val="en-US" w:eastAsia="zh-CN"/>
        </w:rPr>
        <w:t>湖北金线蛙等，广泛分布于工程沿线，主要栖息于农田、溪流及附近的</w:t>
      </w:r>
      <w:r>
        <w:rPr>
          <w:rFonts w:hint="eastAsia" w:ascii="Times New Roman" w:hAnsi="Times New Roman" w:eastAsia="宋体" w:cs="Times New Roman"/>
          <w:sz w:val="24"/>
          <w:szCs w:val="21"/>
          <w:lang w:val="en-US" w:eastAsia="zh-CN"/>
        </w:rPr>
        <w:t>草坡</w:t>
      </w:r>
      <w:r>
        <w:rPr>
          <w:rFonts w:hint="default" w:ascii="Times New Roman" w:hAnsi="Times New Roman" w:eastAsia="宋体" w:cs="Times New Roman"/>
          <w:sz w:val="24"/>
          <w:szCs w:val="21"/>
          <w:lang w:val="en-US" w:eastAsia="zh-CN"/>
        </w:rPr>
        <w:t>丛中，也多在水体附近活动，工程对其影响除了噪声驱赶外，还可能存在对其少量生境的占用。但这种影响是短期和暂时的，两栖类可以转移到评价区内相似生境中，施工活动结束后，两栖类的生存环境将会逐步得到恢复。</w:t>
      </w:r>
    </w:p>
    <w:p w14:paraId="7948FB47">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总体上来说，项目建设对两栖类动物的影响是短期的和可恢复的。</w:t>
      </w:r>
    </w:p>
    <w:p w14:paraId="25A3C477">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751" w:name="_Toc7828"/>
      <w:bookmarkStart w:id="752" w:name="_Toc9706"/>
      <w:bookmarkStart w:id="753" w:name="_Toc1120"/>
      <w:bookmarkStart w:id="754" w:name="_Toc574"/>
      <w:bookmarkStart w:id="755" w:name="_Toc3744"/>
      <w:bookmarkStart w:id="756" w:name="_Toc18442"/>
      <w:bookmarkStart w:id="757" w:name="_Toc107514182"/>
      <w:r>
        <w:rPr>
          <w:rFonts w:hint="default" w:ascii="Times New Roman" w:hAnsi="Times New Roman" w:eastAsia="宋体" w:cs="Times New Roman"/>
          <w:sz w:val="24"/>
          <w:szCs w:val="24"/>
          <w:lang w:val="en-US" w:eastAsia="zh-CN"/>
        </w:rPr>
        <w:t>4.4.2对爬行动物影响</w:t>
      </w:r>
      <w:bookmarkEnd w:id="751"/>
      <w:bookmarkEnd w:id="752"/>
      <w:bookmarkEnd w:id="753"/>
      <w:bookmarkEnd w:id="754"/>
      <w:bookmarkEnd w:id="755"/>
      <w:bookmarkEnd w:id="756"/>
      <w:bookmarkEnd w:id="757"/>
    </w:p>
    <w:p w14:paraId="3FA1C614">
      <w:pPr>
        <w:pStyle w:val="9"/>
        <w:adjustRightInd w:val="0"/>
        <w:snapToGrid w:val="0"/>
        <w:spacing w:after="0" w:line="360" w:lineRule="auto"/>
        <w:ind w:firstLine="480" w:firstLineChars="200"/>
        <w:rPr>
          <w:rFonts w:hint="default" w:ascii="Times New Roman" w:hAnsi="Times New Roman" w:eastAsia="宋体" w:cs="Times New Roman"/>
          <w:sz w:val="24"/>
          <w:szCs w:val="21"/>
          <w:highlight w:val="none"/>
          <w:lang w:val="en-US" w:eastAsia="zh-CN"/>
        </w:rPr>
      </w:pPr>
      <w:r>
        <w:rPr>
          <w:rFonts w:hint="default" w:ascii="Times New Roman" w:hAnsi="Times New Roman" w:eastAsia="宋体" w:cs="Times New Roman"/>
          <w:sz w:val="24"/>
          <w:szCs w:val="21"/>
          <w:highlight w:val="none"/>
          <w:lang w:val="en-US" w:eastAsia="zh-CN"/>
        </w:rPr>
        <w:t>爬行动物一般在灌丛和石缝中产卵，繁殖期大都在春夏之际，有些生活在水里，有些生活在陆地上的石缝中。评价区中爬行类主要是灌丛石隙型爬行类，包括虎斑游蛇等。蜥蜴类中最常见的是北草蜥。在拟建项目区域的灌丛、石缝中均有分布。</w:t>
      </w:r>
    </w:p>
    <w:p w14:paraId="5026240D">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highlight w:val="none"/>
          <w:lang w:val="en-US" w:eastAsia="zh-CN"/>
        </w:rPr>
        <w:t>蜥蜴类、蛇类等爬行动物，主要栖息在低山和丘陵的落叶阔叶林、针阔混交林、阴暗潮湿的林间灌丛、农田等处，以昆虫、蛙类、鸟、鼠为食。施工期间，工程对其影响主要是占用部分生境、施工噪声等影响，工程临时和永久占地使爬行类动物的生活环境遭到破坏，甚至消失。但工程仅占有部分生境，它们可以迁移到非施工区，其种群生存不会遭受严重威胁。</w:t>
      </w:r>
    </w:p>
    <w:p w14:paraId="710FEF0F">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758" w:name="_Toc3039"/>
      <w:bookmarkStart w:id="759" w:name="_Toc24893"/>
      <w:bookmarkStart w:id="760" w:name="_Toc8428"/>
      <w:bookmarkStart w:id="761" w:name="_Toc29688"/>
      <w:bookmarkStart w:id="762" w:name="_Toc3424"/>
      <w:r>
        <w:rPr>
          <w:rFonts w:hint="default" w:ascii="Times New Roman" w:hAnsi="Times New Roman" w:eastAsia="宋体" w:cs="Times New Roman"/>
          <w:sz w:val="24"/>
          <w:szCs w:val="24"/>
          <w:lang w:val="en-US" w:eastAsia="zh-CN"/>
        </w:rPr>
        <w:t>4.4.3对鸟类影响</w:t>
      </w:r>
      <w:bookmarkEnd w:id="758"/>
      <w:bookmarkEnd w:id="759"/>
      <w:bookmarkEnd w:id="760"/>
      <w:bookmarkEnd w:id="761"/>
      <w:bookmarkEnd w:id="762"/>
    </w:p>
    <w:p w14:paraId="4D4E21BA">
      <w:pPr>
        <w:pStyle w:val="9"/>
        <w:adjustRightInd w:val="0"/>
        <w:snapToGrid w:val="0"/>
        <w:spacing w:after="0" w:line="360" w:lineRule="auto"/>
        <w:ind w:firstLine="480" w:firstLineChars="200"/>
        <w:rPr>
          <w:rFonts w:hint="default" w:ascii="Times New Roman" w:hAnsi="Times New Roman" w:eastAsia="宋体" w:cs="Times New Roman"/>
          <w:sz w:val="24"/>
          <w:szCs w:val="21"/>
          <w:highlight w:val="none"/>
          <w:lang w:val="en-US" w:eastAsia="zh-CN"/>
        </w:rPr>
      </w:pPr>
      <w:r>
        <w:rPr>
          <w:rFonts w:hint="default" w:ascii="Times New Roman" w:hAnsi="Times New Roman" w:eastAsia="宋体" w:cs="Times New Roman"/>
          <w:sz w:val="24"/>
          <w:szCs w:val="21"/>
          <w:highlight w:val="none"/>
          <w:lang w:val="en-US" w:eastAsia="zh-CN"/>
        </w:rPr>
        <w:t>项目区域的鸟类较多，其中以林禽最多，其分布主要在项目区域周边的林地，这部分林地大部</w:t>
      </w:r>
      <w:r>
        <w:rPr>
          <w:rFonts w:hint="eastAsia" w:ascii="Times New Roman" w:hAnsi="Times New Roman" w:eastAsia="宋体" w:cs="Times New Roman"/>
          <w:sz w:val="24"/>
          <w:szCs w:val="21"/>
          <w:highlight w:val="none"/>
          <w:lang w:val="en-US" w:eastAsia="zh-CN"/>
        </w:rPr>
        <w:t>分为</w:t>
      </w:r>
      <w:r>
        <w:rPr>
          <w:rFonts w:hint="default" w:ascii="Times New Roman" w:hAnsi="Times New Roman" w:eastAsia="宋体" w:cs="Times New Roman"/>
          <w:sz w:val="24"/>
          <w:szCs w:val="21"/>
          <w:highlight w:val="none"/>
          <w:lang w:val="en-US" w:eastAsia="zh-CN"/>
        </w:rPr>
        <w:t>次生马尾松林、杉木林和其他灌木林。由于鸟类多善于飞翔和迁徙，在施工期受干扰时较易找到替代生境，工程对鸟类的直接影响不大，只局限于施工期施工噪声与废气等对其生境的污染和破坏，缩减它们的活动范围与觅食生境。但这些影响仅限工程占地及周边有限的范围，影响范围较小，其主要体现在工程施工时影响两栖爬行类也会间接影响这些鸟类的食物来源，以及鸟类繁殖期时施工噪声可能对其有一定影响。</w:t>
      </w:r>
    </w:p>
    <w:p w14:paraId="38D4F863">
      <w:pPr>
        <w:pStyle w:val="9"/>
        <w:adjustRightInd w:val="0"/>
        <w:snapToGrid w:val="0"/>
        <w:spacing w:after="0" w:line="360" w:lineRule="auto"/>
        <w:ind w:firstLine="480" w:firstLineChars="200"/>
        <w:rPr>
          <w:rFonts w:hint="default" w:ascii="Times New Roman" w:hAnsi="Times New Roman" w:eastAsia="宋体" w:cs="Times New Roman"/>
          <w:sz w:val="24"/>
          <w:szCs w:val="21"/>
          <w:highlight w:val="none"/>
          <w:lang w:val="en-US" w:eastAsia="zh-CN"/>
        </w:rPr>
      </w:pPr>
      <w:r>
        <w:rPr>
          <w:rFonts w:hint="default" w:ascii="Times New Roman" w:hAnsi="Times New Roman" w:eastAsia="宋体" w:cs="Times New Roman"/>
          <w:sz w:val="24"/>
          <w:szCs w:val="21"/>
          <w:highlight w:val="none"/>
          <w:lang w:val="en-US" w:eastAsia="zh-CN"/>
        </w:rPr>
        <w:t>项目评价区中的陆禽包括松鸦、灰头鹀等鸟类，它们分布较广，工程周边林地、农村林网、居民地边缘、农田都有分布，工程施工对其影响主要体现在噪声及占用生境等。但项目区域内的陆禽大多为高度适应人类干扰的，较常见于各类人工生境中的物种，同时，项目评价区内可找到相同或类似生境较多，项目施工期对区域陆禽的影响是微弱的和暂时的。</w:t>
      </w:r>
    </w:p>
    <w:p w14:paraId="429CE385">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highlight w:val="none"/>
          <w:lang w:val="en-US" w:eastAsia="zh-CN"/>
        </w:rPr>
        <w:t>总体，项目施工生境干扰和噪声污染等，对鸟类的繁</w:t>
      </w:r>
      <w:r>
        <w:rPr>
          <w:rFonts w:hint="eastAsia" w:ascii="Times New Roman" w:hAnsi="Times New Roman" w:eastAsia="宋体" w:cs="Times New Roman"/>
          <w:sz w:val="24"/>
          <w:szCs w:val="21"/>
          <w:highlight w:val="none"/>
          <w:lang w:val="en-US" w:eastAsia="zh-CN"/>
        </w:rPr>
        <w:t>殖和</w:t>
      </w:r>
      <w:r>
        <w:rPr>
          <w:rFonts w:hint="default" w:ascii="Times New Roman" w:hAnsi="Times New Roman" w:eastAsia="宋体" w:cs="Times New Roman"/>
          <w:sz w:val="24"/>
          <w:szCs w:val="21"/>
          <w:highlight w:val="none"/>
          <w:lang w:val="en-US" w:eastAsia="zh-CN"/>
        </w:rPr>
        <w:t>觅食活动有一定的直接和间接影响，但考虑到拟建项目附近有许多相似生境可供鸟类栖息和觅食，加之，项目施工过程中可以做到对鸟类繁殖高峰期的回避，因此，项目建设对鸟类的繁殖和觅食等生存活动的影响较小。</w:t>
      </w:r>
    </w:p>
    <w:p w14:paraId="178C9077">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763" w:name="_Toc17324"/>
      <w:bookmarkStart w:id="764" w:name="_Toc19764"/>
      <w:bookmarkStart w:id="765" w:name="_Toc18821"/>
      <w:bookmarkStart w:id="766" w:name="_Toc20651"/>
      <w:bookmarkStart w:id="767" w:name="_Toc3320"/>
      <w:bookmarkStart w:id="768" w:name="_Toc15308"/>
      <w:bookmarkStart w:id="769" w:name="_Toc107514184"/>
      <w:r>
        <w:rPr>
          <w:rFonts w:hint="default" w:ascii="Times New Roman" w:hAnsi="Times New Roman" w:eastAsia="宋体" w:cs="Times New Roman"/>
          <w:sz w:val="24"/>
          <w:szCs w:val="24"/>
          <w:lang w:val="en-US" w:eastAsia="zh-CN"/>
        </w:rPr>
        <w:t>4.4.4对哺乳类影响</w:t>
      </w:r>
      <w:bookmarkEnd w:id="763"/>
      <w:bookmarkEnd w:id="764"/>
      <w:bookmarkEnd w:id="765"/>
      <w:bookmarkEnd w:id="766"/>
      <w:bookmarkEnd w:id="767"/>
      <w:bookmarkEnd w:id="768"/>
      <w:bookmarkEnd w:id="769"/>
    </w:p>
    <w:p w14:paraId="226C01F1">
      <w:pPr>
        <w:pStyle w:val="9"/>
        <w:adjustRightInd w:val="0"/>
        <w:snapToGrid w:val="0"/>
        <w:spacing w:after="0" w:line="360" w:lineRule="auto"/>
        <w:ind w:firstLine="480" w:firstLineChars="200"/>
        <w:rPr>
          <w:rFonts w:hint="default" w:ascii="Times New Roman" w:hAnsi="Times New Roman" w:eastAsia="宋体" w:cs="Times New Roman"/>
          <w:sz w:val="24"/>
          <w:szCs w:val="21"/>
          <w:highlight w:val="none"/>
          <w:lang w:val="en-US" w:eastAsia="zh-CN"/>
        </w:rPr>
      </w:pPr>
      <w:r>
        <w:rPr>
          <w:rFonts w:hint="default" w:ascii="Times New Roman" w:hAnsi="Times New Roman" w:eastAsia="宋体" w:cs="Times New Roman"/>
          <w:sz w:val="24"/>
          <w:szCs w:val="21"/>
          <w:highlight w:val="none"/>
          <w:lang w:val="en-US" w:eastAsia="zh-CN"/>
        </w:rPr>
        <w:t>评价区内的哺乳类有半地下生活型、地面生活型、树栖型和岩洞栖息型4种，其中半地下生活型的种类最多，它们一般体型较小，主要在地面活动觅食，栖息、避敌于洞穴中，有的也在地下寻找食物，包括褐家鼠等物种。它们在评价范围内分布广泛，褐家鼠等少数物种与人类关系密切，集中在城镇居民点、农田附近活动。除半地下生活型中的一些鼠类喜欢在人类活动范围的村落和菜地活动外，其余兽类多在人类干扰少的林地活动。</w:t>
      </w:r>
    </w:p>
    <w:p w14:paraId="6A2B1652">
      <w:pPr>
        <w:pStyle w:val="9"/>
        <w:adjustRightInd w:val="0"/>
        <w:snapToGrid w:val="0"/>
        <w:spacing w:after="0" w:line="360" w:lineRule="auto"/>
        <w:ind w:firstLine="480" w:firstLineChars="200"/>
        <w:rPr>
          <w:rFonts w:hint="default" w:ascii="Times New Roman" w:hAnsi="Times New Roman" w:eastAsia="宋体" w:cs="Times New Roman"/>
          <w:sz w:val="24"/>
          <w:szCs w:val="21"/>
          <w:highlight w:val="none"/>
          <w:lang w:val="en-US" w:eastAsia="zh-CN"/>
        </w:rPr>
      </w:pPr>
      <w:r>
        <w:rPr>
          <w:rFonts w:hint="default" w:ascii="Times New Roman" w:hAnsi="Times New Roman" w:eastAsia="宋体" w:cs="Times New Roman"/>
          <w:sz w:val="24"/>
          <w:szCs w:val="21"/>
          <w:highlight w:val="none"/>
          <w:lang w:val="en-US" w:eastAsia="zh-CN"/>
        </w:rPr>
        <w:t>项目施工中会占用一定数量的农村宅基地，这将对一些伴人活动的鼠类影响较大，它们会迁移到附近</w:t>
      </w:r>
      <w:r>
        <w:rPr>
          <w:rFonts w:hint="eastAsia" w:ascii="Times New Roman" w:hAnsi="Times New Roman" w:eastAsia="宋体" w:cs="Times New Roman"/>
          <w:sz w:val="24"/>
          <w:szCs w:val="21"/>
          <w:highlight w:val="none"/>
          <w:lang w:val="en-US" w:eastAsia="zh-CN"/>
        </w:rPr>
        <w:t>的其他地方</w:t>
      </w:r>
      <w:r>
        <w:rPr>
          <w:rFonts w:hint="default" w:ascii="Times New Roman" w:hAnsi="Times New Roman" w:eastAsia="宋体" w:cs="Times New Roman"/>
          <w:sz w:val="24"/>
          <w:szCs w:val="21"/>
          <w:highlight w:val="none"/>
          <w:lang w:val="en-US" w:eastAsia="zh-CN"/>
        </w:rPr>
        <w:t>，使那里的种群密度增大。此外，项目施工人员的到来和活动也会吸引此类鼠类活动，特别是那些作为自然疫源性疾病传播源的鼠类，有可能对当地居民和施工人员的健康构成威胁，增加自然疫源病的传播。</w:t>
      </w:r>
    </w:p>
    <w:p w14:paraId="65E22B89">
      <w:pPr>
        <w:pStyle w:val="9"/>
        <w:adjustRightInd w:val="0"/>
        <w:snapToGrid w:val="0"/>
        <w:spacing w:after="0" w:line="360" w:lineRule="auto"/>
        <w:ind w:firstLine="480" w:firstLineChars="200"/>
        <w:rPr>
          <w:rFonts w:hint="default" w:ascii="Times New Roman" w:hAnsi="Times New Roman" w:eastAsia="宋体" w:cs="Times New Roman"/>
          <w:sz w:val="24"/>
          <w:szCs w:val="21"/>
          <w:highlight w:val="none"/>
          <w:lang w:val="en-US" w:eastAsia="zh-CN"/>
        </w:rPr>
      </w:pPr>
      <w:r>
        <w:rPr>
          <w:rFonts w:hint="default" w:ascii="Times New Roman" w:hAnsi="Times New Roman" w:eastAsia="宋体" w:cs="Times New Roman"/>
          <w:sz w:val="24"/>
          <w:szCs w:val="21"/>
          <w:highlight w:val="none"/>
          <w:lang w:val="en-US" w:eastAsia="zh-CN"/>
        </w:rPr>
        <w:t>项目施工仅占用一定的农田生境，不会造成林地哺乳类觅食活动生境的缩减，且根据调查和研究，项目评价区域的哺乳类均为活动能力较强、食性较广的物种，加之在拟建项目周边有许多相同或相似的替代生境，动物很容易找到新的栖息场所。由于项目施工范围小，工程建设对野生动物影响的范围不大且影响时间较短，因此项目建设对哺乳类不会造成大的影响。</w:t>
      </w:r>
    </w:p>
    <w:p w14:paraId="716A212C">
      <w:pPr>
        <w:pStyle w:val="9"/>
        <w:adjustRightInd w:val="0"/>
        <w:snapToGrid w:val="0"/>
        <w:spacing w:after="0" w:line="360" w:lineRule="auto"/>
        <w:ind w:firstLine="480" w:firstLineChars="200"/>
        <w:rPr>
          <w:rFonts w:hint="default" w:ascii="Times New Roman" w:hAnsi="Times New Roman" w:eastAsia="宋体" w:cs="Times New Roman"/>
          <w:sz w:val="24"/>
          <w:szCs w:val="21"/>
          <w:highlight w:val="none"/>
          <w:lang w:val="en-US" w:eastAsia="zh-CN"/>
        </w:rPr>
      </w:pPr>
      <w:r>
        <w:rPr>
          <w:rFonts w:hint="default" w:ascii="Times New Roman" w:hAnsi="Times New Roman" w:eastAsia="宋体" w:cs="Times New Roman"/>
          <w:sz w:val="24"/>
          <w:szCs w:val="21"/>
          <w:highlight w:val="none"/>
          <w:lang w:val="en-US" w:eastAsia="zh-CN"/>
        </w:rPr>
        <w:t>此外，项目施工活动带来的人为活动增多、施工噪声、废水、废气排放等也将对项目评价区内的兽类带来间接的影响，但这些影响</w:t>
      </w:r>
      <w:r>
        <w:rPr>
          <w:rFonts w:hint="eastAsia" w:ascii="Times New Roman" w:hAnsi="Times New Roman" w:eastAsia="宋体" w:cs="Times New Roman"/>
          <w:sz w:val="24"/>
          <w:szCs w:val="21"/>
          <w:highlight w:val="none"/>
          <w:lang w:val="en-US" w:eastAsia="zh-CN"/>
        </w:rPr>
        <w:t>基本</w:t>
      </w:r>
      <w:r>
        <w:rPr>
          <w:rFonts w:hint="default" w:ascii="Times New Roman" w:hAnsi="Times New Roman" w:eastAsia="宋体" w:cs="Times New Roman"/>
          <w:sz w:val="24"/>
          <w:szCs w:val="21"/>
          <w:highlight w:val="none"/>
          <w:lang w:val="en-US" w:eastAsia="zh-CN"/>
        </w:rPr>
        <w:t>是短期的和可消除的，适当的保护措施会使项目建设对野生动物的影响降到最低。</w:t>
      </w:r>
    </w:p>
    <w:p w14:paraId="21184EAA">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770" w:name="_Toc31758"/>
      <w:bookmarkStart w:id="771" w:name="_Toc31251"/>
      <w:bookmarkStart w:id="772" w:name="_Toc16349"/>
      <w:bookmarkStart w:id="773" w:name="_Toc30575"/>
      <w:bookmarkStart w:id="774" w:name="_Toc9745"/>
      <w:r>
        <w:rPr>
          <w:rFonts w:hint="default" w:ascii="Times New Roman" w:hAnsi="Times New Roman" w:eastAsia="宋体" w:cs="Times New Roman"/>
          <w:sz w:val="24"/>
          <w:szCs w:val="24"/>
          <w:lang w:val="en-US" w:eastAsia="zh-CN"/>
        </w:rPr>
        <w:t>4.4.5对鱼类的影响</w:t>
      </w:r>
      <w:bookmarkEnd w:id="770"/>
      <w:bookmarkEnd w:id="771"/>
      <w:bookmarkEnd w:id="772"/>
      <w:bookmarkEnd w:id="773"/>
      <w:bookmarkEnd w:id="774"/>
    </w:p>
    <w:p w14:paraId="210E076A">
      <w:pPr>
        <w:pStyle w:val="9"/>
        <w:adjustRightInd w:val="0"/>
        <w:snapToGrid w:val="0"/>
        <w:spacing w:after="0" w:line="360" w:lineRule="auto"/>
        <w:ind w:firstLine="480" w:firstLineChars="200"/>
        <w:rPr>
          <w:rFonts w:hint="default" w:ascii="Times New Roman" w:hAnsi="Times New Roman" w:eastAsia="宋体" w:cs="Times New Roman"/>
          <w:sz w:val="24"/>
          <w:szCs w:val="21"/>
          <w:highlight w:val="none"/>
          <w:lang w:val="en-US" w:eastAsia="zh-CN"/>
        </w:rPr>
      </w:pPr>
      <w:r>
        <w:rPr>
          <w:rFonts w:hint="default" w:ascii="Times New Roman" w:hAnsi="Times New Roman" w:eastAsia="宋体" w:cs="Times New Roman"/>
          <w:sz w:val="24"/>
          <w:szCs w:val="21"/>
          <w:highlight w:val="none"/>
          <w:lang w:val="en-US" w:eastAsia="zh-CN"/>
        </w:rPr>
        <w:t>项目区域内无特殊水生保护区域，水系中生存的鱼类多为普通鱼类。项目施工可能导致河道水体中悬浮颗粒物质增加，小范围内的鱼类生境受到干扰，但是由于项目施工期较短且强度不大，</w:t>
      </w:r>
      <w:r>
        <w:rPr>
          <w:rFonts w:hint="eastAsia" w:ascii="Times New Roman" w:hAnsi="Times New Roman" w:eastAsia="宋体" w:cs="Times New Roman"/>
          <w:sz w:val="24"/>
          <w:szCs w:val="21"/>
          <w:highlight w:val="none"/>
          <w:lang w:val="en-US" w:eastAsia="zh-CN"/>
        </w:rPr>
        <w:t>因此对</w:t>
      </w:r>
      <w:r>
        <w:rPr>
          <w:rFonts w:hint="default" w:ascii="Times New Roman" w:hAnsi="Times New Roman" w:eastAsia="宋体" w:cs="Times New Roman"/>
          <w:sz w:val="24"/>
          <w:szCs w:val="21"/>
          <w:highlight w:val="none"/>
          <w:lang w:val="en-US" w:eastAsia="zh-CN"/>
        </w:rPr>
        <w:t>周边水域中的鱼类影响较小。</w:t>
      </w:r>
    </w:p>
    <w:p w14:paraId="26D25FC0">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775" w:name="_Toc17269"/>
      <w:bookmarkStart w:id="776" w:name="_Toc15937"/>
      <w:bookmarkStart w:id="777" w:name="_Toc10725"/>
      <w:bookmarkStart w:id="778" w:name="_Toc6047"/>
      <w:bookmarkStart w:id="779" w:name="_Toc7657"/>
      <w:bookmarkStart w:id="780" w:name="_Toc19618"/>
      <w:bookmarkStart w:id="781" w:name="_Toc21688"/>
      <w:r>
        <w:rPr>
          <w:rFonts w:hint="default" w:ascii="Times New Roman" w:hAnsi="Times New Roman" w:eastAsia="宋体" w:cs="Times New Roman"/>
          <w:sz w:val="28"/>
          <w:szCs w:val="28"/>
          <w:lang w:val="en-US" w:eastAsia="zh-CN"/>
        </w:rPr>
        <w:t>4.5</w:t>
      </w:r>
      <w:bookmarkEnd w:id="775"/>
      <w:bookmarkEnd w:id="776"/>
      <w:bookmarkEnd w:id="777"/>
      <w:bookmarkEnd w:id="778"/>
      <w:bookmarkStart w:id="782" w:name="_Toc3963"/>
      <w:bookmarkStart w:id="783" w:name="_Toc26352"/>
      <w:bookmarkStart w:id="784" w:name="_Toc26750"/>
      <w:r>
        <w:rPr>
          <w:rFonts w:hint="default" w:ascii="Times New Roman" w:hAnsi="Times New Roman" w:eastAsia="宋体" w:cs="Times New Roman"/>
          <w:sz w:val="28"/>
          <w:szCs w:val="28"/>
          <w:lang w:val="en-US" w:eastAsia="zh-CN"/>
        </w:rPr>
        <w:t>保护区主要保护对象影响预测</w:t>
      </w:r>
      <w:bookmarkEnd w:id="779"/>
      <w:bookmarkEnd w:id="780"/>
      <w:bookmarkEnd w:id="781"/>
      <w:bookmarkEnd w:id="782"/>
      <w:bookmarkEnd w:id="783"/>
      <w:bookmarkEnd w:id="784"/>
    </w:p>
    <w:p w14:paraId="79B51728">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经现场调查，</w:t>
      </w:r>
      <w:r>
        <w:rPr>
          <w:rFonts w:hint="eastAsia" w:ascii="Times New Roman" w:hAnsi="Times New Roman" w:eastAsia="宋体" w:cs="Times New Roman"/>
          <w:sz w:val="24"/>
          <w:szCs w:val="21"/>
          <w:lang w:val="en-US" w:eastAsia="zh-CN"/>
        </w:rPr>
        <w:t>项目</w:t>
      </w:r>
      <w:r>
        <w:rPr>
          <w:rFonts w:hint="default" w:ascii="Times New Roman" w:hAnsi="Times New Roman" w:eastAsia="宋体" w:cs="Times New Roman"/>
          <w:sz w:val="24"/>
          <w:szCs w:val="21"/>
          <w:lang w:val="en-US" w:eastAsia="zh-CN"/>
        </w:rPr>
        <w:t>评价范围</w:t>
      </w:r>
      <w:r>
        <w:rPr>
          <w:rFonts w:hint="eastAsia" w:ascii="Times New Roman" w:hAnsi="Times New Roman" w:eastAsia="宋体" w:cs="Times New Roman"/>
          <w:sz w:val="24"/>
          <w:szCs w:val="21"/>
          <w:lang w:val="en-US" w:eastAsia="zh-CN"/>
        </w:rPr>
        <w:t>内</w:t>
      </w:r>
      <w:r>
        <w:rPr>
          <w:rFonts w:hint="default" w:ascii="Times New Roman" w:hAnsi="Times New Roman" w:eastAsia="宋体" w:cs="Times New Roman"/>
          <w:sz w:val="24"/>
          <w:szCs w:val="21"/>
          <w:lang w:val="en-US" w:eastAsia="zh-CN"/>
        </w:rPr>
        <w:t>未发现国家</w:t>
      </w:r>
      <w:r>
        <w:rPr>
          <w:rFonts w:hint="default" w:ascii="Times New Roman" w:hAnsi="Times New Roman" w:eastAsia="宋体" w:cs="Times New Roman"/>
          <w:sz w:val="24"/>
          <w:szCs w:val="21"/>
          <w:highlight w:val="none"/>
          <w:lang w:val="en-US" w:eastAsia="zh-CN"/>
        </w:rPr>
        <w:t>重点保护植物</w:t>
      </w:r>
      <w:r>
        <w:rPr>
          <w:rFonts w:hint="eastAsia" w:ascii="Times New Roman" w:hAnsi="Times New Roman" w:eastAsia="宋体" w:cs="Times New Roman"/>
          <w:sz w:val="24"/>
          <w:szCs w:val="21"/>
          <w:highlight w:val="none"/>
          <w:lang w:val="en-US" w:eastAsia="zh-CN"/>
        </w:rPr>
        <w:t>/动物</w:t>
      </w:r>
      <w:r>
        <w:rPr>
          <w:rFonts w:hint="default" w:ascii="Times New Roman" w:hAnsi="Times New Roman" w:eastAsia="宋体" w:cs="Times New Roman"/>
          <w:sz w:val="24"/>
          <w:szCs w:val="21"/>
          <w:lang w:val="en-US" w:eastAsia="zh-CN"/>
        </w:rPr>
        <w:t>，项目评价区主要</w:t>
      </w:r>
      <w:r>
        <w:rPr>
          <w:rFonts w:hint="eastAsia" w:ascii="Times New Roman" w:hAnsi="Times New Roman" w:eastAsia="宋体" w:cs="Times New Roman"/>
          <w:sz w:val="24"/>
          <w:szCs w:val="21"/>
          <w:lang w:val="en-US" w:eastAsia="zh-CN"/>
        </w:rPr>
        <w:t>植物</w:t>
      </w:r>
      <w:r>
        <w:rPr>
          <w:rFonts w:hint="default" w:ascii="Times New Roman" w:hAnsi="Times New Roman" w:eastAsia="宋体" w:cs="Times New Roman"/>
          <w:sz w:val="24"/>
          <w:szCs w:val="21"/>
          <w:highlight w:val="none"/>
          <w:lang w:val="en-US" w:eastAsia="zh-CN"/>
        </w:rPr>
        <w:t>为常见物种</w:t>
      </w:r>
      <w:r>
        <w:rPr>
          <w:rFonts w:hint="eastAsia" w:ascii="Times New Roman" w:hAnsi="Times New Roman" w:eastAsia="宋体" w:cs="Times New Roman"/>
          <w:sz w:val="24"/>
          <w:szCs w:val="21"/>
          <w:highlight w:val="none"/>
          <w:lang w:val="en-US" w:eastAsia="zh-CN"/>
        </w:rPr>
        <w:t>、</w:t>
      </w:r>
      <w:r>
        <w:rPr>
          <w:rFonts w:hint="default" w:ascii="Times New Roman" w:hAnsi="Times New Roman" w:eastAsia="宋体" w:cs="Times New Roman"/>
          <w:sz w:val="24"/>
          <w:szCs w:val="21"/>
          <w:lang w:val="en-US" w:eastAsia="zh-CN"/>
        </w:rPr>
        <w:t>主要动物为常见鸟类和爬行动物。本项目道路改建在原老路基础上进行，项目区原本受人工干扰。本项目在采取合理施工布置、规范施工、禁止捕猎、及时绿化生态恢复后，通过合理的保护措施和补偿措施，项目建设对区域</w:t>
      </w:r>
      <w:r>
        <w:rPr>
          <w:rFonts w:hint="default" w:ascii="Times New Roman" w:hAnsi="Times New Roman" w:eastAsia="宋体" w:cs="Times New Roman"/>
          <w:sz w:val="24"/>
          <w:szCs w:val="21"/>
          <w:highlight w:val="none"/>
          <w:lang w:val="en-US" w:eastAsia="zh-CN"/>
        </w:rPr>
        <w:t>植物</w:t>
      </w:r>
      <w:r>
        <w:rPr>
          <w:rFonts w:hint="eastAsia" w:ascii="Times New Roman" w:hAnsi="Times New Roman" w:eastAsia="宋体" w:cs="Times New Roman"/>
          <w:sz w:val="24"/>
          <w:szCs w:val="21"/>
          <w:highlight w:val="none"/>
          <w:lang w:val="en-US" w:eastAsia="zh-CN"/>
        </w:rPr>
        <w:t>和动物</w:t>
      </w:r>
      <w:r>
        <w:rPr>
          <w:rFonts w:hint="default" w:ascii="Times New Roman" w:hAnsi="Times New Roman" w:eastAsia="宋体" w:cs="Times New Roman"/>
          <w:sz w:val="24"/>
          <w:szCs w:val="21"/>
          <w:lang w:val="en-US" w:eastAsia="zh-CN"/>
        </w:rPr>
        <w:t>影响不大。</w:t>
      </w:r>
    </w:p>
    <w:p w14:paraId="2B61EA78">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785" w:name="_Toc20497"/>
      <w:bookmarkStart w:id="786" w:name="_Toc23841"/>
      <w:bookmarkStart w:id="787" w:name="_Toc29955"/>
      <w:r>
        <w:rPr>
          <w:rFonts w:hint="eastAsia" w:ascii="Times New Roman" w:hAnsi="Times New Roman" w:eastAsia="宋体" w:cs="Times New Roman"/>
          <w:sz w:val="28"/>
          <w:szCs w:val="28"/>
          <w:lang w:val="en-US" w:eastAsia="zh-CN"/>
        </w:rPr>
        <w:t>4.6运营期生态影响分析</w:t>
      </w:r>
      <w:bookmarkEnd w:id="785"/>
      <w:bookmarkEnd w:id="786"/>
      <w:bookmarkEnd w:id="787"/>
    </w:p>
    <w:p w14:paraId="5D8D4C07">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eastAsia" w:ascii="Times New Roman" w:hAnsi="Times New Roman" w:eastAsia="宋体" w:cs="Times New Roman"/>
          <w:sz w:val="24"/>
          <w:szCs w:val="24"/>
          <w:lang w:val="en-US" w:eastAsia="zh-CN"/>
        </w:rPr>
      </w:pPr>
      <w:bookmarkStart w:id="788" w:name="_Toc30112"/>
      <w:bookmarkStart w:id="789" w:name="_Toc286"/>
      <w:r>
        <w:rPr>
          <w:rFonts w:hint="default" w:ascii="Times New Roman" w:hAnsi="Times New Roman" w:eastAsia="宋体" w:cs="Times New Roman"/>
          <w:sz w:val="24"/>
          <w:szCs w:val="24"/>
          <w:lang w:val="en-US" w:eastAsia="zh-CN"/>
        </w:rPr>
        <w:t>4.</w:t>
      </w:r>
      <w:r>
        <w:rPr>
          <w:rFonts w:hint="eastAsia"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val="en-US" w:eastAsia="zh-CN"/>
        </w:rPr>
        <w:t>运营期对植物资源影响分析</w:t>
      </w:r>
      <w:bookmarkEnd w:id="788"/>
      <w:bookmarkEnd w:id="789"/>
    </w:p>
    <w:p w14:paraId="46CE1B50">
      <w:pPr>
        <w:pStyle w:val="9"/>
        <w:adjustRightInd w:val="0"/>
        <w:snapToGrid w:val="0"/>
        <w:spacing w:after="0" w:line="360" w:lineRule="auto"/>
        <w:ind w:firstLine="480" w:firstLineChars="200"/>
        <w:rPr>
          <w:rFonts w:hint="eastAsia" w:ascii="Times New Roman" w:hAnsi="Times New Roman" w:eastAsia="宋体" w:cs="Times New Roman"/>
          <w:sz w:val="24"/>
          <w:szCs w:val="21"/>
          <w:highlight w:val="none"/>
          <w:lang w:val="en-US" w:eastAsia="zh-CN"/>
        </w:rPr>
      </w:pPr>
      <w:r>
        <w:rPr>
          <w:rFonts w:hint="eastAsia" w:ascii="Times New Roman" w:hAnsi="Times New Roman" w:eastAsia="宋体" w:cs="Times New Roman"/>
          <w:sz w:val="24"/>
          <w:szCs w:val="21"/>
          <w:highlight w:val="none"/>
          <w:lang w:val="en-US" w:eastAsia="zh-CN"/>
        </w:rPr>
        <w:t>（</w:t>
      </w:r>
      <w:r>
        <w:rPr>
          <w:rFonts w:hint="default" w:ascii="Times New Roman" w:hAnsi="Times New Roman" w:eastAsia="宋体" w:cs="Times New Roman"/>
          <w:sz w:val="24"/>
          <w:szCs w:val="21"/>
          <w:highlight w:val="none"/>
          <w:lang w:val="en-US" w:eastAsia="zh-CN"/>
        </w:rPr>
        <w:t>1</w:t>
      </w:r>
      <w:r>
        <w:rPr>
          <w:rFonts w:hint="eastAsia" w:ascii="Times New Roman" w:hAnsi="Times New Roman" w:eastAsia="宋体" w:cs="Times New Roman"/>
          <w:sz w:val="24"/>
          <w:szCs w:val="21"/>
          <w:highlight w:val="none"/>
          <w:lang w:val="en-US" w:eastAsia="zh-CN"/>
        </w:rPr>
        <w:t>）边缘效应的影响</w:t>
      </w:r>
    </w:p>
    <w:p w14:paraId="3D55EDF8">
      <w:pPr>
        <w:pStyle w:val="9"/>
        <w:adjustRightInd w:val="0"/>
        <w:snapToGrid w:val="0"/>
        <w:spacing w:after="0" w:line="360" w:lineRule="auto"/>
        <w:ind w:firstLine="480" w:firstLineChars="200"/>
        <w:rPr>
          <w:rFonts w:hint="eastAsia" w:ascii="Times New Roman" w:hAnsi="Times New Roman" w:eastAsia="宋体" w:cs="Times New Roman"/>
          <w:sz w:val="24"/>
          <w:szCs w:val="21"/>
          <w:highlight w:val="none"/>
          <w:lang w:val="en-US" w:eastAsia="zh-CN"/>
        </w:rPr>
      </w:pPr>
      <w:r>
        <w:rPr>
          <w:rFonts w:hint="eastAsia" w:ascii="Times New Roman" w:hAnsi="Times New Roman" w:eastAsia="宋体" w:cs="Times New Roman"/>
          <w:sz w:val="24"/>
          <w:szCs w:val="21"/>
          <w:highlight w:val="none"/>
          <w:lang w:val="en-US" w:eastAsia="zh-CN"/>
        </w:rPr>
        <w:t>公路建成后，永久占地内的林地植被将完全被破坏，取而代之的是路面及其辅助设施，土地利用类型转变为建设用地类型。由于边缘效益，在公路隔离栅外大约5</w:t>
      </w:r>
      <w:r>
        <w:rPr>
          <w:rFonts w:hint="default" w:ascii="Times New Roman" w:hAnsi="Times New Roman" w:eastAsia="宋体" w:cs="Times New Roman"/>
          <w:sz w:val="24"/>
          <w:szCs w:val="21"/>
          <w:highlight w:val="none"/>
          <w:lang w:val="en-US" w:eastAsia="zh-CN"/>
        </w:rPr>
        <w:t>0m</w:t>
      </w:r>
      <w:r>
        <w:rPr>
          <w:rFonts w:hint="eastAsia" w:ascii="Times New Roman" w:hAnsi="Times New Roman" w:eastAsia="宋体" w:cs="Times New Roman"/>
          <w:sz w:val="24"/>
          <w:szCs w:val="21"/>
          <w:highlight w:val="none"/>
          <w:lang w:val="en-US" w:eastAsia="zh-CN"/>
        </w:rPr>
        <w:t>范围的林内，群落物种组成和结构将产生一定的变化，林下耐阴的常绿灌木以及草本将逐渐被阳生或半阳生植物所替代，而林缘外侧的空地将会被强阳性的灌木和杂草占据。</w:t>
      </w:r>
    </w:p>
    <w:p w14:paraId="706C528C">
      <w:pPr>
        <w:pStyle w:val="9"/>
        <w:adjustRightInd w:val="0"/>
        <w:snapToGrid w:val="0"/>
        <w:spacing w:after="0" w:line="360" w:lineRule="auto"/>
        <w:ind w:firstLine="480" w:firstLineChars="200"/>
        <w:rPr>
          <w:rFonts w:hint="eastAsia" w:ascii="Times New Roman" w:hAnsi="Times New Roman" w:eastAsia="宋体" w:cs="Times New Roman"/>
          <w:sz w:val="24"/>
          <w:szCs w:val="21"/>
          <w:highlight w:val="none"/>
          <w:lang w:val="en-US" w:eastAsia="zh-CN"/>
        </w:rPr>
      </w:pPr>
      <w:r>
        <w:rPr>
          <w:rFonts w:hint="eastAsia" w:ascii="Times New Roman" w:hAnsi="Times New Roman" w:eastAsia="宋体" w:cs="Times New Roman"/>
          <w:sz w:val="24"/>
          <w:szCs w:val="21"/>
          <w:highlight w:val="none"/>
          <w:lang w:val="en-US" w:eastAsia="zh-CN"/>
        </w:rPr>
        <w:t>（</w:t>
      </w:r>
      <w:r>
        <w:rPr>
          <w:rFonts w:hint="default" w:ascii="Times New Roman" w:hAnsi="Times New Roman" w:eastAsia="宋体" w:cs="Times New Roman"/>
          <w:sz w:val="24"/>
          <w:szCs w:val="21"/>
          <w:highlight w:val="none"/>
          <w:lang w:val="en-US" w:eastAsia="zh-CN"/>
        </w:rPr>
        <w:t>2</w:t>
      </w:r>
      <w:r>
        <w:rPr>
          <w:rFonts w:hint="eastAsia" w:ascii="Times New Roman" w:hAnsi="Times New Roman" w:eastAsia="宋体" w:cs="Times New Roman"/>
          <w:sz w:val="24"/>
          <w:szCs w:val="21"/>
          <w:highlight w:val="none"/>
          <w:lang w:val="en-US" w:eastAsia="zh-CN"/>
        </w:rPr>
        <w:t>）外来物种对当地生态系统的影响</w:t>
      </w:r>
    </w:p>
    <w:p w14:paraId="441DC9CB">
      <w:pPr>
        <w:pStyle w:val="9"/>
        <w:adjustRightInd w:val="0"/>
        <w:snapToGrid w:val="0"/>
        <w:spacing w:after="0" w:line="360" w:lineRule="auto"/>
        <w:ind w:firstLine="480" w:firstLineChars="200"/>
        <w:rPr>
          <w:rFonts w:hint="eastAsia" w:ascii="Times New Roman" w:hAnsi="Times New Roman" w:eastAsia="宋体" w:cs="Times New Roman"/>
          <w:sz w:val="24"/>
          <w:szCs w:val="21"/>
          <w:highlight w:val="none"/>
          <w:lang w:val="en-US" w:eastAsia="zh-CN"/>
        </w:rPr>
      </w:pPr>
      <w:r>
        <w:rPr>
          <w:rFonts w:hint="eastAsia" w:ascii="Times New Roman" w:hAnsi="Times New Roman" w:eastAsia="宋体" w:cs="Times New Roman"/>
          <w:sz w:val="24"/>
          <w:szCs w:val="21"/>
          <w:highlight w:val="none"/>
          <w:lang w:val="en-US" w:eastAsia="zh-CN"/>
        </w:rPr>
        <w:t>由于车辆的反复进入，可能会无意中将外来物种带进施工区域。由于部分外来物种在当地缺少天敌，能更好地适应和利用被干扰的环境，可能导致当地类似生态位的物种种类和数量的减少，尤其是当外来入侵物种大面积占用可利用土地，造成当地本土植被的衰退，其不良影响主要表现在项目营运期。</w:t>
      </w:r>
    </w:p>
    <w:p w14:paraId="2747B9C6">
      <w:pPr>
        <w:pStyle w:val="9"/>
        <w:adjustRightInd w:val="0"/>
        <w:snapToGrid w:val="0"/>
        <w:spacing w:after="0" w:line="360" w:lineRule="auto"/>
        <w:ind w:firstLine="480" w:firstLineChars="200"/>
        <w:rPr>
          <w:rFonts w:hint="eastAsia" w:ascii="Times New Roman" w:hAnsi="Times New Roman" w:eastAsia="宋体" w:cs="Times New Roman"/>
          <w:sz w:val="24"/>
          <w:szCs w:val="21"/>
          <w:highlight w:val="none"/>
          <w:lang w:val="en-US" w:eastAsia="zh-CN"/>
        </w:rPr>
      </w:pPr>
      <w:r>
        <w:rPr>
          <w:rFonts w:hint="eastAsia" w:ascii="Times New Roman" w:hAnsi="Times New Roman" w:eastAsia="宋体" w:cs="Times New Roman"/>
          <w:sz w:val="24"/>
          <w:szCs w:val="21"/>
          <w:highlight w:val="none"/>
          <w:lang w:val="en-US" w:eastAsia="zh-CN"/>
        </w:rPr>
        <w:t>项目建设形成的裸露地有可能成为外来物种的入侵近道，使其最先入侵并形成单优势种群，影响植物群落的自然演替，降低区域生物多样性。因此，在项目建设过程中要加强动植物检验检疫工作，防范和阻止外来物种的入侵。</w:t>
      </w:r>
    </w:p>
    <w:p w14:paraId="4D011EB1">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eastAsia" w:ascii="Times New Roman" w:hAnsi="Times New Roman" w:eastAsia="宋体" w:cs="Times New Roman"/>
          <w:sz w:val="24"/>
          <w:szCs w:val="24"/>
          <w:lang w:val="en-US" w:eastAsia="zh-CN"/>
        </w:rPr>
      </w:pPr>
      <w:bookmarkStart w:id="790" w:name="_Toc5511"/>
      <w:bookmarkStart w:id="791" w:name="_Toc7201"/>
      <w:r>
        <w:rPr>
          <w:rFonts w:hint="default" w:ascii="Times New Roman" w:hAnsi="Times New Roman" w:eastAsia="宋体" w:cs="Times New Roman"/>
          <w:sz w:val="24"/>
          <w:szCs w:val="24"/>
          <w:lang w:val="en-US" w:eastAsia="zh-CN"/>
        </w:rPr>
        <w:t>4.</w:t>
      </w:r>
      <w:r>
        <w:rPr>
          <w:rFonts w:hint="eastAsia"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lang w:val="en-US" w:eastAsia="zh-CN"/>
        </w:rPr>
        <w:t>.2</w:t>
      </w:r>
      <w:r>
        <w:rPr>
          <w:rFonts w:hint="eastAsia" w:ascii="Times New Roman" w:hAnsi="Times New Roman" w:eastAsia="宋体" w:cs="Times New Roman"/>
          <w:sz w:val="24"/>
          <w:szCs w:val="24"/>
          <w:lang w:val="en-US" w:eastAsia="zh-CN"/>
        </w:rPr>
        <w:t>运营期对野生动物影响分析</w:t>
      </w:r>
      <w:bookmarkEnd w:id="790"/>
      <w:bookmarkEnd w:id="791"/>
    </w:p>
    <w:p w14:paraId="4DF7A00D">
      <w:pPr>
        <w:pStyle w:val="9"/>
        <w:adjustRightInd w:val="0"/>
        <w:snapToGrid w:val="0"/>
        <w:spacing w:after="0" w:line="360" w:lineRule="auto"/>
        <w:ind w:firstLine="480" w:firstLineChars="200"/>
        <w:rPr>
          <w:rFonts w:hint="eastAsia" w:ascii="Times New Roman" w:hAnsi="Times New Roman" w:eastAsia="宋体" w:cs="Times New Roman"/>
          <w:sz w:val="24"/>
          <w:szCs w:val="21"/>
          <w:highlight w:val="none"/>
          <w:lang w:val="en-US" w:eastAsia="zh-CN"/>
        </w:rPr>
      </w:pPr>
      <w:r>
        <w:rPr>
          <w:rFonts w:hint="eastAsia" w:ascii="Times New Roman" w:hAnsi="Times New Roman" w:eastAsia="宋体" w:cs="Times New Roman"/>
          <w:sz w:val="24"/>
          <w:szCs w:val="21"/>
          <w:highlight w:val="none"/>
          <w:lang w:val="en-US" w:eastAsia="zh-CN"/>
        </w:rPr>
        <w:t>（</w:t>
      </w:r>
      <w:r>
        <w:rPr>
          <w:rFonts w:hint="default" w:ascii="Times New Roman" w:hAnsi="Times New Roman" w:eastAsia="宋体" w:cs="Times New Roman"/>
          <w:sz w:val="24"/>
          <w:szCs w:val="21"/>
          <w:highlight w:val="none"/>
          <w:lang w:val="en-US" w:eastAsia="zh-CN"/>
        </w:rPr>
        <w:t>1</w:t>
      </w:r>
      <w:r>
        <w:rPr>
          <w:rFonts w:hint="eastAsia" w:ascii="Times New Roman" w:hAnsi="Times New Roman" w:eastAsia="宋体" w:cs="Times New Roman"/>
          <w:sz w:val="24"/>
          <w:szCs w:val="21"/>
          <w:highlight w:val="none"/>
          <w:lang w:val="en-US" w:eastAsia="zh-CN"/>
        </w:rPr>
        <w:t>）动物生境丧失及生境片段化对动物的影响</w:t>
      </w:r>
    </w:p>
    <w:p w14:paraId="76C5F138">
      <w:pPr>
        <w:pStyle w:val="9"/>
        <w:adjustRightInd w:val="0"/>
        <w:snapToGrid w:val="0"/>
        <w:spacing w:after="0" w:line="360" w:lineRule="auto"/>
        <w:ind w:firstLine="480" w:firstLineChars="200"/>
        <w:rPr>
          <w:rFonts w:hint="eastAsia" w:ascii="Times New Roman" w:hAnsi="Times New Roman" w:eastAsia="宋体" w:cs="Times New Roman"/>
          <w:sz w:val="24"/>
          <w:szCs w:val="21"/>
          <w:highlight w:val="none"/>
          <w:lang w:val="en-US" w:eastAsia="zh-CN"/>
        </w:rPr>
      </w:pPr>
      <w:r>
        <w:rPr>
          <w:rFonts w:hint="eastAsia" w:ascii="Times New Roman" w:hAnsi="Times New Roman" w:eastAsia="宋体" w:cs="Times New Roman"/>
          <w:sz w:val="24"/>
          <w:szCs w:val="21"/>
          <w:highlight w:val="none"/>
          <w:lang w:val="en-US" w:eastAsia="zh-CN"/>
        </w:rPr>
        <w:t>公路的占地伴随着动物生境的丧失，野生动物被迫寻找新的生活环境，这样便会加剧种间竞争和区域环境压力，而且生境片段化对动物产生的影响是缓慢而严重的。野生动物的迁徙扩散受到限制后，依赖动物和昆虫传播种子的植物也不可避免地受到影响。</w:t>
      </w:r>
    </w:p>
    <w:p w14:paraId="3A3CFB3B">
      <w:pPr>
        <w:pStyle w:val="9"/>
        <w:adjustRightInd w:val="0"/>
        <w:snapToGrid w:val="0"/>
        <w:spacing w:after="0" w:line="360" w:lineRule="auto"/>
        <w:ind w:firstLine="480" w:firstLineChars="200"/>
        <w:rPr>
          <w:rFonts w:hint="eastAsia" w:ascii="Times New Roman" w:hAnsi="Times New Roman" w:eastAsia="宋体" w:cs="Times New Roman"/>
          <w:sz w:val="24"/>
          <w:szCs w:val="21"/>
          <w:highlight w:val="none"/>
          <w:lang w:val="en-US" w:eastAsia="zh-CN"/>
        </w:rPr>
      </w:pPr>
      <w:r>
        <w:rPr>
          <w:rFonts w:hint="eastAsia" w:ascii="Times New Roman" w:hAnsi="Times New Roman" w:eastAsia="宋体" w:cs="Times New Roman"/>
          <w:sz w:val="24"/>
          <w:szCs w:val="21"/>
          <w:highlight w:val="none"/>
          <w:lang w:val="en-US" w:eastAsia="zh-CN"/>
        </w:rPr>
        <w:t>由于生境的分割，野生动物被限制在狭窄的生活区域，如果寻找不到合适的食物资源，将会面临一定的生存危机。</w:t>
      </w:r>
    </w:p>
    <w:p w14:paraId="7809ED62">
      <w:pPr>
        <w:pStyle w:val="9"/>
        <w:adjustRightInd w:val="0"/>
        <w:snapToGrid w:val="0"/>
        <w:spacing w:after="0" w:line="360" w:lineRule="auto"/>
        <w:ind w:firstLine="480" w:firstLineChars="200"/>
        <w:rPr>
          <w:rFonts w:hint="eastAsia" w:ascii="Times New Roman" w:hAnsi="Times New Roman" w:eastAsia="宋体" w:cs="Times New Roman"/>
          <w:sz w:val="24"/>
          <w:szCs w:val="21"/>
          <w:highlight w:val="none"/>
          <w:lang w:val="en-US" w:eastAsia="zh-CN"/>
        </w:rPr>
      </w:pPr>
      <w:r>
        <w:rPr>
          <w:rFonts w:hint="eastAsia" w:ascii="Times New Roman" w:hAnsi="Times New Roman" w:eastAsia="宋体" w:cs="Times New Roman"/>
          <w:sz w:val="24"/>
          <w:szCs w:val="21"/>
          <w:highlight w:val="none"/>
          <w:lang w:val="en-US" w:eastAsia="zh-CN"/>
        </w:rPr>
        <w:t>对于爬行动物和小型兽类而言，由于原分布区的破坏以及项目的运营影响可能会迁徙出原有的生活区或活动区，如分布在低海拔区域的蛇类等爬行动物可能会向上迁移；而对于一些生活在低海拔灌丛、草丛中的鸡形目鸟类、食肉目兽类和各种鼠类等，由于具有一定的迁移能力和广泛的食物来源，其栖息环境的轻微破坏不会对它们的生存造成明显的威胁影响。</w:t>
      </w:r>
    </w:p>
    <w:p w14:paraId="4851A92D">
      <w:pPr>
        <w:pStyle w:val="9"/>
        <w:adjustRightInd w:val="0"/>
        <w:snapToGrid w:val="0"/>
        <w:spacing w:after="0" w:line="360" w:lineRule="auto"/>
        <w:ind w:firstLine="480" w:firstLineChars="200"/>
        <w:rPr>
          <w:rFonts w:hint="eastAsia" w:ascii="Times New Roman" w:hAnsi="Times New Roman" w:eastAsia="宋体" w:cs="Times New Roman"/>
          <w:sz w:val="24"/>
          <w:szCs w:val="21"/>
          <w:highlight w:val="none"/>
          <w:lang w:val="en-US" w:eastAsia="zh-CN"/>
        </w:rPr>
      </w:pPr>
      <w:r>
        <w:rPr>
          <w:rFonts w:hint="eastAsia" w:ascii="Times New Roman" w:hAnsi="Times New Roman" w:eastAsia="宋体" w:cs="Times New Roman"/>
          <w:sz w:val="24"/>
          <w:szCs w:val="21"/>
          <w:highlight w:val="none"/>
          <w:lang w:val="en-US" w:eastAsia="zh-CN"/>
        </w:rPr>
        <w:t>（</w:t>
      </w:r>
      <w:r>
        <w:rPr>
          <w:rFonts w:hint="default" w:ascii="Times New Roman" w:hAnsi="Times New Roman" w:eastAsia="宋体" w:cs="Times New Roman"/>
          <w:sz w:val="24"/>
          <w:szCs w:val="21"/>
          <w:highlight w:val="none"/>
          <w:lang w:val="en-US" w:eastAsia="zh-CN"/>
        </w:rPr>
        <w:t>2</w:t>
      </w:r>
      <w:r>
        <w:rPr>
          <w:rFonts w:hint="eastAsia" w:ascii="Times New Roman" w:hAnsi="Times New Roman" w:eastAsia="宋体" w:cs="Times New Roman"/>
          <w:sz w:val="24"/>
          <w:szCs w:val="21"/>
          <w:highlight w:val="none"/>
          <w:lang w:val="en-US" w:eastAsia="zh-CN"/>
        </w:rPr>
        <w:t>）阻隔效应影响分析</w:t>
      </w:r>
    </w:p>
    <w:p w14:paraId="383BA329">
      <w:pPr>
        <w:pStyle w:val="9"/>
        <w:adjustRightInd w:val="0"/>
        <w:snapToGrid w:val="0"/>
        <w:spacing w:after="0" w:line="360" w:lineRule="auto"/>
        <w:ind w:firstLine="480" w:firstLineChars="200"/>
        <w:rPr>
          <w:rFonts w:hint="eastAsia" w:ascii="Times New Roman" w:hAnsi="Times New Roman" w:eastAsia="宋体" w:cs="Times New Roman"/>
          <w:sz w:val="24"/>
          <w:szCs w:val="21"/>
          <w:highlight w:val="none"/>
          <w:lang w:val="en-US" w:eastAsia="zh-CN"/>
        </w:rPr>
      </w:pPr>
      <w:r>
        <w:rPr>
          <w:rFonts w:hint="eastAsia" w:ascii="Times New Roman" w:hAnsi="Times New Roman" w:eastAsia="宋体" w:cs="Times New Roman"/>
          <w:sz w:val="24"/>
          <w:szCs w:val="21"/>
          <w:highlight w:val="none"/>
          <w:lang w:val="en-US" w:eastAsia="zh-CN"/>
        </w:rPr>
        <w:t>公路的修建，会对区域动物的迁徙和种群交流活动带来一定的影响，加速了动物栖息地的破碎化，使得野生动物的活动范围受到限制，这对其觅食、配偶等活动的潜在影响较大，同时还有可能存在因交通原因导致穿行的动物死亡的情况。本项目修建的公路非全封闭式，加上车流量相对较少，阻隔效应带来的影响较小。</w:t>
      </w:r>
    </w:p>
    <w:p w14:paraId="2D01F40C">
      <w:pPr>
        <w:pStyle w:val="8"/>
        <w:rPr>
          <w:rFonts w:hint="default"/>
          <w:lang w:val="en-US" w:eastAsia="zh-CN"/>
        </w:rPr>
      </w:pPr>
    </w:p>
    <w:p w14:paraId="08FB8DBB">
      <w:pPr>
        <w:pStyle w:val="13"/>
        <w:rPr>
          <w:rFonts w:hint="default"/>
          <w:lang w:val="en-US" w:eastAsia="zh-CN"/>
        </w:rPr>
        <w:sectPr>
          <w:headerReference r:id="rId13"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A020A39">
      <w:pPr>
        <w:pStyle w:val="3"/>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jc w:val="center"/>
        <w:textAlignment w:val="auto"/>
        <w:outlineLvl w:val="0"/>
        <w:rPr>
          <w:rFonts w:hint="default" w:ascii="Times New Roman" w:hAnsi="Times New Roman" w:eastAsia="宋体" w:cs="Times New Roman"/>
          <w:sz w:val="32"/>
          <w:szCs w:val="32"/>
          <w:lang w:val="en-US" w:eastAsia="zh-CN"/>
        </w:rPr>
      </w:pPr>
      <w:bookmarkStart w:id="792" w:name="_Toc18931"/>
      <w:bookmarkStart w:id="793" w:name="_Toc25926"/>
      <w:bookmarkStart w:id="794" w:name="_Toc19977"/>
      <w:bookmarkStart w:id="795" w:name="_Toc28427"/>
      <w:bookmarkStart w:id="796" w:name="_Toc11982"/>
      <w:bookmarkStart w:id="797" w:name="_Toc28192"/>
      <w:r>
        <w:rPr>
          <w:rFonts w:hint="default" w:ascii="Times New Roman" w:hAnsi="Times New Roman" w:eastAsia="宋体" w:cs="Times New Roman"/>
          <w:sz w:val="32"/>
          <w:szCs w:val="32"/>
          <w:lang w:val="en-US" w:eastAsia="zh-CN"/>
        </w:rPr>
        <w:t>5  生态保护对策措施</w:t>
      </w:r>
      <w:bookmarkEnd w:id="792"/>
      <w:bookmarkEnd w:id="793"/>
      <w:bookmarkEnd w:id="794"/>
      <w:bookmarkEnd w:id="795"/>
      <w:bookmarkEnd w:id="796"/>
      <w:bookmarkEnd w:id="797"/>
    </w:p>
    <w:p w14:paraId="29EFB471">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根据本项目的生态影响特点，结合《环境影响评价技术导则 生态影响》（HJ19-2022）的相关要求和规定，提出本项目生态保护措施如下：</w:t>
      </w:r>
    </w:p>
    <w:p w14:paraId="5E1A5085">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798" w:name="_Toc29516"/>
      <w:bookmarkStart w:id="799" w:name="_Toc30673"/>
      <w:bookmarkStart w:id="800" w:name="_Toc8614"/>
      <w:bookmarkStart w:id="801" w:name="_Toc27575"/>
      <w:bookmarkStart w:id="802" w:name="_Toc11725"/>
      <w:bookmarkStart w:id="803" w:name="_Toc107514195"/>
      <w:bookmarkStart w:id="804" w:name="_Toc7031"/>
      <w:bookmarkStart w:id="805" w:name="_Toc15928"/>
      <w:bookmarkStart w:id="806" w:name="_Toc20770"/>
      <w:r>
        <w:rPr>
          <w:rFonts w:hint="default" w:ascii="Times New Roman" w:hAnsi="Times New Roman" w:eastAsia="宋体" w:cs="Times New Roman"/>
          <w:sz w:val="28"/>
          <w:szCs w:val="28"/>
          <w:lang w:val="en-US" w:eastAsia="zh-CN"/>
        </w:rPr>
        <w:t>5.1设计阶段生态保护措施</w:t>
      </w:r>
      <w:bookmarkEnd w:id="798"/>
      <w:bookmarkEnd w:id="799"/>
      <w:bookmarkEnd w:id="800"/>
      <w:bookmarkEnd w:id="801"/>
      <w:bookmarkEnd w:id="802"/>
      <w:bookmarkEnd w:id="803"/>
      <w:bookmarkEnd w:id="804"/>
      <w:bookmarkEnd w:id="805"/>
      <w:bookmarkEnd w:id="806"/>
    </w:p>
    <w:p w14:paraId="04CB3B2E">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工程设计应从前期工作开始就认真考虑环境保护问题，在各阶段主体工程设计的同时做好施工区附近的环境保护工程设计工作。工程结构选择结构合理，尽量减少对人民群众生活的影响；确定材料堆场应远离居民区等环境敏感地方，避免对人群健康的影响；能预制块件采用集中预制，以确保质量，加快施工速度，减少施工噪声并有效降低造价；绿化设计应注意选用适合安徽省六安市金寨县关庙乡当地气候特点的树种，在设计阶段应完成沿线可绿化范围内的绿化设计工作。</w:t>
      </w:r>
    </w:p>
    <w:p w14:paraId="73673569">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807" w:name="_Toc13244"/>
      <w:bookmarkStart w:id="808" w:name="_Toc18680"/>
      <w:bookmarkStart w:id="809" w:name="_Toc107514196"/>
      <w:bookmarkStart w:id="810" w:name="_Toc20533"/>
      <w:bookmarkStart w:id="811" w:name="_Toc15080"/>
      <w:bookmarkStart w:id="812" w:name="_Toc23816"/>
      <w:bookmarkStart w:id="813" w:name="_Toc9698"/>
      <w:bookmarkStart w:id="814" w:name="_Toc10986"/>
      <w:bookmarkStart w:id="815" w:name="_Toc20869"/>
      <w:r>
        <w:rPr>
          <w:rFonts w:hint="default" w:ascii="Times New Roman" w:hAnsi="Times New Roman" w:eastAsia="宋体" w:cs="Times New Roman"/>
          <w:sz w:val="28"/>
          <w:szCs w:val="28"/>
          <w:lang w:val="en-US" w:eastAsia="zh-CN"/>
        </w:rPr>
        <w:t>5.2施工期生态保护措施</w:t>
      </w:r>
      <w:bookmarkEnd w:id="807"/>
      <w:bookmarkEnd w:id="808"/>
      <w:bookmarkEnd w:id="809"/>
      <w:bookmarkEnd w:id="810"/>
      <w:bookmarkEnd w:id="811"/>
      <w:bookmarkEnd w:id="812"/>
      <w:bookmarkEnd w:id="813"/>
      <w:bookmarkEnd w:id="814"/>
      <w:bookmarkEnd w:id="815"/>
    </w:p>
    <w:p w14:paraId="2CB6F5EF">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1、空气污染防护措施</w:t>
      </w:r>
    </w:p>
    <w:p w14:paraId="25049C41">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对施工现场实行合理化管理，施工中还应注意减少表面裸土，开挖后及时回填、夯实。施工散料运输车辆采用</w:t>
      </w:r>
      <w:r>
        <w:rPr>
          <w:rFonts w:hint="eastAsia" w:ascii="Times New Roman" w:hAnsi="Times New Roman" w:eastAsia="宋体" w:cs="Times New Roman"/>
          <w:sz w:val="24"/>
          <w:szCs w:val="21"/>
          <w:lang w:val="en-US" w:eastAsia="zh-CN"/>
        </w:rPr>
        <w:t>加盖篷布</w:t>
      </w:r>
      <w:r>
        <w:rPr>
          <w:rFonts w:hint="default" w:ascii="Times New Roman" w:hAnsi="Times New Roman" w:eastAsia="宋体" w:cs="Times New Roman"/>
          <w:sz w:val="24"/>
          <w:szCs w:val="21"/>
          <w:lang w:val="en-US" w:eastAsia="zh-CN"/>
        </w:rPr>
        <w:t>和湿法相结合的方式，减少扬尘对大气的污染，物料堆放时</w:t>
      </w:r>
      <w:r>
        <w:rPr>
          <w:rFonts w:hint="eastAsia" w:ascii="Times New Roman" w:hAnsi="Times New Roman" w:eastAsia="宋体" w:cs="Times New Roman"/>
          <w:sz w:val="24"/>
          <w:szCs w:val="21"/>
          <w:lang w:val="en-US" w:eastAsia="zh-CN"/>
        </w:rPr>
        <w:t>加盖篷布</w:t>
      </w:r>
      <w:r>
        <w:rPr>
          <w:rFonts w:hint="default" w:ascii="Times New Roman" w:hAnsi="Times New Roman" w:eastAsia="宋体" w:cs="Times New Roman"/>
          <w:sz w:val="24"/>
          <w:szCs w:val="21"/>
          <w:lang w:val="en-US" w:eastAsia="zh-CN"/>
        </w:rPr>
        <w:t>。</w:t>
      </w:r>
    </w:p>
    <w:p w14:paraId="31B1FF21">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2、固体废物防护措施</w:t>
      </w:r>
    </w:p>
    <w:p w14:paraId="48318E50">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施工现场要及时进行清理，建筑垃圾要及时清运、加以利用。对生活垃圾进行专门收集，定期将之送往较近的垃圾场进行合理处置。弃渣要堆放</w:t>
      </w:r>
      <w:r>
        <w:rPr>
          <w:rFonts w:hint="eastAsia" w:ascii="Times New Roman" w:hAnsi="Times New Roman" w:eastAsia="宋体" w:cs="Times New Roman"/>
          <w:sz w:val="24"/>
          <w:szCs w:val="21"/>
          <w:lang w:val="en-US" w:eastAsia="zh-CN"/>
        </w:rPr>
        <w:t>至</w:t>
      </w:r>
      <w:r>
        <w:rPr>
          <w:rFonts w:hint="default" w:ascii="Times New Roman" w:hAnsi="Times New Roman" w:eastAsia="宋体" w:cs="Times New Roman"/>
          <w:sz w:val="24"/>
          <w:szCs w:val="21"/>
          <w:lang w:val="en-US" w:eastAsia="zh-CN"/>
        </w:rPr>
        <w:t>指定位置。施工开挖的土石方要分别堆置在指定的弃渣场和临时堆土场，夯实压紧，同时采取植被防护措施防</w:t>
      </w:r>
      <w:r>
        <w:rPr>
          <w:rFonts w:hint="eastAsia" w:ascii="Times New Roman" w:hAnsi="Times New Roman" w:eastAsia="宋体" w:cs="Times New Roman"/>
          <w:sz w:val="24"/>
          <w:szCs w:val="21"/>
          <w:lang w:val="en-US" w:eastAsia="zh-CN"/>
        </w:rPr>
        <w:t>止水</w:t>
      </w:r>
      <w:r>
        <w:rPr>
          <w:rFonts w:hint="default" w:ascii="Times New Roman" w:hAnsi="Times New Roman" w:eastAsia="宋体" w:cs="Times New Roman"/>
          <w:sz w:val="24"/>
          <w:szCs w:val="21"/>
          <w:lang w:val="en-US" w:eastAsia="zh-CN"/>
        </w:rPr>
        <w:t>土流失。</w:t>
      </w:r>
    </w:p>
    <w:p w14:paraId="503059CA">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3、噪声防护措施</w:t>
      </w:r>
    </w:p>
    <w:p w14:paraId="0465B4B4">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加强施工管理，合理安排施工作业时间，严格按照施工噪声管理的有关规定执行，严禁夜间进行高噪声施工作业。施工单位应注意对机械设</w:t>
      </w:r>
      <w:r>
        <w:rPr>
          <w:rFonts w:hint="eastAsia" w:ascii="Times New Roman" w:hAnsi="Times New Roman" w:eastAsia="宋体" w:cs="Times New Roman"/>
          <w:sz w:val="24"/>
          <w:szCs w:val="21"/>
          <w:lang w:val="en-US" w:eastAsia="zh-CN"/>
        </w:rPr>
        <w:t>备的</w:t>
      </w:r>
      <w:r>
        <w:rPr>
          <w:rFonts w:hint="default" w:ascii="Times New Roman" w:hAnsi="Times New Roman" w:eastAsia="宋体" w:cs="Times New Roman"/>
          <w:sz w:val="24"/>
          <w:szCs w:val="21"/>
          <w:lang w:val="en-US" w:eastAsia="zh-CN"/>
        </w:rPr>
        <w:t>保养，使机械维持较低声级水平，尽可能采用施工噪声低的施工方法。</w:t>
      </w:r>
    </w:p>
    <w:p w14:paraId="159CBCBE">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4、</w:t>
      </w:r>
      <w:r>
        <w:rPr>
          <w:rFonts w:hint="eastAsia" w:ascii="Times New Roman" w:hAnsi="Times New Roman" w:eastAsia="宋体" w:cs="Times New Roman"/>
          <w:b/>
          <w:bCs/>
          <w:sz w:val="24"/>
          <w:szCs w:val="21"/>
          <w:lang w:val="en-US" w:eastAsia="zh-CN"/>
        </w:rPr>
        <w:t>水污染防治</w:t>
      </w:r>
      <w:r>
        <w:rPr>
          <w:rFonts w:hint="default" w:ascii="Times New Roman" w:hAnsi="Times New Roman" w:eastAsia="宋体" w:cs="Times New Roman"/>
          <w:b/>
          <w:bCs/>
          <w:sz w:val="24"/>
          <w:szCs w:val="21"/>
          <w:lang w:val="en-US" w:eastAsia="zh-CN"/>
        </w:rPr>
        <w:t>措施</w:t>
      </w:r>
    </w:p>
    <w:p w14:paraId="14F5E120">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cs="Times New Roman"/>
          <w:color w:val="auto"/>
        </w:rPr>
        <w:t>施工时产生的施工作业废水等经</w:t>
      </w:r>
      <w:r>
        <w:rPr>
          <w:rFonts w:hint="default" w:ascii="Times New Roman" w:hAnsi="Times New Roman" w:cs="Times New Roman"/>
          <w:color w:val="auto"/>
          <w:lang w:val="en-US" w:eastAsia="zh-CN"/>
        </w:rPr>
        <w:t>隔油</w:t>
      </w:r>
      <w:r>
        <w:rPr>
          <w:rFonts w:hint="default" w:ascii="Times New Roman" w:hAnsi="Times New Roman" w:cs="Times New Roman"/>
          <w:color w:val="auto"/>
        </w:rPr>
        <w:t>沉淀池</w:t>
      </w:r>
      <w:r>
        <w:rPr>
          <w:rFonts w:hint="default" w:ascii="Times New Roman" w:hAnsi="Times New Roman" w:cs="Times New Roman"/>
          <w:color w:val="auto"/>
          <w:lang w:val="en-US" w:eastAsia="zh-CN"/>
        </w:rPr>
        <w:t>处理</w:t>
      </w:r>
      <w:r>
        <w:rPr>
          <w:rFonts w:hint="default" w:ascii="Times New Roman" w:hAnsi="Times New Roman" w:cs="Times New Roman"/>
          <w:color w:val="auto"/>
        </w:rPr>
        <w:t>后回用；施工生活污水经化粪池</w:t>
      </w:r>
      <w:r>
        <w:rPr>
          <w:rFonts w:hint="eastAsia" w:ascii="Times New Roman" w:hAnsi="Times New Roman" w:cs="Times New Roman"/>
          <w:color w:val="auto"/>
          <w:lang w:val="en-US" w:eastAsia="zh-CN"/>
        </w:rPr>
        <w:t>厌氧沤肥</w:t>
      </w:r>
      <w:r>
        <w:rPr>
          <w:rFonts w:hint="default" w:ascii="Times New Roman" w:hAnsi="Times New Roman" w:cs="Times New Roman"/>
          <w:color w:val="auto"/>
        </w:rPr>
        <w:t>后，</w:t>
      </w:r>
      <w:r>
        <w:rPr>
          <w:rFonts w:hint="eastAsia" w:ascii="Times New Roman" w:hAnsi="Times New Roman" w:cs="Times New Roman"/>
          <w:color w:val="auto"/>
          <w:lang w:val="en-US" w:eastAsia="zh-CN"/>
        </w:rPr>
        <w:t>农用不外排</w:t>
      </w:r>
      <w:r>
        <w:rPr>
          <w:rFonts w:hint="default" w:ascii="Times New Roman" w:hAnsi="Times New Roman" w:cs="Times New Roman"/>
          <w:color w:val="auto"/>
        </w:rPr>
        <w:t>。</w:t>
      </w:r>
    </w:p>
    <w:p w14:paraId="17E90077">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5、水土保持措施</w:t>
      </w:r>
    </w:p>
    <w:p w14:paraId="30DF3AE8">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本项目施工前应设置彩条</w:t>
      </w:r>
      <w:r>
        <w:rPr>
          <w:rFonts w:hint="eastAsia" w:ascii="Times New Roman" w:hAnsi="Times New Roman" w:eastAsia="宋体" w:cs="Times New Roman"/>
          <w:sz w:val="24"/>
          <w:szCs w:val="21"/>
          <w:lang w:val="en-US" w:eastAsia="zh-CN"/>
        </w:rPr>
        <w:t>条</w:t>
      </w:r>
      <w:r>
        <w:rPr>
          <w:rFonts w:hint="default" w:ascii="Times New Roman" w:hAnsi="Times New Roman" w:eastAsia="宋体" w:cs="Times New Roman"/>
          <w:sz w:val="24"/>
          <w:szCs w:val="21"/>
          <w:lang w:val="en-US" w:eastAsia="zh-CN"/>
        </w:rPr>
        <w:t>围护、严格限制施工机械和人员活动范围，剥离表土、集中堆放，并对剥离的表土及开挖的土石采取编织袋装土拦挡、苫布苫盖措施，各类施工活动严格限定在用地范围内，严禁随意占压、扰动和破坏地表植被。施工过程中在施工区设置临时排水沟。合理安排施工工序和水土保持措施实施进度，严格控制施工期间可能造成的水土流失。</w:t>
      </w:r>
    </w:p>
    <w:p w14:paraId="1C0D8570">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6、生态保护措施</w:t>
      </w:r>
    </w:p>
    <w:p w14:paraId="6EB56648">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优化施工时间，选择白天进行施工；施工期间避免固体物质落入周边水体影响水环境；严格控制施工红线；做好水土保持措施；施工固废严格管理避免进入周边水体及道路两侧；做好洒水降尘；选择低噪声设备，加快施工进度；对施工机械严格检查，避免泄漏事件发生；尽量使用本地材料，减少外来入侵物种的可能性；施工结束后做好两侧植物种植，做好生境补偿；做好生态监测。</w:t>
      </w:r>
    </w:p>
    <w:p w14:paraId="687918DF">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7、植物恢复措施</w:t>
      </w:r>
    </w:p>
    <w:p w14:paraId="61F5C615">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（1）结合施工期和扰动范围，尽可能采用</w:t>
      </w:r>
      <w:r>
        <w:rPr>
          <w:rFonts w:hint="eastAsia" w:ascii="Times New Roman" w:hAnsi="Times New Roman" w:eastAsia="宋体" w:cs="Times New Roman"/>
          <w:sz w:val="24"/>
          <w:szCs w:val="21"/>
          <w:lang w:val="en-US" w:eastAsia="zh-CN"/>
        </w:rPr>
        <w:t>“</w:t>
      </w:r>
      <w:r>
        <w:rPr>
          <w:rFonts w:hint="default" w:ascii="Times New Roman" w:hAnsi="Times New Roman" w:eastAsia="宋体" w:cs="Times New Roman"/>
          <w:sz w:val="24"/>
          <w:szCs w:val="21"/>
          <w:lang w:val="en-US" w:eastAsia="zh-CN"/>
        </w:rPr>
        <w:t>边施工、边恢复</w:t>
      </w:r>
      <w:r>
        <w:rPr>
          <w:rFonts w:hint="eastAsia" w:ascii="Times New Roman" w:hAnsi="Times New Roman" w:eastAsia="宋体" w:cs="Times New Roman"/>
          <w:sz w:val="24"/>
          <w:szCs w:val="21"/>
          <w:lang w:val="en-US" w:eastAsia="zh-CN"/>
        </w:rPr>
        <w:t>”</w:t>
      </w:r>
      <w:r>
        <w:rPr>
          <w:rFonts w:hint="default" w:ascii="Times New Roman" w:hAnsi="Times New Roman" w:eastAsia="宋体" w:cs="Times New Roman"/>
          <w:sz w:val="24"/>
          <w:szCs w:val="21"/>
          <w:lang w:val="en-US" w:eastAsia="zh-CN"/>
        </w:rPr>
        <w:t>措施；实行</w:t>
      </w:r>
      <w:r>
        <w:rPr>
          <w:rFonts w:hint="eastAsia" w:ascii="Times New Roman" w:hAnsi="Times New Roman" w:eastAsia="宋体" w:cs="Times New Roman"/>
          <w:sz w:val="24"/>
          <w:szCs w:val="21"/>
          <w:lang w:val="en-US" w:eastAsia="zh-CN"/>
        </w:rPr>
        <w:t>“</w:t>
      </w:r>
      <w:r>
        <w:rPr>
          <w:rFonts w:hint="default" w:ascii="Times New Roman" w:hAnsi="Times New Roman" w:eastAsia="宋体" w:cs="Times New Roman"/>
          <w:sz w:val="24"/>
          <w:szCs w:val="21"/>
          <w:lang w:val="en-US" w:eastAsia="zh-CN"/>
        </w:rPr>
        <w:t>边施工、边保护</w:t>
      </w:r>
      <w:r>
        <w:rPr>
          <w:rFonts w:hint="eastAsia" w:ascii="Times New Roman" w:hAnsi="Times New Roman" w:eastAsia="宋体" w:cs="Times New Roman"/>
          <w:sz w:val="24"/>
          <w:szCs w:val="21"/>
          <w:lang w:val="en-US" w:eastAsia="zh-CN"/>
        </w:rPr>
        <w:t>”</w:t>
      </w:r>
      <w:r>
        <w:rPr>
          <w:rFonts w:hint="default" w:ascii="Times New Roman" w:hAnsi="Times New Roman" w:eastAsia="宋体" w:cs="Times New Roman"/>
          <w:sz w:val="24"/>
          <w:szCs w:val="21"/>
          <w:lang w:val="en-US" w:eastAsia="zh-CN"/>
        </w:rPr>
        <w:t>，施工中，发现可利用的乔、灌、草，采用临时移栽保护，施工结束后，应立即开展植被恢复工作，在植被恢复时尽可能采取乔、灌、草混合种植模式，并选择易成活适应性强的当地物种，如桂花、女贞、乌桕、香樟树等。</w:t>
      </w:r>
    </w:p>
    <w:p w14:paraId="447349A7">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2）在施工人员和机械进场前，对施工人员进行野生动植物保护等相关法律、法规和护林防火等知识宣传、培训与教育，提高施工人员对自然资源保护重要性的认识，初步掌握资源保护措施。同时，施工前明确作业带范围，严禁施工人员到非施工区域活动，特别禁止到水源保护区、生态保护红线等环境敏感区范围内活动；施工过程中，建议由当地林业部门和施工单位共同划出保护线，明确保护对象和保护范围。</w:t>
      </w:r>
    </w:p>
    <w:p w14:paraId="0393E5E8">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8、施工期其他相关防治措施</w:t>
      </w:r>
    </w:p>
    <w:p w14:paraId="1DBC428A">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（1）合理施工布置</w:t>
      </w:r>
    </w:p>
    <w:p w14:paraId="6D3BF5D4">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尽量减少开挖或回填，材料堆场和开挖土方临时堆放在施工红线范围内，</w:t>
      </w:r>
      <w:r>
        <w:rPr>
          <w:rFonts w:hint="eastAsia" w:ascii="Times New Roman" w:hAnsi="Times New Roman" w:eastAsia="宋体" w:cs="Times New Roman"/>
          <w:sz w:val="24"/>
          <w:szCs w:val="21"/>
          <w:lang w:val="en-US" w:eastAsia="zh-CN"/>
        </w:rPr>
        <w:t>尽量少占用</w:t>
      </w:r>
      <w:r>
        <w:rPr>
          <w:rFonts w:hint="default" w:ascii="Times New Roman" w:hAnsi="Times New Roman" w:eastAsia="宋体" w:cs="Times New Roman"/>
          <w:sz w:val="24"/>
          <w:szCs w:val="21"/>
          <w:lang w:val="en-US" w:eastAsia="zh-CN"/>
        </w:rPr>
        <w:t>临时用地，道路利用现有路面</w:t>
      </w:r>
      <w:r>
        <w:rPr>
          <w:rFonts w:hint="eastAsia" w:ascii="Times New Roman" w:hAnsi="Times New Roman" w:eastAsia="宋体" w:cs="Times New Roman"/>
          <w:sz w:val="24"/>
          <w:szCs w:val="21"/>
          <w:lang w:val="en-US" w:eastAsia="zh-CN"/>
        </w:rPr>
        <w:t>进行</w:t>
      </w:r>
      <w:r>
        <w:rPr>
          <w:rFonts w:hint="default" w:ascii="Times New Roman" w:hAnsi="Times New Roman" w:eastAsia="宋体" w:cs="Times New Roman"/>
          <w:sz w:val="24"/>
          <w:szCs w:val="21"/>
          <w:lang w:val="en-US" w:eastAsia="zh-CN"/>
        </w:rPr>
        <w:t>改建，不改线改道。</w:t>
      </w:r>
    </w:p>
    <w:p w14:paraId="27E855A5">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（2）合理设计边坡</w:t>
      </w:r>
    </w:p>
    <w:p w14:paraId="7B1BC7AC">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合理设计高陡边坡支</w:t>
      </w:r>
      <w:r>
        <w:rPr>
          <w:rFonts w:hint="eastAsia" w:ascii="Times New Roman" w:hAnsi="Times New Roman" w:eastAsia="宋体" w:cs="Times New Roman"/>
          <w:sz w:val="24"/>
          <w:szCs w:val="21"/>
          <w:lang w:val="en-US" w:eastAsia="zh-CN"/>
        </w:rPr>
        <w:t>挡</w:t>
      </w:r>
      <w:r>
        <w:rPr>
          <w:rFonts w:hint="default" w:ascii="Times New Roman" w:hAnsi="Times New Roman" w:eastAsia="宋体" w:cs="Times New Roman"/>
          <w:sz w:val="24"/>
          <w:szCs w:val="21"/>
          <w:lang w:val="en-US" w:eastAsia="zh-CN"/>
        </w:rPr>
        <w:t>、加固措施，减少地表开挖和生态扰动；因地制宜，制定生态修复方案。</w:t>
      </w:r>
    </w:p>
    <w:p w14:paraId="3085A5A4">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（3）合理安排施工期</w:t>
      </w:r>
    </w:p>
    <w:p w14:paraId="6D03862F">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合理安排施工期，尽量避开汛期施工，严禁夜间施工，在鸟类及野生动物集中繁殖期尽量不安排</w:t>
      </w:r>
      <w:r>
        <w:rPr>
          <w:rFonts w:hint="eastAsia" w:ascii="Times New Roman" w:hAnsi="Times New Roman" w:eastAsia="宋体" w:cs="Times New Roman"/>
          <w:sz w:val="24"/>
          <w:szCs w:val="21"/>
          <w:lang w:val="en-US" w:eastAsia="zh-CN"/>
        </w:rPr>
        <w:t>噪声</w:t>
      </w:r>
      <w:r>
        <w:rPr>
          <w:rFonts w:hint="default" w:ascii="Times New Roman" w:hAnsi="Times New Roman" w:eastAsia="宋体" w:cs="Times New Roman"/>
          <w:sz w:val="24"/>
          <w:szCs w:val="21"/>
          <w:lang w:val="en-US" w:eastAsia="zh-CN"/>
        </w:rPr>
        <w:t>、振动等扰动较大的施工内容。</w:t>
      </w:r>
    </w:p>
    <w:p w14:paraId="462F2BEA">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（4）松材线虫病疫情防控措施</w:t>
      </w:r>
    </w:p>
    <w:p w14:paraId="07A0BAB9">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对松材线虫病的危害以及传播途径向施工人员进行宣传；在项目施工现场出入口处建立哨卡，严禁松木及松木制品进入施工区域；坚持春秋季普查和日常巡查。对发现的枯死木开展调查，查找死树病因，及时检测鉴定。</w:t>
      </w:r>
    </w:p>
    <w:p w14:paraId="506F5661">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（5）加强施工人员管理</w:t>
      </w:r>
    </w:p>
    <w:p w14:paraId="6DEC7117">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制定完善的施工人员管理章程，规范施工人员在保护区内施工时的行为，制定野生动物及生态系统的保护规章和惩罚措施，对于偷猎野生动物、破坏珍稀濒危</w:t>
      </w:r>
      <w:r>
        <w:rPr>
          <w:rFonts w:hint="eastAsia" w:ascii="Times New Roman" w:hAnsi="Times New Roman" w:eastAsia="宋体" w:cs="Times New Roman"/>
          <w:sz w:val="24"/>
          <w:szCs w:val="21"/>
          <w:lang w:val="en-US" w:eastAsia="zh-CN"/>
        </w:rPr>
        <w:t>野生生物资源</w:t>
      </w:r>
      <w:r>
        <w:rPr>
          <w:rFonts w:hint="default" w:ascii="Times New Roman" w:hAnsi="Times New Roman" w:eastAsia="宋体" w:cs="Times New Roman"/>
          <w:sz w:val="24"/>
          <w:szCs w:val="21"/>
          <w:lang w:val="en-US" w:eastAsia="zh-CN"/>
        </w:rPr>
        <w:t>等行为，</w:t>
      </w:r>
      <w:r>
        <w:rPr>
          <w:rFonts w:hint="eastAsia" w:ascii="Times New Roman" w:hAnsi="Times New Roman" w:eastAsia="宋体" w:cs="Times New Roman"/>
          <w:sz w:val="24"/>
          <w:szCs w:val="21"/>
          <w:lang w:val="en-US" w:eastAsia="zh-CN"/>
        </w:rPr>
        <w:t>及时</w:t>
      </w:r>
      <w:r>
        <w:rPr>
          <w:rFonts w:hint="default" w:ascii="Times New Roman" w:hAnsi="Times New Roman" w:eastAsia="宋体" w:cs="Times New Roman"/>
          <w:sz w:val="24"/>
          <w:szCs w:val="21"/>
          <w:lang w:val="en-US" w:eastAsia="zh-CN"/>
        </w:rPr>
        <w:t>移交公安等执法机关查处。</w:t>
      </w:r>
    </w:p>
    <w:p w14:paraId="56ACE0CB">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（6）开展施工人员培训</w:t>
      </w:r>
    </w:p>
    <w:p w14:paraId="470E2482">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对施工人员进行生态保护宣教，增强施工人员的环保意识及必要的野生动植物保护知识。禁止捕猎杀害野生动物，不随意践踏、砍伐、破坏野生植物，不随意带入外来物种，严禁种植松木等物种；加强宣传教育，施工期间严禁一切野外用火，防止发生森林火灾。</w:t>
      </w:r>
    </w:p>
    <w:p w14:paraId="19C22CCC">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（7）制定临时野生动物救护章程</w:t>
      </w:r>
    </w:p>
    <w:p w14:paraId="1C20209E">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施工过程中，发现需要救护的野生动物时，立即上报主管部门，即保护区管理局或当地林业站。该章程应包括重要保护动植物图片及主管部门联系方式。</w:t>
      </w:r>
    </w:p>
    <w:p w14:paraId="07A4E31B">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（8）加强施工期巡护</w:t>
      </w:r>
    </w:p>
    <w:p w14:paraId="3F468EA2">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加强施工期巡护，及时制止危害生态安全的行为，确保施工活动规范有序开展的同时，尽量减少对保护区生态系统及动植物资源的破坏。</w:t>
      </w:r>
    </w:p>
    <w:p w14:paraId="608EC972">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816" w:name="_Toc21206"/>
      <w:bookmarkStart w:id="817" w:name="_Toc10258"/>
      <w:bookmarkStart w:id="818" w:name="_Toc30974"/>
      <w:bookmarkStart w:id="819" w:name="_Toc15913"/>
      <w:bookmarkStart w:id="820" w:name="_Toc8742"/>
      <w:bookmarkStart w:id="821" w:name="_Toc6791"/>
      <w:bookmarkStart w:id="822" w:name="_Toc22583"/>
      <w:bookmarkStart w:id="823" w:name="_Toc17518"/>
      <w:bookmarkStart w:id="824" w:name="_Toc4416"/>
      <w:bookmarkStart w:id="825" w:name="_Toc4489"/>
      <w:bookmarkStart w:id="826" w:name="_Toc107514203"/>
      <w:r>
        <w:rPr>
          <w:rFonts w:hint="default" w:ascii="Times New Roman" w:hAnsi="Times New Roman" w:eastAsia="宋体" w:cs="Times New Roman"/>
          <w:sz w:val="28"/>
          <w:szCs w:val="28"/>
          <w:lang w:val="en-US" w:eastAsia="zh-CN"/>
        </w:rPr>
        <w:t>5.3运营期生态保护措施</w:t>
      </w:r>
      <w:bookmarkEnd w:id="816"/>
      <w:bookmarkEnd w:id="817"/>
      <w:bookmarkEnd w:id="818"/>
      <w:bookmarkEnd w:id="819"/>
      <w:bookmarkEnd w:id="820"/>
      <w:bookmarkEnd w:id="821"/>
      <w:bookmarkEnd w:id="822"/>
      <w:bookmarkEnd w:id="823"/>
    </w:p>
    <w:p w14:paraId="62BCD281">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bookmarkStart w:id="827" w:name="_Toc23466"/>
      <w:bookmarkStart w:id="828" w:name="_Toc8772"/>
      <w:bookmarkStart w:id="829" w:name="_Toc24234"/>
      <w:r>
        <w:rPr>
          <w:rFonts w:hint="eastAsia" w:ascii="Times New Roman" w:hAnsi="Times New Roman" w:eastAsia="宋体" w:cs="Times New Roman"/>
          <w:sz w:val="24"/>
          <w:szCs w:val="21"/>
          <w:lang w:val="en-US" w:eastAsia="zh-CN"/>
        </w:rPr>
        <w:t>在公路营运期，还要坚持利用与管护相结合的原则，保证环保措施发挥应有效益。</w:t>
      </w:r>
    </w:p>
    <w:p w14:paraId="63C6394C">
      <w:pPr>
        <w:pStyle w:val="9"/>
        <w:numPr>
          <w:ilvl w:val="0"/>
          <w:numId w:val="6"/>
        </w:numPr>
        <w:adjustRightInd w:val="0"/>
        <w:snapToGrid w:val="0"/>
        <w:spacing w:after="0" w:line="360" w:lineRule="auto"/>
        <w:ind w:firstLine="480" w:firstLineChars="200"/>
        <w:rPr>
          <w:rFonts w:hint="eastAsia" w:ascii="Times New Roman" w:hAnsi="Times New Roman" w:eastAsia="宋体" w:cs="Times New Roman"/>
          <w:sz w:val="24"/>
          <w:szCs w:val="21"/>
          <w:lang w:val="en-US" w:eastAsia="zh-CN"/>
        </w:rPr>
      </w:pPr>
      <w:r>
        <w:rPr>
          <w:rFonts w:hint="eastAsia" w:ascii="Times New Roman" w:hAnsi="Times New Roman" w:eastAsia="宋体" w:cs="Times New Roman"/>
          <w:sz w:val="24"/>
          <w:szCs w:val="21"/>
          <w:lang w:val="en-US" w:eastAsia="zh-CN"/>
        </w:rPr>
        <w:t>按照公路绿化设计的要求，继续完成拟建公路边坡、道路两侧等范围内的植树种草工作，以达到恢复植被、保护路基、减少水土流失的目的。并加强绿化工程和防护工程的养护。</w:t>
      </w:r>
    </w:p>
    <w:p w14:paraId="5CBA51D1">
      <w:pPr>
        <w:pStyle w:val="9"/>
        <w:numPr>
          <w:ilvl w:val="0"/>
          <w:numId w:val="6"/>
        </w:numPr>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eastAsia" w:ascii="Times New Roman" w:hAnsi="Times New Roman" w:eastAsia="宋体" w:cs="Times New Roman"/>
          <w:sz w:val="24"/>
          <w:szCs w:val="21"/>
          <w:lang w:val="en-US" w:eastAsia="zh-CN"/>
        </w:rPr>
        <w:t>按设计要求完善水土保持各项工程措施、植物措施和土地复垦措施。科学合理地实行花草类和乔灌木相结合的立体绿化格局。特别是对土质边坡，在施工后期及时进行绿化，以维护路基边坡稳定，减少水土流失。</w:t>
      </w:r>
    </w:p>
    <w:p w14:paraId="4CAA765F">
      <w:pPr>
        <w:pStyle w:val="9"/>
        <w:numPr>
          <w:ilvl w:val="0"/>
          <w:numId w:val="6"/>
        </w:numPr>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eastAsia" w:ascii="Times New Roman" w:hAnsi="Times New Roman" w:eastAsia="宋体" w:cs="Times New Roman"/>
          <w:sz w:val="24"/>
          <w:szCs w:val="21"/>
          <w:lang w:val="en-US" w:eastAsia="zh-CN"/>
        </w:rPr>
        <w:t>公路营运期公路管理部门应对公路沿线的工程防护设施加强管理，保证绿化树种的成活率，发现问题及时解决，以保证防护设施的防护功能。</w:t>
      </w:r>
    </w:p>
    <w:p w14:paraId="4365D038">
      <w:pPr>
        <w:pStyle w:val="9"/>
        <w:numPr>
          <w:ilvl w:val="0"/>
          <w:numId w:val="6"/>
        </w:numPr>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eastAsia" w:ascii="Times New Roman" w:hAnsi="Times New Roman" w:eastAsia="宋体" w:cs="Times New Roman"/>
          <w:sz w:val="24"/>
          <w:szCs w:val="21"/>
          <w:lang w:val="en-US" w:eastAsia="zh-CN"/>
        </w:rPr>
        <w:t>加强营运期的路线绿化植被维护和管理，保证绿化树种的成活率。</w:t>
      </w:r>
    </w:p>
    <w:p w14:paraId="7912AE4D">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830" w:name="_Toc2802"/>
      <w:bookmarkStart w:id="831" w:name="_Toc17932"/>
      <w:bookmarkStart w:id="832" w:name="_Toc10220"/>
      <w:r>
        <w:rPr>
          <w:rFonts w:hint="default" w:ascii="Times New Roman" w:hAnsi="Times New Roman" w:eastAsia="宋体" w:cs="Times New Roman"/>
          <w:sz w:val="28"/>
          <w:szCs w:val="28"/>
          <w:lang w:val="en-US" w:eastAsia="zh-CN"/>
        </w:rPr>
        <w:t>5.4生态环境保护管理措施</w:t>
      </w:r>
      <w:bookmarkEnd w:id="827"/>
      <w:bookmarkEnd w:id="828"/>
      <w:bookmarkEnd w:id="829"/>
      <w:bookmarkEnd w:id="830"/>
      <w:bookmarkEnd w:id="831"/>
      <w:bookmarkEnd w:id="832"/>
    </w:p>
    <w:p w14:paraId="5BA83359">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eastAsia" w:ascii="Times New Roman" w:hAnsi="Times New Roman" w:eastAsia="宋体" w:cs="Times New Roman"/>
          <w:b/>
          <w:bCs/>
          <w:sz w:val="24"/>
          <w:szCs w:val="21"/>
          <w:lang w:val="en-US" w:eastAsia="zh-CN"/>
        </w:rPr>
        <w:t>1、</w:t>
      </w:r>
      <w:r>
        <w:rPr>
          <w:rFonts w:hint="default" w:ascii="Times New Roman" w:hAnsi="Times New Roman" w:eastAsia="宋体" w:cs="Times New Roman"/>
          <w:b/>
          <w:bCs/>
          <w:sz w:val="24"/>
          <w:szCs w:val="21"/>
          <w:lang w:val="en-US" w:eastAsia="zh-CN"/>
        </w:rPr>
        <w:t>施工前期招投标</w:t>
      </w:r>
    </w:p>
    <w:p w14:paraId="19378AC8">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建设单位对工程施工实行招投标。在招标文件的编制过程中，应将各项环保要求与措施编入相应的条款中；承包商投标文件中应包含环保工程（含生态保护措施）的落实及实施计划；在评标过程中应注意对投标文件的环保部分进行评估讨论，对中标方的不足之处提出完善要求。</w:t>
      </w:r>
    </w:p>
    <w:p w14:paraId="6E51E889">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eastAsia" w:ascii="Times New Roman" w:hAnsi="Times New Roman" w:eastAsia="宋体" w:cs="Times New Roman"/>
          <w:b/>
          <w:bCs/>
          <w:sz w:val="24"/>
          <w:szCs w:val="21"/>
          <w:lang w:val="en-US" w:eastAsia="zh-CN"/>
        </w:rPr>
        <w:t>2、</w:t>
      </w:r>
      <w:r>
        <w:rPr>
          <w:rFonts w:hint="default" w:ascii="Times New Roman" w:hAnsi="Times New Roman" w:eastAsia="宋体" w:cs="Times New Roman"/>
          <w:b/>
          <w:bCs/>
          <w:sz w:val="24"/>
          <w:szCs w:val="21"/>
          <w:lang w:val="en-US" w:eastAsia="zh-CN"/>
        </w:rPr>
        <w:t>综合管理，加强生态保护宣传教育</w:t>
      </w:r>
    </w:p>
    <w:p w14:paraId="02F98C01">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建设单位应该组织施工单位员工学习和宣传《</w:t>
      </w:r>
      <w:r>
        <w:rPr>
          <w:rFonts w:hint="eastAsia" w:ascii="Times New Roman" w:hAnsi="Times New Roman" w:eastAsia="宋体" w:cs="Times New Roman"/>
          <w:sz w:val="24"/>
          <w:szCs w:val="21"/>
          <w:lang w:val="en-US" w:eastAsia="zh-CN"/>
        </w:rPr>
        <w:t>中华人民共和国野生动物保护法》《中华人民共和国野生植物保护条例</w:t>
      </w:r>
      <w:r>
        <w:rPr>
          <w:rFonts w:hint="default" w:ascii="Times New Roman" w:hAnsi="Times New Roman" w:eastAsia="宋体" w:cs="Times New Roman"/>
          <w:sz w:val="24"/>
          <w:szCs w:val="21"/>
          <w:lang w:val="en-US" w:eastAsia="zh-CN"/>
        </w:rPr>
        <w:t>》；在工地及周边设立爱护动物和自然植被的宣传牌。施工人员进场后，立即进行生态保护教育，印发重要保护物种的介绍宣传手册，严禁偷猎和破坏野生动物生境的行为。并采取适当的奖惩制度，奖励保护生态环境的积极人员，惩罚破坏生态环境的人员。</w:t>
      </w:r>
    </w:p>
    <w:p w14:paraId="73BDDB23">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为保护好现有森林资源，防止森林病虫害的侵入和森林火灾的发生，应加强外来木材和各种机械、包装框架、箱体等木制品的检疫工作，同时做好森林防火等工作。</w:t>
      </w:r>
    </w:p>
    <w:p w14:paraId="6A2C52AF">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eastAsia" w:ascii="Times New Roman" w:hAnsi="Times New Roman" w:eastAsia="宋体" w:cs="Times New Roman"/>
          <w:b/>
          <w:bCs/>
          <w:sz w:val="24"/>
          <w:szCs w:val="21"/>
          <w:lang w:val="en-US" w:eastAsia="zh-CN"/>
        </w:rPr>
        <w:t>3、</w:t>
      </w:r>
      <w:r>
        <w:rPr>
          <w:rFonts w:hint="default" w:ascii="Times New Roman" w:hAnsi="Times New Roman" w:eastAsia="宋体" w:cs="Times New Roman"/>
          <w:b/>
          <w:bCs/>
          <w:sz w:val="24"/>
          <w:szCs w:val="21"/>
          <w:lang w:val="en-US" w:eastAsia="zh-CN"/>
        </w:rPr>
        <w:t>实施环境监理计划</w:t>
      </w:r>
    </w:p>
    <w:p w14:paraId="0CEE30A6">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将环境监理工作纳入监理工作之中，每个标段应至少配备一名专职（或兼职）的现场环境监理人员，以便及时发现施工中可能出现的各类生态破坏和环境污染问题。主要是：施工开始前，认真检查施工计划中是否包含有环境保护措施；环境监理单位应该在监理月报</w:t>
      </w:r>
      <w:r>
        <w:rPr>
          <w:rFonts w:hint="eastAsia" w:ascii="Times New Roman" w:hAnsi="Times New Roman" w:eastAsia="宋体" w:cs="Times New Roman"/>
          <w:sz w:val="24"/>
          <w:szCs w:val="21"/>
          <w:lang w:val="en-US" w:eastAsia="zh-CN"/>
        </w:rPr>
        <w:t>和其他</w:t>
      </w:r>
      <w:r>
        <w:rPr>
          <w:rFonts w:hint="default" w:ascii="Times New Roman" w:hAnsi="Times New Roman" w:eastAsia="宋体" w:cs="Times New Roman"/>
          <w:sz w:val="24"/>
          <w:szCs w:val="21"/>
          <w:lang w:val="en-US" w:eastAsia="zh-CN"/>
        </w:rPr>
        <w:t>监理文件中反映对野生动植物保护措施落实情况的专项内容，并根据施工日程安排，定期检查监督施工过程</w:t>
      </w:r>
      <w:r>
        <w:rPr>
          <w:rFonts w:hint="eastAsia" w:ascii="Times New Roman" w:hAnsi="Times New Roman" w:eastAsia="宋体" w:cs="Times New Roman"/>
          <w:sz w:val="24"/>
          <w:szCs w:val="21"/>
          <w:lang w:val="en-US" w:eastAsia="zh-CN"/>
        </w:rPr>
        <w:t>“</w:t>
      </w:r>
      <w:r>
        <w:rPr>
          <w:rFonts w:hint="default" w:ascii="Times New Roman" w:hAnsi="Times New Roman" w:eastAsia="宋体" w:cs="Times New Roman"/>
          <w:sz w:val="24"/>
          <w:szCs w:val="21"/>
          <w:lang w:val="en-US" w:eastAsia="zh-CN"/>
        </w:rPr>
        <w:t>三废</w:t>
      </w:r>
      <w:r>
        <w:rPr>
          <w:rFonts w:hint="eastAsia" w:ascii="Times New Roman" w:hAnsi="Times New Roman" w:eastAsia="宋体" w:cs="Times New Roman"/>
          <w:sz w:val="24"/>
          <w:szCs w:val="21"/>
          <w:lang w:val="en-US" w:eastAsia="zh-CN"/>
        </w:rPr>
        <w:t>”</w:t>
      </w:r>
      <w:r>
        <w:rPr>
          <w:rFonts w:hint="default" w:ascii="Times New Roman" w:hAnsi="Times New Roman" w:eastAsia="宋体" w:cs="Times New Roman"/>
          <w:sz w:val="24"/>
          <w:szCs w:val="21"/>
          <w:lang w:val="en-US" w:eastAsia="zh-CN"/>
        </w:rPr>
        <w:t>排放是否符合环保要求；检查监督施工过程的生态环境保护措施；检查监督施工营地</w:t>
      </w:r>
      <w:r>
        <w:rPr>
          <w:rFonts w:hint="eastAsia" w:ascii="Times New Roman" w:hAnsi="Times New Roman" w:eastAsia="宋体" w:cs="Times New Roman"/>
          <w:sz w:val="24"/>
          <w:szCs w:val="21"/>
          <w:lang w:val="en-US" w:eastAsia="zh-CN"/>
        </w:rPr>
        <w:t>等其他</w:t>
      </w:r>
      <w:r>
        <w:rPr>
          <w:rFonts w:hint="default" w:ascii="Times New Roman" w:hAnsi="Times New Roman" w:eastAsia="宋体" w:cs="Times New Roman"/>
          <w:sz w:val="24"/>
          <w:szCs w:val="21"/>
          <w:lang w:val="en-US" w:eastAsia="zh-CN"/>
        </w:rPr>
        <w:t>环境保护措施和计划的实施。施工期具体监理内容及阶段性验收要求情况详见下表。</w:t>
      </w:r>
    </w:p>
    <w:p w14:paraId="3E5EBA4E">
      <w:pPr>
        <w:overflowPunct w:val="0"/>
        <w:spacing w:line="240" w:lineRule="auto"/>
        <w:ind w:firstLine="0" w:firstLineChars="0"/>
        <w:jc w:val="center"/>
        <w:rPr>
          <w:rFonts w:hint="default" w:ascii="Times New Roman" w:hAnsi="Times New Roman" w:eastAsia="宋体" w:cs="Times New Roman"/>
          <w:b/>
          <w:bCs/>
          <w:color w:val="auto"/>
          <w:sz w:val="21"/>
          <w:szCs w:val="18"/>
        </w:rPr>
      </w:pPr>
      <w:r>
        <w:rPr>
          <w:rFonts w:hint="default" w:ascii="Times New Roman" w:hAnsi="Times New Roman" w:eastAsia="宋体" w:cs="Times New Roman"/>
          <w:b/>
          <w:bCs/>
          <w:color w:val="auto"/>
          <w:sz w:val="21"/>
          <w:szCs w:val="18"/>
        </w:rPr>
        <w:t>表</w:t>
      </w:r>
      <w:r>
        <w:rPr>
          <w:rFonts w:hint="eastAsia" w:ascii="Times New Roman" w:hAnsi="Times New Roman" w:eastAsia="宋体" w:cs="Times New Roman"/>
          <w:b/>
          <w:bCs/>
          <w:color w:val="auto"/>
          <w:sz w:val="21"/>
          <w:szCs w:val="18"/>
          <w:lang w:val="en-US" w:eastAsia="zh-CN"/>
        </w:rPr>
        <w:t>5-1</w:t>
      </w:r>
      <w:r>
        <w:rPr>
          <w:rFonts w:hint="default" w:ascii="Times New Roman" w:hAnsi="Times New Roman" w:eastAsia="宋体" w:cs="Times New Roman"/>
          <w:b/>
          <w:bCs/>
          <w:color w:val="auto"/>
          <w:sz w:val="21"/>
          <w:szCs w:val="18"/>
          <w:lang w:val="en-US" w:eastAsia="zh-CN"/>
        </w:rPr>
        <w:t xml:space="preserve">  项目施工期监理内容及阶段性验收要求情况</w:t>
      </w:r>
    </w:p>
    <w:tbl>
      <w:tblPr>
        <w:tblStyle w:val="75"/>
        <w:tblW w:w="507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45"/>
        <w:gridCol w:w="2811"/>
        <w:gridCol w:w="4990"/>
      </w:tblGrid>
      <w:tr w14:paraId="531821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82" w:type="pct"/>
            <w:tcBorders>
              <w:left w:val="single" w:color="auto" w:sz="4" w:space="0"/>
            </w:tcBorders>
            <w:vAlign w:val="center"/>
          </w:tcPr>
          <w:p w14:paraId="559C2EB0">
            <w:pPr>
              <w:overflowPunct w:val="0"/>
              <w:spacing w:line="240" w:lineRule="auto"/>
              <w:ind w:firstLine="0" w:firstLineChars="0"/>
              <w:jc w:val="center"/>
              <w:rPr>
                <w:rFonts w:hint="default" w:ascii="Times New Roman" w:hAnsi="Times New Roman" w:eastAsia="宋体" w:cs="Times New Roman"/>
                <w:b/>
                <w:bCs/>
                <w:color w:val="auto"/>
                <w:sz w:val="21"/>
                <w:lang w:val="en-US" w:eastAsia="zh-CN"/>
              </w:rPr>
            </w:pPr>
            <w:r>
              <w:rPr>
                <w:rFonts w:hint="default" w:ascii="Times New Roman" w:hAnsi="Times New Roman" w:eastAsia="宋体" w:cs="Times New Roman"/>
                <w:b/>
                <w:bCs/>
                <w:color w:val="auto"/>
                <w:sz w:val="21"/>
                <w:lang w:val="en-US" w:eastAsia="zh-CN"/>
              </w:rPr>
              <w:t>时段</w:t>
            </w:r>
          </w:p>
        </w:tc>
        <w:tc>
          <w:tcPr>
            <w:tcW w:w="1664" w:type="pct"/>
            <w:tcBorders>
              <w:right w:val="single" w:color="auto" w:sz="4" w:space="0"/>
            </w:tcBorders>
            <w:vAlign w:val="center"/>
          </w:tcPr>
          <w:p w14:paraId="522EB6EB">
            <w:pPr>
              <w:overflowPunct w:val="0"/>
              <w:spacing w:line="240" w:lineRule="auto"/>
              <w:ind w:firstLine="0" w:firstLineChars="0"/>
              <w:jc w:val="center"/>
              <w:rPr>
                <w:rFonts w:hint="default" w:ascii="Times New Roman" w:hAnsi="Times New Roman" w:eastAsia="宋体" w:cs="Times New Roman"/>
                <w:b/>
                <w:bCs/>
                <w:color w:val="auto"/>
                <w:sz w:val="21"/>
                <w:lang w:val="en-US" w:eastAsia="zh-CN"/>
              </w:rPr>
            </w:pPr>
            <w:r>
              <w:rPr>
                <w:rFonts w:hint="default" w:ascii="Times New Roman" w:hAnsi="Times New Roman" w:eastAsia="宋体" w:cs="Times New Roman"/>
                <w:b/>
                <w:bCs/>
                <w:color w:val="auto"/>
                <w:sz w:val="21"/>
                <w:lang w:val="en-US" w:eastAsia="zh-CN"/>
              </w:rPr>
              <w:t>具体监理内容</w:t>
            </w:r>
          </w:p>
        </w:tc>
        <w:tc>
          <w:tcPr>
            <w:tcW w:w="2953" w:type="pct"/>
            <w:tcBorders>
              <w:right w:val="single" w:color="auto" w:sz="4" w:space="0"/>
            </w:tcBorders>
            <w:vAlign w:val="center"/>
          </w:tcPr>
          <w:p w14:paraId="7E318540">
            <w:pPr>
              <w:overflowPunct w:val="0"/>
              <w:spacing w:line="240" w:lineRule="auto"/>
              <w:ind w:firstLine="0" w:firstLineChars="0"/>
              <w:jc w:val="center"/>
              <w:rPr>
                <w:rFonts w:hint="default" w:ascii="Times New Roman" w:hAnsi="Times New Roman" w:eastAsia="宋体" w:cs="Times New Roman"/>
                <w:b/>
                <w:bCs/>
                <w:color w:val="auto"/>
                <w:sz w:val="21"/>
                <w:lang w:val="en-US" w:eastAsia="zh-CN"/>
              </w:rPr>
            </w:pPr>
            <w:r>
              <w:rPr>
                <w:rFonts w:hint="default" w:ascii="Times New Roman" w:hAnsi="Times New Roman" w:eastAsia="宋体" w:cs="Times New Roman"/>
                <w:b/>
                <w:bCs/>
                <w:color w:val="auto"/>
                <w:sz w:val="21"/>
                <w:lang w:val="en-US" w:eastAsia="zh-CN"/>
              </w:rPr>
              <w:t>阶段性评估要求及验收标准</w:t>
            </w:r>
          </w:p>
        </w:tc>
      </w:tr>
      <w:tr w14:paraId="3FCFD1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7" w:hRule="atLeast"/>
          <w:jc w:val="center"/>
        </w:trPr>
        <w:tc>
          <w:tcPr>
            <w:tcW w:w="382" w:type="pct"/>
            <w:tcBorders>
              <w:left w:val="single" w:color="auto" w:sz="4" w:space="0"/>
            </w:tcBorders>
            <w:vAlign w:val="center"/>
          </w:tcPr>
          <w:p w14:paraId="1B91DA9D">
            <w:pPr>
              <w:overflowPunct w:val="0"/>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施工准备阶段</w:t>
            </w:r>
          </w:p>
        </w:tc>
        <w:tc>
          <w:tcPr>
            <w:tcW w:w="1664" w:type="pct"/>
            <w:tcBorders>
              <w:right w:val="single" w:color="auto" w:sz="4" w:space="0"/>
            </w:tcBorders>
            <w:vAlign w:val="center"/>
          </w:tcPr>
          <w:p w14:paraId="19870DF6">
            <w:pPr>
              <w:overflowPunct w:val="0"/>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施工方资质，施工期环保责任书，施工期环保方案。</w:t>
            </w:r>
          </w:p>
        </w:tc>
        <w:tc>
          <w:tcPr>
            <w:tcW w:w="2953" w:type="pct"/>
            <w:tcBorders>
              <w:right w:val="single" w:color="auto" w:sz="4" w:space="0"/>
            </w:tcBorders>
            <w:vAlign w:val="center"/>
          </w:tcPr>
          <w:p w14:paraId="2AC73F8C">
            <w:pPr>
              <w:overflowPunct w:val="0"/>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建设方与施工方签订环保合同，施工方具有相应资质，施工方制定了详细的可操作的各项环保措施方案。</w:t>
            </w:r>
          </w:p>
        </w:tc>
      </w:tr>
      <w:tr w14:paraId="2CDC54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7" w:hRule="atLeast"/>
          <w:jc w:val="center"/>
        </w:trPr>
        <w:tc>
          <w:tcPr>
            <w:tcW w:w="382" w:type="pct"/>
            <w:tcBorders>
              <w:left w:val="single" w:color="auto" w:sz="4" w:space="0"/>
            </w:tcBorders>
            <w:vAlign w:val="center"/>
          </w:tcPr>
          <w:p w14:paraId="3C87162C">
            <w:pPr>
              <w:overflowPunct w:val="0"/>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施工</w:t>
            </w:r>
          </w:p>
          <w:p w14:paraId="0C990E20">
            <w:pPr>
              <w:overflowPunct w:val="0"/>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阶段</w:t>
            </w:r>
          </w:p>
        </w:tc>
        <w:tc>
          <w:tcPr>
            <w:tcW w:w="1664" w:type="pct"/>
            <w:tcBorders>
              <w:right w:val="single" w:color="auto" w:sz="4" w:space="0"/>
            </w:tcBorders>
            <w:vAlign w:val="center"/>
          </w:tcPr>
          <w:p w14:paraId="49D6D0EE">
            <w:pPr>
              <w:overflowPunct w:val="0"/>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施工平面布置；物料堆放；临时排水沟及沉淀池；生活污水处理装置及生活垃圾清运情况；规范作业；各项目生态保护措施落实情况；环境监测计划落实情况，夜间施工情况等。</w:t>
            </w:r>
          </w:p>
        </w:tc>
        <w:tc>
          <w:tcPr>
            <w:tcW w:w="2953" w:type="pct"/>
            <w:tcBorders>
              <w:right w:val="single" w:color="auto" w:sz="4" w:space="0"/>
            </w:tcBorders>
            <w:vAlign w:val="center"/>
          </w:tcPr>
          <w:p w14:paraId="1D622870">
            <w:pPr>
              <w:overflowPunct w:val="0"/>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施工平面布置与可研方案相符；物料在预定位置堆放，设有围挡；不在</w:t>
            </w:r>
            <w:r>
              <w:rPr>
                <w:rFonts w:hint="eastAsia" w:ascii="Times New Roman" w:hAnsi="Times New Roman" w:eastAsia="宋体" w:cs="Times New Roman"/>
                <w:color w:val="auto"/>
                <w:sz w:val="21"/>
                <w:lang w:val="en-US" w:eastAsia="zh-CN"/>
              </w:rPr>
              <w:t>生态红线</w:t>
            </w:r>
            <w:r>
              <w:rPr>
                <w:rFonts w:hint="default" w:ascii="Times New Roman" w:hAnsi="Times New Roman" w:eastAsia="宋体" w:cs="Times New Roman"/>
                <w:color w:val="auto"/>
                <w:sz w:val="21"/>
                <w:lang w:val="en-US" w:eastAsia="zh-CN"/>
              </w:rPr>
              <w:t>区内取土；施工设备维护良好，操作规范；设有临时排水沟及沉淀池；临时弃土在规定地点堆放；生活垃圾和施工产生的建筑垃圾清运；无捕猎现象；按要求进行施工期环境监测。禁止夜间施工时间落实情况；保护区</w:t>
            </w:r>
            <w:r>
              <w:rPr>
                <w:rFonts w:hint="eastAsia" w:ascii="Times New Roman" w:hAnsi="Times New Roman" w:eastAsia="宋体" w:cs="Times New Roman"/>
                <w:color w:val="auto"/>
                <w:sz w:val="21"/>
                <w:lang w:val="en-US" w:eastAsia="zh-CN"/>
              </w:rPr>
              <w:t>及其他</w:t>
            </w:r>
            <w:r>
              <w:rPr>
                <w:rFonts w:hint="default" w:ascii="Times New Roman" w:hAnsi="Times New Roman" w:eastAsia="宋体" w:cs="Times New Roman"/>
                <w:color w:val="auto"/>
                <w:sz w:val="21"/>
                <w:lang w:val="en-US" w:eastAsia="zh-CN"/>
              </w:rPr>
              <w:t>潜在生境保护措施落实情况。</w:t>
            </w:r>
          </w:p>
        </w:tc>
      </w:tr>
      <w:tr w14:paraId="1ED3D1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7" w:hRule="atLeast"/>
          <w:jc w:val="center"/>
        </w:trPr>
        <w:tc>
          <w:tcPr>
            <w:tcW w:w="382" w:type="pct"/>
            <w:tcBorders>
              <w:left w:val="single" w:color="auto" w:sz="4" w:space="0"/>
            </w:tcBorders>
            <w:vAlign w:val="center"/>
          </w:tcPr>
          <w:p w14:paraId="7F527F65">
            <w:pPr>
              <w:overflowPunct w:val="0"/>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施工结束后</w:t>
            </w:r>
          </w:p>
        </w:tc>
        <w:tc>
          <w:tcPr>
            <w:tcW w:w="1664" w:type="pct"/>
            <w:tcBorders>
              <w:right w:val="single" w:color="auto" w:sz="4" w:space="0"/>
            </w:tcBorders>
            <w:vAlign w:val="center"/>
          </w:tcPr>
          <w:p w14:paraId="0EC78027">
            <w:pPr>
              <w:overflowPunct w:val="0"/>
              <w:spacing w:line="240" w:lineRule="auto"/>
              <w:ind w:firstLine="0" w:firstLineChars="0"/>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土</w:t>
            </w:r>
            <w:r>
              <w:rPr>
                <w:rFonts w:hint="default" w:ascii="Times New Roman" w:hAnsi="Times New Roman" w:eastAsia="宋体" w:cs="Times New Roman"/>
                <w:color w:val="auto"/>
                <w:sz w:val="21"/>
                <w:lang w:val="en-US" w:eastAsia="zh-CN"/>
              </w:rPr>
              <w:t>方回填情况；场地平整情况；复绿情况。</w:t>
            </w:r>
          </w:p>
        </w:tc>
        <w:tc>
          <w:tcPr>
            <w:tcW w:w="2953" w:type="pct"/>
            <w:tcBorders>
              <w:right w:val="single" w:color="auto" w:sz="4" w:space="0"/>
            </w:tcBorders>
            <w:vAlign w:val="center"/>
          </w:tcPr>
          <w:p w14:paraId="727E4BA4">
            <w:pPr>
              <w:overflowPunct w:val="0"/>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及时清理余方及场地平整；及时复绿等，</w:t>
            </w:r>
            <w:r>
              <w:rPr>
                <w:rFonts w:hint="eastAsia" w:ascii="Times New Roman" w:hAnsi="Times New Roman" w:eastAsia="宋体" w:cs="Times New Roman"/>
                <w:color w:val="auto"/>
                <w:sz w:val="21"/>
                <w:lang w:val="en-US" w:eastAsia="zh-CN"/>
              </w:rPr>
              <w:t>其他</w:t>
            </w:r>
            <w:r>
              <w:rPr>
                <w:rFonts w:hint="default" w:ascii="Times New Roman" w:hAnsi="Times New Roman" w:eastAsia="宋体" w:cs="Times New Roman"/>
                <w:color w:val="auto"/>
                <w:sz w:val="21"/>
                <w:lang w:val="en-US" w:eastAsia="zh-CN"/>
              </w:rPr>
              <w:t>生态补偿和生态监测落实情况。</w:t>
            </w:r>
          </w:p>
        </w:tc>
      </w:tr>
    </w:tbl>
    <w:p w14:paraId="05A51ED7">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8"/>
          <w:lang w:val="en-US" w:eastAsia="zh-CN"/>
        </w:rPr>
      </w:pPr>
      <w:bookmarkStart w:id="833" w:name="_Toc19482"/>
      <w:bookmarkStart w:id="834" w:name="_Toc19307"/>
      <w:bookmarkStart w:id="835" w:name="_Toc28297"/>
      <w:bookmarkStart w:id="836" w:name="_Toc2782"/>
      <w:bookmarkStart w:id="837" w:name="_Toc11484"/>
      <w:bookmarkStart w:id="838" w:name="_Toc24325"/>
      <w:r>
        <w:rPr>
          <w:rFonts w:hint="default" w:ascii="Times New Roman" w:hAnsi="Times New Roman" w:eastAsia="宋体" w:cs="Times New Roman"/>
          <w:sz w:val="28"/>
          <w:szCs w:val="28"/>
          <w:lang w:val="en-US" w:eastAsia="zh-CN"/>
        </w:rPr>
        <w:t>5.5生态恢复与补偿措施</w:t>
      </w:r>
      <w:bookmarkEnd w:id="833"/>
      <w:bookmarkEnd w:id="834"/>
      <w:bookmarkEnd w:id="835"/>
      <w:bookmarkEnd w:id="836"/>
      <w:bookmarkEnd w:id="837"/>
      <w:bookmarkEnd w:id="838"/>
    </w:p>
    <w:p w14:paraId="7336277C">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工程施工会对施工场地的植被造成破坏，为防止水土流失对保护区及周边的生态环境造成影响，应在施工完成后对施工场地进行植被恢复。植被恢复可采用当地树种和草种，计划实施期限为运营期3年。</w:t>
      </w:r>
    </w:p>
    <w:p w14:paraId="5F1CFE28">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eastAsia" w:ascii="Times New Roman" w:hAnsi="Times New Roman" w:eastAsia="宋体" w:cs="Times New Roman"/>
          <w:b/>
          <w:bCs/>
          <w:sz w:val="24"/>
          <w:szCs w:val="21"/>
          <w:lang w:val="en-US" w:eastAsia="zh-CN"/>
        </w:rPr>
        <w:t>1、</w:t>
      </w:r>
      <w:r>
        <w:rPr>
          <w:rFonts w:hint="default" w:ascii="Times New Roman" w:hAnsi="Times New Roman" w:eastAsia="宋体" w:cs="Times New Roman"/>
          <w:b/>
          <w:bCs/>
          <w:sz w:val="24"/>
          <w:szCs w:val="21"/>
          <w:lang w:val="en-US" w:eastAsia="zh-CN"/>
        </w:rPr>
        <w:t>植被恢复措施</w:t>
      </w:r>
    </w:p>
    <w:p w14:paraId="5067C644">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工程施工结束后，植被恢复除考虑路基防护、水土保持外，还应适当考虑景观及环保作用，使水保、绿化、美化、环保有机结合为一体。对占用灌草地的植被恢复，在</w:t>
      </w:r>
      <w:r>
        <w:rPr>
          <w:rFonts w:hint="eastAsia" w:ascii="Times New Roman" w:hAnsi="Times New Roman" w:eastAsia="宋体" w:cs="Times New Roman"/>
          <w:sz w:val="24"/>
          <w:szCs w:val="21"/>
          <w:lang w:val="en-US" w:eastAsia="zh-CN"/>
        </w:rPr>
        <w:t>“</w:t>
      </w:r>
      <w:r>
        <w:rPr>
          <w:rFonts w:hint="default" w:ascii="Times New Roman" w:hAnsi="Times New Roman" w:eastAsia="宋体" w:cs="Times New Roman"/>
          <w:sz w:val="24"/>
          <w:szCs w:val="21"/>
          <w:lang w:val="en-US" w:eastAsia="zh-CN"/>
        </w:rPr>
        <w:t>适地适树、适地适草</w:t>
      </w:r>
      <w:r>
        <w:rPr>
          <w:rFonts w:hint="eastAsia" w:ascii="Times New Roman" w:hAnsi="Times New Roman" w:eastAsia="宋体" w:cs="Times New Roman"/>
          <w:sz w:val="24"/>
          <w:szCs w:val="21"/>
          <w:lang w:val="en-US" w:eastAsia="zh-CN"/>
        </w:rPr>
        <w:t>”</w:t>
      </w:r>
      <w:r>
        <w:rPr>
          <w:rFonts w:hint="default" w:ascii="Times New Roman" w:hAnsi="Times New Roman" w:eastAsia="宋体" w:cs="Times New Roman"/>
          <w:sz w:val="24"/>
          <w:szCs w:val="21"/>
          <w:lang w:val="en-US" w:eastAsia="zh-CN"/>
        </w:rPr>
        <w:t>的原则下，树种、草种应以选择当地优良的乡土树种、草种为主，保证绿化栽植的成活率。新建生态停车场剥离的表层用作植被恢复。</w:t>
      </w:r>
    </w:p>
    <w:p w14:paraId="71321965">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eastAsia" w:ascii="Times New Roman" w:hAnsi="Times New Roman" w:eastAsia="宋体" w:cs="Times New Roman"/>
          <w:b/>
          <w:bCs/>
          <w:sz w:val="24"/>
          <w:szCs w:val="21"/>
          <w:lang w:val="en-US" w:eastAsia="zh-CN"/>
        </w:rPr>
        <w:t>2、</w:t>
      </w:r>
      <w:r>
        <w:rPr>
          <w:rFonts w:hint="default" w:ascii="Times New Roman" w:hAnsi="Times New Roman" w:eastAsia="宋体" w:cs="Times New Roman"/>
          <w:b/>
          <w:bCs/>
          <w:sz w:val="24"/>
          <w:szCs w:val="21"/>
          <w:lang w:val="en-US" w:eastAsia="zh-CN"/>
        </w:rPr>
        <w:t>动物保护与补偿措施</w:t>
      </w:r>
    </w:p>
    <w:p w14:paraId="02AC1F0D">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工程完工后尽快做好生态环境的恢复工作，以尽量减少生境破坏对动物的影响。动物应保护其食源、水源、保障其迁徙路线的畅通。对偶尔出现在施工区的野生动物严禁捕捉、猎杀，而应保护，对受伤的野生动物要积极救护或通知有关单位。</w:t>
      </w:r>
    </w:p>
    <w:p w14:paraId="33ACBA1B">
      <w:pPr>
        <w:pStyle w:val="9"/>
        <w:adjustRightInd w:val="0"/>
        <w:snapToGrid w:val="0"/>
        <w:spacing w:after="0" w:line="360" w:lineRule="auto"/>
        <w:ind w:firstLine="482" w:firstLineChars="200"/>
        <w:rPr>
          <w:rFonts w:hint="default" w:ascii="Times New Roman" w:hAnsi="Times New Roman" w:eastAsia="宋体" w:cs="Times New Roman"/>
          <w:b/>
          <w:bCs/>
          <w:sz w:val="24"/>
          <w:szCs w:val="21"/>
          <w:lang w:val="en-US" w:eastAsia="zh-CN"/>
        </w:rPr>
      </w:pPr>
      <w:r>
        <w:rPr>
          <w:rFonts w:hint="eastAsia" w:ascii="Times New Roman" w:hAnsi="Times New Roman" w:eastAsia="宋体" w:cs="Times New Roman"/>
          <w:b/>
          <w:bCs/>
          <w:sz w:val="24"/>
          <w:szCs w:val="21"/>
          <w:lang w:val="en-US" w:eastAsia="zh-CN"/>
        </w:rPr>
        <w:t>3、</w:t>
      </w:r>
      <w:r>
        <w:rPr>
          <w:rFonts w:hint="default" w:ascii="Times New Roman" w:hAnsi="Times New Roman" w:eastAsia="宋体" w:cs="Times New Roman"/>
          <w:b/>
          <w:bCs/>
          <w:sz w:val="24"/>
          <w:szCs w:val="21"/>
          <w:lang w:val="en-US" w:eastAsia="zh-CN"/>
        </w:rPr>
        <w:t>水土保持措施</w:t>
      </w:r>
    </w:p>
    <w:p w14:paraId="0D3B02E4">
      <w:pPr>
        <w:adjustRightInd w:val="0"/>
        <w:snapToGrid w:val="0"/>
        <w:spacing w:line="360" w:lineRule="auto"/>
        <w:ind w:firstLine="480" w:firstLineChars="200"/>
        <w:rPr>
          <w:rFonts w:hint="eastAsia"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本项目不属于露天采矿项目，选址无法避让桐柏山-大别山国家级水土流失重点预防区，</w:t>
      </w:r>
      <w:r>
        <w:rPr>
          <w:rFonts w:hint="eastAsia" w:ascii="Times New Roman" w:hAnsi="Times New Roman" w:eastAsia="宋体" w:cs="Times New Roman"/>
          <w:color w:val="auto"/>
          <w:sz w:val="24"/>
          <w:szCs w:val="32"/>
          <w:lang w:val="en-US" w:eastAsia="zh-CN"/>
        </w:rPr>
        <w:t>设计</w:t>
      </w:r>
      <w:r>
        <w:rPr>
          <w:rFonts w:hint="default" w:ascii="Times New Roman" w:hAnsi="Times New Roman" w:eastAsia="宋体" w:cs="Times New Roman"/>
          <w:color w:val="auto"/>
          <w:sz w:val="24"/>
          <w:szCs w:val="32"/>
          <w:lang w:val="en-US" w:eastAsia="zh-CN"/>
        </w:rPr>
        <w:t>水土流失防治标准为一级，</w:t>
      </w:r>
      <w:r>
        <w:rPr>
          <w:rFonts w:hint="eastAsia" w:ascii="Times New Roman" w:hAnsi="Times New Roman" w:eastAsia="宋体" w:cs="Times New Roman"/>
          <w:color w:val="auto"/>
          <w:sz w:val="24"/>
          <w:szCs w:val="32"/>
          <w:lang w:val="en-US" w:eastAsia="zh-CN"/>
        </w:rPr>
        <w:t>施工需</w:t>
      </w:r>
      <w:r>
        <w:rPr>
          <w:rFonts w:hint="default" w:ascii="Times New Roman" w:hAnsi="Times New Roman" w:eastAsia="宋体" w:cs="Times New Roman"/>
          <w:color w:val="auto"/>
          <w:sz w:val="24"/>
          <w:szCs w:val="32"/>
          <w:lang w:val="en-US" w:eastAsia="zh-CN"/>
        </w:rPr>
        <w:t>按照避免高挖方、大填方的原则，配套完善的排水系统，避免在雨季开挖回填施工，严格控制施工作业带宽度，施工现场布设围挡</w:t>
      </w:r>
      <w:r>
        <w:rPr>
          <w:rFonts w:hint="eastAsia" w:ascii="Times New Roman" w:hAnsi="Times New Roman" w:eastAsia="宋体" w:cs="Times New Roman"/>
          <w:color w:val="auto"/>
          <w:sz w:val="24"/>
          <w:szCs w:val="32"/>
          <w:lang w:val="en-US" w:eastAsia="zh-CN"/>
        </w:rPr>
        <w:t>。</w:t>
      </w:r>
    </w:p>
    <w:p w14:paraId="327C0AC8">
      <w:pPr>
        <w:pStyle w:val="9"/>
        <w:adjustRightInd w:val="0"/>
        <w:snapToGrid w:val="0"/>
        <w:spacing w:after="0" w:line="360" w:lineRule="auto"/>
        <w:ind w:firstLine="480" w:firstLineChars="200"/>
        <w:rPr>
          <w:rFonts w:hint="eastAsia"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且主体已设计水土保持措施，能够更有效地防治项目区施工过程造成的水土流失</w:t>
      </w:r>
      <w:r>
        <w:rPr>
          <w:rFonts w:hint="eastAsia" w:ascii="Times New Roman" w:hAnsi="Times New Roman" w:eastAsia="宋体" w:cs="Times New Roman"/>
          <w:color w:val="auto"/>
          <w:sz w:val="24"/>
          <w:szCs w:val="32"/>
          <w:lang w:val="en-US" w:eastAsia="zh-CN"/>
        </w:rPr>
        <w:t>，具体如下：</w:t>
      </w:r>
    </w:p>
    <w:p w14:paraId="5EFDCCC0">
      <w:pPr>
        <w:adjustRightInd w:val="0"/>
        <w:snapToGrid w:val="0"/>
        <w:spacing w:line="360" w:lineRule="auto"/>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lang w:val="en-US" w:eastAsia="zh-CN"/>
        </w:rPr>
        <w:t>（1）工程措施：对工程占地范围内宜进行表土剥离的区域采取表土剥离措施；</w:t>
      </w:r>
    </w:p>
    <w:p w14:paraId="619B2017">
      <w:pPr>
        <w:adjustRightInd w:val="0"/>
        <w:snapToGrid w:val="0"/>
        <w:spacing w:line="360" w:lineRule="auto"/>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lang w:val="en-US" w:eastAsia="zh-CN"/>
        </w:rPr>
        <w:t>（2）植物措施：道路边坡的绿化美化措施等。</w:t>
      </w:r>
    </w:p>
    <w:p w14:paraId="152158E6">
      <w:pPr>
        <w:adjustRightInd w:val="0"/>
        <w:snapToGrid w:val="0"/>
        <w:spacing w:line="360" w:lineRule="auto"/>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lang w:val="en-US" w:eastAsia="zh-CN"/>
        </w:rPr>
        <w:t>（3）临时措施：路基施工中填方路肩边缘顺路肩设置挡水土埂、边坡排水以及表土剥离临时堆土拦挡、防护措施；路基施工过程中边坡临时苫盖措施等。</w:t>
      </w:r>
    </w:p>
    <w:bookmarkEnd w:id="824"/>
    <w:bookmarkEnd w:id="825"/>
    <w:bookmarkEnd w:id="826"/>
    <w:p w14:paraId="15FE9C9A">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p>
    <w:p w14:paraId="3D6F11BA">
      <w:pPr>
        <w:pStyle w:val="3"/>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jc w:val="center"/>
        <w:textAlignment w:val="auto"/>
        <w:outlineLvl w:val="9"/>
        <w:rPr>
          <w:rFonts w:hint="default" w:ascii="Times New Roman" w:hAnsi="Times New Roman" w:eastAsia="宋体" w:cs="Times New Roman"/>
          <w:sz w:val="32"/>
          <w:szCs w:val="32"/>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55C14DB">
      <w:pPr>
        <w:pStyle w:val="3"/>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jc w:val="center"/>
        <w:textAlignment w:val="auto"/>
        <w:outlineLvl w:val="0"/>
        <w:rPr>
          <w:rFonts w:hint="default" w:ascii="Times New Roman" w:hAnsi="Times New Roman" w:eastAsia="宋体" w:cs="Times New Roman"/>
          <w:sz w:val="32"/>
          <w:szCs w:val="32"/>
          <w:lang w:val="en-US" w:eastAsia="zh-CN"/>
        </w:rPr>
      </w:pPr>
      <w:bookmarkStart w:id="839" w:name="_Toc3848"/>
      <w:bookmarkStart w:id="840" w:name="_Toc13201"/>
      <w:bookmarkStart w:id="841" w:name="_Toc26053"/>
      <w:bookmarkStart w:id="842" w:name="_Toc6484"/>
      <w:bookmarkStart w:id="843" w:name="_Toc4345"/>
      <w:bookmarkStart w:id="844" w:name="_Toc17818"/>
      <w:r>
        <w:rPr>
          <w:rFonts w:hint="default" w:ascii="Times New Roman" w:hAnsi="Times New Roman" w:eastAsia="宋体" w:cs="Times New Roman"/>
          <w:sz w:val="32"/>
          <w:szCs w:val="32"/>
          <w:lang w:val="en-US" w:eastAsia="zh-CN"/>
        </w:rPr>
        <w:t>6  环境管理和生态监测</w:t>
      </w:r>
      <w:bookmarkEnd w:id="839"/>
      <w:bookmarkEnd w:id="840"/>
      <w:bookmarkEnd w:id="841"/>
      <w:bookmarkEnd w:id="842"/>
      <w:bookmarkEnd w:id="843"/>
      <w:bookmarkEnd w:id="844"/>
    </w:p>
    <w:p w14:paraId="68693768">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2"/>
          <w:lang w:val="en-US" w:eastAsia="zh-CN"/>
        </w:rPr>
      </w:pPr>
      <w:bookmarkStart w:id="845" w:name="_Toc23600"/>
      <w:bookmarkStart w:id="846" w:name="_Toc12204"/>
      <w:bookmarkStart w:id="847" w:name="_Toc7258"/>
      <w:bookmarkStart w:id="848" w:name="_Toc11312"/>
      <w:bookmarkStart w:id="849" w:name="_Toc30668"/>
      <w:bookmarkStart w:id="850" w:name="_Toc12481"/>
      <w:r>
        <w:rPr>
          <w:rFonts w:hint="default" w:ascii="Times New Roman" w:hAnsi="Times New Roman" w:eastAsia="宋体" w:cs="Times New Roman"/>
          <w:sz w:val="28"/>
          <w:szCs w:val="22"/>
          <w:lang w:val="en-US" w:eastAsia="zh-CN"/>
        </w:rPr>
        <w:t>6.1生态环境管理</w:t>
      </w:r>
      <w:bookmarkEnd w:id="845"/>
      <w:bookmarkEnd w:id="846"/>
      <w:bookmarkEnd w:id="847"/>
      <w:bookmarkEnd w:id="848"/>
      <w:bookmarkEnd w:id="849"/>
      <w:bookmarkEnd w:id="850"/>
    </w:p>
    <w:p w14:paraId="2624F232">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851" w:name="_Toc21238"/>
      <w:bookmarkStart w:id="852" w:name="_Toc23456"/>
      <w:bookmarkStart w:id="853" w:name="_Toc10465"/>
      <w:bookmarkStart w:id="854" w:name="_Toc14325"/>
      <w:bookmarkStart w:id="855" w:name="_Toc16775"/>
      <w:r>
        <w:rPr>
          <w:rFonts w:hint="default" w:ascii="Times New Roman" w:hAnsi="Times New Roman" w:eastAsia="宋体" w:cs="Times New Roman"/>
          <w:sz w:val="24"/>
          <w:szCs w:val="24"/>
          <w:lang w:val="en-US" w:eastAsia="zh-CN"/>
        </w:rPr>
        <w:t>6.1.1环境管理目的</w:t>
      </w:r>
      <w:bookmarkEnd w:id="851"/>
      <w:bookmarkEnd w:id="852"/>
      <w:bookmarkEnd w:id="853"/>
      <w:bookmarkEnd w:id="854"/>
      <w:bookmarkEnd w:id="855"/>
    </w:p>
    <w:p w14:paraId="0735AAD4">
      <w:pPr>
        <w:pStyle w:val="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环境保护管理计划可划分成施工期环境管理计划和营运期环境管理计划，相应的管理机构一般包括管理机构、监督执行机构和监测机构。该计划用于组织实施由本报告中所提出的环境影响减缓措施，计划中指出了责任方、拟定了操作方案以及监控项目。</w:t>
      </w:r>
    </w:p>
    <w:p w14:paraId="0E41BB04">
      <w:pPr>
        <w:pStyle w:val="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通过环境保护管理，以达到如下目的：</w:t>
      </w:r>
    </w:p>
    <w:p w14:paraId="7A510DBA">
      <w:pPr>
        <w:pStyle w:val="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A.使拟建项目的建设落实环保</w:t>
      </w:r>
      <w:r>
        <w:rPr>
          <w:rFonts w:hint="eastAsia" w:ascii="Times New Roman" w:hAnsi="Times New Roman" w:eastAsia="宋体" w:cs="Times New Roman"/>
          <w:sz w:val="24"/>
          <w:szCs w:val="21"/>
          <w:lang w:val="en-US" w:eastAsia="zh-CN"/>
        </w:rPr>
        <w:t>“</w:t>
      </w:r>
      <w:r>
        <w:rPr>
          <w:rFonts w:hint="default" w:ascii="Times New Roman" w:hAnsi="Times New Roman" w:eastAsia="宋体" w:cs="Times New Roman"/>
          <w:sz w:val="24"/>
          <w:szCs w:val="21"/>
          <w:lang w:val="en-US" w:eastAsia="zh-CN"/>
        </w:rPr>
        <w:t>三同时</w:t>
      </w:r>
      <w:r>
        <w:rPr>
          <w:rFonts w:hint="eastAsia" w:ascii="Times New Roman" w:hAnsi="Times New Roman" w:eastAsia="宋体" w:cs="Times New Roman"/>
          <w:sz w:val="24"/>
          <w:szCs w:val="21"/>
          <w:lang w:val="en-US" w:eastAsia="zh-CN"/>
        </w:rPr>
        <w:t>”</w:t>
      </w:r>
      <w:r>
        <w:rPr>
          <w:rFonts w:hint="default" w:ascii="Times New Roman" w:hAnsi="Times New Roman" w:eastAsia="宋体" w:cs="Times New Roman"/>
          <w:sz w:val="24"/>
          <w:szCs w:val="21"/>
          <w:lang w:val="en-US" w:eastAsia="zh-CN"/>
        </w:rPr>
        <w:t>要求，符合国家、安徽省的建设项目管理要求，并为项目环境保护审批及环境保护竣工验收提供依据。</w:t>
      </w:r>
    </w:p>
    <w:p w14:paraId="312AAF7A">
      <w:pPr>
        <w:pStyle w:val="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B.通过本管理计划的实施，将拟建项目对环境带来的不利影响减少至最低程度，使该项目的经济效益和环境效益得以协调发展。</w:t>
      </w:r>
    </w:p>
    <w:p w14:paraId="10EC6F2C">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2"/>
        <w:rPr>
          <w:rFonts w:hint="default" w:ascii="Times New Roman" w:hAnsi="Times New Roman" w:eastAsia="宋体" w:cs="Times New Roman"/>
          <w:sz w:val="24"/>
          <w:szCs w:val="24"/>
          <w:lang w:val="en-US" w:eastAsia="zh-CN"/>
        </w:rPr>
      </w:pPr>
      <w:bookmarkStart w:id="856" w:name="_Toc16741"/>
      <w:bookmarkStart w:id="857" w:name="_Toc766"/>
      <w:bookmarkStart w:id="858" w:name="_Toc22765"/>
      <w:bookmarkStart w:id="859" w:name="_Toc11211"/>
      <w:bookmarkStart w:id="860" w:name="_Toc29618"/>
      <w:r>
        <w:rPr>
          <w:rFonts w:hint="default" w:ascii="Times New Roman" w:hAnsi="Times New Roman" w:eastAsia="宋体" w:cs="Times New Roman"/>
          <w:sz w:val="24"/>
          <w:szCs w:val="24"/>
          <w:lang w:val="en-US" w:eastAsia="zh-CN"/>
        </w:rPr>
        <w:t>6.1.2环境管理机构及职责</w:t>
      </w:r>
      <w:bookmarkEnd w:id="856"/>
      <w:bookmarkEnd w:id="857"/>
      <w:bookmarkEnd w:id="858"/>
      <w:bookmarkEnd w:id="859"/>
      <w:bookmarkEnd w:id="860"/>
    </w:p>
    <w:p w14:paraId="2104E329">
      <w:pPr>
        <w:pStyle w:val="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（1）管理机构</w:t>
      </w:r>
    </w:p>
    <w:p w14:paraId="32DA812E">
      <w:pPr>
        <w:pStyle w:val="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本项目的建设和营运公司均应成立相关职能部门，</w:t>
      </w:r>
      <w:r>
        <w:rPr>
          <w:rFonts w:hint="eastAsia" w:ascii="Times New Roman" w:hAnsi="Times New Roman" w:eastAsia="宋体" w:cs="Times New Roman"/>
          <w:sz w:val="24"/>
          <w:szCs w:val="21"/>
          <w:lang w:val="en-US" w:eastAsia="zh-CN"/>
        </w:rPr>
        <w:t>委派</w:t>
      </w:r>
      <w:r>
        <w:rPr>
          <w:rFonts w:hint="default" w:ascii="Times New Roman" w:hAnsi="Times New Roman" w:eastAsia="宋体" w:cs="Times New Roman"/>
          <w:sz w:val="24"/>
          <w:szCs w:val="21"/>
          <w:lang w:val="en-US" w:eastAsia="zh-CN"/>
        </w:rPr>
        <w:t>专职人员管理本项目的环保工作。具体工作包括：负责本项目在设计、施工、</w:t>
      </w:r>
      <w:r>
        <w:rPr>
          <w:rFonts w:hint="eastAsia" w:ascii="Times New Roman" w:hAnsi="Times New Roman" w:eastAsia="宋体" w:cs="Times New Roman"/>
          <w:sz w:val="24"/>
          <w:szCs w:val="21"/>
          <w:lang w:val="en-US" w:eastAsia="zh-CN"/>
        </w:rPr>
        <w:t>运营</w:t>
      </w:r>
      <w:r>
        <w:rPr>
          <w:rFonts w:hint="default" w:ascii="Times New Roman" w:hAnsi="Times New Roman" w:eastAsia="宋体" w:cs="Times New Roman"/>
          <w:sz w:val="24"/>
          <w:szCs w:val="21"/>
          <w:lang w:val="en-US" w:eastAsia="zh-CN"/>
        </w:rPr>
        <w:t>各个阶段的环境管理资料和审批资料的收集和归档，为项目竣工环保验收提供相关的环保文件资料；负责</w:t>
      </w:r>
      <w:r>
        <w:rPr>
          <w:rFonts w:hint="eastAsia" w:ascii="Times New Roman" w:hAnsi="Times New Roman" w:eastAsia="宋体" w:cs="Times New Roman"/>
          <w:sz w:val="24"/>
          <w:szCs w:val="21"/>
          <w:lang w:val="en-US" w:eastAsia="zh-CN"/>
        </w:rPr>
        <w:t>运营</w:t>
      </w:r>
      <w:r>
        <w:rPr>
          <w:rFonts w:hint="default" w:ascii="Times New Roman" w:hAnsi="Times New Roman" w:eastAsia="宋体" w:cs="Times New Roman"/>
          <w:sz w:val="24"/>
          <w:szCs w:val="21"/>
          <w:lang w:val="en-US" w:eastAsia="zh-CN"/>
        </w:rPr>
        <w:t>期的环保措施实施与管理工作；与各级生态环境主管部门、行业主管部门的协调工作，协助设计单位做好施工期、运营期环保措施的设计和施工。</w:t>
      </w:r>
    </w:p>
    <w:p w14:paraId="10CAD273">
      <w:pPr>
        <w:pStyle w:val="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（2）机构人员要求</w:t>
      </w:r>
    </w:p>
    <w:p w14:paraId="5FF0A51D">
      <w:pPr>
        <w:pStyle w:val="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施工期承担现场监督任务的项目公司有关人员，运营期负责日常管理和措施落实的公路管理相关人员，上述人员均具备必要的环保知识和环保意识，并具备公路项目环境管理经验。</w:t>
      </w:r>
    </w:p>
    <w:p w14:paraId="6986064C">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2"/>
          <w:lang w:val="en-US" w:eastAsia="zh-CN"/>
        </w:rPr>
      </w:pPr>
      <w:bookmarkStart w:id="861" w:name="_Toc5968"/>
      <w:bookmarkStart w:id="862" w:name="_Toc4741"/>
      <w:bookmarkStart w:id="863" w:name="_Toc24216"/>
      <w:bookmarkStart w:id="864" w:name="_Toc11815"/>
      <w:bookmarkStart w:id="865" w:name="_Toc13005"/>
      <w:bookmarkStart w:id="866" w:name="_Toc30051"/>
      <w:r>
        <w:rPr>
          <w:rFonts w:hint="default" w:ascii="Times New Roman" w:hAnsi="Times New Roman" w:eastAsia="宋体" w:cs="Times New Roman"/>
          <w:sz w:val="28"/>
          <w:szCs w:val="22"/>
          <w:lang w:val="en-US" w:eastAsia="zh-CN"/>
        </w:rPr>
        <w:t>6.2环境管理计划</w:t>
      </w:r>
      <w:bookmarkEnd w:id="861"/>
      <w:bookmarkEnd w:id="862"/>
      <w:bookmarkEnd w:id="863"/>
      <w:bookmarkEnd w:id="864"/>
      <w:bookmarkEnd w:id="865"/>
      <w:bookmarkEnd w:id="866"/>
    </w:p>
    <w:p w14:paraId="42D4A72C">
      <w:pPr>
        <w:pStyle w:val="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本项目生态环境管理计划见下表：</w:t>
      </w:r>
    </w:p>
    <w:p w14:paraId="5A90BB74">
      <w:pPr>
        <w:overflowPunct w:val="0"/>
        <w:spacing w:line="240" w:lineRule="auto"/>
        <w:ind w:firstLine="0" w:firstLineChars="0"/>
        <w:jc w:val="center"/>
        <w:rPr>
          <w:rFonts w:hint="default" w:ascii="Times New Roman" w:hAnsi="Times New Roman" w:eastAsia="宋体" w:cs="Times New Roman"/>
          <w:b/>
          <w:bCs/>
          <w:color w:val="auto"/>
          <w:sz w:val="21"/>
          <w:szCs w:val="18"/>
        </w:rPr>
      </w:pPr>
    </w:p>
    <w:p w14:paraId="490A5B3C">
      <w:pPr>
        <w:overflowPunct w:val="0"/>
        <w:spacing w:line="240" w:lineRule="auto"/>
        <w:ind w:firstLine="0" w:firstLineChars="0"/>
        <w:jc w:val="center"/>
        <w:rPr>
          <w:rFonts w:hint="default" w:ascii="Times New Roman" w:hAnsi="Times New Roman" w:eastAsia="宋体" w:cs="Times New Roman"/>
          <w:b/>
          <w:bCs/>
          <w:color w:val="auto"/>
          <w:sz w:val="21"/>
          <w:szCs w:val="18"/>
        </w:rPr>
      </w:pPr>
    </w:p>
    <w:p w14:paraId="6CDA5419">
      <w:pPr>
        <w:overflowPunct w:val="0"/>
        <w:spacing w:line="240" w:lineRule="auto"/>
        <w:ind w:firstLine="0" w:firstLineChars="0"/>
        <w:jc w:val="center"/>
        <w:rPr>
          <w:rFonts w:hint="default" w:ascii="Times New Roman" w:hAnsi="Times New Roman" w:eastAsia="宋体" w:cs="Times New Roman"/>
          <w:b/>
          <w:bCs/>
          <w:color w:val="auto"/>
          <w:sz w:val="21"/>
          <w:szCs w:val="18"/>
        </w:rPr>
      </w:pPr>
    </w:p>
    <w:p w14:paraId="71DE94AC">
      <w:pPr>
        <w:overflowPunct w:val="0"/>
        <w:spacing w:line="240" w:lineRule="auto"/>
        <w:ind w:firstLine="0" w:firstLineChars="0"/>
        <w:jc w:val="center"/>
        <w:rPr>
          <w:rFonts w:hint="default" w:ascii="Times New Roman" w:hAnsi="Times New Roman" w:eastAsia="宋体" w:cs="Times New Roman"/>
          <w:b/>
          <w:bCs/>
          <w:color w:val="auto"/>
          <w:sz w:val="21"/>
          <w:szCs w:val="18"/>
        </w:rPr>
      </w:pPr>
      <w:r>
        <w:rPr>
          <w:rFonts w:hint="default" w:ascii="Times New Roman" w:hAnsi="Times New Roman" w:eastAsia="宋体" w:cs="Times New Roman"/>
          <w:b/>
          <w:bCs/>
          <w:color w:val="auto"/>
          <w:sz w:val="21"/>
          <w:szCs w:val="18"/>
        </w:rPr>
        <w:t>表</w:t>
      </w:r>
      <w:r>
        <w:rPr>
          <w:rFonts w:hint="eastAsia" w:ascii="Times New Roman" w:hAnsi="Times New Roman" w:eastAsia="宋体" w:cs="Times New Roman"/>
          <w:b/>
          <w:bCs/>
          <w:color w:val="auto"/>
          <w:sz w:val="21"/>
          <w:szCs w:val="18"/>
          <w:lang w:val="en-US" w:eastAsia="zh-CN"/>
        </w:rPr>
        <w:t>6-1</w:t>
      </w:r>
      <w:r>
        <w:rPr>
          <w:rFonts w:hint="default" w:ascii="Times New Roman" w:hAnsi="Times New Roman" w:eastAsia="宋体" w:cs="Times New Roman"/>
          <w:b/>
          <w:bCs/>
          <w:color w:val="auto"/>
          <w:sz w:val="21"/>
          <w:szCs w:val="18"/>
          <w:lang w:val="en-US" w:eastAsia="zh-CN"/>
        </w:rPr>
        <w:t xml:space="preserve">  环境管理计划</w:t>
      </w:r>
    </w:p>
    <w:tbl>
      <w:tblPr>
        <w:tblStyle w:val="75"/>
        <w:tblW w:w="510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08"/>
        <w:gridCol w:w="6791"/>
        <w:gridCol w:w="529"/>
        <w:gridCol w:w="552"/>
      </w:tblGrid>
      <w:tr w14:paraId="26A046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58" w:type="pct"/>
            <w:tcBorders>
              <w:left w:val="single" w:color="auto" w:sz="4" w:space="0"/>
            </w:tcBorders>
            <w:vAlign w:val="center"/>
          </w:tcPr>
          <w:p w14:paraId="72449FEE">
            <w:pPr>
              <w:overflowPunct w:val="0"/>
              <w:spacing w:line="240" w:lineRule="auto"/>
              <w:ind w:firstLine="0" w:firstLineChars="0"/>
              <w:jc w:val="center"/>
              <w:rPr>
                <w:rFonts w:hint="default" w:ascii="Times New Roman" w:hAnsi="Times New Roman" w:eastAsia="宋体" w:cs="Times New Roman"/>
                <w:b/>
                <w:bCs/>
                <w:color w:val="auto"/>
                <w:sz w:val="21"/>
                <w:lang w:val="en-US" w:eastAsia="zh-CN"/>
              </w:rPr>
            </w:pPr>
            <w:r>
              <w:rPr>
                <w:rFonts w:hint="default" w:ascii="Times New Roman" w:hAnsi="Times New Roman" w:eastAsia="宋体" w:cs="Times New Roman"/>
                <w:b/>
                <w:bCs/>
                <w:color w:val="auto"/>
                <w:sz w:val="21"/>
                <w:lang w:val="en-US" w:eastAsia="zh-CN"/>
              </w:rPr>
              <w:t>环境问题</w:t>
            </w:r>
          </w:p>
        </w:tc>
        <w:tc>
          <w:tcPr>
            <w:tcW w:w="4002" w:type="pct"/>
            <w:tcBorders>
              <w:right w:val="single" w:color="auto" w:sz="4" w:space="0"/>
            </w:tcBorders>
            <w:vAlign w:val="center"/>
          </w:tcPr>
          <w:p w14:paraId="396DD3D3">
            <w:pPr>
              <w:overflowPunct w:val="0"/>
              <w:spacing w:line="240" w:lineRule="auto"/>
              <w:ind w:firstLine="0" w:firstLineChars="0"/>
              <w:jc w:val="center"/>
              <w:rPr>
                <w:rFonts w:hint="default" w:ascii="Times New Roman" w:hAnsi="Times New Roman" w:eastAsia="宋体" w:cs="Times New Roman"/>
                <w:b/>
                <w:bCs/>
                <w:color w:val="auto"/>
                <w:sz w:val="21"/>
                <w:lang w:val="en-US" w:eastAsia="zh-CN"/>
              </w:rPr>
            </w:pPr>
            <w:r>
              <w:rPr>
                <w:rFonts w:hint="default" w:ascii="Times New Roman" w:hAnsi="Times New Roman" w:eastAsia="宋体" w:cs="Times New Roman"/>
                <w:b/>
                <w:bCs/>
                <w:color w:val="auto"/>
                <w:sz w:val="21"/>
                <w:lang w:val="en-US" w:eastAsia="zh-CN"/>
              </w:rPr>
              <w:t>管理目标</w:t>
            </w:r>
          </w:p>
        </w:tc>
        <w:tc>
          <w:tcPr>
            <w:tcW w:w="312" w:type="pct"/>
            <w:tcBorders>
              <w:right w:val="single" w:color="auto" w:sz="4" w:space="0"/>
            </w:tcBorders>
            <w:vAlign w:val="center"/>
          </w:tcPr>
          <w:p w14:paraId="2442E7B9">
            <w:pPr>
              <w:overflowPunct w:val="0"/>
              <w:spacing w:line="240" w:lineRule="auto"/>
              <w:ind w:firstLine="0" w:firstLineChars="0"/>
              <w:jc w:val="center"/>
              <w:rPr>
                <w:rFonts w:hint="default" w:ascii="Times New Roman" w:hAnsi="Times New Roman" w:eastAsia="宋体" w:cs="Times New Roman"/>
                <w:b/>
                <w:bCs/>
                <w:color w:val="auto"/>
                <w:sz w:val="21"/>
                <w:lang w:val="en-US" w:eastAsia="zh-CN"/>
              </w:rPr>
            </w:pPr>
            <w:r>
              <w:rPr>
                <w:rFonts w:hint="default" w:ascii="Times New Roman" w:hAnsi="Times New Roman" w:eastAsia="宋体" w:cs="Times New Roman"/>
                <w:b/>
                <w:bCs/>
                <w:color w:val="auto"/>
                <w:sz w:val="21"/>
                <w:lang w:val="en-US" w:eastAsia="zh-CN"/>
              </w:rPr>
              <w:t>实施机构</w:t>
            </w:r>
          </w:p>
        </w:tc>
        <w:tc>
          <w:tcPr>
            <w:tcW w:w="325" w:type="pct"/>
            <w:tcBorders>
              <w:right w:val="single" w:color="auto" w:sz="4" w:space="0"/>
            </w:tcBorders>
            <w:vAlign w:val="center"/>
          </w:tcPr>
          <w:p w14:paraId="000118E9">
            <w:pPr>
              <w:overflowPunct w:val="0"/>
              <w:spacing w:line="240" w:lineRule="auto"/>
              <w:ind w:firstLine="0" w:firstLineChars="0"/>
              <w:jc w:val="center"/>
              <w:rPr>
                <w:rFonts w:hint="default" w:ascii="Times New Roman" w:hAnsi="Times New Roman" w:eastAsia="宋体" w:cs="Times New Roman"/>
                <w:b/>
                <w:bCs/>
                <w:color w:val="auto"/>
                <w:sz w:val="21"/>
                <w:lang w:val="en-US" w:eastAsia="zh-CN"/>
              </w:rPr>
            </w:pPr>
            <w:r>
              <w:rPr>
                <w:rFonts w:hint="default" w:ascii="Times New Roman" w:hAnsi="Times New Roman" w:eastAsia="宋体" w:cs="Times New Roman"/>
                <w:b/>
                <w:bCs/>
                <w:color w:val="auto"/>
                <w:sz w:val="21"/>
                <w:lang w:val="en-US" w:eastAsia="zh-CN"/>
              </w:rPr>
              <w:t>负责机构</w:t>
            </w:r>
          </w:p>
        </w:tc>
      </w:tr>
      <w:tr w14:paraId="31BBC8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7" w:hRule="atLeast"/>
          <w:jc w:val="center"/>
        </w:trPr>
        <w:tc>
          <w:tcPr>
            <w:tcW w:w="358" w:type="pct"/>
            <w:tcBorders>
              <w:left w:val="single" w:color="auto" w:sz="4" w:space="0"/>
            </w:tcBorders>
            <w:vAlign w:val="center"/>
          </w:tcPr>
          <w:p w14:paraId="6B4A9D98">
            <w:pPr>
              <w:overflowPunct w:val="0"/>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生态环境</w:t>
            </w:r>
          </w:p>
        </w:tc>
        <w:tc>
          <w:tcPr>
            <w:tcW w:w="4002" w:type="pct"/>
            <w:tcBorders>
              <w:right w:val="single" w:color="auto" w:sz="4" w:space="0"/>
            </w:tcBorders>
            <w:vAlign w:val="center"/>
          </w:tcPr>
          <w:p w14:paraId="5119A4E7">
            <w:pPr>
              <w:overflowPunct w:val="0"/>
              <w:spacing w:line="240" w:lineRule="auto"/>
              <w:ind w:firstLine="0" w:firstLineChars="0"/>
              <w:jc w:val="left"/>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1</w:t>
            </w:r>
            <w:r>
              <w:rPr>
                <w:rFonts w:hint="eastAsia" w:ascii="Times New Roman" w:hAnsi="Times New Roman" w:eastAsia="宋体" w:cs="Times New Roman"/>
                <w:color w:val="auto"/>
                <w:sz w:val="21"/>
                <w:lang w:val="en-US" w:eastAsia="zh-CN"/>
              </w:rPr>
              <w:t>、保护耕地和植被，减少公路临时占地，做好临时用地的恢复工作；</w:t>
            </w:r>
          </w:p>
          <w:p w14:paraId="128449D5">
            <w:pPr>
              <w:overflowPunct w:val="0"/>
              <w:spacing w:line="240" w:lineRule="auto"/>
              <w:ind w:firstLine="0" w:firstLineChars="0"/>
              <w:jc w:val="left"/>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2</w:t>
            </w:r>
            <w:r>
              <w:rPr>
                <w:rFonts w:hint="eastAsia" w:ascii="Times New Roman" w:hAnsi="Times New Roman" w:eastAsia="宋体" w:cs="Times New Roman"/>
                <w:color w:val="auto"/>
                <w:sz w:val="21"/>
                <w:lang w:val="en-US" w:eastAsia="zh-CN"/>
              </w:rPr>
              <w:t>、施工前应请林业专业人员对作业带及周边植物进行辨别，如有重点保护植物应考虑避让或移植保护；</w:t>
            </w:r>
          </w:p>
          <w:p w14:paraId="36029CC0">
            <w:pPr>
              <w:overflowPunct w:val="0"/>
              <w:spacing w:line="240" w:lineRule="auto"/>
              <w:ind w:firstLine="0" w:firstLineChars="0"/>
              <w:jc w:val="left"/>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3</w:t>
            </w:r>
            <w:r>
              <w:rPr>
                <w:rFonts w:hint="eastAsia" w:ascii="Times New Roman" w:hAnsi="Times New Roman" w:eastAsia="宋体" w:cs="Times New Roman"/>
                <w:color w:val="auto"/>
                <w:sz w:val="21"/>
                <w:lang w:val="en-US" w:eastAsia="zh-CN"/>
              </w:rPr>
              <w:t>、施工过程中加强施工管理，严禁在生态保护红线与水源保护区内设置取土场、弃渣场等大临工程；</w:t>
            </w:r>
          </w:p>
          <w:p w14:paraId="600777BF">
            <w:pPr>
              <w:overflowPunct w:val="0"/>
              <w:spacing w:line="240" w:lineRule="auto"/>
              <w:ind w:firstLine="0" w:firstLineChars="0"/>
              <w:jc w:val="left"/>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4</w:t>
            </w:r>
            <w:r>
              <w:rPr>
                <w:rFonts w:hint="eastAsia" w:ascii="Times New Roman" w:hAnsi="Times New Roman" w:eastAsia="宋体" w:cs="Times New Roman"/>
                <w:color w:val="auto"/>
                <w:sz w:val="21"/>
                <w:lang w:val="en-US" w:eastAsia="zh-CN"/>
              </w:rPr>
              <w:t>、保护野生动物，防止捕杀野生保护动物，同时避开野生动物活动的高峰时段，应避免在早晨、黄昏和晚上进行打桩等高噪声作业；</w:t>
            </w:r>
          </w:p>
          <w:p w14:paraId="45783608">
            <w:pPr>
              <w:overflowPunct w:val="0"/>
              <w:spacing w:line="240" w:lineRule="auto"/>
              <w:ind w:firstLine="0" w:firstLineChars="0"/>
              <w:jc w:val="left"/>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5</w:t>
            </w:r>
            <w:r>
              <w:rPr>
                <w:rFonts w:hint="eastAsia" w:ascii="Times New Roman" w:hAnsi="Times New Roman" w:eastAsia="宋体" w:cs="Times New Roman"/>
                <w:color w:val="auto"/>
                <w:sz w:val="21"/>
                <w:lang w:val="en-US" w:eastAsia="zh-CN"/>
              </w:rPr>
              <w:t>、施工时注意保护大桥下的自然植被，施工后在附近补种一定数量的本地乔木并减少人为活动的痕迹，使杂草、灌木尽早恢复其自然景观，有利于动物通行；</w:t>
            </w:r>
          </w:p>
          <w:p w14:paraId="406BFBB2">
            <w:pPr>
              <w:overflowPunct w:val="0"/>
              <w:spacing w:line="240" w:lineRule="auto"/>
              <w:ind w:firstLine="0" w:firstLineChars="0"/>
              <w:jc w:val="left"/>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6</w:t>
            </w:r>
            <w:r>
              <w:rPr>
                <w:rFonts w:hint="eastAsia" w:ascii="Times New Roman" w:hAnsi="Times New Roman" w:eastAsia="宋体" w:cs="Times New Roman"/>
                <w:color w:val="auto"/>
                <w:sz w:val="21"/>
                <w:lang w:val="en-US" w:eastAsia="zh-CN"/>
              </w:rPr>
              <w:t>、施工前应对施工人员进行培训，通过海报、图片等方式使施工人员具备一定的保护动物辨别能力，加强动物保护法律意识；</w:t>
            </w:r>
          </w:p>
          <w:p w14:paraId="27DD2DDA">
            <w:pPr>
              <w:overflowPunct w:val="0"/>
              <w:spacing w:line="240" w:lineRule="auto"/>
              <w:ind w:firstLine="0" w:firstLineChars="0"/>
              <w:jc w:val="left"/>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7</w:t>
            </w:r>
            <w:r>
              <w:rPr>
                <w:rFonts w:hint="eastAsia" w:ascii="Times New Roman" w:hAnsi="Times New Roman" w:eastAsia="宋体" w:cs="Times New Roman"/>
                <w:color w:val="auto"/>
                <w:sz w:val="21"/>
                <w:lang w:val="en-US" w:eastAsia="zh-CN"/>
              </w:rPr>
              <w:t>、施工过程中一旦发现受伤野生动物，应及时与当地野保站联系，进行救治；</w:t>
            </w:r>
          </w:p>
          <w:p w14:paraId="281751A1">
            <w:pPr>
              <w:overflowPunct w:val="0"/>
              <w:spacing w:line="240" w:lineRule="auto"/>
              <w:ind w:firstLine="0" w:firstLineChars="0"/>
              <w:jc w:val="left"/>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8、林缘带、自然水体周边等生境多样化的区域，多为野生动物集中的区域，应尽量避免改变自然景观，保护重要生境。</w:t>
            </w:r>
          </w:p>
        </w:tc>
        <w:tc>
          <w:tcPr>
            <w:tcW w:w="529" w:type="dxa"/>
            <w:tcBorders>
              <w:right w:val="single" w:color="auto" w:sz="4" w:space="0"/>
            </w:tcBorders>
            <w:vAlign w:val="center"/>
          </w:tcPr>
          <w:p w14:paraId="737F2A61">
            <w:pPr>
              <w:keepNext w:val="0"/>
              <w:keepLines w:val="0"/>
              <w:widowControl/>
              <w:suppressLineNumbers w:val="0"/>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b w:val="0"/>
                <w:bCs w:val="0"/>
                <w:color w:val="auto"/>
                <w:kern w:val="0"/>
                <w:sz w:val="21"/>
                <w:szCs w:val="21"/>
                <w:lang w:val="en-US" w:eastAsia="zh-CN" w:bidi="ar"/>
              </w:rPr>
              <w:t>后期由建设单位确定</w:t>
            </w:r>
          </w:p>
        </w:tc>
        <w:tc>
          <w:tcPr>
            <w:tcW w:w="552" w:type="dxa"/>
            <w:tcBorders>
              <w:right w:val="single" w:color="auto" w:sz="4" w:space="0"/>
            </w:tcBorders>
            <w:vAlign w:val="center"/>
          </w:tcPr>
          <w:p w14:paraId="2835E5A6">
            <w:pPr>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b w:val="0"/>
                <w:bCs w:val="0"/>
                <w:color w:val="000000"/>
                <w:kern w:val="0"/>
                <w:sz w:val="21"/>
                <w:szCs w:val="21"/>
                <w:highlight w:val="none"/>
                <w:lang w:val="en-US" w:eastAsia="zh-CN" w:bidi="ar"/>
              </w:rPr>
              <w:t>金寨县关庙乡人民政府</w:t>
            </w:r>
          </w:p>
        </w:tc>
      </w:tr>
    </w:tbl>
    <w:p w14:paraId="1C14B026">
      <w:pPr>
        <w:pStyle w:val="3"/>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jc w:val="center"/>
        <w:textAlignment w:val="auto"/>
        <w:outlineLvl w:val="9"/>
        <w:rPr>
          <w:rFonts w:hint="default" w:ascii="Times New Roman" w:hAnsi="Times New Roman" w:eastAsia="宋体" w:cs="Times New Roman"/>
          <w:sz w:val="32"/>
          <w:szCs w:val="32"/>
          <w:lang w:val="en-US" w:eastAsia="zh-CN"/>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docGrid w:type="lines" w:linePitch="312" w:charSpace="0"/>
        </w:sectPr>
      </w:pPr>
    </w:p>
    <w:p w14:paraId="3C841ABF">
      <w:pPr>
        <w:pStyle w:val="3"/>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jc w:val="center"/>
        <w:textAlignment w:val="auto"/>
        <w:outlineLvl w:val="0"/>
        <w:rPr>
          <w:rFonts w:hint="default" w:ascii="Times New Roman" w:hAnsi="Times New Roman" w:eastAsia="宋体" w:cs="Times New Roman"/>
          <w:sz w:val="32"/>
          <w:szCs w:val="32"/>
          <w:lang w:val="en-US" w:eastAsia="zh-CN"/>
        </w:rPr>
      </w:pPr>
      <w:bookmarkStart w:id="867" w:name="_Toc22663"/>
      <w:bookmarkStart w:id="868" w:name="_Toc8253"/>
      <w:bookmarkStart w:id="869" w:name="_Toc10822"/>
      <w:bookmarkStart w:id="870" w:name="_Toc16791"/>
      <w:bookmarkStart w:id="871" w:name="_Toc2062"/>
      <w:bookmarkStart w:id="872" w:name="_Toc21676"/>
      <w:r>
        <w:rPr>
          <w:rFonts w:hint="eastAsia" w:ascii="Times New Roman" w:hAnsi="Times New Roman" w:eastAsia="宋体" w:cs="Times New Roman"/>
          <w:sz w:val="32"/>
          <w:szCs w:val="32"/>
          <w:lang w:val="en-US" w:eastAsia="zh-CN"/>
        </w:rPr>
        <w:t>7</w:t>
      </w:r>
      <w:r>
        <w:rPr>
          <w:rFonts w:hint="default" w:ascii="Times New Roman" w:hAnsi="Times New Roman" w:eastAsia="宋体" w:cs="Times New Roman"/>
          <w:sz w:val="32"/>
          <w:szCs w:val="32"/>
          <w:lang w:val="en-US" w:eastAsia="zh-CN"/>
        </w:rPr>
        <w:t xml:space="preserve">  生态影响评价结论</w:t>
      </w:r>
      <w:bookmarkEnd w:id="867"/>
      <w:bookmarkEnd w:id="868"/>
      <w:bookmarkEnd w:id="869"/>
      <w:bookmarkEnd w:id="870"/>
      <w:bookmarkEnd w:id="871"/>
      <w:bookmarkEnd w:id="872"/>
    </w:p>
    <w:p w14:paraId="762B2603">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2"/>
          <w:lang w:val="en-US" w:eastAsia="zh-CN"/>
        </w:rPr>
      </w:pPr>
      <w:bookmarkStart w:id="873" w:name="_Toc990"/>
      <w:bookmarkStart w:id="874" w:name="_Toc17281"/>
      <w:bookmarkStart w:id="875" w:name="_Toc27813"/>
      <w:bookmarkStart w:id="876" w:name="_Toc32764"/>
      <w:bookmarkStart w:id="877" w:name="_Toc697"/>
      <w:bookmarkStart w:id="878" w:name="_Toc15651"/>
      <w:r>
        <w:rPr>
          <w:rFonts w:hint="eastAsia" w:ascii="Times New Roman" w:hAnsi="Times New Roman" w:eastAsia="宋体" w:cs="Times New Roman"/>
          <w:sz w:val="28"/>
          <w:szCs w:val="22"/>
          <w:lang w:val="en-US" w:eastAsia="zh-CN"/>
        </w:rPr>
        <w:t>7</w:t>
      </w:r>
      <w:r>
        <w:rPr>
          <w:rFonts w:hint="default" w:ascii="Times New Roman" w:hAnsi="Times New Roman" w:eastAsia="宋体" w:cs="Times New Roman"/>
          <w:sz w:val="28"/>
          <w:szCs w:val="22"/>
          <w:lang w:val="en-US" w:eastAsia="zh-CN"/>
        </w:rPr>
        <w:t>.1</w:t>
      </w:r>
      <w:bookmarkEnd w:id="873"/>
      <w:bookmarkEnd w:id="874"/>
      <w:bookmarkEnd w:id="875"/>
      <w:r>
        <w:rPr>
          <w:rFonts w:hint="default" w:ascii="Times New Roman" w:hAnsi="Times New Roman" w:eastAsia="宋体" w:cs="Times New Roman"/>
          <w:sz w:val="28"/>
          <w:szCs w:val="22"/>
          <w:lang w:val="en-US" w:eastAsia="zh-CN"/>
        </w:rPr>
        <w:t>生态现状与保护目标</w:t>
      </w:r>
      <w:bookmarkEnd w:id="876"/>
      <w:bookmarkEnd w:id="877"/>
      <w:bookmarkEnd w:id="878"/>
    </w:p>
    <w:p w14:paraId="3D0544D9">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eastAsia" w:ascii="Times New Roman" w:hAnsi="Times New Roman" w:eastAsia="宋体" w:cs="Times New Roman"/>
          <w:sz w:val="24"/>
          <w:szCs w:val="21"/>
          <w:lang w:val="en-US" w:eastAsia="zh-CN"/>
        </w:rPr>
        <w:t>评价区主要为林地，植被类型主要为竹林。受人类活动影响，评价区范围内多见次生植被和人工作物，</w:t>
      </w:r>
      <w:r>
        <w:rPr>
          <w:rFonts w:hint="default" w:ascii="Times New Roman" w:hAnsi="Times New Roman" w:eastAsia="宋体" w:cs="Times New Roman"/>
          <w:sz w:val="24"/>
          <w:szCs w:val="21"/>
          <w:lang w:val="en-US" w:eastAsia="zh-CN"/>
        </w:rPr>
        <w:t>经现场调查，</w:t>
      </w:r>
      <w:r>
        <w:rPr>
          <w:rFonts w:hint="eastAsia" w:ascii="Times New Roman" w:hAnsi="Times New Roman" w:eastAsia="宋体" w:cs="Times New Roman"/>
          <w:sz w:val="24"/>
          <w:szCs w:val="21"/>
          <w:lang w:val="en-US" w:eastAsia="zh-CN"/>
        </w:rPr>
        <w:t>项目</w:t>
      </w:r>
      <w:r>
        <w:rPr>
          <w:rFonts w:hint="default" w:ascii="Times New Roman" w:hAnsi="Times New Roman" w:eastAsia="宋体" w:cs="Times New Roman"/>
          <w:sz w:val="24"/>
          <w:szCs w:val="21"/>
          <w:lang w:val="en-US" w:eastAsia="zh-CN"/>
        </w:rPr>
        <w:t>评价范围</w:t>
      </w:r>
      <w:r>
        <w:rPr>
          <w:rFonts w:hint="eastAsia" w:ascii="Times New Roman" w:hAnsi="Times New Roman" w:eastAsia="宋体" w:cs="Times New Roman"/>
          <w:sz w:val="24"/>
          <w:szCs w:val="21"/>
          <w:lang w:val="en-US" w:eastAsia="zh-CN"/>
        </w:rPr>
        <w:t>内</w:t>
      </w:r>
      <w:r>
        <w:rPr>
          <w:rFonts w:hint="default" w:ascii="Times New Roman" w:hAnsi="Times New Roman" w:eastAsia="宋体" w:cs="Times New Roman"/>
          <w:sz w:val="24"/>
          <w:szCs w:val="21"/>
          <w:lang w:val="en-US" w:eastAsia="zh-CN"/>
        </w:rPr>
        <w:t>未发现国家</w:t>
      </w:r>
      <w:r>
        <w:rPr>
          <w:rFonts w:hint="default" w:ascii="Times New Roman" w:hAnsi="Times New Roman" w:eastAsia="宋体" w:cs="Times New Roman"/>
          <w:sz w:val="24"/>
          <w:szCs w:val="21"/>
          <w:highlight w:val="none"/>
          <w:lang w:val="en-US" w:eastAsia="zh-CN"/>
        </w:rPr>
        <w:t>重点保护植物</w:t>
      </w:r>
      <w:r>
        <w:rPr>
          <w:rFonts w:hint="eastAsia" w:ascii="Times New Roman" w:hAnsi="Times New Roman" w:eastAsia="宋体" w:cs="Times New Roman"/>
          <w:sz w:val="24"/>
          <w:szCs w:val="21"/>
          <w:highlight w:val="none"/>
          <w:lang w:val="en-US" w:eastAsia="zh-CN"/>
        </w:rPr>
        <w:t>/动物</w:t>
      </w:r>
      <w:r>
        <w:rPr>
          <w:rFonts w:hint="default" w:ascii="Times New Roman" w:hAnsi="Times New Roman" w:eastAsia="宋体" w:cs="Times New Roman"/>
          <w:sz w:val="24"/>
          <w:szCs w:val="21"/>
          <w:lang w:val="en-US" w:eastAsia="zh-CN"/>
        </w:rPr>
        <w:t>，项目评价区主要</w:t>
      </w:r>
      <w:r>
        <w:rPr>
          <w:rFonts w:hint="eastAsia" w:ascii="Times New Roman" w:hAnsi="Times New Roman" w:eastAsia="宋体" w:cs="Times New Roman"/>
          <w:sz w:val="24"/>
          <w:szCs w:val="21"/>
          <w:lang w:val="en-US" w:eastAsia="zh-CN"/>
        </w:rPr>
        <w:t>植物</w:t>
      </w:r>
      <w:r>
        <w:rPr>
          <w:rFonts w:hint="default" w:ascii="Times New Roman" w:hAnsi="Times New Roman" w:eastAsia="宋体" w:cs="Times New Roman"/>
          <w:sz w:val="24"/>
          <w:szCs w:val="21"/>
          <w:highlight w:val="none"/>
          <w:lang w:val="en-US" w:eastAsia="zh-CN"/>
        </w:rPr>
        <w:t>为常见物种</w:t>
      </w:r>
      <w:r>
        <w:rPr>
          <w:rFonts w:hint="eastAsia" w:ascii="Times New Roman" w:hAnsi="Times New Roman" w:eastAsia="宋体" w:cs="Times New Roman"/>
          <w:sz w:val="24"/>
          <w:szCs w:val="21"/>
          <w:highlight w:val="none"/>
          <w:lang w:val="en-US" w:eastAsia="zh-CN"/>
        </w:rPr>
        <w:t>、</w:t>
      </w:r>
      <w:r>
        <w:rPr>
          <w:rFonts w:hint="default" w:ascii="Times New Roman" w:hAnsi="Times New Roman" w:eastAsia="宋体" w:cs="Times New Roman"/>
          <w:sz w:val="24"/>
          <w:szCs w:val="21"/>
          <w:lang w:val="en-US" w:eastAsia="zh-CN"/>
        </w:rPr>
        <w:t>主要动物为常见鸟类和爬行动物。</w:t>
      </w:r>
    </w:p>
    <w:p w14:paraId="078C4BC3">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eastAsia" w:ascii="Times New Roman" w:hAnsi="Times New Roman" w:eastAsia="宋体" w:cs="Times New Roman"/>
          <w:sz w:val="24"/>
          <w:szCs w:val="21"/>
          <w:lang w:val="en-US" w:eastAsia="zh-CN"/>
        </w:rPr>
        <w:t>生态环境保护目标为区域生态系统、陆生野生动植物、水生生物和古树名木等。要求保护工程所在区域陆生生态系统的完整性，加强施工期管理，避免扰动施工管理区范围外的动植物。施工期采取有效、可行的工程措施和植物措施，减少工程建设中新增水土流失量，施工结束后，对临时施工场地实施植被恢复。</w:t>
      </w:r>
    </w:p>
    <w:p w14:paraId="484D87FB">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default" w:ascii="Times New Roman" w:hAnsi="Times New Roman" w:eastAsia="宋体" w:cs="Times New Roman"/>
          <w:sz w:val="28"/>
          <w:szCs w:val="22"/>
          <w:lang w:val="en-US" w:eastAsia="zh-CN"/>
        </w:rPr>
      </w:pPr>
      <w:bookmarkStart w:id="879" w:name="_Toc30787"/>
      <w:bookmarkStart w:id="880" w:name="_Toc17935"/>
      <w:bookmarkStart w:id="881" w:name="_Toc31302"/>
      <w:r>
        <w:rPr>
          <w:rFonts w:hint="eastAsia" w:ascii="Times New Roman" w:hAnsi="Times New Roman" w:eastAsia="宋体" w:cs="Times New Roman"/>
          <w:sz w:val="28"/>
          <w:szCs w:val="22"/>
          <w:lang w:val="en-US" w:eastAsia="zh-CN"/>
        </w:rPr>
        <w:t>7</w:t>
      </w:r>
      <w:r>
        <w:rPr>
          <w:rFonts w:hint="default" w:ascii="Times New Roman" w:hAnsi="Times New Roman" w:eastAsia="宋体" w:cs="Times New Roman"/>
          <w:sz w:val="28"/>
          <w:szCs w:val="22"/>
          <w:lang w:val="en-US" w:eastAsia="zh-CN"/>
        </w:rPr>
        <w:t>.</w:t>
      </w:r>
      <w:r>
        <w:rPr>
          <w:rFonts w:hint="eastAsia" w:ascii="Times New Roman" w:hAnsi="Times New Roman" w:eastAsia="宋体" w:cs="Times New Roman"/>
          <w:sz w:val="28"/>
          <w:szCs w:val="22"/>
          <w:lang w:val="en-US" w:eastAsia="zh-CN"/>
        </w:rPr>
        <w:t>2主要环境影响及保护措施</w:t>
      </w:r>
      <w:bookmarkEnd w:id="879"/>
      <w:bookmarkEnd w:id="880"/>
      <w:bookmarkEnd w:id="881"/>
    </w:p>
    <w:p w14:paraId="3E064236">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eastAsia" w:ascii="Times New Roman" w:hAnsi="Times New Roman" w:eastAsia="宋体" w:cs="Times New Roman"/>
          <w:sz w:val="24"/>
          <w:szCs w:val="21"/>
          <w:lang w:val="en-US" w:eastAsia="zh-CN"/>
        </w:rPr>
        <w:t>（</w:t>
      </w:r>
      <w:r>
        <w:rPr>
          <w:rFonts w:hint="default" w:ascii="Times New Roman" w:hAnsi="Times New Roman" w:eastAsia="宋体" w:cs="Times New Roman"/>
          <w:sz w:val="24"/>
          <w:szCs w:val="21"/>
          <w:lang w:val="en-US" w:eastAsia="zh-CN"/>
        </w:rPr>
        <w:t>1</w:t>
      </w:r>
      <w:r>
        <w:rPr>
          <w:rFonts w:hint="eastAsia" w:ascii="Times New Roman" w:hAnsi="Times New Roman" w:eastAsia="宋体" w:cs="Times New Roman"/>
          <w:sz w:val="24"/>
          <w:szCs w:val="21"/>
          <w:lang w:val="en-US" w:eastAsia="zh-CN"/>
        </w:rPr>
        <w:t>）生态环境影响</w:t>
      </w:r>
    </w:p>
    <w:p w14:paraId="3E70F458">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color w:val="000000" w:themeColor="text1"/>
          <w:sz w:val="24"/>
          <w:szCs w:val="21"/>
          <w:highlight w:val="none"/>
          <w:lang w:eastAsia="zh-CN"/>
          <w14:textFill>
            <w14:solidFill>
              <w14:schemeClr w14:val="tx1"/>
            </w14:solidFill>
          </w14:textFill>
        </w:rPr>
        <w:t>本工程</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占地面积为5.2909hm</w:t>
      </w:r>
      <w:r>
        <w:rPr>
          <w:rFonts w:hint="default" w:ascii="Times New Roman" w:hAnsi="Times New Roman" w:eastAsia="宋体" w:cs="Times New Roman"/>
          <w:color w:val="000000" w:themeColor="text1"/>
          <w:sz w:val="24"/>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，均为永久占地</w:t>
      </w:r>
      <w:r>
        <w:rPr>
          <w:rFonts w:hint="default" w:ascii="Times New Roman" w:hAnsi="Times New Roman" w:eastAsia="宋体" w:cs="Times New Roman"/>
          <w:color w:val="000000" w:themeColor="text1"/>
          <w:sz w:val="24"/>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其中农用地4.7699hm</w:t>
      </w:r>
      <w:r>
        <w:rPr>
          <w:rFonts w:hint="default" w:ascii="Times New Roman" w:hAnsi="Times New Roman" w:eastAsia="宋体" w:cs="Times New Roman"/>
          <w:color w:val="000000" w:themeColor="text1"/>
          <w:sz w:val="24"/>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1"/>
          <w:highlight w:val="none"/>
          <w:vertAlign w:val="baseline"/>
          <w:lang w:val="en-US" w:eastAsia="zh-CN"/>
          <w14:textFill>
            <w14:solidFill>
              <w14:schemeClr w14:val="tx1"/>
            </w14:solidFill>
          </w14:textFill>
        </w:rPr>
        <w:t>（其中：</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耕地0.5238hm</w:t>
      </w:r>
      <w:r>
        <w:rPr>
          <w:rFonts w:hint="default" w:ascii="Times New Roman" w:hAnsi="Times New Roman" w:eastAsia="宋体" w:cs="Times New Roman"/>
          <w:color w:val="000000" w:themeColor="text1"/>
          <w:sz w:val="24"/>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，其他农用地4.2461hm</w:t>
      </w:r>
      <w:r>
        <w:rPr>
          <w:rFonts w:hint="default" w:ascii="Times New Roman" w:hAnsi="Times New Roman" w:eastAsia="宋体" w:cs="Times New Roman"/>
          <w:color w:val="000000" w:themeColor="text1"/>
          <w:sz w:val="24"/>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，建设用地0.4273hm</w:t>
      </w:r>
      <w:r>
        <w:rPr>
          <w:rFonts w:hint="default" w:ascii="Times New Roman" w:hAnsi="Times New Roman" w:eastAsia="宋体" w:cs="Times New Roman"/>
          <w:color w:val="000000" w:themeColor="text1"/>
          <w:sz w:val="24"/>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，未利用土地0.0937hm</w:t>
      </w:r>
      <w:r>
        <w:rPr>
          <w:rFonts w:hint="default" w:ascii="Times New Roman" w:hAnsi="Times New Roman" w:eastAsia="宋体" w:cs="Times New Roman"/>
          <w:color w:val="000000" w:themeColor="text1"/>
          <w:sz w:val="24"/>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1"/>
          <w:lang w:val="en-US" w:eastAsia="zh-CN"/>
          <w14:textFill>
            <w14:solidFill>
              <w14:schemeClr w14:val="tx1"/>
            </w14:solidFill>
          </w14:textFill>
        </w:rPr>
        <w:t>，工</w:t>
      </w:r>
      <w:r>
        <w:rPr>
          <w:rFonts w:hint="eastAsia" w:ascii="Times New Roman" w:hAnsi="Times New Roman" w:eastAsia="宋体" w:cs="Times New Roman"/>
          <w:sz w:val="24"/>
          <w:szCs w:val="21"/>
          <w:lang w:val="en-US" w:eastAsia="zh-CN"/>
        </w:rPr>
        <w:t>程占地类型主要为林地，其次为耕地。工程建设对评价区生态系统生物量有一定影响。工程建设对区域自然景观系统中林地自身的异质化程度影响有限，对工程所在区域的自然景观系统来说是可以承受的。</w:t>
      </w:r>
    </w:p>
    <w:p w14:paraId="63DD1D50">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eastAsia" w:ascii="Times New Roman" w:hAnsi="Times New Roman" w:eastAsia="宋体" w:cs="Times New Roman"/>
          <w:sz w:val="24"/>
          <w:szCs w:val="21"/>
          <w:lang w:val="en-US" w:eastAsia="zh-CN"/>
        </w:rPr>
        <w:t>工程建设将破坏该区域部分动物的栖息环境，但由于动物的活动性较大，适应能力强，且周围有较广的适生环境。为尽量减小对动物的影响，需对施工人员进行野生动物保护教育，增强环保意识，严禁在施工期间捕杀猎物，并注意保证野生动物顺利迁移。</w:t>
      </w:r>
    </w:p>
    <w:p w14:paraId="7A5DF924">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eastAsia" w:ascii="Times New Roman" w:hAnsi="Times New Roman" w:eastAsia="宋体" w:cs="Times New Roman"/>
          <w:sz w:val="24"/>
          <w:szCs w:val="21"/>
          <w:lang w:val="en-US" w:eastAsia="zh-CN"/>
        </w:rPr>
        <w:t>（</w:t>
      </w:r>
      <w:r>
        <w:rPr>
          <w:rFonts w:hint="default" w:ascii="Times New Roman" w:hAnsi="Times New Roman" w:eastAsia="宋体" w:cs="Times New Roman"/>
          <w:sz w:val="24"/>
          <w:szCs w:val="21"/>
          <w:lang w:val="en-US" w:eastAsia="zh-CN"/>
        </w:rPr>
        <w:t>2</w:t>
      </w:r>
      <w:r>
        <w:rPr>
          <w:rFonts w:hint="eastAsia" w:ascii="Times New Roman" w:hAnsi="Times New Roman" w:eastAsia="宋体" w:cs="Times New Roman"/>
          <w:sz w:val="24"/>
          <w:szCs w:val="21"/>
          <w:lang w:val="en-US" w:eastAsia="zh-CN"/>
        </w:rPr>
        <w:t>）生态环境保护措施</w:t>
      </w:r>
    </w:p>
    <w:p w14:paraId="3F73C9B1">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eastAsia" w:ascii="Times New Roman" w:hAnsi="Times New Roman" w:eastAsia="宋体" w:cs="Times New Roman"/>
          <w:sz w:val="24"/>
          <w:szCs w:val="21"/>
          <w:lang w:val="en-US" w:eastAsia="zh-CN"/>
        </w:rPr>
        <w:t>本工程优先从优化工程布置和施工方案出发采取避让措施，并加强宣传教育活动，树立生态绿色施工理念，尽量减少工程扰动范围和面积，减缓工程建设对区域生态环境的影响，同时防止外来入侵种的扩散，加强植物检疫。施工过程中，如有新发现的珍稀保护植物和资源植物，应首先选择进行避让，对珍稀保护植物和资源植物采取挂牌、设置围栏等方式进行就地保护；如果实在无法避让，应该进行移栽保护。</w:t>
      </w:r>
    </w:p>
    <w:p w14:paraId="61A49377">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eastAsia" w:ascii="Times New Roman" w:hAnsi="Times New Roman" w:eastAsia="宋体" w:cs="Times New Roman"/>
          <w:sz w:val="24"/>
          <w:szCs w:val="21"/>
          <w:lang w:val="en-US" w:eastAsia="zh-CN"/>
        </w:rPr>
        <w:t>工程施工期间，各类动物随着工程的进度会自动迁移至周围适生环境，对各种动物的影响不大。导致各类动物濒危主要因素是人为的捕杀，为了减少对其影响，需对施工人员进行珍稀保护动物的教育，增强环保意识，杜绝施工期的捕杀行为，保证其顺利迁移。</w:t>
      </w:r>
    </w:p>
    <w:p w14:paraId="28C7D6D6">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pPr>
      <w:r>
        <w:rPr>
          <w:rFonts w:hint="eastAsia" w:ascii="Times New Roman" w:hAnsi="Times New Roman" w:eastAsia="宋体" w:cs="Times New Roman"/>
          <w:sz w:val="24"/>
          <w:szCs w:val="21"/>
          <w:lang w:val="en-US" w:eastAsia="zh-CN"/>
        </w:rPr>
        <w:t>施工人员和施工机械进场前，加强环境保护宣传教育，严令禁止到非施工区域活动，非施工区严禁烟火、严禁施工人员非法猎捕野生动物。严格控制征地范围，及时对临时占地进行恢复，对永久占地进行绿化；选用低噪音设备，禁止正午和晨昏进行高噪声活动。</w:t>
      </w:r>
    </w:p>
    <w:p w14:paraId="2A2481A2">
      <w:pPr>
        <w:pStyle w:val="4"/>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textAlignment w:val="auto"/>
        <w:outlineLvl w:val="1"/>
        <w:rPr>
          <w:rFonts w:hint="eastAsia" w:ascii="Times New Roman" w:hAnsi="Times New Roman" w:eastAsia="宋体" w:cs="Times New Roman"/>
          <w:sz w:val="28"/>
          <w:szCs w:val="22"/>
          <w:lang w:val="en-US" w:eastAsia="zh-CN"/>
        </w:rPr>
      </w:pPr>
      <w:bookmarkStart w:id="882" w:name="_Toc1340"/>
      <w:bookmarkStart w:id="883" w:name="_Toc4829"/>
      <w:bookmarkStart w:id="884" w:name="_Toc14052"/>
      <w:r>
        <w:rPr>
          <w:rFonts w:hint="default" w:ascii="Times New Roman" w:hAnsi="Times New Roman" w:eastAsia="宋体" w:cs="Times New Roman"/>
          <w:sz w:val="28"/>
          <w:szCs w:val="22"/>
          <w:lang w:val="en-US" w:eastAsia="zh-CN"/>
        </w:rPr>
        <w:t>7.3</w:t>
      </w:r>
      <w:r>
        <w:rPr>
          <w:rFonts w:hint="eastAsia" w:ascii="Times New Roman" w:hAnsi="Times New Roman" w:eastAsia="宋体" w:cs="Times New Roman"/>
          <w:sz w:val="28"/>
          <w:szCs w:val="22"/>
          <w:lang w:val="en-US" w:eastAsia="zh-CN"/>
        </w:rPr>
        <w:t>评价结论</w:t>
      </w:r>
      <w:bookmarkEnd w:id="882"/>
      <w:bookmarkEnd w:id="883"/>
      <w:bookmarkEnd w:id="884"/>
    </w:p>
    <w:p w14:paraId="00B66465">
      <w:pPr>
        <w:pStyle w:val="9"/>
        <w:adjustRightInd w:val="0"/>
        <w:snapToGrid w:val="0"/>
        <w:spacing w:after="0" w:line="360" w:lineRule="auto"/>
        <w:ind w:firstLine="480" w:firstLineChars="200"/>
        <w:rPr>
          <w:rFonts w:hint="default" w:ascii="Times New Roman" w:hAnsi="Times New Roman" w:eastAsia="宋体" w:cs="Times New Roman"/>
          <w:sz w:val="24"/>
          <w:szCs w:val="21"/>
          <w:lang w:val="en-US" w:eastAsia="zh-CN"/>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Times New Roman" w:hAnsi="Times New Roman" w:eastAsia="宋体" w:cs="Times New Roman"/>
          <w:sz w:val="24"/>
          <w:szCs w:val="21"/>
          <w:lang w:val="en-US" w:eastAsia="zh-CN"/>
        </w:rPr>
        <w:t>本项目建设符合《金寨县“十四五”交通运输发展规划》，与土地利用规划、环境保护规划等协调，社会经济效益明显。通过在设计阶段、施工阶段、营运阶段采取一定的生态环境保护措施后，项目建设对环境的不利影响可得到控制和缓解，从生态环境影响分析，项目建设是可行的。</w:t>
      </w:r>
    </w:p>
    <w:p w14:paraId="5AA83C59">
      <w:pPr>
        <w:jc w:val="center"/>
        <w:rPr>
          <w:rFonts w:hint="eastAsia"/>
          <w:lang w:eastAsia="zh-CN"/>
        </w:rPr>
      </w:pPr>
    </w:p>
    <w:sectPr>
      <w:headerReference r:id="rId14" w:type="default"/>
      <w:footerReference r:id="rId15" w:type="default"/>
      <w:pgSz w:w="16838" w:h="11906" w:orient="landscape"/>
      <w:pgMar w:top="567" w:right="567" w:bottom="567" w:left="567" w:header="283" w:footer="283"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4F"/>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Garamond">
    <w:altName w:val="PMingLiU-ExtB"/>
    <w:panose1 w:val="02020404030301010803"/>
    <w:charset w:val="00"/>
    <w:family w:val="roman"/>
    <w:pitch w:val="default"/>
    <w:sig w:usb0="00000000" w:usb1="00000000" w:usb2="00000000" w:usb3="00000000" w:csb0="0000009F" w:csb1="DFD70000"/>
  </w:font>
  <w:font w:name="Adobe Garamond Pro">
    <w:altName w:val="PMingLiU-ExtB"/>
    <w:panose1 w:val="02020502060506020403"/>
    <w:charset w:val="00"/>
    <w:family w:val="auto"/>
    <w:pitch w:val="default"/>
    <w:sig w:usb0="00000000" w:usb1="00000000" w:usb2="00000000" w:usb3="00000000" w:csb0="20000093"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332A9B">
    <w:pPr>
      <w:pStyle w:val="16"/>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514C93">
    <w:pPr>
      <w:pStyle w:val="16"/>
      <w:jc w:val="cente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2F77C4">
                          <w:pPr>
                            <w:pStyle w:val="16"/>
                            <w:jc w:val="center"/>
                          </w:pPr>
                          <w:r>
                            <w:fldChar w:fldCharType="begin"/>
                          </w:r>
                          <w:r>
                            <w:instrText xml:space="preserve">PAGE   \* MERGEFORMAT</w:instrText>
                          </w:r>
                          <w:r>
                            <w:fldChar w:fldCharType="separate"/>
                          </w:r>
                          <w:r>
                            <w:rPr>
                              <w:lang w:val="zh-CN"/>
                            </w:rP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FE50y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QYphGxU8/vp9+&#10;Ppx+fSM4g0CNCzPE3TtExvadbRE8nAccJt5t5XX6ghGBH/IeL/KKNhKeLk0n02kOF4dv2AA/e7zu&#10;fIjvhdUkGQX1qF8nKztsQuxDh5CUzdi1VKqroTKkKejV67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wUTnTICAABjBAAADgAAAAAAAAABACAAAAAfAQAAZHJzL2Uyb0RvYy54bWxQSwUG&#10;AAAAAAYABgBZAQAAwwUAAAAA&#10;">
              <v:fill on="f" focussize="0,0"/>
              <v:stroke on="f" weight="0.5pt"/>
              <v:imagedata o:title=""/>
              <o:lock v:ext="edit" aspectratio="f"/>
              <v:textbox inset="0mm,0mm,0mm,0mm" style="mso-fit-shape-to-text:t;">
                <w:txbxContent>
                  <w:p w14:paraId="372F77C4">
                    <w:pPr>
                      <w:pStyle w:val="16"/>
                      <w:jc w:val="center"/>
                    </w:pPr>
                    <w:r>
                      <w:fldChar w:fldCharType="begin"/>
                    </w:r>
                    <w:r>
                      <w:instrText xml:space="preserve">PAGE   \* MERGEFORMAT</w:instrText>
                    </w:r>
                    <w:r>
                      <w:fldChar w:fldCharType="separate"/>
                    </w:r>
                    <w:r>
                      <w:rPr>
                        <w:lang w:val="zh-CN"/>
                      </w:rP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9F9E0A">
    <w:pPr>
      <w:pStyle w:val="16"/>
      <w:ind w:right="360"/>
      <w:jc w:val="center"/>
      <w:rPr>
        <w:rFonts w:ascii="Times New Roman" w:hAnsi="Times New Roman" w:cs="Times New Roman"/>
        <w:sz w:val="21"/>
        <w:szCs w:val="21"/>
      </w:rPr>
    </w:pPr>
    <w:r>
      <w:rPr>
        <w:sz w:val="21"/>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91E51D">
                          <w:pPr>
                            <w:pStyle w:val="16"/>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dNuWI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3qbphGxU8/vp9+&#10;Ppx+fSM4g0CNCzPE3TtExvadbdE2w3nAYeLdVl6nLxgR+CHv8SKvaCPh6dJ0Mp3mcHH4hg3ws8fr&#10;zof4XlhNklFQj/p1srLDJsQ+dAhJ2YxdS6W6GipDmoJevX6T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dNuWIzAgAAYwQAAA4AAAAAAAAAAQAgAAAAHwEAAGRycy9lMm9Eb2MueG1sUEsF&#10;BgAAAAAGAAYAWQEAAMQFAAAAAA==&#10;">
              <v:fill on="f" focussize="0,0"/>
              <v:stroke on="f" weight="0.5pt"/>
              <v:imagedata o:title=""/>
              <o:lock v:ext="edit" aspectratio="f"/>
              <v:textbox inset="0mm,0mm,0mm,0mm" style="mso-fit-shape-to-text:t;">
                <w:txbxContent>
                  <w:p w14:paraId="2691E51D">
                    <w:pPr>
                      <w:pStyle w:val="16"/>
                    </w:pPr>
                  </w:p>
                </w:txbxContent>
              </v:textbox>
            </v:shape>
          </w:pict>
        </mc:Fallback>
      </mc:AlternateContent>
    </w:r>
  </w:p>
  <w:p w14:paraId="237A9400">
    <w:pPr>
      <w:pStyle w:val="1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5130BB">
    <w:pPr>
      <w:pStyle w:val="16"/>
      <w:tabs>
        <w:tab w:val="center" w:pos="4263"/>
        <w:tab w:val="clear" w:pos="4153"/>
      </w:tabs>
      <w:rPr>
        <w:rFonts w:hint="eastAsia" w:eastAsiaTheme="minorEastAsia"/>
        <w:lang w:val="en-US" w:eastAsia="zh-CN"/>
      </w:rP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EB307F">
                          <w:pPr>
                            <w:pStyle w:val="16"/>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UJagQ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FCWoEMQIAAGMEAAAOAAAAAAAAAAEAIAAAAB8BAABkcnMvZTJvRG9jLnhtbFBLBQYA&#10;AAAABgAGAFkBAADCBQAAAAA=&#10;">
              <v:fill on="f" focussize="0,0"/>
              <v:stroke on="f" weight="0.5pt"/>
              <v:imagedata o:title=""/>
              <o:lock v:ext="edit" aspectratio="f"/>
              <v:textbox inset="0mm,0mm,0mm,0mm" style="mso-fit-shape-to-text:t;">
                <w:txbxContent>
                  <w:p w14:paraId="23EB307F">
                    <w:pPr>
                      <w:pStyle w:val="16"/>
                    </w:pP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2BC63B">
    <w:pPr>
      <w:pStyle w:val="16"/>
      <w:tabs>
        <w:tab w:val="center" w:pos="4263"/>
        <w:tab w:val="clear" w:pos="4153"/>
      </w:tabs>
      <w:rPr>
        <w:rFonts w:hint="eastAsia" w:eastAsiaTheme="minorEastAsia"/>
        <w:lang w:val="en-US" w:eastAsia="zh-CN"/>
      </w:rPr>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460CB7">
                          <w:pPr>
                            <w:pStyle w:val="1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0J0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0J0zAgAAYwQAAA4AAAAAAAAAAQAgAAAAHwEAAGRycy9lMm9Eb2MueG1sUEsF&#10;BgAAAAAGAAYAWQEAAMQFAAAAAA==&#10;">
              <v:fill on="f" focussize="0,0"/>
              <v:stroke on="f" weight="0.5pt"/>
              <v:imagedata o:title=""/>
              <o:lock v:ext="edit" aspectratio="f"/>
              <v:textbox inset="0mm,0mm,0mm,0mm" style="mso-fit-shape-to-text:t;">
                <w:txbxContent>
                  <w:p w14:paraId="6A460CB7">
                    <w:pPr>
                      <w:pStyle w:val="16"/>
                    </w:pPr>
                    <w:r>
                      <w:fldChar w:fldCharType="begin"/>
                    </w:r>
                    <w:r>
                      <w:instrText xml:space="preserve"> PAGE  \* MERGEFORMAT </w:instrText>
                    </w:r>
                    <w:r>
                      <w:fldChar w:fldCharType="separate"/>
                    </w:r>
                    <w:r>
                      <w:t>1</w:t>
                    </w:r>
                    <w:r>
                      <w:fldChar w:fldCharType="end"/>
                    </w:r>
                  </w:p>
                </w:txbxContent>
              </v:textbox>
            </v:shape>
          </w:pict>
        </mc:Fallback>
      </mc:AlternateContent>
    </w: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FB8B17">
                          <w:pPr>
                            <w:pStyle w:val="16"/>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f5R8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q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Ef5R8zAgAAYwQAAA4AAAAAAAAAAQAgAAAAHwEAAGRycy9lMm9Eb2MueG1sUEsF&#10;BgAAAAAGAAYAWQEAAMQFAAAAAA==&#10;">
              <v:fill on="f" focussize="0,0"/>
              <v:stroke on="f" weight="0.5pt"/>
              <v:imagedata o:title=""/>
              <o:lock v:ext="edit" aspectratio="f"/>
              <v:textbox inset="0mm,0mm,0mm,0mm" style="mso-fit-shape-to-text:t;">
                <w:txbxContent>
                  <w:p w14:paraId="21FB8B17">
                    <w:pPr>
                      <w:pStyle w:val="16"/>
                    </w:pP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82B554">
    <w:pPr>
      <w:pStyle w:val="16"/>
      <w:tabs>
        <w:tab w:val="center" w:pos="4263"/>
        <w:tab w:val="clear" w:pos="4153"/>
      </w:tabs>
      <w:rPr>
        <w:rFonts w:hint="eastAsia" w:eastAsiaTheme="minorEastAsia"/>
        <w:lang w:val="en-US" w:eastAsia="zh-CN"/>
      </w:rP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31F9C3">
                          <w:pPr>
                            <w:pStyle w:val="16"/>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14:paraId="6631F9C3">
                    <w:pPr>
                      <w:pStyle w:val="16"/>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FE12FA">
    <w:pPr>
      <w:spacing w:line="169" w:lineRule="auto"/>
      <w:rPr>
        <w:rFonts w:ascii="Calibri" w:hAnsi="Calibri" w:eastAsia="Calibri" w:cs="Calibri"/>
        <w:sz w:val="18"/>
        <w:szCs w:val="18"/>
      </w:rPr>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97C38D">
                          <w:pPr>
                            <w:pStyle w:val="16"/>
                          </w:pPr>
                          <w:r>
                            <w:fldChar w:fldCharType="begin"/>
                          </w:r>
                          <w:r>
                            <w:instrText xml:space="preserve"> PAGE  \* MERGEFORMAT </w:instrText>
                          </w:r>
                          <w:r>
                            <w:fldChar w:fldCharType="separate"/>
                          </w:r>
                          <w:r>
                            <w:t>11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g6Gf4zAgAAYw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g6Gf4zAgAAYwQAAA4AAAAAAAAAAQAgAAAAHwEAAGRycy9lMm9Eb2MueG1sUEsF&#10;BgAAAAAGAAYAWQEAAMQFAAAAAA==&#10;">
              <v:fill on="f" focussize="0,0"/>
              <v:stroke on="f" weight="0.5pt"/>
              <v:imagedata o:title=""/>
              <o:lock v:ext="edit" aspectratio="f"/>
              <v:textbox inset="0mm,0mm,0mm,0mm" style="mso-fit-shape-to-text:t;">
                <w:txbxContent>
                  <w:p w14:paraId="3397C38D">
                    <w:pPr>
                      <w:pStyle w:val="16"/>
                    </w:pPr>
                    <w:r>
                      <w:fldChar w:fldCharType="begin"/>
                    </w:r>
                    <w:r>
                      <w:instrText xml:space="preserve"> PAGE  \* MERGEFORMAT </w:instrText>
                    </w:r>
                    <w:r>
                      <w:fldChar w:fldCharType="separate"/>
                    </w:r>
                    <w:r>
                      <w:t>11</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4276D7">
    <w:pPr>
      <w:pStyle w:val="1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A1CFEF">
    <w:pPr>
      <w:pStyle w:val="18"/>
      <w:pBdr>
        <w:bottom w:val="none" w:color="auto" w:sz="0" w:space="1"/>
      </w:pBdr>
      <w:rPr>
        <w:rFonts w:hint="default"/>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725189">
    <w:pPr>
      <w:pBdr>
        <w:bottom w:val="none" w:color="auto" w:sz="0" w:space="0"/>
      </w:pBdr>
      <w:spacing w:line="14" w:lineRule="auto"/>
      <w:jc w:val="center"/>
      <w:rPr>
        <w:rFonts w:hint="default" w:ascii="Times New Roman" w:hAnsi="Times New Roman" w:eastAsia="宋体" w:cs="Times New Roman"/>
        <w:b/>
        <w:bCs/>
        <w:sz w:val="18"/>
        <w:szCs w:val="18"/>
      </w:rPr>
    </w:pPr>
  </w:p>
  <w:p w14:paraId="0E120FDF">
    <w:pPr>
      <w:pBdr>
        <w:bottom w:val="single" w:color="auto" w:sz="4" w:space="0"/>
      </w:pBdr>
      <w:spacing w:line="240" w:lineRule="auto"/>
      <w:jc w:val="center"/>
      <w:rPr>
        <w:rFonts w:ascii="Arial"/>
        <w:sz w:val="16"/>
        <w:szCs w:val="16"/>
      </w:rPr>
    </w:pPr>
    <w:r>
      <w:rPr>
        <w:rFonts w:hint="eastAsia" w:ascii="Times New Roman" w:hAnsi="Times New Roman" w:eastAsia="宋体" w:cs="Times New Roman"/>
        <w:b/>
        <w:bCs/>
        <w:sz w:val="16"/>
        <w:szCs w:val="16"/>
        <w:lang w:eastAsia="zh-CN"/>
      </w:rPr>
      <w:t>金寨县关庙乡沙坪沟至蔡家湾公路升级改造工程生态环境影响专项评价</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22C04E">
    <w:pPr>
      <w:pBdr>
        <w:bottom w:val="single" w:color="auto" w:sz="4" w:space="0"/>
      </w:pBdr>
      <w:spacing w:line="240" w:lineRule="auto"/>
      <w:jc w:val="center"/>
      <w:rPr>
        <w:sz w:val="20"/>
        <w:szCs w:val="21"/>
      </w:rPr>
    </w:pPr>
    <w:r>
      <w:rPr>
        <w:rFonts w:hint="eastAsia" w:ascii="Times New Roman" w:hAnsi="Times New Roman" w:eastAsia="宋体" w:cs="Times New Roman"/>
        <w:b/>
        <w:bCs/>
        <w:sz w:val="16"/>
        <w:szCs w:val="16"/>
        <w:lang w:eastAsia="zh-CN"/>
      </w:rPr>
      <w:t>金寨县关庙乡沙坪沟至蔡家湾公路升级改造工程生态环境影响专项评价</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29BC7E">
    <w:pPr>
      <w:pBdr>
        <w:bottom w:val="single" w:color="auto" w:sz="4" w:space="0"/>
      </w:pBdr>
      <w:spacing w:line="240" w:lineRule="auto"/>
      <w:jc w:val="center"/>
      <w:rPr>
        <w:sz w:val="20"/>
        <w:szCs w:val="21"/>
      </w:rPr>
    </w:pPr>
    <w:r>
      <w:rPr>
        <w:rFonts w:hint="eastAsia" w:ascii="Times New Roman" w:hAnsi="Times New Roman" w:eastAsia="宋体" w:cs="Times New Roman"/>
        <w:b/>
        <w:bCs/>
        <w:sz w:val="16"/>
        <w:szCs w:val="16"/>
        <w:lang w:eastAsia="zh-CN"/>
      </w:rPr>
      <w:t>金寨县关庙乡沙坪沟至蔡家湾公路升级改造工程生态环境影响专项评价</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B46C69">
    <w:pPr>
      <w:pStyle w:val="18"/>
      <w:pBdr>
        <w:bottom w:val="none" w:color="auto" w:sz="0" w:space="1"/>
      </w:pBdr>
      <w:bidi w:val="0"/>
    </w:pPr>
    <w:bookmarkStart w:id="885" w:name="_bookmark106"/>
    <w:bookmarkEnd w:id="885"/>
    <w:bookmarkStart w:id="886" w:name="_bookmark123"/>
    <w:bookmarkEnd w:id="886"/>
    <w:bookmarkStart w:id="887" w:name="_bookmark107"/>
    <w:bookmarkEnd w:id="887"/>
    <w:bookmarkStart w:id="888" w:name="_bookmark105"/>
    <w:bookmarkEnd w:id="888"/>
    <w:bookmarkStart w:id="889" w:name="_bookmark104"/>
    <w:bookmarkEnd w:id="889"/>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D4F6B5"/>
    <w:multiLevelType w:val="singleLevel"/>
    <w:tmpl w:val="80D4F6B5"/>
    <w:lvl w:ilvl="0" w:tentative="0">
      <w:start w:val="1"/>
      <w:numFmt w:val="decimal"/>
      <w:suff w:val="nothing"/>
      <w:lvlText w:val="（%1）"/>
      <w:lvlJc w:val="left"/>
    </w:lvl>
  </w:abstractNum>
  <w:abstractNum w:abstractNumId="1">
    <w:nsid w:val="96E0CA4C"/>
    <w:multiLevelType w:val="singleLevel"/>
    <w:tmpl w:val="96E0CA4C"/>
    <w:lvl w:ilvl="0" w:tentative="0">
      <w:start w:val="5"/>
      <w:numFmt w:val="chineseCounting"/>
      <w:suff w:val="nothing"/>
      <w:lvlText w:val="（%1）"/>
      <w:lvlJc w:val="left"/>
      <w:rPr>
        <w:rFonts w:hint="eastAsia"/>
      </w:rPr>
    </w:lvl>
  </w:abstractNum>
  <w:abstractNum w:abstractNumId="2">
    <w:nsid w:val="ACADD5AE"/>
    <w:multiLevelType w:val="singleLevel"/>
    <w:tmpl w:val="ACADD5AE"/>
    <w:lvl w:ilvl="0" w:tentative="0">
      <w:start w:val="1"/>
      <w:numFmt w:val="decimal"/>
      <w:suff w:val="nothing"/>
      <w:lvlText w:val="（%1）"/>
      <w:lvlJc w:val="left"/>
    </w:lvl>
  </w:abstractNum>
  <w:abstractNum w:abstractNumId="3">
    <w:nsid w:val="16568D7C"/>
    <w:multiLevelType w:val="singleLevel"/>
    <w:tmpl w:val="16568D7C"/>
    <w:lvl w:ilvl="0" w:tentative="0">
      <w:start w:val="1"/>
      <w:numFmt w:val="decimal"/>
      <w:suff w:val="nothing"/>
      <w:lvlText w:val="（%1）"/>
      <w:lvlJc w:val="left"/>
    </w:lvl>
  </w:abstractNum>
  <w:abstractNum w:abstractNumId="4">
    <w:nsid w:val="47B87B72"/>
    <w:multiLevelType w:val="singleLevel"/>
    <w:tmpl w:val="47B87B72"/>
    <w:lvl w:ilvl="0" w:tentative="0">
      <w:start w:val="1"/>
      <w:numFmt w:val="decimal"/>
      <w:suff w:val="nothing"/>
      <w:lvlText w:val="（%1）"/>
      <w:lvlJc w:val="left"/>
    </w:lvl>
  </w:abstractNum>
  <w:abstractNum w:abstractNumId="5">
    <w:nsid w:val="48936651"/>
    <w:multiLevelType w:val="multilevel"/>
    <w:tmpl w:val="48936651"/>
    <w:lvl w:ilvl="0" w:tentative="0">
      <w:start w:val="1"/>
      <w:numFmt w:val="decimal"/>
      <w:pStyle w:val="47"/>
      <w:lvlText w:val="%1"/>
      <w:lvlJc w:val="left"/>
      <w:pPr>
        <w:ind w:left="425" w:hanging="425"/>
      </w:pPr>
      <w:rPr>
        <w:rFonts w:hint="eastAsia"/>
      </w:rPr>
    </w:lvl>
    <w:lvl w:ilvl="1" w:tentative="0">
      <w:start w:val="1"/>
      <w:numFmt w:val="decimal"/>
      <w:pStyle w:val="49"/>
      <w:lvlText w:val="%1.%2"/>
      <w:lvlJc w:val="left"/>
      <w:pPr>
        <w:ind w:left="709" w:firstLine="0"/>
      </w:pPr>
      <w:rPr>
        <w:rFonts w:hint="eastAsia"/>
      </w:rPr>
    </w:lvl>
    <w:lvl w:ilvl="2" w:tentative="0">
      <w:start w:val="1"/>
      <w:numFmt w:val="decimal"/>
      <w:pStyle w:val="51"/>
      <w:suff w:val="space"/>
      <w:lvlText w:val="%1.%2.%3"/>
      <w:lvlJc w:val="left"/>
      <w:pPr>
        <w:ind w:left="0" w:firstLine="0"/>
      </w:pPr>
      <w:rPr>
        <w:b w:val="0"/>
        <w:bCs w:val="0"/>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pStyle w:val="52"/>
      <w:lvlText w:val="%1.%2.%3.%4"/>
      <w:lvlJc w:val="left"/>
      <w:pPr>
        <w:ind w:left="991" w:hanging="708"/>
      </w:pPr>
      <w:rPr>
        <w:rFonts w:hint="default" w:ascii="Times New Roman" w:hAnsi="Times New Roman" w:cs="Times New Roman"/>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5"/>
  </w:num>
  <w:num w:numId="2">
    <w:abstractNumId w:val="2"/>
  </w:num>
  <w:num w:numId="3">
    <w:abstractNumId w:val="3"/>
  </w:num>
  <w:num w:numId="4">
    <w:abstractNumId w:val="4"/>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EzYTVkNTQ4N2JhOWYwNDA1NTIwY2UxMjc4MWMyODUifQ=="/>
  </w:docVars>
  <w:rsids>
    <w:rsidRoot w:val="00A41B7D"/>
    <w:rsid w:val="00006329"/>
    <w:rsid w:val="00034537"/>
    <w:rsid w:val="000360A6"/>
    <w:rsid w:val="0005174E"/>
    <w:rsid w:val="00054AAE"/>
    <w:rsid w:val="00060C4F"/>
    <w:rsid w:val="00086D03"/>
    <w:rsid w:val="00087D97"/>
    <w:rsid w:val="000969AD"/>
    <w:rsid w:val="000A002F"/>
    <w:rsid w:val="000A34F0"/>
    <w:rsid w:val="000F3D85"/>
    <w:rsid w:val="000F44EB"/>
    <w:rsid w:val="00102ACF"/>
    <w:rsid w:val="00103897"/>
    <w:rsid w:val="001102B6"/>
    <w:rsid w:val="00123C67"/>
    <w:rsid w:val="0012624A"/>
    <w:rsid w:val="00142B3B"/>
    <w:rsid w:val="0014478A"/>
    <w:rsid w:val="001674D9"/>
    <w:rsid w:val="00172880"/>
    <w:rsid w:val="0018373C"/>
    <w:rsid w:val="00185746"/>
    <w:rsid w:val="00194F58"/>
    <w:rsid w:val="001B5FE4"/>
    <w:rsid w:val="001B645A"/>
    <w:rsid w:val="001C35A6"/>
    <w:rsid w:val="001C45A7"/>
    <w:rsid w:val="001C57B0"/>
    <w:rsid w:val="001F074D"/>
    <w:rsid w:val="001F42B5"/>
    <w:rsid w:val="002111E2"/>
    <w:rsid w:val="002114CA"/>
    <w:rsid w:val="002453B3"/>
    <w:rsid w:val="00247505"/>
    <w:rsid w:val="0025005F"/>
    <w:rsid w:val="00251C75"/>
    <w:rsid w:val="00261750"/>
    <w:rsid w:val="00263187"/>
    <w:rsid w:val="002640DE"/>
    <w:rsid w:val="00267A64"/>
    <w:rsid w:val="002753D6"/>
    <w:rsid w:val="00286DCE"/>
    <w:rsid w:val="00295B6A"/>
    <w:rsid w:val="002A64F9"/>
    <w:rsid w:val="002C25CD"/>
    <w:rsid w:val="002C4449"/>
    <w:rsid w:val="002C48F7"/>
    <w:rsid w:val="002D27B4"/>
    <w:rsid w:val="002E6429"/>
    <w:rsid w:val="002F006E"/>
    <w:rsid w:val="00315DAA"/>
    <w:rsid w:val="00315DD8"/>
    <w:rsid w:val="00315E01"/>
    <w:rsid w:val="00324B19"/>
    <w:rsid w:val="00336E84"/>
    <w:rsid w:val="00353660"/>
    <w:rsid w:val="00362F7C"/>
    <w:rsid w:val="00366243"/>
    <w:rsid w:val="00372757"/>
    <w:rsid w:val="00386576"/>
    <w:rsid w:val="003963C9"/>
    <w:rsid w:val="00397E99"/>
    <w:rsid w:val="003A7FE2"/>
    <w:rsid w:val="003B367D"/>
    <w:rsid w:val="003C3F8A"/>
    <w:rsid w:val="003D449D"/>
    <w:rsid w:val="003E3A76"/>
    <w:rsid w:val="003E4F82"/>
    <w:rsid w:val="00400446"/>
    <w:rsid w:val="00407458"/>
    <w:rsid w:val="00417EF4"/>
    <w:rsid w:val="00420762"/>
    <w:rsid w:val="0043441A"/>
    <w:rsid w:val="004422AE"/>
    <w:rsid w:val="00446052"/>
    <w:rsid w:val="00461BB7"/>
    <w:rsid w:val="00462F6C"/>
    <w:rsid w:val="00464D40"/>
    <w:rsid w:val="00481283"/>
    <w:rsid w:val="00486F37"/>
    <w:rsid w:val="00496DA9"/>
    <w:rsid w:val="004B3E74"/>
    <w:rsid w:val="004C493C"/>
    <w:rsid w:val="004C5FFF"/>
    <w:rsid w:val="004E2483"/>
    <w:rsid w:val="00514897"/>
    <w:rsid w:val="0053735F"/>
    <w:rsid w:val="00546CAA"/>
    <w:rsid w:val="0055641B"/>
    <w:rsid w:val="005574FC"/>
    <w:rsid w:val="00566D47"/>
    <w:rsid w:val="00577718"/>
    <w:rsid w:val="005E1B5A"/>
    <w:rsid w:val="00620860"/>
    <w:rsid w:val="006434AC"/>
    <w:rsid w:val="006878CB"/>
    <w:rsid w:val="006C03C2"/>
    <w:rsid w:val="006D6F3B"/>
    <w:rsid w:val="007366B4"/>
    <w:rsid w:val="00745004"/>
    <w:rsid w:val="0075027E"/>
    <w:rsid w:val="007537E5"/>
    <w:rsid w:val="0076782D"/>
    <w:rsid w:val="00794C77"/>
    <w:rsid w:val="007A28C4"/>
    <w:rsid w:val="007C0A24"/>
    <w:rsid w:val="007D6A53"/>
    <w:rsid w:val="007E6BFF"/>
    <w:rsid w:val="007F4C10"/>
    <w:rsid w:val="008267A3"/>
    <w:rsid w:val="00835A5A"/>
    <w:rsid w:val="00836381"/>
    <w:rsid w:val="0084685D"/>
    <w:rsid w:val="00863C92"/>
    <w:rsid w:val="00876C2D"/>
    <w:rsid w:val="008953C9"/>
    <w:rsid w:val="008B10C0"/>
    <w:rsid w:val="008C42D9"/>
    <w:rsid w:val="008D0B08"/>
    <w:rsid w:val="008E6526"/>
    <w:rsid w:val="008F5512"/>
    <w:rsid w:val="0090170E"/>
    <w:rsid w:val="00953D9C"/>
    <w:rsid w:val="0096111E"/>
    <w:rsid w:val="009679DB"/>
    <w:rsid w:val="00972F72"/>
    <w:rsid w:val="00982D3B"/>
    <w:rsid w:val="009E65B2"/>
    <w:rsid w:val="00A049EE"/>
    <w:rsid w:val="00A2771F"/>
    <w:rsid w:val="00A30495"/>
    <w:rsid w:val="00A308B6"/>
    <w:rsid w:val="00A34752"/>
    <w:rsid w:val="00A41B7D"/>
    <w:rsid w:val="00A613F3"/>
    <w:rsid w:val="00A63196"/>
    <w:rsid w:val="00A7114A"/>
    <w:rsid w:val="00A906FF"/>
    <w:rsid w:val="00A97617"/>
    <w:rsid w:val="00AB1812"/>
    <w:rsid w:val="00AD0F4B"/>
    <w:rsid w:val="00AD7338"/>
    <w:rsid w:val="00AE586C"/>
    <w:rsid w:val="00AE6BDC"/>
    <w:rsid w:val="00B034A2"/>
    <w:rsid w:val="00B27B31"/>
    <w:rsid w:val="00B5520A"/>
    <w:rsid w:val="00B554DC"/>
    <w:rsid w:val="00B70A2B"/>
    <w:rsid w:val="00B9220F"/>
    <w:rsid w:val="00B96C68"/>
    <w:rsid w:val="00BA59A2"/>
    <w:rsid w:val="00BA6235"/>
    <w:rsid w:val="00BA6D21"/>
    <w:rsid w:val="00BA78CB"/>
    <w:rsid w:val="00BC18A8"/>
    <w:rsid w:val="00BD1E49"/>
    <w:rsid w:val="00BF1025"/>
    <w:rsid w:val="00BF4B73"/>
    <w:rsid w:val="00C060B5"/>
    <w:rsid w:val="00C123C3"/>
    <w:rsid w:val="00C226F8"/>
    <w:rsid w:val="00C24A55"/>
    <w:rsid w:val="00C3502C"/>
    <w:rsid w:val="00C37C1B"/>
    <w:rsid w:val="00C42E9A"/>
    <w:rsid w:val="00C81AAE"/>
    <w:rsid w:val="00CA24F9"/>
    <w:rsid w:val="00CD2DBB"/>
    <w:rsid w:val="00CE0966"/>
    <w:rsid w:val="00CE13F8"/>
    <w:rsid w:val="00CE22C9"/>
    <w:rsid w:val="00CE52E3"/>
    <w:rsid w:val="00D12264"/>
    <w:rsid w:val="00D52E0F"/>
    <w:rsid w:val="00D54095"/>
    <w:rsid w:val="00D64548"/>
    <w:rsid w:val="00D73973"/>
    <w:rsid w:val="00D84A16"/>
    <w:rsid w:val="00DA3F2B"/>
    <w:rsid w:val="00DB560A"/>
    <w:rsid w:val="00DC470E"/>
    <w:rsid w:val="00DE0FAE"/>
    <w:rsid w:val="00DF5ACC"/>
    <w:rsid w:val="00E035C1"/>
    <w:rsid w:val="00E0770D"/>
    <w:rsid w:val="00E20D99"/>
    <w:rsid w:val="00E55A55"/>
    <w:rsid w:val="00E55CFA"/>
    <w:rsid w:val="00F13EE7"/>
    <w:rsid w:val="00F14DCA"/>
    <w:rsid w:val="00F17285"/>
    <w:rsid w:val="00F257F3"/>
    <w:rsid w:val="00F34ADC"/>
    <w:rsid w:val="00F37F55"/>
    <w:rsid w:val="00F52D85"/>
    <w:rsid w:val="00F538B1"/>
    <w:rsid w:val="00F718AF"/>
    <w:rsid w:val="00F72D89"/>
    <w:rsid w:val="00F74A57"/>
    <w:rsid w:val="00F81BD7"/>
    <w:rsid w:val="00FB1434"/>
    <w:rsid w:val="00FB4AEE"/>
    <w:rsid w:val="00FE3F1F"/>
    <w:rsid w:val="00FF0A56"/>
    <w:rsid w:val="00FF6C49"/>
    <w:rsid w:val="011A24F4"/>
    <w:rsid w:val="012810B4"/>
    <w:rsid w:val="013E2686"/>
    <w:rsid w:val="0153200C"/>
    <w:rsid w:val="0159301C"/>
    <w:rsid w:val="015D4D7A"/>
    <w:rsid w:val="015E4AD6"/>
    <w:rsid w:val="015E6884"/>
    <w:rsid w:val="01647C33"/>
    <w:rsid w:val="01652DAF"/>
    <w:rsid w:val="01671BDD"/>
    <w:rsid w:val="01787946"/>
    <w:rsid w:val="018367B5"/>
    <w:rsid w:val="018703CE"/>
    <w:rsid w:val="01880B03"/>
    <w:rsid w:val="018F727C"/>
    <w:rsid w:val="019404F8"/>
    <w:rsid w:val="01980A41"/>
    <w:rsid w:val="01995B0E"/>
    <w:rsid w:val="01A050EF"/>
    <w:rsid w:val="01A854A9"/>
    <w:rsid w:val="01B110AA"/>
    <w:rsid w:val="01B1391B"/>
    <w:rsid w:val="01B42948"/>
    <w:rsid w:val="01B67405"/>
    <w:rsid w:val="01D134FA"/>
    <w:rsid w:val="01D37272"/>
    <w:rsid w:val="01D45B44"/>
    <w:rsid w:val="01DB1C83"/>
    <w:rsid w:val="01DB2C49"/>
    <w:rsid w:val="01DF5C17"/>
    <w:rsid w:val="01DF79C5"/>
    <w:rsid w:val="01E21263"/>
    <w:rsid w:val="01E96293"/>
    <w:rsid w:val="01F84221"/>
    <w:rsid w:val="01FB2325"/>
    <w:rsid w:val="02027416"/>
    <w:rsid w:val="020B376A"/>
    <w:rsid w:val="021533E7"/>
    <w:rsid w:val="02161DDD"/>
    <w:rsid w:val="021B6523"/>
    <w:rsid w:val="02511F45"/>
    <w:rsid w:val="026A432F"/>
    <w:rsid w:val="02704AC1"/>
    <w:rsid w:val="027F4D04"/>
    <w:rsid w:val="02801DAF"/>
    <w:rsid w:val="028C11CF"/>
    <w:rsid w:val="02923621"/>
    <w:rsid w:val="029C3B08"/>
    <w:rsid w:val="02AB1B3B"/>
    <w:rsid w:val="02AD7AC3"/>
    <w:rsid w:val="02BC0120"/>
    <w:rsid w:val="02C866AB"/>
    <w:rsid w:val="02CB5FE2"/>
    <w:rsid w:val="02CD1F13"/>
    <w:rsid w:val="02E828A9"/>
    <w:rsid w:val="02FA082F"/>
    <w:rsid w:val="02FD231F"/>
    <w:rsid w:val="02FF5E45"/>
    <w:rsid w:val="03060F81"/>
    <w:rsid w:val="030A6CC4"/>
    <w:rsid w:val="0314369E"/>
    <w:rsid w:val="031D432A"/>
    <w:rsid w:val="03217B69"/>
    <w:rsid w:val="03265180"/>
    <w:rsid w:val="032E7EBC"/>
    <w:rsid w:val="034C4852"/>
    <w:rsid w:val="034D095E"/>
    <w:rsid w:val="0350498A"/>
    <w:rsid w:val="035B12CD"/>
    <w:rsid w:val="036073C2"/>
    <w:rsid w:val="03653EFA"/>
    <w:rsid w:val="0366286F"/>
    <w:rsid w:val="036F4D79"/>
    <w:rsid w:val="03863E70"/>
    <w:rsid w:val="038A0142"/>
    <w:rsid w:val="038E3EE8"/>
    <w:rsid w:val="0399335C"/>
    <w:rsid w:val="039A0087"/>
    <w:rsid w:val="039C5442"/>
    <w:rsid w:val="039D7511"/>
    <w:rsid w:val="03A74512"/>
    <w:rsid w:val="03B629A7"/>
    <w:rsid w:val="03B66504"/>
    <w:rsid w:val="03B75390"/>
    <w:rsid w:val="03B804CE"/>
    <w:rsid w:val="03BD3D36"/>
    <w:rsid w:val="03D472D2"/>
    <w:rsid w:val="03DD4BD8"/>
    <w:rsid w:val="03E12815"/>
    <w:rsid w:val="04041965"/>
    <w:rsid w:val="040556DD"/>
    <w:rsid w:val="040A5D6A"/>
    <w:rsid w:val="042518DB"/>
    <w:rsid w:val="042D7929"/>
    <w:rsid w:val="04312D74"/>
    <w:rsid w:val="043606AA"/>
    <w:rsid w:val="044034BE"/>
    <w:rsid w:val="044A7539"/>
    <w:rsid w:val="044B0539"/>
    <w:rsid w:val="045A77D7"/>
    <w:rsid w:val="045C489C"/>
    <w:rsid w:val="045D2E23"/>
    <w:rsid w:val="04625C1B"/>
    <w:rsid w:val="04700B07"/>
    <w:rsid w:val="04820ADC"/>
    <w:rsid w:val="0482288A"/>
    <w:rsid w:val="04904FCC"/>
    <w:rsid w:val="049525BD"/>
    <w:rsid w:val="04A171B4"/>
    <w:rsid w:val="04A27907"/>
    <w:rsid w:val="04A44EF6"/>
    <w:rsid w:val="04A942BA"/>
    <w:rsid w:val="04B33675"/>
    <w:rsid w:val="04C14763"/>
    <w:rsid w:val="04C2712A"/>
    <w:rsid w:val="04DC47BF"/>
    <w:rsid w:val="04E24F68"/>
    <w:rsid w:val="04E6106A"/>
    <w:rsid w:val="04E86B91"/>
    <w:rsid w:val="04EB6681"/>
    <w:rsid w:val="04FB76A3"/>
    <w:rsid w:val="04FC088E"/>
    <w:rsid w:val="05023656"/>
    <w:rsid w:val="050B0AD1"/>
    <w:rsid w:val="050F6054"/>
    <w:rsid w:val="051060E7"/>
    <w:rsid w:val="05117165"/>
    <w:rsid w:val="05167356"/>
    <w:rsid w:val="05263B5D"/>
    <w:rsid w:val="05335C50"/>
    <w:rsid w:val="053A4F12"/>
    <w:rsid w:val="053C6091"/>
    <w:rsid w:val="05442FE8"/>
    <w:rsid w:val="05495449"/>
    <w:rsid w:val="055F5FB3"/>
    <w:rsid w:val="05706B86"/>
    <w:rsid w:val="05743D3C"/>
    <w:rsid w:val="05760640"/>
    <w:rsid w:val="057B2923"/>
    <w:rsid w:val="057F3F9B"/>
    <w:rsid w:val="05897EFF"/>
    <w:rsid w:val="059F34DA"/>
    <w:rsid w:val="05A13FF1"/>
    <w:rsid w:val="05AD75A3"/>
    <w:rsid w:val="05B220F5"/>
    <w:rsid w:val="05B2719F"/>
    <w:rsid w:val="05C141CF"/>
    <w:rsid w:val="05C70E9C"/>
    <w:rsid w:val="05C72C4A"/>
    <w:rsid w:val="05CA716E"/>
    <w:rsid w:val="05D548C0"/>
    <w:rsid w:val="05D9297D"/>
    <w:rsid w:val="05EF0A8B"/>
    <w:rsid w:val="05F257ED"/>
    <w:rsid w:val="05F6352F"/>
    <w:rsid w:val="05F72E03"/>
    <w:rsid w:val="05F93FCF"/>
    <w:rsid w:val="05FD666C"/>
    <w:rsid w:val="060F639F"/>
    <w:rsid w:val="061614DB"/>
    <w:rsid w:val="06173801"/>
    <w:rsid w:val="061816F7"/>
    <w:rsid w:val="062220DC"/>
    <w:rsid w:val="0627193B"/>
    <w:rsid w:val="062E2929"/>
    <w:rsid w:val="0635158E"/>
    <w:rsid w:val="063B2E28"/>
    <w:rsid w:val="06475B39"/>
    <w:rsid w:val="064848AB"/>
    <w:rsid w:val="064C0925"/>
    <w:rsid w:val="06533545"/>
    <w:rsid w:val="06622973"/>
    <w:rsid w:val="06632703"/>
    <w:rsid w:val="066606B5"/>
    <w:rsid w:val="066F7D76"/>
    <w:rsid w:val="0671705A"/>
    <w:rsid w:val="067323AD"/>
    <w:rsid w:val="067D155B"/>
    <w:rsid w:val="067D59FE"/>
    <w:rsid w:val="068273C6"/>
    <w:rsid w:val="068B6108"/>
    <w:rsid w:val="068C3E93"/>
    <w:rsid w:val="068E19BA"/>
    <w:rsid w:val="06912E92"/>
    <w:rsid w:val="06961A75"/>
    <w:rsid w:val="0697190B"/>
    <w:rsid w:val="06A72A7B"/>
    <w:rsid w:val="06B244F7"/>
    <w:rsid w:val="06B72587"/>
    <w:rsid w:val="06C62F02"/>
    <w:rsid w:val="06CD24E2"/>
    <w:rsid w:val="06D771F1"/>
    <w:rsid w:val="06D80E87"/>
    <w:rsid w:val="06E11AE9"/>
    <w:rsid w:val="06EB6B8B"/>
    <w:rsid w:val="06ED500F"/>
    <w:rsid w:val="06F07A4A"/>
    <w:rsid w:val="06FF436C"/>
    <w:rsid w:val="07017172"/>
    <w:rsid w:val="07097292"/>
    <w:rsid w:val="071401D3"/>
    <w:rsid w:val="071B14A8"/>
    <w:rsid w:val="07207796"/>
    <w:rsid w:val="0721638A"/>
    <w:rsid w:val="073C7ECE"/>
    <w:rsid w:val="07401839"/>
    <w:rsid w:val="07550729"/>
    <w:rsid w:val="07610E7C"/>
    <w:rsid w:val="07762A2C"/>
    <w:rsid w:val="077769EF"/>
    <w:rsid w:val="07797A4C"/>
    <w:rsid w:val="07806523"/>
    <w:rsid w:val="078225CF"/>
    <w:rsid w:val="0784009B"/>
    <w:rsid w:val="07A07BF6"/>
    <w:rsid w:val="07A1396F"/>
    <w:rsid w:val="07BB058C"/>
    <w:rsid w:val="07CC56E3"/>
    <w:rsid w:val="07CD02C0"/>
    <w:rsid w:val="07CD206E"/>
    <w:rsid w:val="07CE4502"/>
    <w:rsid w:val="07D3744E"/>
    <w:rsid w:val="07D433FC"/>
    <w:rsid w:val="07DB29DD"/>
    <w:rsid w:val="07F752A5"/>
    <w:rsid w:val="080A1514"/>
    <w:rsid w:val="081172DC"/>
    <w:rsid w:val="08144946"/>
    <w:rsid w:val="0825634E"/>
    <w:rsid w:val="08326375"/>
    <w:rsid w:val="083B791F"/>
    <w:rsid w:val="08420CAE"/>
    <w:rsid w:val="084542FA"/>
    <w:rsid w:val="08493DEA"/>
    <w:rsid w:val="084C65F3"/>
    <w:rsid w:val="084E1401"/>
    <w:rsid w:val="08536943"/>
    <w:rsid w:val="085409E1"/>
    <w:rsid w:val="08544830"/>
    <w:rsid w:val="0858227F"/>
    <w:rsid w:val="08591B53"/>
    <w:rsid w:val="08681422"/>
    <w:rsid w:val="0874698D"/>
    <w:rsid w:val="087905C8"/>
    <w:rsid w:val="089A4646"/>
    <w:rsid w:val="089D4136"/>
    <w:rsid w:val="08A454C4"/>
    <w:rsid w:val="08A94275"/>
    <w:rsid w:val="08B651F8"/>
    <w:rsid w:val="08BD547C"/>
    <w:rsid w:val="08C65E9F"/>
    <w:rsid w:val="08CA0902"/>
    <w:rsid w:val="08D062B9"/>
    <w:rsid w:val="08D60114"/>
    <w:rsid w:val="08F16230"/>
    <w:rsid w:val="0901202B"/>
    <w:rsid w:val="090D0886"/>
    <w:rsid w:val="090D306A"/>
    <w:rsid w:val="09173EE8"/>
    <w:rsid w:val="09287C58"/>
    <w:rsid w:val="092959CA"/>
    <w:rsid w:val="092B5DEE"/>
    <w:rsid w:val="092C7268"/>
    <w:rsid w:val="093378F8"/>
    <w:rsid w:val="093F0D49"/>
    <w:rsid w:val="09420839"/>
    <w:rsid w:val="09440A55"/>
    <w:rsid w:val="094445B2"/>
    <w:rsid w:val="094620D8"/>
    <w:rsid w:val="094E335A"/>
    <w:rsid w:val="095A3DD5"/>
    <w:rsid w:val="095B26FD"/>
    <w:rsid w:val="095F5DF9"/>
    <w:rsid w:val="09630EDC"/>
    <w:rsid w:val="09673489"/>
    <w:rsid w:val="09691794"/>
    <w:rsid w:val="096E162E"/>
    <w:rsid w:val="09706383"/>
    <w:rsid w:val="097D3739"/>
    <w:rsid w:val="098475E0"/>
    <w:rsid w:val="09864BCA"/>
    <w:rsid w:val="09865008"/>
    <w:rsid w:val="0992531D"/>
    <w:rsid w:val="09975029"/>
    <w:rsid w:val="099948FD"/>
    <w:rsid w:val="099A0675"/>
    <w:rsid w:val="099E0166"/>
    <w:rsid w:val="09A3752A"/>
    <w:rsid w:val="09B41737"/>
    <w:rsid w:val="09B42894"/>
    <w:rsid w:val="09BC4A90"/>
    <w:rsid w:val="09C24D4D"/>
    <w:rsid w:val="09C6031E"/>
    <w:rsid w:val="09D9119E"/>
    <w:rsid w:val="09E35C31"/>
    <w:rsid w:val="09E96CC6"/>
    <w:rsid w:val="0A021FAA"/>
    <w:rsid w:val="0A074B23"/>
    <w:rsid w:val="0A116B8A"/>
    <w:rsid w:val="0A1E4E03"/>
    <w:rsid w:val="0A283ED3"/>
    <w:rsid w:val="0A3137C7"/>
    <w:rsid w:val="0A3E59D0"/>
    <w:rsid w:val="0A424927"/>
    <w:rsid w:val="0A4E393A"/>
    <w:rsid w:val="0A4F2E9A"/>
    <w:rsid w:val="0A584742"/>
    <w:rsid w:val="0A590531"/>
    <w:rsid w:val="0A5F7AC8"/>
    <w:rsid w:val="0A62078A"/>
    <w:rsid w:val="0A622F41"/>
    <w:rsid w:val="0A79472F"/>
    <w:rsid w:val="0A820893"/>
    <w:rsid w:val="0A8E1F88"/>
    <w:rsid w:val="0ABF30AC"/>
    <w:rsid w:val="0ABF5336"/>
    <w:rsid w:val="0AC0345D"/>
    <w:rsid w:val="0AC534D0"/>
    <w:rsid w:val="0AD156CF"/>
    <w:rsid w:val="0AD16319"/>
    <w:rsid w:val="0AD656DD"/>
    <w:rsid w:val="0AD83203"/>
    <w:rsid w:val="0ADD6AE9"/>
    <w:rsid w:val="0ADE107D"/>
    <w:rsid w:val="0AE13C20"/>
    <w:rsid w:val="0AE30D6F"/>
    <w:rsid w:val="0AED4CFD"/>
    <w:rsid w:val="0AEE0490"/>
    <w:rsid w:val="0B0A4727"/>
    <w:rsid w:val="0B0B35D9"/>
    <w:rsid w:val="0B1306DF"/>
    <w:rsid w:val="0B1D155E"/>
    <w:rsid w:val="0B1F52D6"/>
    <w:rsid w:val="0B354AFA"/>
    <w:rsid w:val="0B3A5FD0"/>
    <w:rsid w:val="0B4D234D"/>
    <w:rsid w:val="0B5A630E"/>
    <w:rsid w:val="0B5F4B95"/>
    <w:rsid w:val="0B61769D"/>
    <w:rsid w:val="0B64718D"/>
    <w:rsid w:val="0B920249"/>
    <w:rsid w:val="0B932531"/>
    <w:rsid w:val="0BA13F3D"/>
    <w:rsid w:val="0BA8707A"/>
    <w:rsid w:val="0BAE2505"/>
    <w:rsid w:val="0BBC7130"/>
    <w:rsid w:val="0BBE0B00"/>
    <w:rsid w:val="0BBE4AEF"/>
    <w:rsid w:val="0BBF2615"/>
    <w:rsid w:val="0BD31C1D"/>
    <w:rsid w:val="0BD61488"/>
    <w:rsid w:val="0BD95485"/>
    <w:rsid w:val="0BFE4EEC"/>
    <w:rsid w:val="0C083FBC"/>
    <w:rsid w:val="0C1410A7"/>
    <w:rsid w:val="0C142961"/>
    <w:rsid w:val="0C1D0309"/>
    <w:rsid w:val="0C210BDA"/>
    <w:rsid w:val="0C2A16D5"/>
    <w:rsid w:val="0C385DBA"/>
    <w:rsid w:val="0C474AE5"/>
    <w:rsid w:val="0C4843B9"/>
    <w:rsid w:val="0C4D5E73"/>
    <w:rsid w:val="0C4F6C0C"/>
    <w:rsid w:val="0C5E427E"/>
    <w:rsid w:val="0C60005D"/>
    <w:rsid w:val="0C6C00A7"/>
    <w:rsid w:val="0C7A1DD8"/>
    <w:rsid w:val="0C7B478E"/>
    <w:rsid w:val="0C82603A"/>
    <w:rsid w:val="0CA403B4"/>
    <w:rsid w:val="0CB11F5E"/>
    <w:rsid w:val="0CB87790"/>
    <w:rsid w:val="0CBD6B55"/>
    <w:rsid w:val="0CC003F3"/>
    <w:rsid w:val="0CC872A8"/>
    <w:rsid w:val="0CCA1272"/>
    <w:rsid w:val="0CD67C16"/>
    <w:rsid w:val="0CD81BE1"/>
    <w:rsid w:val="0CDB6FDB"/>
    <w:rsid w:val="0CDE0B95"/>
    <w:rsid w:val="0CE21043"/>
    <w:rsid w:val="0CE83CF0"/>
    <w:rsid w:val="0CEE31B2"/>
    <w:rsid w:val="0CF32576"/>
    <w:rsid w:val="0CF35DE2"/>
    <w:rsid w:val="0CF54541"/>
    <w:rsid w:val="0CF721F2"/>
    <w:rsid w:val="0D0C2475"/>
    <w:rsid w:val="0D0E73B0"/>
    <w:rsid w:val="0D10462B"/>
    <w:rsid w:val="0D235F4B"/>
    <w:rsid w:val="0D261B7C"/>
    <w:rsid w:val="0D2C513F"/>
    <w:rsid w:val="0D305579"/>
    <w:rsid w:val="0D3606B5"/>
    <w:rsid w:val="0D474670"/>
    <w:rsid w:val="0D47689D"/>
    <w:rsid w:val="0D4E4D51"/>
    <w:rsid w:val="0D533015"/>
    <w:rsid w:val="0D5D738C"/>
    <w:rsid w:val="0D6D057B"/>
    <w:rsid w:val="0D7325C1"/>
    <w:rsid w:val="0D821B4C"/>
    <w:rsid w:val="0D8458C4"/>
    <w:rsid w:val="0D8853B5"/>
    <w:rsid w:val="0D935B07"/>
    <w:rsid w:val="0D991370"/>
    <w:rsid w:val="0D9D3EA1"/>
    <w:rsid w:val="0DAE649D"/>
    <w:rsid w:val="0DB00467"/>
    <w:rsid w:val="0DB91387"/>
    <w:rsid w:val="0DB937C0"/>
    <w:rsid w:val="0DC14423"/>
    <w:rsid w:val="0DC37C76"/>
    <w:rsid w:val="0DD04666"/>
    <w:rsid w:val="0DE03ECA"/>
    <w:rsid w:val="0DEB5944"/>
    <w:rsid w:val="0DF465A6"/>
    <w:rsid w:val="0DF70A17"/>
    <w:rsid w:val="0DF93CFC"/>
    <w:rsid w:val="0DFE11D3"/>
    <w:rsid w:val="0E1C78AB"/>
    <w:rsid w:val="0E230C39"/>
    <w:rsid w:val="0E23623F"/>
    <w:rsid w:val="0E286250"/>
    <w:rsid w:val="0E431A2D"/>
    <w:rsid w:val="0E455054"/>
    <w:rsid w:val="0E506DB7"/>
    <w:rsid w:val="0E547045"/>
    <w:rsid w:val="0E5753D6"/>
    <w:rsid w:val="0E582D88"/>
    <w:rsid w:val="0E5D0D31"/>
    <w:rsid w:val="0E643D85"/>
    <w:rsid w:val="0E664FCA"/>
    <w:rsid w:val="0E6669A8"/>
    <w:rsid w:val="0E67321C"/>
    <w:rsid w:val="0E6A13FF"/>
    <w:rsid w:val="0E6D3705"/>
    <w:rsid w:val="0E713C39"/>
    <w:rsid w:val="0E763912"/>
    <w:rsid w:val="0E76520D"/>
    <w:rsid w:val="0E7D2A40"/>
    <w:rsid w:val="0E7E0566"/>
    <w:rsid w:val="0E8A6F0A"/>
    <w:rsid w:val="0E8F7280"/>
    <w:rsid w:val="0E9374E8"/>
    <w:rsid w:val="0E963B01"/>
    <w:rsid w:val="0E9733D5"/>
    <w:rsid w:val="0EB67D00"/>
    <w:rsid w:val="0EB8014F"/>
    <w:rsid w:val="0EC125D2"/>
    <w:rsid w:val="0EC71F0D"/>
    <w:rsid w:val="0ECA58F5"/>
    <w:rsid w:val="0ED51019"/>
    <w:rsid w:val="0ED71A24"/>
    <w:rsid w:val="0EE20AF5"/>
    <w:rsid w:val="0EEA5BFB"/>
    <w:rsid w:val="0EF45248"/>
    <w:rsid w:val="0EF6634E"/>
    <w:rsid w:val="0F054F06"/>
    <w:rsid w:val="0F18329F"/>
    <w:rsid w:val="0F1B7B63"/>
    <w:rsid w:val="0F1D7D7F"/>
    <w:rsid w:val="0F220EF1"/>
    <w:rsid w:val="0F34137B"/>
    <w:rsid w:val="0F3520BE"/>
    <w:rsid w:val="0F3972E3"/>
    <w:rsid w:val="0F44355D"/>
    <w:rsid w:val="0F4B48E9"/>
    <w:rsid w:val="0F5512C6"/>
    <w:rsid w:val="0F554CE2"/>
    <w:rsid w:val="0F665E9F"/>
    <w:rsid w:val="0F6F3400"/>
    <w:rsid w:val="0F7B4AA5"/>
    <w:rsid w:val="0F7C2CF7"/>
    <w:rsid w:val="0F8971C2"/>
    <w:rsid w:val="0F8E02F6"/>
    <w:rsid w:val="0FA37CB2"/>
    <w:rsid w:val="0FA43FFC"/>
    <w:rsid w:val="0FB10903"/>
    <w:rsid w:val="0FB3423F"/>
    <w:rsid w:val="0FB6062D"/>
    <w:rsid w:val="0FC85F3C"/>
    <w:rsid w:val="0FC95811"/>
    <w:rsid w:val="0FD3043D"/>
    <w:rsid w:val="0FDA63E8"/>
    <w:rsid w:val="0FDC3796"/>
    <w:rsid w:val="0FE8038D"/>
    <w:rsid w:val="0FF244CF"/>
    <w:rsid w:val="10014FAA"/>
    <w:rsid w:val="1010343F"/>
    <w:rsid w:val="10141182"/>
    <w:rsid w:val="10190546"/>
    <w:rsid w:val="101F18D4"/>
    <w:rsid w:val="10207B26"/>
    <w:rsid w:val="10297086"/>
    <w:rsid w:val="102D2243"/>
    <w:rsid w:val="102E76EB"/>
    <w:rsid w:val="10303AE2"/>
    <w:rsid w:val="10353082"/>
    <w:rsid w:val="10391B6E"/>
    <w:rsid w:val="103B6450"/>
    <w:rsid w:val="10433815"/>
    <w:rsid w:val="10513C38"/>
    <w:rsid w:val="10563548"/>
    <w:rsid w:val="105C0433"/>
    <w:rsid w:val="105E41AB"/>
    <w:rsid w:val="1068327B"/>
    <w:rsid w:val="106F63B8"/>
    <w:rsid w:val="107515F1"/>
    <w:rsid w:val="107C207B"/>
    <w:rsid w:val="108D608D"/>
    <w:rsid w:val="108F0808"/>
    <w:rsid w:val="10A342B4"/>
    <w:rsid w:val="10B95885"/>
    <w:rsid w:val="10BB15FD"/>
    <w:rsid w:val="10C04E65"/>
    <w:rsid w:val="10C53C9A"/>
    <w:rsid w:val="10CD1330"/>
    <w:rsid w:val="10CD52E9"/>
    <w:rsid w:val="10CE1BB2"/>
    <w:rsid w:val="10CF50A9"/>
    <w:rsid w:val="10DC1574"/>
    <w:rsid w:val="10DD170A"/>
    <w:rsid w:val="10DE14CA"/>
    <w:rsid w:val="10EC5C5A"/>
    <w:rsid w:val="10ED552F"/>
    <w:rsid w:val="10F36FE9"/>
    <w:rsid w:val="11052878"/>
    <w:rsid w:val="11057F6F"/>
    <w:rsid w:val="1109680C"/>
    <w:rsid w:val="110C3C07"/>
    <w:rsid w:val="111700D2"/>
    <w:rsid w:val="11365128"/>
    <w:rsid w:val="115C7126"/>
    <w:rsid w:val="11606388"/>
    <w:rsid w:val="11685D06"/>
    <w:rsid w:val="11726A10"/>
    <w:rsid w:val="11765524"/>
    <w:rsid w:val="117874EE"/>
    <w:rsid w:val="11A7392F"/>
    <w:rsid w:val="11A7499C"/>
    <w:rsid w:val="11AD468B"/>
    <w:rsid w:val="11B00A36"/>
    <w:rsid w:val="11B51BEC"/>
    <w:rsid w:val="11B60016"/>
    <w:rsid w:val="11B825A5"/>
    <w:rsid w:val="11C674F3"/>
    <w:rsid w:val="11C9505D"/>
    <w:rsid w:val="11CE35B2"/>
    <w:rsid w:val="11CE5360"/>
    <w:rsid w:val="11D30BC8"/>
    <w:rsid w:val="11D706B9"/>
    <w:rsid w:val="11D81D3B"/>
    <w:rsid w:val="11DF756D"/>
    <w:rsid w:val="11E26109"/>
    <w:rsid w:val="11E642A5"/>
    <w:rsid w:val="11E903EC"/>
    <w:rsid w:val="11EA4CE7"/>
    <w:rsid w:val="11EE5A02"/>
    <w:rsid w:val="11F1104F"/>
    <w:rsid w:val="11F272A1"/>
    <w:rsid w:val="1202325C"/>
    <w:rsid w:val="120668A8"/>
    <w:rsid w:val="12085F02"/>
    <w:rsid w:val="120D40DA"/>
    <w:rsid w:val="120F78FE"/>
    <w:rsid w:val="12111206"/>
    <w:rsid w:val="121C256F"/>
    <w:rsid w:val="12246AF1"/>
    <w:rsid w:val="1226519C"/>
    <w:rsid w:val="122F22A3"/>
    <w:rsid w:val="123C051C"/>
    <w:rsid w:val="123C49C0"/>
    <w:rsid w:val="12406896"/>
    <w:rsid w:val="124E2894"/>
    <w:rsid w:val="125E4936"/>
    <w:rsid w:val="12641907"/>
    <w:rsid w:val="127800C7"/>
    <w:rsid w:val="1289719A"/>
    <w:rsid w:val="128C628C"/>
    <w:rsid w:val="128D0D77"/>
    <w:rsid w:val="128E09D9"/>
    <w:rsid w:val="129640D0"/>
    <w:rsid w:val="129C1866"/>
    <w:rsid w:val="129C42E0"/>
    <w:rsid w:val="129E2F84"/>
    <w:rsid w:val="12AD6E3F"/>
    <w:rsid w:val="12B26A30"/>
    <w:rsid w:val="12B427A8"/>
    <w:rsid w:val="12BC6158"/>
    <w:rsid w:val="12CF313E"/>
    <w:rsid w:val="12D76496"/>
    <w:rsid w:val="12DF03EC"/>
    <w:rsid w:val="12E94BF5"/>
    <w:rsid w:val="12F6691D"/>
    <w:rsid w:val="12F72695"/>
    <w:rsid w:val="12FB0FC4"/>
    <w:rsid w:val="13006440"/>
    <w:rsid w:val="13017085"/>
    <w:rsid w:val="13094A05"/>
    <w:rsid w:val="130B4E1E"/>
    <w:rsid w:val="130D1C08"/>
    <w:rsid w:val="13135720"/>
    <w:rsid w:val="131E2317"/>
    <w:rsid w:val="132651D4"/>
    <w:rsid w:val="132A2A6A"/>
    <w:rsid w:val="132A3B7C"/>
    <w:rsid w:val="132D60B6"/>
    <w:rsid w:val="132F0080"/>
    <w:rsid w:val="13332E6E"/>
    <w:rsid w:val="133B2E3B"/>
    <w:rsid w:val="134D58A1"/>
    <w:rsid w:val="1356560D"/>
    <w:rsid w:val="13594CCF"/>
    <w:rsid w:val="135D4BEE"/>
    <w:rsid w:val="135E44C2"/>
    <w:rsid w:val="136C6FF1"/>
    <w:rsid w:val="13743CE5"/>
    <w:rsid w:val="13816400"/>
    <w:rsid w:val="13854144"/>
    <w:rsid w:val="13857CA0"/>
    <w:rsid w:val="138959E3"/>
    <w:rsid w:val="138C7281"/>
    <w:rsid w:val="138D67BE"/>
    <w:rsid w:val="138E5B2B"/>
    <w:rsid w:val="139F3D3D"/>
    <w:rsid w:val="13A91BE1"/>
    <w:rsid w:val="13AB5671"/>
    <w:rsid w:val="13B51299"/>
    <w:rsid w:val="13BD0D3B"/>
    <w:rsid w:val="13C20B3D"/>
    <w:rsid w:val="13C71583"/>
    <w:rsid w:val="13CB5FFB"/>
    <w:rsid w:val="13CF716E"/>
    <w:rsid w:val="13D5033C"/>
    <w:rsid w:val="13D749A0"/>
    <w:rsid w:val="13DD188A"/>
    <w:rsid w:val="13DF3855"/>
    <w:rsid w:val="13E23345"/>
    <w:rsid w:val="13EB21F9"/>
    <w:rsid w:val="13FE2B7B"/>
    <w:rsid w:val="13FE620D"/>
    <w:rsid w:val="140D6BC5"/>
    <w:rsid w:val="141C0605"/>
    <w:rsid w:val="141F7F22"/>
    <w:rsid w:val="14264FE0"/>
    <w:rsid w:val="144F5241"/>
    <w:rsid w:val="14531B4D"/>
    <w:rsid w:val="145C29C3"/>
    <w:rsid w:val="145E053D"/>
    <w:rsid w:val="145F4995"/>
    <w:rsid w:val="146B285A"/>
    <w:rsid w:val="147A51A6"/>
    <w:rsid w:val="147C5547"/>
    <w:rsid w:val="148059CD"/>
    <w:rsid w:val="1481490C"/>
    <w:rsid w:val="14983A03"/>
    <w:rsid w:val="14A60D5C"/>
    <w:rsid w:val="14A6752C"/>
    <w:rsid w:val="14A957E1"/>
    <w:rsid w:val="14B00D4D"/>
    <w:rsid w:val="14B33349"/>
    <w:rsid w:val="14B545B5"/>
    <w:rsid w:val="14C60571"/>
    <w:rsid w:val="14CF38C9"/>
    <w:rsid w:val="14D709D0"/>
    <w:rsid w:val="14E34308"/>
    <w:rsid w:val="14E46C49"/>
    <w:rsid w:val="14E950DD"/>
    <w:rsid w:val="14F50E56"/>
    <w:rsid w:val="14F926F4"/>
    <w:rsid w:val="150317C5"/>
    <w:rsid w:val="150572EB"/>
    <w:rsid w:val="15107A3E"/>
    <w:rsid w:val="15115C90"/>
    <w:rsid w:val="151B007C"/>
    <w:rsid w:val="15323E58"/>
    <w:rsid w:val="153D6A71"/>
    <w:rsid w:val="154020D1"/>
    <w:rsid w:val="1542409B"/>
    <w:rsid w:val="15437EEB"/>
    <w:rsid w:val="15440244"/>
    <w:rsid w:val="154445A7"/>
    <w:rsid w:val="154D47EE"/>
    <w:rsid w:val="155362A8"/>
    <w:rsid w:val="155A5D24"/>
    <w:rsid w:val="1560696C"/>
    <w:rsid w:val="156404B5"/>
    <w:rsid w:val="156D4E90"/>
    <w:rsid w:val="15793835"/>
    <w:rsid w:val="157B2766"/>
    <w:rsid w:val="158C17BA"/>
    <w:rsid w:val="159140C6"/>
    <w:rsid w:val="159D7DBF"/>
    <w:rsid w:val="159E329B"/>
    <w:rsid w:val="159F14ED"/>
    <w:rsid w:val="15A25C0B"/>
    <w:rsid w:val="15A5287C"/>
    <w:rsid w:val="15B64A89"/>
    <w:rsid w:val="15B66837"/>
    <w:rsid w:val="15B96D5F"/>
    <w:rsid w:val="15C70A44"/>
    <w:rsid w:val="15C9656A"/>
    <w:rsid w:val="15D55AB8"/>
    <w:rsid w:val="15DE2DCC"/>
    <w:rsid w:val="15EB4733"/>
    <w:rsid w:val="15EC04AB"/>
    <w:rsid w:val="15F1161D"/>
    <w:rsid w:val="15F64E85"/>
    <w:rsid w:val="16021A3F"/>
    <w:rsid w:val="16077093"/>
    <w:rsid w:val="16135A37"/>
    <w:rsid w:val="16157A01"/>
    <w:rsid w:val="161F39B6"/>
    <w:rsid w:val="162032EC"/>
    <w:rsid w:val="16223ECC"/>
    <w:rsid w:val="16255D1A"/>
    <w:rsid w:val="162B4ED3"/>
    <w:rsid w:val="1630755A"/>
    <w:rsid w:val="16383094"/>
    <w:rsid w:val="163A1216"/>
    <w:rsid w:val="164976AB"/>
    <w:rsid w:val="165027E8"/>
    <w:rsid w:val="165C0907"/>
    <w:rsid w:val="165E3157"/>
    <w:rsid w:val="166149F5"/>
    <w:rsid w:val="166C5148"/>
    <w:rsid w:val="166D15EC"/>
    <w:rsid w:val="166E2C6E"/>
    <w:rsid w:val="167069E6"/>
    <w:rsid w:val="1675224E"/>
    <w:rsid w:val="167F30CD"/>
    <w:rsid w:val="168D57EA"/>
    <w:rsid w:val="168F3D98"/>
    <w:rsid w:val="16906734"/>
    <w:rsid w:val="16932295"/>
    <w:rsid w:val="169E7C7F"/>
    <w:rsid w:val="16A101D4"/>
    <w:rsid w:val="16A552B9"/>
    <w:rsid w:val="16AD3D6F"/>
    <w:rsid w:val="16B550D9"/>
    <w:rsid w:val="16CB0FED"/>
    <w:rsid w:val="16DE0BDF"/>
    <w:rsid w:val="16EB64F4"/>
    <w:rsid w:val="16ED377F"/>
    <w:rsid w:val="16F67353"/>
    <w:rsid w:val="16F76178"/>
    <w:rsid w:val="16FC471D"/>
    <w:rsid w:val="16FE1B4A"/>
    <w:rsid w:val="17045380"/>
    <w:rsid w:val="170557A0"/>
    <w:rsid w:val="17131952"/>
    <w:rsid w:val="171738F7"/>
    <w:rsid w:val="171D38B1"/>
    <w:rsid w:val="1723614E"/>
    <w:rsid w:val="17290D41"/>
    <w:rsid w:val="172B095B"/>
    <w:rsid w:val="17363731"/>
    <w:rsid w:val="17397720"/>
    <w:rsid w:val="173C2D6C"/>
    <w:rsid w:val="175400B6"/>
    <w:rsid w:val="175636B9"/>
    <w:rsid w:val="176B797D"/>
    <w:rsid w:val="17847F27"/>
    <w:rsid w:val="17900D32"/>
    <w:rsid w:val="179130B8"/>
    <w:rsid w:val="179C3BE2"/>
    <w:rsid w:val="17A032FB"/>
    <w:rsid w:val="17A76693"/>
    <w:rsid w:val="17A96653"/>
    <w:rsid w:val="17B14EDF"/>
    <w:rsid w:val="17B6143D"/>
    <w:rsid w:val="17B809DD"/>
    <w:rsid w:val="17C326A9"/>
    <w:rsid w:val="17C76AD9"/>
    <w:rsid w:val="17CF3BE0"/>
    <w:rsid w:val="17D42FA4"/>
    <w:rsid w:val="17DB1E48"/>
    <w:rsid w:val="17DE3E23"/>
    <w:rsid w:val="17EB193D"/>
    <w:rsid w:val="17EC425D"/>
    <w:rsid w:val="17EF7DDE"/>
    <w:rsid w:val="17FD24FB"/>
    <w:rsid w:val="18053F33"/>
    <w:rsid w:val="18082D57"/>
    <w:rsid w:val="180912F7"/>
    <w:rsid w:val="180A2E6A"/>
    <w:rsid w:val="180A49A0"/>
    <w:rsid w:val="180F0FA4"/>
    <w:rsid w:val="181E6B28"/>
    <w:rsid w:val="182757CA"/>
    <w:rsid w:val="182932F0"/>
    <w:rsid w:val="184142B5"/>
    <w:rsid w:val="1843224B"/>
    <w:rsid w:val="184822F5"/>
    <w:rsid w:val="185145F5"/>
    <w:rsid w:val="18535349"/>
    <w:rsid w:val="186662F2"/>
    <w:rsid w:val="186B3909"/>
    <w:rsid w:val="187035F2"/>
    <w:rsid w:val="18786026"/>
    <w:rsid w:val="18876269"/>
    <w:rsid w:val="188B5D59"/>
    <w:rsid w:val="188E011E"/>
    <w:rsid w:val="1890336F"/>
    <w:rsid w:val="18955A86"/>
    <w:rsid w:val="1898547C"/>
    <w:rsid w:val="18A20665"/>
    <w:rsid w:val="18A961DF"/>
    <w:rsid w:val="18AE1A47"/>
    <w:rsid w:val="18B65AFA"/>
    <w:rsid w:val="18B82BD4"/>
    <w:rsid w:val="18C4126B"/>
    <w:rsid w:val="18E22B1A"/>
    <w:rsid w:val="18EE0096"/>
    <w:rsid w:val="18F540EA"/>
    <w:rsid w:val="18F71640"/>
    <w:rsid w:val="18FE652B"/>
    <w:rsid w:val="19014E88"/>
    <w:rsid w:val="1905610C"/>
    <w:rsid w:val="19084AF6"/>
    <w:rsid w:val="19173A91"/>
    <w:rsid w:val="192817FA"/>
    <w:rsid w:val="193D39E7"/>
    <w:rsid w:val="19406B43"/>
    <w:rsid w:val="19507C28"/>
    <w:rsid w:val="1953049F"/>
    <w:rsid w:val="195B34BE"/>
    <w:rsid w:val="195C5947"/>
    <w:rsid w:val="197832BB"/>
    <w:rsid w:val="197C1145"/>
    <w:rsid w:val="197D7D98"/>
    <w:rsid w:val="199D714F"/>
    <w:rsid w:val="19A74E14"/>
    <w:rsid w:val="19A757EC"/>
    <w:rsid w:val="19AC41D9"/>
    <w:rsid w:val="19AD1CFF"/>
    <w:rsid w:val="19AF1F1B"/>
    <w:rsid w:val="19B11244"/>
    <w:rsid w:val="19B25567"/>
    <w:rsid w:val="19B60BB4"/>
    <w:rsid w:val="19B92117"/>
    <w:rsid w:val="19BD63E6"/>
    <w:rsid w:val="19C01A32"/>
    <w:rsid w:val="19C6416A"/>
    <w:rsid w:val="19C77265"/>
    <w:rsid w:val="19CA0B03"/>
    <w:rsid w:val="19E541F8"/>
    <w:rsid w:val="1A0A0EFF"/>
    <w:rsid w:val="1A1104E0"/>
    <w:rsid w:val="1A2C63A6"/>
    <w:rsid w:val="1A2E0CA1"/>
    <w:rsid w:val="1A352EE0"/>
    <w:rsid w:val="1A393593"/>
    <w:rsid w:val="1A3A618A"/>
    <w:rsid w:val="1A3D371A"/>
    <w:rsid w:val="1A424B3D"/>
    <w:rsid w:val="1A4A57A0"/>
    <w:rsid w:val="1A5D0855"/>
    <w:rsid w:val="1A704A61"/>
    <w:rsid w:val="1A8011C2"/>
    <w:rsid w:val="1A8D3C50"/>
    <w:rsid w:val="1A9B5FFB"/>
    <w:rsid w:val="1AA03612"/>
    <w:rsid w:val="1AAD645B"/>
    <w:rsid w:val="1AB84DFF"/>
    <w:rsid w:val="1AC06B1C"/>
    <w:rsid w:val="1ADC0AEE"/>
    <w:rsid w:val="1ADF05DE"/>
    <w:rsid w:val="1AE244DD"/>
    <w:rsid w:val="1AE71241"/>
    <w:rsid w:val="1AEF6A73"/>
    <w:rsid w:val="1AF0003A"/>
    <w:rsid w:val="1AF252D8"/>
    <w:rsid w:val="1AF5395E"/>
    <w:rsid w:val="1B100797"/>
    <w:rsid w:val="1B177D78"/>
    <w:rsid w:val="1B185113"/>
    <w:rsid w:val="1B1D07A3"/>
    <w:rsid w:val="1B1F09DB"/>
    <w:rsid w:val="1B210BF7"/>
    <w:rsid w:val="1B280C01"/>
    <w:rsid w:val="1B2B55D1"/>
    <w:rsid w:val="1B2B737F"/>
    <w:rsid w:val="1B2D398A"/>
    <w:rsid w:val="1B362FB2"/>
    <w:rsid w:val="1B3C702E"/>
    <w:rsid w:val="1B3E70B3"/>
    <w:rsid w:val="1B446693"/>
    <w:rsid w:val="1B48540F"/>
    <w:rsid w:val="1B533B02"/>
    <w:rsid w:val="1B57577D"/>
    <w:rsid w:val="1B6909DB"/>
    <w:rsid w:val="1B6D7998"/>
    <w:rsid w:val="1B6F3710"/>
    <w:rsid w:val="1B881A41"/>
    <w:rsid w:val="1B882A24"/>
    <w:rsid w:val="1B8D003A"/>
    <w:rsid w:val="1B8D1DE8"/>
    <w:rsid w:val="1B974A15"/>
    <w:rsid w:val="1BA117F7"/>
    <w:rsid w:val="1BA87467"/>
    <w:rsid w:val="1BAE51EC"/>
    <w:rsid w:val="1BB235FD"/>
    <w:rsid w:val="1BB90E2F"/>
    <w:rsid w:val="1BBD2BB3"/>
    <w:rsid w:val="1BC577D4"/>
    <w:rsid w:val="1BCD6688"/>
    <w:rsid w:val="1BD4716C"/>
    <w:rsid w:val="1BD85700"/>
    <w:rsid w:val="1BD87507"/>
    <w:rsid w:val="1BDD38E5"/>
    <w:rsid w:val="1BE03343"/>
    <w:rsid w:val="1BE13D51"/>
    <w:rsid w:val="1BE7541E"/>
    <w:rsid w:val="1BEA0FE8"/>
    <w:rsid w:val="1BF32A25"/>
    <w:rsid w:val="1BFD6F6E"/>
    <w:rsid w:val="1C0D5158"/>
    <w:rsid w:val="1C145FF6"/>
    <w:rsid w:val="1C183DA8"/>
    <w:rsid w:val="1C1B5646"/>
    <w:rsid w:val="1C205680"/>
    <w:rsid w:val="1C26184D"/>
    <w:rsid w:val="1C3418C1"/>
    <w:rsid w:val="1C386E1E"/>
    <w:rsid w:val="1C3A7FB9"/>
    <w:rsid w:val="1C422BD3"/>
    <w:rsid w:val="1C454471"/>
    <w:rsid w:val="1C4D329A"/>
    <w:rsid w:val="1C56042C"/>
    <w:rsid w:val="1C6A2129"/>
    <w:rsid w:val="1C723BCB"/>
    <w:rsid w:val="1C7627BD"/>
    <w:rsid w:val="1C784846"/>
    <w:rsid w:val="1C7B60E4"/>
    <w:rsid w:val="1C817AE6"/>
    <w:rsid w:val="1C821221"/>
    <w:rsid w:val="1C83060C"/>
    <w:rsid w:val="1C8431EB"/>
    <w:rsid w:val="1C872AE7"/>
    <w:rsid w:val="1C93342E"/>
    <w:rsid w:val="1CA2751E"/>
    <w:rsid w:val="1CA4388D"/>
    <w:rsid w:val="1CA70679"/>
    <w:rsid w:val="1CAA4BB2"/>
    <w:rsid w:val="1CB47CD2"/>
    <w:rsid w:val="1CC31274"/>
    <w:rsid w:val="1CC96E50"/>
    <w:rsid w:val="1CD634DF"/>
    <w:rsid w:val="1CDC17B2"/>
    <w:rsid w:val="1CE0443D"/>
    <w:rsid w:val="1CEE584F"/>
    <w:rsid w:val="1CEE724A"/>
    <w:rsid w:val="1CF731E2"/>
    <w:rsid w:val="1CFC5477"/>
    <w:rsid w:val="1CFE018B"/>
    <w:rsid w:val="1D04257E"/>
    <w:rsid w:val="1D1F4CC2"/>
    <w:rsid w:val="1D28626C"/>
    <w:rsid w:val="1D3650A3"/>
    <w:rsid w:val="1D374356"/>
    <w:rsid w:val="1D3764AF"/>
    <w:rsid w:val="1D3A5FA0"/>
    <w:rsid w:val="1D3E783E"/>
    <w:rsid w:val="1D4049A5"/>
    <w:rsid w:val="1D412E8A"/>
    <w:rsid w:val="1D4604A0"/>
    <w:rsid w:val="1D4666F2"/>
    <w:rsid w:val="1D484219"/>
    <w:rsid w:val="1D5C1A72"/>
    <w:rsid w:val="1D6F5C49"/>
    <w:rsid w:val="1D707F4E"/>
    <w:rsid w:val="1D76522A"/>
    <w:rsid w:val="1D774AFE"/>
    <w:rsid w:val="1D790876"/>
    <w:rsid w:val="1D7C6174"/>
    <w:rsid w:val="1D7E5E8C"/>
    <w:rsid w:val="1D8F7691"/>
    <w:rsid w:val="1D9B3E80"/>
    <w:rsid w:val="1DA344B8"/>
    <w:rsid w:val="1DAA6C81"/>
    <w:rsid w:val="1DAB29F9"/>
    <w:rsid w:val="1DB864D7"/>
    <w:rsid w:val="1DB95116"/>
    <w:rsid w:val="1DBB45FD"/>
    <w:rsid w:val="1DC24D57"/>
    <w:rsid w:val="1DD27F86"/>
    <w:rsid w:val="1DD40180"/>
    <w:rsid w:val="1DDA4574"/>
    <w:rsid w:val="1DE17F54"/>
    <w:rsid w:val="1DE63A32"/>
    <w:rsid w:val="1DEB3D2A"/>
    <w:rsid w:val="1DED43E6"/>
    <w:rsid w:val="1DF443A0"/>
    <w:rsid w:val="1DF76FC3"/>
    <w:rsid w:val="1DF95513"/>
    <w:rsid w:val="1DFB50CA"/>
    <w:rsid w:val="1E012619"/>
    <w:rsid w:val="1E0569F0"/>
    <w:rsid w:val="1E0E7075"/>
    <w:rsid w:val="1E12759A"/>
    <w:rsid w:val="1E164317"/>
    <w:rsid w:val="1E1E766F"/>
    <w:rsid w:val="1E21106A"/>
    <w:rsid w:val="1E214A6A"/>
    <w:rsid w:val="1E2414C4"/>
    <w:rsid w:val="1E2A1B70"/>
    <w:rsid w:val="1E31278D"/>
    <w:rsid w:val="1E3229FF"/>
    <w:rsid w:val="1E384382"/>
    <w:rsid w:val="1E3E386E"/>
    <w:rsid w:val="1E4A0464"/>
    <w:rsid w:val="1E4C1AE7"/>
    <w:rsid w:val="1E5906A7"/>
    <w:rsid w:val="1E6257AE"/>
    <w:rsid w:val="1E6432D4"/>
    <w:rsid w:val="1E6E4319"/>
    <w:rsid w:val="1E796654"/>
    <w:rsid w:val="1E8307FC"/>
    <w:rsid w:val="1E8472C7"/>
    <w:rsid w:val="1E8E0E46"/>
    <w:rsid w:val="1E965458"/>
    <w:rsid w:val="1E9F4582"/>
    <w:rsid w:val="1EA2204E"/>
    <w:rsid w:val="1EB12291"/>
    <w:rsid w:val="1EB53B30"/>
    <w:rsid w:val="1EC10726"/>
    <w:rsid w:val="1EC57AEB"/>
    <w:rsid w:val="1EC80028"/>
    <w:rsid w:val="1EE057F5"/>
    <w:rsid w:val="1EE53CE9"/>
    <w:rsid w:val="1EF26B32"/>
    <w:rsid w:val="1EF63F85"/>
    <w:rsid w:val="1EFD1033"/>
    <w:rsid w:val="1EFF7F5F"/>
    <w:rsid w:val="1F0D3AC2"/>
    <w:rsid w:val="1F114044"/>
    <w:rsid w:val="1F1C595D"/>
    <w:rsid w:val="1F271DA9"/>
    <w:rsid w:val="1F282554"/>
    <w:rsid w:val="1F304E78"/>
    <w:rsid w:val="1F3454E9"/>
    <w:rsid w:val="1F3A4035"/>
    <w:rsid w:val="1F4153C3"/>
    <w:rsid w:val="1F4924CA"/>
    <w:rsid w:val="1F576995"/>
    <w:rsid w:val="1F664E2A"/>
    <w:rsid w:val="1F9279CD"/>
    <w:rsid w:val="1F933745"/>
    <w:rsid w:val="1F9951FF"/>
    <w:rsid w:val="1F9A348A"/>
    <w:rsid w:val="1FA77180"/>
    <w:rsid w:val="1FAF3D99"/>
    <w:rsid w:val="1FB016A1"/>
    <w:rsid w:val="1FB35D6F"/>
    <w:rsid w:val="1FBC2C9C"/>
    <w:rsid w:val="1FBE07C2"/>
    <w:rsid w:val="1FC2187E"/>
    <w:rsid w:val="1FC427C7"/>
    <w:rsid w:val="1FC52D11"/>
    <w:rsid w:val="1FC85AE5"/>
    <w:rsid w:val="1FD87D7A"/>
    <w:rsid w:val="1FDC333E"/>
    <w:rsid w:val="1FE636D6"/>
    <w:rsid w:val="1FEC3A03"/>
    <w:rsid w:val="1FF468DA"/>
    <w:rsid w:val="1FF73CD4"/>
    <w:rsid w:val="20015461"/>
    <w:rsid w:val="20145C76"/>
    <w:rsid w:val="201C198C"/>
    <w:rsid w:val="2022029C"/>
    <w:rsid w:val="2023248F"/>
    <w:rsid w:val="20234AC9"/>
    <w:rsid w:val="2027280B"/>
    <w:rsid w:val="20313159"/>
    <w:rsid w:val="20362A4E"/>
    <w:rsid w:val="2043516B"/>
    <w:rsid w:val="20436F19"/>
    <w:rsid w:val="204437FE"/>
    <w:rsid w:val="204F72C1"/>
    <w:rsid w:val="20601879"/>
    <w:rsid w:val="208539D6"/>
    <w:rsid w:val="2091237A"/>
    <w:rsid w:val="20971013"/>
    <w:rsid w:val="20A43B9A"/>
    <w:rsid w:val="20A57BD4"/>
    <w:rsid w:val="20CC33B3"/>
    <w:rsid w:val="20CE2C87"/>
    <w:rsid w:val="20D04E33"/>
    <w:rsid w:val="20D13E8A"/>
    <w:rsid w:val="20D3029D"/>
    <w:rsid w:val="20DA41E3"/>
    <w:rsid w:val="20DB0011"/>
    <w:rsid w:val="20DD736E"/>
    <w:rsid w:val="20E029BA"/>
    <w:rsid w:val="20EA188C"/>
    <w:rsid w:val="20EA55E7"/>
    <w:rsid w:val="20F621DE"/>
    <w:rsid w:val="21026DD4"/>
    <w:rsid w:val="211D12FA"/>
    <w:rsid w:val="211F2CE8"/>
    <w:rsid w:val="212B00D9"/>
    <w:rsid w:val="213056EF"/>
    <w:rsid w:val="213F3B84"/>
    <w:rsid w:val="21494A03"/>
    <w:rsid w:val="21611D4D"/>
    <w:rsid w:val="2169499E"/>
    <w:rsid w:val="2177331E"/>
    <w:rsid w:val="21785657"/>
    <w:rsid w:val="21792A9A"/>
    <w:rsid w:val="217C3E1F"/>
    <w:rsid w:val="217E28FF"/>
    <w:rsid w:val="21A12149"/>
    <w:rsid w:val="21AC1E83"/>
    <w:rsid w:val="21B7404D"/>
    <w:rsid w:val="21BC1A15"/>
    <w:rsid w:val="21BC592B"/>
    <w:rsid w:val="21BF13C3"/>
    <w:rsid w:val="21D46141"/>
    <w:rsid w:val="21D7727E"/>
    <w:rsid w:val="21DF79CB"/>
    <w:rsid w:val="21E52E0A"/>
    <w:rsid w:val="21F20BF7"/>
    <w:rsid w:val="21F7445F"/>
    <w:rsid w:val="21FC1A76"/>
    <w:rsid w:val="22055993"/>
    <w:rsid w:val="2207755F"/>
    <w:rsid w:val="220854D9"/>
    <w:rsid w:val="220D3733"/>
    <w:rsid w:val="220D5A31"/>
    <w:rsid w:val="22116A1C"/>
    <w:rsid w:val="22146F09"/>
    <w:rsid w:val="22172BBE"/>
    <w:rsid w:val="221C3EC6"/>
    <w:rsid w:val="22205A81"/>
    <w:rsid w:val="222A65E3"/>
    <w:rsid w:val="223207CB"/>
    <w:rsid w:val="223312CE"/>
    <w:rsid w:val="2241392C"/>
    <w:rsid w:val="224D5783"/>
    <w:rsid w:val="22513B6F"/>
    <w:rsid w:val="225E628C"/>
    <w:rsid w:val="22617B2B"/>
    <w:rsid w:val="22666E4C"/>
    <w:rsid w:val="226D4721"/>
    <w:rsid w:val="2273777D"/>
    <w:rsid w:val="227D2BB6"/>
    <w:rsid w:val="22873A35"/>
    <w:rsid w:val="228D5B8A"/>
    <w:rsid w:val="228F4698"/>
    <w:rsid w:val="229D0EFE"/>
    <w:rsid w:val="22A7378F"/>
    <w:rsid w:val="22A8677D"/>
    <w:rsid w:val="22AA7723"/>
    <w:rsid w:val="22C500B9"/>
    <w:rsid w:val="22C72083"/>
    <w:rsid w:val="22CA787B"/>
    <w:rsid w:val="22CC1448"/>
    <w:rsid w:val="22D12F02"/>
    <w:rsid w:val="22D22F9E"/>
    <w:rsid w:val="22D24D9C"/>
    <w:rsid w:val="22D95913"/>
    <w:rsid w:val="22E36792"/>
    <w:rsid w:val="22E5250A"/>
    <w:rsid w:val="22EE5862"/>
    <w:rsid w:val="22F24E88"/>
    <w:rsid w:val="22F926B7"/>
    <w:rsid w:val="2312711C"/>
    <w:rsid w:val="23151041"/>
    <w:rsid w:val="2318643B"/>
    <w:rsid w:val="232C638A"/>
    <w:rsid w:val="232E706A"/>
    <w:rsid w:val="23353491"/>
    <w:rsid w:val="23470A23"/>
    <w:rsid w:val="234A44CD"/>
    <w:rsid w:val="234A7D37"/>
    <w:rsid w:val="234B4A63"/>
    <w:rsid w:val="234B4D5C"/>
    <w:rsid w:val="23510BC5"/>
    <w:rsid w:val="2351669E"/>
    <w:rsid w:val="235A2EF8"/>
    <w:rsid w:val="236C49D9"/>
    <w:rsid w:val="236D2C2B"/>
    <w:rsid w:val="23772C71"/>
    <w:rsid w:val="237C2E6E"/>
    <w:rsid w:val="23846776"/>
    <w:rsid w:val="23847F75"/>
    <w:rsid w:val="23865A9B"/>
    <w:rsid w:val="238B30B1"/>
    <w:rsid w:val="238F5FF1"/>
    <w:rsid w:val="23953F30"/>
    <w:rsid w:val="23955CDE"/>
    <w:rsid w:val="23A221A9"/>
    <w:rsid w:val="23B26890"/>
    <w:rsid w:val="23B71D5A"/>
    <w:rsid w:val="23CE0A96"/>
    <w:rsid w:val="23D064D2"/>
    <w:rsid w:val="23D26E32"/>
    <w:rsid w:val="23D26F32"/>
    <w:rsid w:val="23E822B1"/>
    <w:rsid w:val="23F173A1"/>
    <w:rsid w:val="23FC640E"/>
    <w:rsid w:val="240370EB"/>
    <w:rsid w:val="24044C11"/>
    <w:rsid w:val="24223806"/>
    <w:rsid w:val="242332EA"/>
    <w:rsid w:val="2427463A"/>
    <w:rsid w:val="242840D7"/>
    <w:rsid w:val="243F38BF"/>
    <w:rsid w:val="244249CA"/>
    <w:rsid w:val="24444754"/>
    <w:rsid w:val="244A2F6C"/>
    <w:rsid w:val="244B2840"/>
    <w:rsid w:val="24500718"/>
    <w:rsid w:val="24537BF1"/>
    <w:rsid w:val="2455456D"/>
    <w:rsid w:val="24575689"/>
    <w:rsid w:val="245A4344"/>
    <w:rsid w:val="245B6F27"/>
    <w:rsid w:val="246E59E3"/>
    <w:rsid w:val="247022A7"/>
    <w:rsid w:val="24727BE5"/>
    <w:rsid w:val="2479115B"/>
    <w:rsid w:val="248C70E1"/>
    <w:rsid w:val="249C309C"/>
    <w:rsid w:val="249E0BC2"/>
    <w:rsid w:val="24A6207A"/>
    <w:rsid w:val="24AF2DCF"/>
    <w:rsid w:val="24B2466D"/>
    <w:rsid w:val="24B65F0C"/>
    <w:rsid w:val="24C159BE"/>
    <w:rsid w:val="24C44005"/>
    <w:rsid w:val="24CD2851"/>
    <w:rsid w:val="24E172A3"/>
    <w:rsid w:val="24EA7715"/>
    <w:rsid w:val="24F84776"/>
    <w:rsid w:val="24F904EE"/>
    <w:rsid w:val="250040B1"/>
    <w:rsid w:val="250731D0"/>
    <w:rsid w:val="250A44A9"/>
    <w:rsid w:val="25164BFC"/>
    <w:rsid w:val="251D41DD"/>
    <w:rsid w:val="25263D8F"/>
    <w:rsid w:val="25280843"/>
    <w:rsid w:val="252A267E"/>
    <w:rsid w:val="25333A00"/>
    <w:rsid w:val="253B28B5"/>
    <w:rsid w:val="254302D9"/>
    <w:rsid w:val="254F433B"/>
    <w:rsid w:val="2556149D"/>
    <w:rsid w:val="25627E42"/>
    <w:rsid w:val="256535EF"/>
    <w:rsid w:val="257F09F3"/>
    <w:rsid w:val="25826736"/>
    <w:rsid w:val="25843742"/>
    <w:rsid w:val="258A438F"/>
    <w:rsid w:val="25902C01"/>
    <w:rsid w:val="2593624D"/>
    <w:rsid w:val="25940769"/>
    <w:rsid w:val="259869A0"/>
    <w:rsid w:val="259E00C9"/>
    <w:rsid w:val="25A20B86"/>
    <w:rsid w:val="25AB7A3A"/>
    <w:rsid w:val="25AD37B3"/>
    <w:rsid w:val="25B12B77"/>
    <w:rsid w:val="25B3069D"/>
    <w:rsid w:val="25BA6432"/>
    <w:rsid w:val="25BA7C7E"/>
    <w:rsid w:val="25BB19CC"/>
    <w:rsid w:val="25C24D84"/>
    <w:rsid w:val="25C47321"/>
    <w:rsid w:val="25D16D75"/>
    <w:rsid w:val="25E940BF"/>
    <w:rsid w:val="25EC6BBC"/>
    <w:rsid w:val="25ED0053"/>
    <w:rsid w:val="25F34F3E"/>
    <w:rsid w:val="25F807A6"/>
    <w:rsid w:val="25F80A39"/>
    <w:rsid w:val="25F919A9"/>
    <w:rsid w:val="26057CE8"/>
    <w:rsid w:val="260E1D77"/>
    <w:rsid w:val="26154EB4"/>
    <w:rsid w:val="26211AAB"/>
    <w:rsid w:val="26271B81"/>
    <w:rsid w:val="263E3DC3"/>
    <w:rsid w:val="26413EFB"/>
    <w:rsid w:val="26422CDB"/>
    <w:rsid w:val="26487037"/>
    <w:rsid w:val="264A7253"/>
    <w:rsid w:val="264F6618"/>
    <w:rsid w:val="2650413E"/>
    <w:rsid w:val="26571970"/>
    <w:rsid w:val="265D4174"/>
    <w:rsid w:val="2661371B"/>
    <w:rsid w:val="26647AE6"/>
    <w:rsid w:val="26652ABC"/>
    <w:rsid w:val="26655AFD"/>
    <w:rsid w:val="26747E2C"/>
    <w:rsid w:val="26812549"/>
    <w:rsid w:val="268362C1"/>
    <w:rsid w:val="268D7140"/>
    <w:rsid w:val="269009DE"/>
    <w:rsid w:val="26A56238"/>
    <w:rsid w:val="26A653C0"/>
    <w:rsid w:val="26C50688"/>
    <w:rsid w:val="26ED7BDF"/>
    <w:rsid w:val="26F04B11"/>
    <w:rsid w:val="26FE07A5"/>
    <w:rsid w:val="27007912"/>
    <w:rsid w:val="2706236C"/>
    <w:rsid w:val="271666A2"/>
    <w:rsid w:val="27237EB2"/>
    <w:rsid w:val="272A0E33"/>
    <w:rsid w:val="272E6B7A"/>
    <w:rsid w:val="27362D2E"/>
    <w:rsid w:val="27377E1D"/>
    <w:rsid w:val="27387B55"/>
    <w:rsid w:val="27391076"/>
    <w:rsid w:val="2749750B"/>
    <w:rsid w:val="275128DB"/>
    <w:rsid w:val="2753038A"/>
    <w:rsid w:val="275B0FEC"/>
    <w:rsid w:val="2765222F"/>
    <w:rsid w:val="27675EA2"/>
    <w:rsid w:val="27750300"/>
    <w:rsid w:val="2776582A"/>
    <w:rsid w:val="277D0F63"/>
    <w:rsid w:val="277E5B6F"/>
    <w:rsid w:val="278422F1"/>
    <w:rsid w:val="27912C60"/>
    <w:rsid w:val="27932534"/>
    <w:rsid w:val="27936EBA"/>
    <w:rsid w:val="27952750"/>
    <w:rsid w:val="27992678"/>
    <w:rsid w:val="279B763B"/>
    <w:rsid w:val="279C601E"/>
    <w:rsid w:val="279F1B86"/>
    <w:rsid w:val="27A55A53"/>
    <w:rsid w:val="27AA28BA"/>
    <w:rsid w:val="27B8347D"/>
    <w:rsid w:val="27C052F3"/>
    <w:rsid w:val="27D03788"/>
    <w:rsid w:val="27E45486"/>
    <w:rsid w:val="27E92A9C"/>
    <w:rsid w:val="27EB7149"/>
    <w:rsid w:val="27FA25B3"/>
    <w:rsid w:val="27FF406E"/>
    <w:rsid w:val="28212236"/>
    <w:rsid w:val="28213FE4"/>
    <w:rsid w:val="28281DA8"/>
    <w:rsid w:val="283006CB"/>
    <w:rsid w:val="283C2BCC"/>
    <w:rsid w:val="28441A80"/>
    <w:rsid w:val="284424E9"/>
    <w:rsid w:val="28497B65"/>
    <w:rsid w:val="284B1061"/>
    <w:rsid w:val="285A5748"/>
    <w:rsid w:val="286949D5"/>
    <w:rsid w:val="286A04A4"/>
    <w:rsid w:val="286D7229"/>
    <w:rsid w:val="28722F64"/>
    <w:rsid w:val="287265EE"/>
    <w:rsid w:val="28784945"/>
    <w:rsid w:val="287F247A"/>
    <w:rsid w:val="288040C1"/>
    <w:rsid w:val="28844573"/>
    <w:rsid w:val="288527C5"/>
    <w:rsid w:val="28927BEE"/>
    <w:rsid w:val="28976411"/>
    <w:rsid w:val="289C7B0E"/>
    <w:rsid w:val="28B22E8E"/>
    <w:rsid w:val="28B7787D"/>
    <w:rsid w:val="28C11F57"/>
    <w:rsid w:val="28CE18DC"/>
    <w:rsid w:val="28DA4193"/>
    <w:rsid w:val="28E53583"/>
    <w:rsid w:val="28E76302"/>
    <w:rsid w:val="28EA6ACC"/>
    <w:rsid w:val="28F263DF"/>
    <w:rsid w:val="28F60FCD"/>
    <w:rsid w:val="28FF3E11"/>
    <w:rsid w:val="29034031"/>
    <w:rsid w:val="290B1084"/>
    <w:rsid w:val="290F6532"/>
    <w:rsid w:val="2914140D"/>
    <w:rsid w:val="2916341D"/>
    <w:rsid w:val="2919115F"/>
    <w:rsid w:val="29220014"/>
    <w:rsid w:val="292D4632"/>
    <w:rsid w:val="293146FB"/>
    <w:rsid w:val="29345861"/>
    <w:rsid w:val="294F2DD3"/>
    <w:rsid w:val="29534671"/>
    <w:rsid w:val="2953641F"/>
    <w:rsid w:val="29567B4F"/>
    <w:rsid w:val="295C0BD2"/>
    <w:rsid w:val="2964687E"/>
    <w:rsid w:val="296744C1"/>
    <w:rsid w:val="297178C5"/>
    <w:rsid w:val="29736AC1"/>
    <w:rsid w:val="29791BFE"/>
    <w:rsid w:val="297D524A"/>
    <w:rsid w:val="297D5B4D"/>
    <w:rsid w:val="297E0DC4"/>
    <w:rsid w:val="297E0FC2"/>
    <w:rsid w:val="298505A2"/>
    <w:rsid w:val="29861A96"/>
    <w:rsid w:val="299A6DF9"/>
    <w:rsid w:val="299F1839"/>
    <w:rsid w:val="29A273A6"/>
    <w:rsid w:val="29B31B70"/>
    <w:rsid w:val="29B33362"/>
    <w:rsid w:val="29B603A5"/>
    <w:rsid w:val="29C342B8"/>
    <w:rsid w:val="29D03D17"/>
    <w:rsid w:val="29D2437D"/>
    <w:rsid w:val="29DB01C2"/>
    <w:rsid w:val="29DE3D0C"/>
    <w:rsid w:val="29F23811"/>
    <w:rsid w:val="2A007C29"/>
    <w:rsid w:val="2A021BF3"/>
    <w:rsid w:val="2A027938"/>
    <w:rsid w:val="2A070CB0"/>
    <w:rsid w:val="2A1536D4"/>
    <w:rsid w:val="2A16679C"/>
    <w:rsid w:val="2A1B43AD"/>
    <w:rsid w:val="2A20146C"/>
    <w:rsid w:val="2A257690"/>
    <w:rsid w:val="2A282BFE"/>
    <w:rsid w:val="2A331DAD"/>
    <w:rsid w:val="2A367C1A"/>
    <w:rsid w:val="2A3C21E9"/>
    <w:rsid w:val="2A3D279A"/>
    <w:rsid w:val="2A3F7ADD"/>
    <w:rsid w:val="2A463335"/>
    <w:rsid w:val="2A497822"/>
    <w:rsid w:val="2A4E6BE6"/>
    <w:rsid w:val="2A593CCB"/>
    <w:rsid w:val="2A6B694A"/>
    <w:rsid w:val="2A6D073B"/>
    <w:rsid w:val="2A7D067F"/>
    <w:rsid w:val="2A7D74CC"/>
    <w:rsid w:val="2A836EE1"/>
    <w:rsid w:val="2A881C59"/>
    <w:rsid w:val="2A8940C2"/>
    <w:rsid w:val="2A9036A3"/>
    <w:rsid w:val="2A944F41"/>
    <w:rsid w:val="2A954815"/>
    <w:rsid w:val="2A9860B3"/>
    <w:rsid w:val="2AAA4765"/>
    <w:rsid w:val="2AB34C82"/>
    <w:rsid w:val="2AB7478C"/>
    <w:rsid w:val="2ABB324D"/>
    <w:rsid w:val="2AC5089C"/>
    <w:rsid w:val="2AC5334C"/>
    <w:rsid w:val="2ACF41CB"/>
    <w:rsid w:val="2AD417E1"/>
    <w:rsid w:val="2AD80312"/>
    <w:rsid w:val="2AD90BA6"/>
    <w:rsid w:val="2AD92954"/>
    <w:rsid w:val="2ADB0B40"/>
    <w:rsid w:val="2ADE7F6A"/>
    <w:rsid w:val="2AE337D3"/>
    <w:rsid w:val="2AEE5B04"/>
    <w:rsid w:val="2AF459E0"/>
    <w:rsid w:val="2B0F06DA"/>
    <w:rsid w:val="2B104E04"/>
    <w:rsid w:val="2B166C16"/>
    <w:rsid w:val="2B1971F4"/>
    <w:rsid w:val="2B1A4598"/>
    <w:rsid w:val="2B1F337E"/>
    <w:rsid w:val="2B204A27"/>
    <w:rsid w:val="2B2F2890"/>
    <w:rsid w:val="2B3043E2"/>
    <w:rsid w:val="2B3C2EE3"/>
    <w:rsid w:val="2B4104F9"/>
    <w:rsid w:val="2B41674B"/>
    <w:rsid w:val="2B4407D0"/>
    <w:rsid w:val="2B59251B"/>
    <w:rsid w:val="2B6D59F1"/>
    <w:rsid w:val="2B74267D"/>
    <w:rsid w:val="2B762899"/>
    <w:rsid w:val="2B772621"/>
    <w:rsid w:val="2B7803BF"/>
    <w:rsid w:val="2B8323E6"/>
    <w:rsid w:val="2B83675B"/>
    <w:rsid w:val="2B886128"/>
    <w:rsid w:val="2B8A39A7"/>
    <w:rsid w:val="2B936FA7"/>
    <w:rsid w:val="2BA53A40"/>
    <w:rsid w:val="2BB00126"/>
    <w:rsid w:val="2BB811A7"/>
    <w:rsid w:val="2BBD04C8"/>
    <w:rsid w:val="2BBD0575"/>
    <w:rsid w:val="2BD20AAF"/>
    <w:rsid w:val="2BD81D1D"/>
    <w:rsid w:val="2BE07D12"/>
    <w:rsid w:val="2BE529AE"/>
    <w:rsid w:val="2BF15CEC"/>
    <w:rsid w:val="2BF8505C"/>
    <w:rsid w:val="2BFC1A84"/>
    <w:rsid w:val="2C0954BB"/>
    <w:rsid w:val="2C0C496B"/>
    <w:rsid w:val="2C0E0D23"/>
    <w:rsid w:val="2C0F23A5"/>
    <w:rsid w:val="2C1874AC"/>
    <w:rsid w:val="2C1D1143"/>
    <w:rsid w:val="2C271DE5"/>
    <w:rsid w:val="2C277F89"/>
    <w:rsid w:val="2C290748"/>
    <w:rsid w:val="2C3D26A8"/>
    <w:rsid w:val="2C3D7E58"/>
    <w:rsid w:val="2C444745"/>
    <w:rsid w:val="2C4C4F5E"/>
    <w:rsid w:val="2C53003F"/>
    <w:rsid w:val="2C5A7A49"/>
    <w:rsid w:val="2C646B95"/>
    <w:rsid w:val="2C6B6EA3"/>
    <w:rsid w:val="2C7548FE"/>
    <w:rsid w:val="2C780FF9"/>
    <w:rsid w:val="2C7843EE"/>
    <w:rsid w:val="2C792FA9"/>
    <w:rsid w:val="2C7A7C7F"/>
    <w:rsid w:val="2C806608"/>
    <w:rsid w:val="2C8E72AF"/>
    <w:rsid w:val="2C8F68B4"/>
    <w:rsid w:val="2CA409FD"/>
    <w:rsid w:val="2CA56EC0"/>
    <w:rsid w:val="2CA6291B"/>
    <w:rsid w:val="2CA71B53"/>
    <w:rsid w:val="2CB01DDA"/>
    <w:rsid w:val="2CCC5A07"/>
    <w:rsid w:val="2CE0346E"/>
    <w:rsid w:val="2CE51A84"/>
    <w:rsid w:val="2CEA6EE4"/>
    <w:rsid w:val="2CEF4D6A"/>
    <w:rsid w:val="2CF2794B"/>
    <w:rsid w:val="2CF33A75"/>
    <w:rsid w:val="2D022A43"/>
    <w:rsid w:val="2D0619FA"/>
    <w:rsid w:val="2D094679"/>
    <w:rsid w:val="2D0B5031"/>
    <w:rsid w:val="2D0B5263"/>
    <w:rsid w:val="2D0F0742"/>
    <w:rsid w:val="2D1A7254"/>
    <w:rsid w:val="2D202ABC"/>
    <w:rsid w:val="2D263E4A"/>
    <w:rsid w:val="2D2D593A"/>
    <w:rsid w:val="2D2E1141"/>
    <w:rsid w:val="2D2F2CFF"/>
    <w:rsid w:val="2D361EE5"/>
    <w:rsid w:val="2D3A721C"/>
    <w:rsid w:val="2D3E73E6"/>
    <w:rsid w:val="2D40315E"/>
    <w:rsid w:val="2D517119"/>
    <w:rsid w:val="2D581D20"/>
    <w:rsid w:val="2D5D1C0F"/>
    <w:rsid w:val="2D6329A9"/>
    <w:rsid w:val="2D66078F"/>
    <w:rsid w:val="2D6C3F53"/>
    <w:rsid w:val="2D74105A"/>
    <w:rsid w:val="2D7B5F44"/>
    <w:rsid w:val="2D8F7C42"/>
    <w:rsid w:val="2D9000E0"/>
    <w:rsid w:val="2D9C11E9"/>
    <w:rsid w:val="2D9C29FC"/>
    <w:rsid w:val="2DA51213"/>
    <w:rsid w:val="2DB140EA"/>
    <w:rsid w:val="2DB15E0A"/>
    <w:rsid w:val="2DBB3D24"/>
    <w:rsid w:val="2DBB539D"/>
    <w:rsid w:val="2DBE0D16"/>
    <w:rsid w:val="2DD70850"/>
    <w:rsid w:val="2DE4334A"/>
    <w:rsid w:val="2DE75388"/>
    <w:rsid w:val="2DE97352"/>
    <w:rsid w:val="2DEC0BF0"/>
    <w:rsid w:val="2DEF7A90"/>
    <w:rsid w:val="2DF61A6F"/>
    <w:rsid w:val="2DFF3ABF"/>
    <w:rsid w:val="2E0221C2"/>
    <w:rsid w:val="2E056827"/>
    <w:rsid w:val="2E0777D8"/>
    <w:rsid w:val="2E0C2639"/>
    <w:rsid w:val="2E16034F"/>
    <w:rsid w:val="2E187C37"/>
    <w:rsid w:val="2E2170F9"/>
    <w:rsid w:val="2E2D7583"/>
    <w:rsid w:val="2E383E35"/>
    <w:rsid w:val="2E456552"/>
    <w:rsid w:val="2E516CA5"/>
    <w:rsid w:val="2E542098"/>
    <w:rsid w:val="2E743660"/>
    <w:rsid w:val="2E821554"/>
    <w:rsid w:val="2E8B665B"/>
    <w:rsid w:val="2E9A064C"/>
    <w:rsid w:val="2EA8720D"/>
    <w:rsid w:val="2ECE6FBC"/>
    <w:rsid w:val="2EE46983"/>
    <w:rsid w:val="2EEA0214"/>
    <w:rsid w:val="2EF57EF8"/>
    <w:rsid w:val="2EF908FC"/>
    <w:rsid w:val="2EFE6E2D"/>
    <w:rsid w:val="2F02713D"/>
    <w:rsid w:val="2F060499"/>
    <w:rsid w:val="2F1403FE"/>
    <w:rsid w:val="2F146650"/>
    <w:rsid w:val="2F2341FF"/>
    <w:rsid w:val="2F3015F5"/>
    <w:rsid w:val="2F3A668B"/>
    <w:rsid w:val="2F3C1703"/>
    <w:rsid w:val="2F3E191F"/>
    <w:rsid w:val="2F486F5A"/>
    <w:rsid w:val="2F4B75B1"/>
    <w:rsid w:val="2F4D537F"/>
    <w:rsid w:val="2F4D6F35"/>
    <w:rsid w:val="2F57653D"/>
    <w:rsid w:val="2F6173BC"/>
    <w:rsid w:val="2F695F74"/>
    <w:rsid w:val="2F754C15"/>
    <w:rsid w:val="2F827A5E"/>
    <w:rsid w:val="2F83752B"/>
    <w:rsid w:val="2F8C19DE"/>
    <w:rsid w:val="2F920256"/>
    <w:rsid w:val="2F9652B7"/>
    <w:rsid w:val="2F972DDE"/>
    <w:rsid w:val="2F992932"/>
    <w:rsid w:val="2F9B467C"/>
    <w:rsid w:val="2FA23C5C"/>
    <w:rsid w:val="2FB52370"/>
    <w:rsid w:val="2FB92D54"/>
    <w:rsid w:val="2FCA011A"/>
    <w:rsid w:val="2FD858D0"/>
    <w:rsid w:val="2FED0C50"/>
    <w:rsid w:val="2FED489B"/>
    <w:rsid w:val="2FEF362C"/>
    <w:rsid w:val="30226B4B"/>
    <w:rsid w:val="3040588B"/>
    <w:rsid w:val="30450798"/>
    <w:rsid w:val="304F6430"/>
    <w:rsid w:val="30533F6E"/>
    <w:rsid w:val="30542A7D"/>
    <w:rsid w:val="3069477A"/>
    <w:rsid w:val="3075311F"/>
    <w:rsid w:val="307D6477"/>
    <w:rsid w:val="308B7E91"/>
    <w:rsid w:val="308C274C"/>
    <w:rsid w:val="309317F7"/>
    <w:rsid w:val="30C145B6"/>
    <w:rsid w:val="30C93618"/>
    <w:rsid w:val="30CA3757"/>
    <w:rsid w:val="30CA4AA4"/>
    <w:rsid w:val="30D616E4"/>
    <w:rsid w:val="30D81900"/>
    <w:rsid w:val="30E23AE3"/>
    <w:rsid w:val="30E504CF"/>
    <w:rsid w:val="30F229C1"/>
    <w:rsid w:val="30F4209B"/>
    <w:rsid w:val="30FD7AB5"/>
    <w:rsid w:val="310808EC"/>
    <w:rsid w:val="31140B8A"/>
    <w:rsid w:val="311566B0"/>
    <w:rsid w:val="31197F4E"/>
    <w:rsid w:val="31271F3F"/>
    <w:rsid w:val="312C50A9"/>
    <w:rsid w:val="31327262"/>
    <w:rsid w:val="3138414C"/>
    <w:rsid w:val="313D2BE2"/>
    <w:rsid w:val="31437EBD"/>
    <w:rsid w:val="31477BE9"/>
    <w:rsid w:val="31486831"/>
    <w:rsid w:val="3152520E"/>
    <w:rsid w:val="315F792B"/>
    <w:rsid w:val="31605B7D"/>
    <w:rsid w:val="31644E6E"/>
    <w:rsid w:val="316928E3"/>
    <w:rsid w:val="316D736B"/>
    <w:rsid w:val="317B29B7"/>
    <w:rsid w:val="317D40EA"/>
    <w:rsid w:val="3186310A"/>
    <w:rsid w:val="3195334D"/>
    <w:rsid w:val="319B6BB5"/>
    <w:rsid w:val="31A90BA5"/>
    <w:rsid w:val="31AB22BB"/>
    <w:rsid w:val="31AD68E8"/>
    <w:rsid w:val="31B24DBE"/>
    <w:rsid w:val="31B61C41"/>
    <w:rsid w:val="31B859B9"/>
    <w:rsid w:val="31B935FE"/>
    <w:rsid w:val="31C12394"/>
    <w:rsid w:val="31C81974"/>
    <w:rsid w:val="31D50FEB"/>
    <w:rsid w:val="31D67BED"/>
    <w:rsid w:val="31D92C3D"/>
    <w:rsid w:val="31DC0F7C"/>
    <w:rsid w:val="31E10DF1"/>
    <w:rsid w:val="31EB55CF"/>
    <w:rsid w:val="31EE5835"/>
    <w:rsid w:val="31F73BF9"/>
    <w:rsid w:val="31F97D80"/>
    <w:rsid w:val="32025CA4"/>
    <w:rsid w:val="32060A36"/>
    <w:rsid w:val="32081D71"/>
    <w:rsid w:val="320F30FF"/>
    <w:rsid w:val="32116E77"/>
    <w:rsid w:val="3219337D"/>
    <w:rsid w:val="32430E48"/>
    <w:rsid w:val="32463586"/>
    <w:rsid w:val="324803BF"/>
    <w:rsid w:val="3253689B"/>
    <w:rsid w:val="32582CF8"/>
    <w:rsid w:val="326E42CA"/>
    <w:rsid w:val="32755658"/>
    <w:rsid w:val="3278199E"/>
    <w:rsid w:val="328B47C2"/>
    <w:rsid w:val="328B4E7C"/>
    <w:rsid w:val="328C6723"/>
    <w:rsid w:val="32963820"/>
    <w:rsid w:val="32A63A63"/>
    <w:rsid w:val="32A97E05"/>
    <w:rsid w:val="32B617CD"/>
    <w:rsid w:val="32C06D04"/>
    <w:rsid w:val="32C974BD"/>
    <w:rsid w:val="32E63034"/>
    <w:rsid w:val="32E84852"/>
    <w:rsid w:val="32EE0641"/>
    <w:rsid w:val="32F30CB8"/>
    <w:rsid w:val="32FB4BF8"/>
    <w:rsid w:val="330010CF"/>
    <w:rsid w:val="33016EEC"/>
    <w:rsid w:val="33072028"/>
    <w:rsid w:val="330C64E2"/>
    <w:rsid w:val="330C763F"/>
    <w:rsid w:val="332229E4"/>
    <w:rsid w:val="332A76AA"/>
    <w:rsid w:val="332F30F6"/>
    <w:rsid w:val="33305A23"/>
    <w:rsid w:val="33386758"/>
    <w:rsid w:val="33391DE5"/>
    <w:rsid w:val="333D4E9E"/>
    <w:rsid w:val="33406357"/>
    <w:rsid w:val="33447AC8"/>
    <w:rsid w:val="33452D93"/>
    <w:rsid w:val="33470E43"/>
    <w:rsid w:val="334D3EDF"/>
    <w:rsid w:val="3350783D"/>
    <w:rsid w:val="33741567"/>
    <w:rsid w:val="33802506"/>
    <w:rsid w:val="33896EE1"/>
    <w:rsid w:val="338E3F79"/>
    <w:rsid w:val="338F39E0"/>
    <w:rsid w:val="339935C8"/>
    <w:rsid w:val="33994829"/>
    <w:rsid w:val="339C4E66"/>
    <w:rsid w:val="339E0BDF"/>
    <w:rsid w:val="33A31D51"/>
    <w:rsid w:val="33AD093C"/>
    <w:rsid w:val="33AF4B9A"/>
    <w:rsid w:val="33AF6948"/>
    <w:rsid w:val="33BA709B"/>
    <w:rsid w:val="33C817B8"/>
    <w:rsid w:val="33CF6FEA"/>
    <w:rsid w:val="33D23701"/>
    <w:rsid w:val="33DD3815"/>
    <w:rsid w:val="33E5680D"/>
    <w:rsid w:val="33E9704D"/>
    <w:rsid w:val="33F20725"/>
    <w:rsid w:val="33FA5D38"/>
    <w:rsid w:val="33FB4C99"/>
    <w:rsid w:val="34040D62"/>
    <w:rsid w:val="340C3D9A"/>
    <w:rsid w:val="341449FD"/>
    <w:rsid w:val="34381F52"/>
    <w:rsid w:val="3439070C"/>
    <w:rsid w:val="3442156A"/>
    <w:rsid w:val="344277BC"/>
    <w:rsid w:val="345117AD"/>
    <w:rsid w:val="34580D8D"/>
    <w:rsid w:val="345919D1"/>
    <w:rsid w:val="345B46FB"/>
    <w:rsid w:val="345C6521"/>
    <w:rsid w:val="34692F9B"/>
    <w:rsid w:val="346E2943"/>
    <w:rsid w:val="34741C3F"/>
    <w:rsid w:val="34772BE4"/>
    <w:rsid w:val="348953EB"/>
    <w:rsid w:val="34936269"/>
    <w:rsid w:val="34943D90"/>
    <w:rsid w:val="34944FE8"/>
    <w:rsid w:val="349667E8"/>
    <w:rsid w:val="349B6ECC"/>
    <w:rsid w:val="349E5D58"/>
    <w:rsid w:val="34B018F8"/>
    <w:rsid w:val="34B25DEE"/>
    <w:rsid w:val="34B43C1A"/>
    <w:rsid w:val="34B47F8E"/>
    <w:rsid w:val="34C24459"/>
    <w:rsid w:val="34CA77B1"/>
    <w:rsid w:val="34CC342B"/>
    <w:rsid w:val="34CD1F33"/>
    <w:rsid w:val="34D4283B"/>
    <w:rsid w:val="34DA075E"/>
    <w:rsid w:val="34E07372"/>
    <w:rsid w:val="34E15227"/>
    <w:rsid w:val="34E33CC1"/>
    <w:rsid w:val="34EE16F2"/>
    <w:rsid w:val="34FF38FF"/>
    <w:rsid w:val="35004E07"/>
    <w:rsid w:val="35044A71"/>
    <w:rsid w:val="351837D2"/>
    <w:rsid w:val="351D5B33"/>
    <w:rsid w:val="352D3943"/>
    <w:rsid w:val="353167A6"/>
    <w:rsid w:val="3538471B"/>
    <w:rsid w:val="35525F7D"/>
    <w:rsid w:val="3555351F"/>
    <w:rsid w:val="355D23D3"/>
    <w:rsid w:val="355D5414"/>
    <w:rsid w:val="35700359"/>
    <w:rsid w:val="35733ACD"/>
    <w:rsid w:val="3576787D"/>
    <w:rsid w:val="35804541"/>
    <w:rsid w:val="3586079C"/>
    <w:rsid w:val="358D73B6"/>
    <w:rsid w:val="358F4C83"/>
    <w:rsid w:val="359027A9"/>
    <w:rsid w:val="359528C1"/>
    <w:rsid w:val="35977693"/>
    <w:rsid w:val="359A7184"/>
    <w:rsid w:val="35A3531F"/>
    <w:rsid w:val="35A61FCC"/>
    <w:rsid w:val="35A63D7A"/>
    <w:rsid w:val="35B446E9"/>
    <w:rsid w:val="35C27DD4"/>
    <w:rsid w:val="35CB6D05"/>
    <w:rsid w:val="35D00DF7"/>
    <w:rsid w:val="35D24F38"/>
    <w:rsid w:val="35E2289C"/>
    <w:rsid w:val="35E40BB0"/>
    <w:rsid w:val="35ED19A9"/>
    <w:rsid w:val="35ED7BFB"/>
    <w:rsid w:val="35EE60E8"/>
    <w:rsid w:val="35F42D38"/>
    <w:rsid w:val="35FA7C22"/>
    <w:rsid w:val="35FC7E3E"/>
    <w:rsid w:val="36162CAE"/>
    <w:rsid w:val="36176A26"/>
    <w:rsid w:val="3626591C"/>
    <w:rsid w:val="362D77D5"/>
    <w:rsid w:val="36341386"/>
    <w:rsid w:val="36383A57"/>
    <w:rsid w:val="36444283"/>
    <w:rsid w:val="364B3E69"/>
    <w:rsid w:val="364B5F17"/>
    <w:rsid w:val="364C66D0"/>
    <w:rsid w:val="36625EF3"/>
    <w:rsid w:val="366C4FC4"/>
    <w:rsid w:val="366D6646"/>
    <w:rsid w:val="36716136"/>
    <w:rsid w:val="36721EAF"/>
    <w:rsid w:val="367A3428"/>
    <w:rsid w:val="367D2D2D"/>
    <w:rsid w:val="368045CB"/>
    <w:rsid w:val="36804F32"/>
    <w:rsid w:val="368220F2"/>
    <w:rsid w:val="368301C5"/>
    <w:rsid w:val="369467D6"/>
    <w:rsid w:val="36A94533"/>
    <w:rsid w:val="36B10C29"/>
    <w:rsid w:val="36B129D7"/>
    <w:rsid w:val="36B2361D"/>
    <w:rsid w:val="36B81FB7"/>
    <w:rsid w:val="36BB0340"/>
    <w:rsid w:val="36C85441"/>
    <w:rsid w:val="36CA1CEB"/>
    <w:rsid w:val="36CB1DAF"/>
    <w:rsid w:val="36E7289C"/>
    <w:rsid w:val="36E7464B"/>
    <w:rsid w:val="36F31241"/>
    <w:rsid w:val="36FA437E"/>
    <w:rsid w:val="36FE5E33"/>
    <w:rsid w:val="37024FE0"/>
    <w:rsid w:val="37074CED"/>
    <w:rsid w:val="370E607B"/>
    <w:rsid w:val="37180CA8"/>
    <w:rsid w:val="37201D4D"/>
    <w:rsid w:val="37272C99"/>
    <w:rsid w:val="37311EC7"/>
    <w:rsid w:val="37441A9D"/>
    <w:rsid w:val="374B6B4E"/>
    <w:rsid w:val="374C25D4"/>
    <w:rsid w:val="37517F5F"/>
    <w:rsid w:val="37620175"/>
    <w:rsid w:val="376E2676"/>
    <w:rsid w:val="376E4194"/>
    <w:rsid w:val="377834F5"/>
    <w:rsid w:val="37797999"/>
    <w:rsid w:val="377E4FAF"/>
    <w:rsid w:val="3784633D"/>
    <w:rsid w:val="378620B5"/>
    <w:rsid w:val="3790083E"/>
    <w:rsid w:val="3794253C"/>
    <w:rsid w:val="379501CF"/>
    <w:rsid w:val="379F4F25"/>
    <w:rsid w:val="379F6CD3"/>
    <w:rsid w:val="37A30583"/>
    <w:rsid w:val="37A95DA4"/>
    <w:rsid w:val="37B502A5"/>
    <w:rsid w:val="37BD7127"/>
    <w:rsid w:val="37C55447"/>
    <w:rsid w:val="37C815DF"/>
    <w:rsid w:val="37D53CCA"/>
    <w:rsid w:val="37D6177D"/>
    <w:rsid w:val="37D7646D"/>
    <w:rsid w:val="37DC1CD5"/>
    <w:rsid w:val="37DF3574"/>
    <w:rsid w:val="37E1109A"/>
    <w:rsid w:val="37E56DDC"/>
    <w:rsid w:val="37FA6574"/>
    <w:rsid w:val="37FF7B8F"/>
    <w:rsid w:val="38026716"/>
    <w:rsid w:val="38047C76"/>
    <w:rsid w:val="38054E21"/>
    <w:rsid w:val="381A45AC"/>
    <w:rsid w:val="382731A2"/>
    <w:rsid w:val="38376F0C"/>
    <w:rsid w:val="38397128"/>
    <w:rsid w:val="38562D92"/>
    <w:rsid w:val="386046B4"/>
    <w:rsid w:val="38662AA1"/>
    <w:rsid w:val="38663A96"/>
    <w:rsid w:val="3874228F"/>
    <w:rsid w:val="387719FE"/>
    <w:rsid w:val="387827D6"/>
    <w:rsid w:val="388133D9"/>
    <w:rsid w:val="38823598"/>
    <w:rsid w:val="388303A3"/>
    <w:rsid w:val="3886122E"/>
    <w:rsid w:val="388760E5"/>
    <w:rsid w:val="3891486E"/>
    <w:rsid w:val="389205E6"/>
    <w:rsid w:val="389914AF"/>
    <w:rsid w:val="389E342F"/>
    <w:rsid w:val="38A0380C"/>
    <w:rsid w:val="38A76B41"/>
    <w:rsid w:val="38AA1DD4"/>
    <w:rsid w:val="38BC691D"/>
    <w:rsid w:val="38D17360"/>
    <w:rsid w:val="38D26A06"/>
    <w:rsid w:val="38D46E50"/>
    <w:rsid w:val="38D66725"/>
    <w:rsid w:val="38DA7F68"/>
    <w:rsid w:val="38DB1F8D"/>
    <w:rsid w:val="38E075A3"/>
    <w:rsid w:val="38F417C2"/>
    <w:rsid w:val="38F8669B"/>
    <w:rsid w:val="38FD1F03"/>
    <w:rsid w:val="39165D04"/>
    <w:rsid w:val="39191195"/>
    <w:rsid w:val="39203E44"/>
    <w:rsid w:val="39287538"/>
    <w:rsid w:val="392A4E38"/>
    <w:rsid w:val="3930119A"/>
    <w:rsid w:val="393625B6"/>
    <w:rsid w:val="393C4019"/>
    <w:rsid w:val="39400042"/>
    <w:rsid w:val="39406294"/>
    <w:rsid w:val="394A4F39"/>
    <w:rsid w:val="395835DE"/>
    <w:rsid w:val="395F496C"/>
    <w:rsid w:val="395F7CFE"/>
    <w:rsid w:val="39663F4D"/>
    <w:rsid w:val="3969127A"/>
    <w:rsid w:val="397728B2"/>
    <w:rsid w:val="397E031E"/>
    <w:rsid w:val="39873EC3"/>
    <w:rsid w:val="39903B52"/>
    <w:rsid w:val="399833FA"/>
    <w:rsid w:val="399E1D5B"/>
    <w:rsid w:val="399E647D"/>
    <w:rsid w:val="39A43D02"/>
    <w:rsid w:val="39A607ED"/>
    <w:rsid w:val="39A6415A"/>
    <w:rsid w:val="39A75836"/>
    <w:rsid w:val="39B5458C"/>
    <w:rsid w:val="39BD3918"/>
    <w:rsid w:val="39BE68E4"/>
    <w:rsid w:val="39D07618"/>
    <w:rsid w:val="39DE7F87"/>
    <w:rsid w:val="39E210F9"/>
    <w:rsid w:val="39E34637"/>
    <w:rsid w:val="39E37460"/>
    <w:rsid w:val="39F727B4"/>
    <w:rsid w:val="39FC040D"/>
    <w:rsid w:val="39FE7D26"/>
    <w:rsid w:val="3A044B7F"/>
    <w:rsid w:val="3A0F09CE"/>
    <w:rsid w:val="3A131583"/>
    <w:rsid w:val="3A172B28"/>
    <w:rsid w:val="3A233BEC"/>
    <w:rsid w:val="3A241712"/>
    <w:rsid w:val="3A2A1737"/>
    <w:rsid w:val="3A323E2F"/>
    <w:rsid w:val="3A376C0C"/>
    <w:rsid w:val="3A40479E"/>
    <w:rsid w:val="3A474E31"/>
    <w:rsid w:val="3A4D1D3F"/>
    <w:rsid w:val="3A4D57D5"/>
    <w:rsid w:val="3A522F67"/>
    <w:rsid w:val="3A571AE7"/>
    <w:rsid w:val="3A5A5133"/>
    <w:rsid w:val="3A683C8D"/>
    <w:rsid w:val="3A6D30B9"/>
    <w:rsid w:val="3A6E06C1"/>
    <w:rsid w:val="3A782C78"/>
    <w:rsid w:val="3A8E0FB7"/>
    <w:rsid w:val="3A9107FC"/>
    <w:rsid w:val="3A993EAE"/>
    <w:rsid w:val="3A9A5E0A"/>
    <w:rsid w:val="3AB0279C"/>
    <w:rsid w:val="3AB962FE"/>
    <w:rsid w:val="3ABA0D41"/>
    <w:rsid w:val="3ABA640F"/>
    <w:rsid w:val="3AC7409E"/>
    <w:rsid w:val="3AC84793"/>
    <w:rsid w:val="3ACA22B9"/>
    <w:rsid w:val="3ACA4067"/>
    <w:rsid w:val="3AD12BEA"/>
    <w:rsid w:val="3AD849D6"/>
    <w:rsid w:val="3ADF72F7"/>
    <w:rsid w:val="3AE23EC3"/>
    <w:rsid w:val="3AEE274E"/>
    <w:rsid w:val="3AF13CEA"/>
    <w:rsid w:val="3AF15A98"/>
    <w:rsid w:val="3AF92B9E"/>
    <w:rsid w:val="3B057EB7"/>
    <w:rsid w:val="3B086638"/>
    <w:rsid w:val="3B0A4EFB"/>
    <w:rsid w:val="3B0E177A"/>
    <w:rsid w:val="3B1426DA"/>
    <w:rsid w:val="3B143534"/>
    <w:rsid w:val="3B183065"/>
    <w:rsid w:val="3B236ECF"/>
    <w:rsid w:val="3B2E2990"/>
    <w:rsid w:val="3B31058A"/>
    <w:rsid w:val="3B391AAF"/>
    <w:rsid w:val="3B396280"/>
    <w:rsid w:val="3B3F4A55"/>
    <w:rsid w:val="3B501860"/>
    <w:rsid w:val="3B6224F2"/>
    <w:rsid w:val="3B627275"/>
    <w:rsid w:val="3B691AD2"/>
    <w:rsid w:val="3B6B584A"/>
    <w:rsid w:val="3B71748E"/>
    <w:rsid w:val="3B767715"/>
    <w:rsid w:val="3B7B01C0"/>
    <w:rsid w:val="3B81067B"/>
    <w:rsid w:val="3B88546B"/>
    <w:rsid w:val="3B893F22"/>
    <w:rsid w:val="3B9927BF"/>
    <w:rsid w:val="3BA50630"/>
    <w:rsid w:val="3BB0325D"/>
    <w:rsid w:val="3BDC04F6"/>
    <w:rsid w:val="3BE367B2"/>
    <w:rsid w:val="3BF20F77"/>
    <w:rsid w:val="3BF33702"/>
    <w:rsid w:val="3C004876"/>
    <w:rsid w:val="3C0941EB"/>
    <w:rsid w:val="3C0D6901"/>
    <w:rsid w:val="3C1065CC"/>
    <w:rsid w:val="3C137C90"/>
    <w:rsid w:val="3C17747B"/>
    <w:rsid w:val="3C221C81"/>
    <w:rsid w:val="3C223750"/>
    <w:rsid w:val="3C2E3EC5"/>
    <w:rsid w:val="3C2E6878"/>
    <w:rsid w:val="3C326368"/>
    <w:rsid w:val="3C3F667A"/>
    <w:rsid w:val="3C4315A9"/>
    <w:rsid w:val="3C431F01"/>
    <w:rsid w:val="3C4A20B8"/>
    <w:rsid w:val="3C506ED2"/>
    <w:rsid w:val="3C5609C1"/>
    <w:rsid w:val="3C5C5193"/>
    <w:rsid w:val="3C5C7DE6"/>
    <w:rsid w:val="3C630120"/>
    <w:rsid w:val="3C741088"/>
    <w:rsid w:val="3C8C453C"/>
    <w:rsid w:val="3C8F77A4"/>
    <w:rsid w:val="3C917532"/>
    <w:rsid w:val="3C961218"/>
    <w:rsid w:val="3C9B3F0D"/>
    <w:rsid w:val="3CB13731"/>
    <w:rsid w:val="3CB23005"/>
    <w:rsid w:val="3CB44FCF"/>
    <w:rsid w:val="3CBB45AF"/>
    <w:rsid w:val="3CBF318A"/>
    <w:rsid w:val="3CC03AAB"/>
    <w:rsid w:val="3CD1792F"/>
    <w:rsid w:val="3CD25455"/>
    <w:rsid w:val="3CE21B3C"/>
    <w:rsid w:val="3CE55188"/>
    <w:rsid w:val="3CEC4769"/>
    <w:rsid w:val="3CED44CE"/>
    <w:rsid w:val="3CF001DA"/>
    <w:rsid w:val="3CF25AF7"/>
    <w:rsid w:val="3CFA6F3E"/>
    <w:rsid w:val="3D031ABC"/>
    <w:rsid w:val="3D1279B7"/>
    <w:rsid w:val="3D136199"/>
    <w:rsid w:val="3D186026"/>
    <w:rsid w:val="3D1C463E"/>
    <w:rsid w:val="3D2A34E3"/>
    <w:rsid w:val="3D2C725B"/>
    <w:rsid w:val="3D350AF6"/>
    <w:rsid w:val="3D3A734A"/>
    <w:rsid w:val="3D3C18EE"/>
    <w:rsid w:val="3D4368D0"/>
    <w:rsid w:val="3D4F573D"/>
    <w:rsid w:val="3D581DFE"/>
    <w:rsid w:val="3D6C3AFB"/>
    <w:rsid w:val="3D72132F"/>
    <w:rsid w:val="3D7F55DD"/>
    <w:rsid w:val="3D8B21D4"/>
    <w:rsid w:val="3DA05C59"/>
    <w:rsid w:val="3DA768E2"/>
    <w:rsid w:val="3DB604A3"/>
    <w:rsid w:val="3DB80AEF"/>
    <w:rsid w:val="3DBB238D"/>
    <w:rsid w:val="3DD11BB1"/>
    <w:rsid w:val="3DDA57CB"/>
    <w:rsid w:val="3DE11DF4"/>
    <w:rsid w:val="3DE96381"/>
    <w:rsid w:val="3DEF0AA5"/>
    <w:rsid w:val="3DFD0198"/>
    <w:rsid w:val="3DFD0F59"/>
    <w:rsid w:val="3DFF227A"/>
    <w:rsid w:val="3E063608"/>
    <w:rsid w:val="3E0B0C1F"/>
    <w:rsid w:val="3E2C6A74"/>
    <w:rsid w:val="3E3A1504"/>
    <w:rsid w:val="3E3F2FBE"/>
    <w:rsid w:val="3E4405D4"/>
    <w:rsid w:val="3E4E3201"/>
    <w:rsid w:val="3E5750C4"/>
    <w:rsid w:val="3E5A7DF8"/>
    <w:rsid w:val="3E612FAF"/>
    <w:rsid w:val="3E6B3D2C"/>
    <w:rsid w:val="3E75253C"/>
    <w:rsid w:val="3E7A3F5E"/>
    <w:rsid w:val="3E7A79DC"/>
    <w:rsid w:val="3E8135D7"/>
    <w:rsid w:val="3E824C4E"/>
    <w:rsid w:val="3E8804C1"/>
    <w:rsid w:val="3E921340"/>
    <w:rsid w:val="3EA01CAF"/>
    <w:rsid w:val="3EAD7F28"/>
    <w:rsid w:val="3EB92D70"/>
    <w:rsid w:val="3EC139D3"/>
    <w:rsid w:val="3EC56296"/>
    <w:rsid w:val="3ECB0959"/>
    <w:rsid w:val="3ECD05CA"/>
    <w:rsid w:val="3ED27C68"/>
    <w:rsid w:val="3ED37FDC"/>
    <w:rsid w:val="3EEC6CA2"/>
    <w:rsid w:val="3EF52C0D"/>
    <w:rsid w:val="3EF8635E"/>
    <w:rsid w:val="3F060CF1"/>
    <w:rsid w:val="3F067638"/>
    <w:rsid w:val="3F087868"/>
    <w:rsid w:val="3F0C0038"/>
    <w:rsid w:val="3F1360BC"/>
    <w:rsid w:val="3F1955BD"/>
    <w:rsid w:val="3F1B30E3"/>
    <w:rsid w:val="3F1E2BD3"/>
    <w:rsid w:val="3F2530A2"/>
    <w:rsid w:val="3F2A77CA"/>
    <w:rsid w:val="3F300C1F"/>
    <w:rsid w:val="3F3F224B"/>
    <w:rsid w:val="3F3F2C65"/>
    <w:rsid w:val="3F400D9C"/>
    <w:rsid w:val="3F4A1C1A"/>
    <w:rsid w:val="3F4A6A08"/>
    <w:rsid w:val="3F4C7741"/>
    <w:rsid w:val="3F574812"/>
    <w:rsid w:val="3F5D7BA0"/>
    <w:rsid w:val="3F6727CC"/>
    <w:rsid w:val="3F682A32"/>
    <w:rsid w:val="3F965190"/>
    <w:rsid w:val="3F9A4CD2"/>
    <w:rsid w:val="3FAA0DF6"/>
    <w:rsid w:val="3FB4123F"/>
    <w:rsid w:val="3FB97668"/>
    <w:rsid w:val="3FC5443B"/>
    <w:rsid w:val="3FC90157"/>
    <w:rsid w:val="3FD35E75"/>
    <w:rsid w:val="3FE200A5"/>
    <w:rsid w:val="3FE9513B"/>
    <w:rsid w:val="3FEB6F5A"/>
    <w:rsid w:val="3FF04570"/>
    <w:rsid w:val="3FF07EBC"/>
    <w:rsid w:val="3FF676AC"/>
    <w:rsid w:val="3FF73B50"/>
    <w:rsid w:val="40026051"/>
    <w:rsid w:val="400C0C7E"/>
    <w:rsid w:val="40195B09"/>
    <w:rsid w:val="401A783F"/>
    <w:rsid w:val="401D10DD"/>
    <w:rsid w:val="401F30A7"/>
    <w:rsid w:val="402577D4"/>
    <w:rsid w:val="40287143"/>
    <w:rsid w:val="404A0B26"/>
    <w:rsid w:val="404B3C87"/>
    <w:rsid w:val="404C3770"/>
    <w:rsid w:val="40512E27"/>
    <w:rsid w:val="405C1992"/>
    <w:rsid w:val="405C51AD"/>
    <w:rsid w:val="405D772B"/>
    <w:rsid w:val="40670AE7"/>
    <w:rsid w:val="40696450"/>
    <w:rsid w:val="40721429"/>
    <w:rsid w:val="4075782C"/>
    <w:rsid w:val="407671FC"/>
    <w:rsid w:val="4081572E"/>
    <w:rsid w:val="40851CA0"/>
    <w:rsid w:val="408965D9"/>
    <w:rsid w:val="40896772"/>
    <w:rsid w:val="408A49C4"/>
    <w:rsid w:val="408B421A"/>
    <w:rsid w:val="40953369"/>
    <w:rsid w:val="409763F6"/>
    <w:rsid w:val="40A435AC"/>
    <w:rsid w:val="40A6112C"/>
    <w:rsid w:val="40A613CA"/>
    <w:rsid w:val="40AB5F57"/>
    <w:rsid w:val="40AF61D9"/>
    <w:rsid w:val="40B01F51"/>
    <w:rsid w:val="40BA6883"/>
    <w:rsid w:val="40C003E6"/>
    <w:rsid w:val="40C80836"/>
    <w:rsid w:val="40CC2287"/>
    <w:rsid w:val="40CC6A64"/>
    <w:rsid w:val="40E67721"/>
    <w:rsid w:val="40E85247"/>
    <w:rsid w:val="40EB4D37"/>
    <w:rsid w:val="40F2256A"/>
    <w:rsid w:val="40F723F1"/>
    <w:rsid w:val="40F736DC"/>
    <w:rsid w:val="40F77F52"/>
    <w:rsid w:val="40FA1A17"/>
    <w:rsid w:val="410076FA"/>
    <w:rsid w:val="410454E9"/>
    <w:rsid w:val="4105404B"/>
    <w:rsid w:val="4121641A"/>
    <w:rsid w:val="41235104"/>
    <w:rsid w:val="412520DB"/>
    <w:rsid w:val="4125649B"/>
    <w:rsid w:val="412A3AB2"/>
    <w:rsid w:val="412A4BD9"/>
    <w:rsid w:val="41322966"/>
    <w:rsid w:val="41390199"/>
    <w:rsid w:val="414032D5"/>
    <w:rsid w:val="41417191"/>
    <w:rsid w:val="4142704D"/>
    <w:rsid w:val="4148218A"/>
    <w:rsid w:val="41594397"/>
    <w:rsid w:val="415D3E87"/>
    <w:rsid w:val="41727207"/>
    <w:rsid w:val="418036D2"/>
    <w:rsid w:val="41841D8C"/>
    <w:rsid w:val="418D4040"/>
    <w:rsid w:val="41923405"/>
    <w:rsid w:val="41953A29"/>
    <w:rsid w:val="41A93F7D"/>
    <w:rsid w:val="41B36482"/>
    <w:rsid w:val="41B63597"/>
    <w:rsid w:val="41BE244C"/>
    <w:rsid w:val="41C07F72"/>
    <w:rsid w:val="41CE6B33"/>
    <w:rsid w:val="41D94298"/>
    <w:rsid w:val="41E951E8"/>
    <w:rsid w:val="41EE2D31"/>
    <w:rsid w:val="41EF0857"/>
    <w:rsid w:val="41F90BCB"/>
    <w:rsid w:val="41FA0634"/>
    <w:rsid w:val="41FD569A"/>
    <w:rsid w:val="42084A18"/>
    <w:rsid w:val="420E5181"/>
    <w:rsid w:val="421107CE"/>
    <w:rsid w:val="421A658F"/>
    <w:rsid w:val="421B789E"/>
    <w:rsid w:val="422C1AAB"/>
    <w:rsid w:val="42332F4D"/>
    <w:rsid w:val="424C7A58"/>
    <w:rsid w:val="424E557E"/>
    <w:rsid w:val="42507548"/>
    <w:rsid w:val="425A2175"/>
    <w:rsid w:val="42641245"/>
    <w:rsid w:val="42642FF3"/>
    <w:rsid w:val="42786A9F"/>
    <w:rsid w:val="42870A90"/>
    <w:rsid w:val="42884F7A"/>
    <w:rsid w:val="42885058"/>
    <w:rsid w:val="42894808"/>
    <w:rsid w:val="42927D51"/>
    <w:rsid w:val="429A669A"/>
    <w:rsid w:val="429D17C3"/>
    <w:rsid w:val="42A82F2D"/>
    <w:rsid w:val="42B07F2C"/>
    <w:rsid w:val="42BE0955"/>
    <w:rsid w:val="42C93DC6"/>
    <w:rsid w:val="42CB3072"/>
    <w:rsid w:val="42D7414F"/>
    <w:rsid w:val="42DF267A"/>
    <w:rsid w:val="42EF0AD2"/>
    <w:rsid w:val="42F73858"/>
    <w:rsid w:val="42F75A6F"/>
    <w:rsid w:val="42FD7186"/>
    <w:rsid w:val="43016A94"/>
    <w:rsid w:val="43095949"/>
    <w:rsid w:val="430976F7"/>
    <w:rsid w:val="430C7802"/>
    <w:rsid w:val="430D368B"/>
    <w:rsid w:val="43195DE2"/>
    <w:rsid w:val="431C1B20"/>
    <w:rsid w:val="43210EE4"/>
    <w:rsid w:val="432C0BAA"/>
    <w:rsid w:val="432E663A"/>
    <w:rsid w:val="432F1BF9"/>
    <w:rsid w:val="433E55F2"/>
    <w:rsid w:val="43446D62"/>
    <w:rsid w:val="435E582A"/>
    <w:rsid w:val="43655275"/>
    <w:rsid w:val="4373683C"/>
    <w:rsid w:val="437D25BE"/>
    <w:rsid w:val="438020AF"/>
    <w:rsid w:val="43803554"/>
    <w:rsid w:val="4382753F"/>
    <w:rsid w:val="438356FB"/>
    <w:rsid w:val="43873B08"/>
    <w:rsid w:val="438D28FD"/>
    <w:rsid w:val="438E2F40"/>
    <w:rsid w:val="439A73DF"/>
    <w:rsid w:val="439D1927"/>
    <w:rsid w:val="43A0139A"/>
    <w:rsid w:val="43A3148A"/>
    <w:rsid w:val="43B50E62"/>
    <w:rsid w:val="43C31F9B"/>
    <w:rsid w:val="43D146CF"/>
    <w:rsid w:val="43D24211"/>
    <w:rsid w:val="43D30430"/>
    <w:rsid w:val="43E540D6"/>
    <w:rsid w:val="43F30C14"/>
    <w:rsid w:val="44011C03"/>
    <w:rsid w:val="44077F8C"/>
    <w:rsid w:val="44112D07"/>
    <w:rsid w:val="44202F4A"/>
    <w:rsid w:val="44232DA7"/>
    <w:rsid w:val="44290050"/>
    <w:rsid w:val="44397FDD"/>
    <w:rsid w:val="443F5AC6"/>
    <w:rsid w:val="444430DC"/>
    <w:rsid w:val="44444E8A"/>
    <w:rsid w:val="44446C38"/>
    <w:rsid w:val="444A4CBA"/>
    <w:rsid w:val="444E5F1B"/>
    <w:rsid w:val="446A24B7"/>
    <w:rsid w:val="446D4719"/>
    <w:rsid w:val="448B0D0B"/>
    <w:rsid w:val="448E4357"/>
    <w:rsid w:val="449B3A61"/>
    <w:rsid w:val="44A8484A"/>
    <w:rsid w:val="44AB18FE"/>
    <w:rsid w:val="44B1564F"/>
    <w:rsid w:val="44B72140"/>
    <w:rsid w:val="44B813D4"/>
    <w:rsid w:val="44B85535"/>
    <w:rsid w:val="44BC0EC5"/>
    <w:rsid w:val="44C25927"/>
    <w:rsid w:val="44C5660D"/>
    <w:rsid w:val="44C85ABB"/>
    <w:rsid w:val="44DC50C3"/>
    <w:rsid w:val="44E67FC2"/>
    <w:rsid w:val="44EE4DF6"/>
    <w:rsid w:val="44F468B0"/>
    <w:rsid w:val="44FC588B"/>
    <w:rsid w:val="45010FCD"/>
    <w:rsid w:val="450530C7"/>
    <w:rsid w:val="450B3BFA"/>
    <w:rsid w:val="450C2090"/>
    <w:rsid w:val="450E35BB"/>
    <w:rsid w:val="45117847"/>
    <w:rsid w:val="45166D95"/>
    <w:rsid w:val="451A329F"/>
    <w:rsid w:val="45274413"/>
    <w:rsid w:val="452F2826"/>
    <w:rsid w:val="4531799C"/>
    <w:rsid w:val="453273D9"/>
    <w:rsid w:val="453C61CC"/>
    <w:rsid w:val="453E704D"/>
    <w:rsid w:val="453F18E9"/>
    <w:rsid w:val="45427AFE"/>
    <w:rsid w:val="45441C71"/>
    <w:rsid w:val="454A606C"/>
    <w:rsid w:val="4550038B"/>
    <w:rsid w:val="45633716"/>
    <w:rsid w:val="456C1937"/>
    <w:rsid w:val="4577303D"/>
    <w:rsid w:val="457F3403"/>
    <w:rsid w:val="45806396"/>
    <w:rsid w:val="45877724"/>
    <w:rsid w:val="458B6AE9"/>
    <w:rsid w:val="458D0AB3"/>
    <w:rsid w:val="45933928"/>
    <w:rsid w:val="459A3C5C"/>
    <w:rsid w:val="45A35BE1"/>
    <w:rsid w:val="45B47DEE"/>
    <w:rsid w:val="45B5108C"/>
    <w:rsid w:val="45B61DB8"/>
    <w:rsid w:val="45BC1B11"/>
    <w:rsid w:val="45CC5137"/>
    <w:rsid w:val="45D1557C"/>
    <w:rsid w:val="45D2424F"/>
    <w:rsid w:val="45DB7940"/>
    <w:rsid w:val="45E07589"/>
    <w:rsid w:val="45E66A2A"/>
    <w:rsid w:val="45EA7CB3"/>
    <w:rsid w:val="45EE77A4"/>
    <w:rsid w:val="45F44CA7"/>
    <w:rsid w:val="45F823D0"/>
    <w:rsid w:val="45FB5A1D"/>
    <w:rsid w:val="460D74FE"/>
    <w:rsid w:val="460F14C8"/>
    <w:rsid w:val="46112F7E"/>
    <w:rsid w:val="46192347"/>
    <w:rsid w:val="4629258A"/>
    <w:rsid w:val="462A2AA4"/>
    <w:rsid w:val="4633213B"/>
    <w:rsid w:val="46372561"/>
    <w:rsid w:val="463902F3"/>
    <w:rsid w:val="463F1DAD"/>
    <w:rsid w:val="4642080F"/>
    <w:rsid w:val="46490052"/>
    <w:rsid w:val="46496788"/>
    <w:rsid w:val="464C44CA"/>
    <w:rsid w:val="46511AE0"/>
    <w:rsid w:val="465B470D"/>
    <w:rsid w:val="4665733A"/>
    <w:rsid w:val="466D7AE1"/>
    <w:rsid w:val="46826347"/>
    <w:rsid w:val="469460F7"/>
    <w:rsid w:val="46A54FBF"/>
    <w:rsid w:val="46B362F7"/>
    <w:rsid w:val="46B5206F"/>
    <w:rsid w:val="46C10A14"/>
    <w:rsid w:val="46C71264"/>
    <w:rsid w:val="46D06EA9"/>
    <w:rsid w:val="46D44290"/>
    <w:rsid w:val="46E0490E"/>
    <w:rsid w:val="46EE37D3"/>
    <w:rsid w:val="46F30B58"/>
    <w:rsid w:val="4703102D"/>
    <w:rsid w:val="47054267"/>
    <w:rsid w:val="47093BF3"/>
    <w:rsid w:val="4713221B"/>
    <w:rsid w:val="471825FE"/>
    <w:rsid w:val="47183F5C"/>
    <w:rsid w:val="47240B1E"/>
    <w:rsid w:val="472541E2"/>
    <w:rsid w:val="47276B43"/>
    <w:rsid w:val="47496503"/>
    <w:rsid w:val="4755115C"/>
    <w:rsid w:val="476879CB"/>
    <w:rsid w:val="476C754A"/>
    <w:rsid w:val="477041E8"/>
    <w:rsid w:val="47765AEB"/>
    <w:rsid w:val="477C493B"/>
    <w:rsid w:val="477E4B57"/>
    <w:rsid w:val="47857C94"/>
    <w:rsid w:val="47981849"/>
    <w:rsid w:val="4799478F"/>
    <w:rsid w:val="47A570E6"/>
    <w:rsid w:val="47A6578C"/>
    <w:rsid w:val="47B709C3"/>
    <w:rsid w:val="47CF53B3"/>
    <w:rsid w:val="47D44777"/>
    <w:rsid w:val="47DB5B06"/>
    <w:rsid w:val="47ED3A8B"/>
    <w:rsid w:val="47F646ED"/>
    <w:rsid w:val="48072036"/>
    <w:rsid w:val="4819662E"/>
    <w:rsid w:val="4820176A"/>
    <w:rsid w:val="482079BC"/>
    <w:rsid w:val="482F19AD"/>
    <w:rsid w:val="48382F58"/>
    <w:rsid w:val="48387027"/>
    <w:rsid w:val="483B72D6"/>
    <w:rsid w:val="483C4A0D"/>
    <w:rsid w:val="484713ED"/>
    <w:rsid w:val="484960C2"/>
    <w:rsid w:val="48522605"/>
    <w:rsid w:val="485C4DEF"/>
    <w:rsid w:val="48653621"/>
    <w:rsid w:val="48793AA9"/>
    <w:rsid w:val="4883440E"/>
    <w:rsid w:val="48910695"/>
    <w:rsid w:val="489108BA"/>
    <w:rsid w:val="489E2D6C"/>
    <w:rsid w:val="48A4239B"/>
    <w:rsid w:val="48A51C70"/>
    <w:rsid w:val="48AC2FFE"/>
    <w:rsid w:val="48C20A74"/>
    <w:rsid w:val="48CE7418"/>
    <w:rsid w:val="48D35E11"/>
    <w:rsid w:val="48E36DCF"/>
    <w:rsid w:val="48E861DE"/>
    <w:rsid w:val="48FB5D34"/>
    <w:rsid w:val="48FD512E"/>
    <w:rsid w:val="48FD7CFE"/>
    <w:rsid w:val="48FE1FBD"/>
    <w:rsid w:val="49064E04"/>
    <w:rsid w:val="49076DED"/>
    <w:rsid w:val="490948F4"/>
    <w:rsid w:val="490B41C9"/>
    <w:rsid w:val="490C7F41"/>
    <w:rsid w:val="49211C3E"/>
    <w:rsid w:val="4924528A"/>
    <w:rsid w:val="49270A0E"/>
    <w:rsid w:val="493B6068"/>
    <w:rsid w:val="4940086B"/>
    <w:rsid w:val="49555444"/>
    <w:rsid w:val="49610774"/>
    <w:rsid w:val="496D7E8C"/>
    <w:rsid w:val="49783C5A"/>
    <w:rsid w:val="49814089"/>
    <w:rsid w:val="49857DB0"/>
    <w:rsid w:val="49983D15"/>
    <w:rsid w:val="49992366"/>
    <w:rsid w:val="49A445FA"/>
    <w:rsid w:val="49A511F2"/>
    <w:rsid w:val="49A60395"/>
    <w:rsid w:val="49A62F2E"/>
    <w:rsid w:val="49AB1223"/>
    <w:rsid w:val="49AC5A24"/>
    <w:rsid w:val="49D2497F"/>
    <w:rsid w:val="49DD6CF2"/>
    <w:rsid w:val="49E113CD"/>
    <w:rsid w:val="49E35145"/>
    <w:rsid w:val="49ED4FE4"/>
    <w:rsid w:val="49FB248F"/>
    <w:rsid w:val="4A0B01F8"/>
    <w:rsid w:val="4A121587"/>
    <w:rsid w:val="4A132BF3"/>
    <w:rsid w:val="4A146DB6"/>
    <w:rsid w:val="4A183041"/>
    <w:rsid w:val="4A1E7F2C"/>
    <w:rsid w:val="4A2C76C3"/>
    <w:rsid w:val="4A331C29"/>
    <w:rsid w:val="4A3414FD"/>
    <w:rsid w:val="4A346EF9"/>
    <w:rsid w:val="4A361719"/>
    <w:rsid w:val="4A380137"/>
    <w:rsid w:val="4A54660D"/>
    <w:rsid w:val="4A5676C5"/>
    <w:rsid w:val="4A5971B6"/>
    <w:rsid w:val="4A600544"/>
    <w:rsid w:val="4A6C0C97"/>
    <w:rsid w:val="4A6F4C2B"/>
    <w:rsid w:val="4A7463FF"/>
    <w:rsid w:val="4A835306"/>
    <w:rsid w:val="4A881849"/>
    <w:rsid w:val="4A8E0B63"/>
    <w:rsid w:val="4A8F2BD7"/>
    <w:rsid w:val="4A90639D"/>
    <w:rsid w:val="4A9248C6"/>
    <w:rsid w:val="4A975CB9"/>
    <w:rsid w:val="4A9B5A20"/>
    <w:rsid w:val="4AA87A12"/>
    <w:rsid w:val="4AB85877"/>
    <w:rsid w:val="4AC24B46"/>
    <w:rsid w:val="4AC950C5"/>
    <w:rsid w:val="4ACA42E7"/>
    <w:rsid w:val="4AE21E1B"/>
    <w:rsid w:val="4AEA6060"/>
    <w:rsid w:val="4AFC2FE0"/>
    <w:rsid w:val="4B0233A9"/>
    <w:rsid w:val="4B296B88"/>
    <w:rsid w:val="4B2A2933"/>
    <w:rsid w:val="4B2C6678"/>
    <w:rsid w:val="4B313C8F"/>
    <w:rsid w:val="4B38326F"/>
    <w:rsid w:val="4B3C4B0D"/>
    <w:rsid w:val="4B400D3D"/>
    <w:rsid w:val="4B427C4A"/>
    <w:rsid w:val="4B490FD8"/>
    <w:rsid w:val="4B5310D8"/>
    <w:rsid w:val="4B555BCF"/>
    <w:rsid w:val="4B6610C2"/>
    <w:rsid w:val="4B704E09"/>
    <w:rsid w:val="4B720D9C"/>
    <w:rsid w:val="4B7E5126"/>
    <w:rsid w:val="4B7F2D5F"/>
    <w:rsid w:val="4B836DB8"/>
    <w:rsid w:val="4B864868"/>
    <w:rsid w:val="4B8E10A3"/>
    <w:rsid w:val="4B962B36"/>
    <w:rsid w:val="4B9C55AC"/>
    <w:rsid w:val="4BA5649A"/>
    <w:rsid w:val="4BBE3774"/>
    <w:rsid w:val="4BBE4F6C"/>
    <w:rsid w:val="4BC30BB7"/>
    <w:rsid w:val="4BC83202"/>
    <w:rsid w:val="4BD56D10"/>
    <w:rsid w:val="4BE47040"/>
    <w:rsid w:val="4BE87E6C"/>
    <w:rsid w:val="4BE909E0"/>
    <w:rsid w:val="4BEF7DD1"/>
    <w:rsid w:val="4BF04AEB"/>
    <w:rsid w:val="4BF87DD9"/>
    <w:rsid w:val="4BF929FE"/>
    <w:rsid w:val="4BFB6776"/>
    <w:rsid w:val="4C0D2C73"/>
    <w:rsid w:val="4C0F5CB3"/>
    <w:rsid w:val="4C13322B"/>
    <w:rsid w:val="4C2F0FC1"/>
    <w:rsid w:val="4C2F2F1A"/>
    <w:rsid w:val="4C3D6D8F"/>
    <w:rsid w:val="4C4579F1"/>
    <w:rsid w:val="4C502CDE"/>
    <w:rsid w:val="4C5A6FBF"/>
    <w:rsid w:val="4C811CA4"/>
    <w:rsid w:val="4C8E69B3"/>
    <w:rsid w:val="4C9D5A7F"/>
    <w:rsid w:val="4C9F5916"/>
    <w:rsid w:val="4CA96F91"/>
    <w:rsid w:val="4CBA0D96"/>
    <w:rsid w:val="4CC0176E"/>
    <w:rsid w:val="4CC53CA2"/>
    <w:rsid w:val="4CCC1EC1"/>
    <w:rsid w:val="4CCF550D"/>
    <w:rsid w:val="4CD40D75"/>
    <w:rsid w:val="4CE0771A"/>
    <w:rsid w:val="4CE25166"/>
    <w:rsid w:val="4CE559A5"/>
    <w:rsid w:val="4CF448EF"/>
    <w:rsid w:val="4CFA3536"/>
    <w:rsid w:val="4D0258E3"/>
    <w:rsid w:val="4D04165B"/>
    <w:rsid w:val="4D061FA6"/>
    <w:rsid w:val="4D090A1F"/>
    <w:rsid w:val="4D0D0348"/>
    <w:rsid w:val="4D0F7FFF"/>
    <w:rsid w:val="4D12010F"/>
    <w:rsid w:val="4D167BDE"/>
    <w:rsid w:val="4D1820A0"/>
    <w:rsid w:val="4D20220D"/>
    <w:rsid w:val="4D22647A"/>
    <w:rsid w:val="4D4F3A52"/>
    <w:rsid w:val="4D5A571F"/>
    <w:rsid w:val="4D5B4FF3"/>
    <w:rsid w:val="4D665E71"/>
    <w:rsid w:val="4D7241DF"/>
    <w:rsid w:val="4D742A91"/>
    <w:rsid w:val="4D794B8C"/>
    <w:rsid w:val="4D84279B"/>
    <w:rsid w:val="4D8D78A2"/>
    <w:rsid w:val="4D8E53C8"/>
    <w:rsid w:val="4D9C4C77"/>
    <w:rsid w:val="4DA60860"/>
    <w:rsid w:val="4DCB03CA"/>
    <w:rsid w:val="4DCD4142"/>
    <w:rsid w:val="4DD454D1"/>
    <w:rsid w:val="4DD54DA5"/>
    <w:rsid w:val="4DD85194"/>
    <w:rsid w:val="4DE53301"/>
    <w:rsid w:val="4DF119C7"/>
    <w:rsid w:val="4E0D09E3"/>
    <w:rsid w:val="4E0D32FF"/>
    <w:rsid w:val="4E1028CD"/>
    <w:rsid w:val="4E2E44B5"/>
    <w:rsid w:val="4E3046D1"/>
    <w:rsid w:val="4E3271C8"/>
    <w:rsid w:val="4E346F72"/>
    <w:rsid w:val="4E3917D8"/>
    <w:rsid w:val="4E3E0B9C"/>
    <w:rsid w:val="4E412A63"/>
    <w:rsid w:val="4E451F2B"/>
    <w:rsid w:val="4E471936"/>
    <w:rsid w:val="4E486493"/>
    <w:rsid w:val="4E5B79A0"/>
    <w:rsid w:val="4E612ADD"/>
    <w:rsid w:val="4E634234"/>
    <w:rsid w:val="4E69491A"/>
    <w:rsid w:val="4E760336"/>
    <w:rsid w:val="4E7741DA"/>
    <w:rsid w:val="4E7E7F71"/>
    <w:rsid w:val="4E824F2D"/>
    <w:rsid w:val="4E850579"/>
    <w:rsid w:val="4E93713A"/>
    <w:rsid w:val="4EA37007"/>
    <w:rsid w:val="4EA76741"/>
    <w:rsid w:val="4EB946C7"/>
    <w:rsid w:val="4EBB3F9B"/>
    <w:rsid w:val="4EBE3A8B"/>
    <w:rsid w:val="4EC016F6"/>
    <w:rsid w:val="4EC06B8C"/>
    <w:rsid w:val="4EC76DE4"/>
    <w:rsid w:val="4ECE4F3A"/>
    <w:rsid w:val="4ECF7A46"/>
    <w:rsid w:val="4ED65279"/>
    <w:rsid w:val="4EF66726"/>
    <w:rsid w:val="4EF736FA"/>
    <w:rsid w:val="4EFA0F67"/>
    <w:rsid w:val="4F0040A4"/>
    <w:rsid w:val="4F005E52"/>
    <w:rsid w:val="4F0B1A4E"/>
    <w:rsid w:val="4F0C0C9A"/>
    <w:rsid w:val="4F0D4DBD"/>
    <w:rsid w:val="4F0F4561"/>
    <w:rsid w:val="4F1311AB"/>
    <w:rsid w:val="4F1E452A"/>
    <w:rsid w:val="4F251D5C"/>
    <w:rsid w:val="4F254158"/>
    <w:rsid w:val="4F2A522D"/>
    <w:rsid w:val="4F325C8C"/>
    <w:rsid w:val="4F3877B5"/>
    <w:rsid w:val="4F387E30"/>
    <w:rsid w:val="4F3B1F44"/>
    <w:rsid w:val="4F426946"/>
    <w:rsid w:val="4F4F6674"/>
    <w:rsid w:val="4F55619D"/>
    <w:rsid w:val="4F5D32A4"/>
    <w:rsid w:val="4F617D85"/>
    <w:rsid w:val="4F74239C"/>
    <w:rsid w:val="4F8F2165"/>
    <w:rsid w:val="4F912F4E"/>
    <w:rsid w:val="4F961B0B"/>
    <w:rsid w:val="4F975714"/>
    <w:rsid w:val="4F9C3DCC"/>
    <w:rsid w:val="4F9D00DD"/>
    <w:rsid w:val="4FA15887"/>
    <w:rsid w:val="4FA40ED3"/>
    <w:rsid w:val="4FA72771"/>
    <w:rsid w:val="4FAC368C"/>
    <w:rsid w:val="4FB54531"/>
    <w:rsid w:val="4FBA24A4"/>
    <w:rsid w:val="4FBB0C11"/>
    <w:rsid w:val="4FBF7ABB"/>
    <w:rsid w:val="4FC13833"/>
    <w:rsid w:val="4FC926E8"/>
    <w:rsid w:val="4FCB2904"/>
    <w:rsid w:val="4FCE0841"/>
    <w:rsid w:val="4FDB1CFF"/>
    <w:rsid w:val="4FDC066D"/>
    <w:rsid w:val="4FE07A1D"/>
    <w:rsid w:val="4FE319FB"/>
    <w:rsid w:val="4FEA274C"/>
    <w:rsid w:val="4FF40C7B"/>
    <w:rsid w:val="4FF509E3"/>
    <w:rsid w:val="4FF7308F"/>
    <w:rsid w:val="4FFC0D0F"/>
    <w:rsid w:val="4FFD16B4"/>
    <w:rsid w:val="500100D3"/>
    <w:rsid w:val="500C2A05"/>
    <w:rsid w:val="501047BA"/>
    <w:rsid w:val="50137F07"/>
    <w:rsid w:val="501C1D87"/>
    <w:rsid w:val="501E2A33"/>
    <w:rsid w:val="50267B3A"/>
    <w:rsid w:val="502A1EFF"/>
    <w:rsid w:val="503E4E84"/>
    <w:rsid w:val="5055145E"/>
    <w:rsid w:val="50574197"/>
    <w:rsid w:val="505868E7"/>
    <w:rsid w:val="50630D8E"/>
    <w:rsid w:val="507D61EB"/>
    <w:rsid w:val="50824801"/>
    <w:rsid w:val="50830AE8"/>
    <w:rsid w:val="50832EE6"/>
    <w:rsid w:val="50850D04"/>
    <w:rsid w:val="50852AB2"/>
    <w:rsid w:val="50854E71"/>
    <w:rsid w:val="50920389"/>
    <w:rsid w:val="5095081C"/>
    <w:rsid w:val="50AA0095"/>
    <w:rsid w:val="50AA42C7"/>
    <w:rsid w:val="50B12FCF"/>
    <w:rsid w:val="50B52C6C"/>
    <w:rsid w:val="50BB2978"/>
    <w:rsid w:val="50C1588C"/>
    <w:rsid w:val="50C57353"/>
    <w:rsid w:val="50CC248F"/>
    <w:rsid w:val="50CC6933"/>
    <w:rsid w:val="50CF1F80"/>
    <w:rsid w:val="50D37CC2"/>
    <w:rsid w:val="50D43A3A"/>
    <w:rsid w:val="50D54549"/>
    <w:rsid w:val="50E60270"/>
    <w:rsid w:val="50EB675C"/>
    <w:rsid w:val="51037E7B"/>
    <w:rsid w:val="510507A1"/>
    <w:rsid w:val="510961C0"/>
    <w:rsid w:val="510D3E96"/>
    <w:rsid w:val="51183A93"/>
    <w:rsid w:val="511D70E0"/>
    <w:rsid w:val="5125602C"/>
    <w:rsid w:val="51266BE2"/>
    <w:rsid w:val="512C1180"/>
    <w:rsid w:val="513052AD"/>
    <w:rsid w:val="51336527"/>
    <w:rsid w:val="51393E02"/>
    <w:rsid w:val="51402E7D"/>
    <w:rsid w:val="516528E4"/>
    <w:rsid w:val="51694182"/>
    <w:rsid w:val="517448D5"/>
    <w:rsid w:val="518F170F"/>
    <w:rsid w:val="51A10328"/>
    <w:rsid w:val="51A753BA"/>
    <w:rsid w:val="51A90A23"/>
    <w:rsid w:val="51B03B5F"/>
    <w:rsid w:val="51B45EA9"/>
    <w:rsid w:val="51B816BD"/>
    <w:rsid w:val="51DB6702"/>
    <w:rsid w:val="51DD691E"/>
    <w:rsid w:val="51E25CE3"/>
    <w:rsid w:val="51F003FF"/>
    <w:rsid w:val="51F55A16"/>
    <w:rsid w:val="51F769E4"/>
    <w:rsid w:val="5212481A"/>
    <w:rsid w:val="521A36CE"/>
    <w:rsid w:val="521C11F4"/>
    <w:rsid w:val="521F6F37"/>
    <w:rsid w:val="52212EEB"/>
    <w:rsid w:val="522341C3"/>
    <w:rsid w:val="523E560F"/>
    <w:rsid w:val="52416EAD"/>
    <w:rsid w:val="5242429B"/>
    <w:rsid w:val="52432C25"/>
    <w:rsid w:val="52453A3E"/>
    <w:rsid w:val="524B1ADA"/>
    <w:rsid w:val="524E3378"/>
    <w:rsid w:val="52545416"/>
    <w:rsid w:val="52572AAC"/>
    <w:rsid w:val="525E21E0"/>
    <w:rsid w:val="525F7333"/>
    <w:rsid w:val="526606C2"/>
    <w:rsid w:val="52772096"/>
    <w:rsid w:val="527903F5"/>
    <w:rsid w:val="527B757B"/>
    <w:rsid w:val="52854FEC"/>
    <w:rsid w:val="52885489"/>
    <w:rsid w:val="528F19C6"/>
    <w:rsid w:val="52A06A0A"/>
    <w:rsid w:val="52A82A88"/>
    <w:rsid w:val="52B03A43"/>
    <w:rsid w:val="52B458D1"/>
    <w:rsid w:val="52B7716F"/>
    <w:rsid w:val="52D931A6"/>
    <w:rsid w:val="52E24EE3"/>
    <w:rsid w:val="52E76EBB"/>
    <w:rsid w:val="52ED493F"/>
    <w:rsid w:val="52F61E62"/>
    <w:rsid w:val="52FB4C31"/>
    <w:rsid w:val="530E3233"/>
    <w:rsid w:val="531152B6"/>
    <w:rsid w:val="53172497"/>
    <w:rsid w:val="53277E51"/>
    <w:rsid w:val="532C5467"/>
    <w:rsid w:val="532F6401"/>
    <w:rsid w:val="533B7B79"/>
    <w:rsid w:val="533C7840"/>
    <w:rsid w:val="533F313A"/>
    <w:rsid w:val="534357BA"/>
    <w:rsid w:val="53513120"/>
    <w:rsid w:val="5352788A"/>
    <w:rsid w:val="535B15B5"/>
    <w:rsid w:val="536015B5"/>
    <w:rsid w:val="536367B3"/>
    <w:rsid w:val="5367649F"/>
    <w:rsid w:val="536A41E2"/>
    <w:rsid w:val="536B5FB9"/>
    <w:rsid w:val="53733096"/>
    <w:rsid w:val="538057B3"/>
    <w:rsid w:val="53807561"/>
    <w:rsid w:val="538739F4"/>
    <w:rsid w:val="53876B42"/>
    <w:rsid w:val="538C4158"/>
    <w:rsid w:val="538E4AE5"/>
    <w:rsid w:val="53953895"/>
    <w:rsid w:val="53995DF8"/>
    <w:rsid w:val="539C5B26"/>
    <w:rsid w:val="53AA50E8"/>
    <w:rsid w:val="53B81BD7"/>
    <w:rsid w:val="53B86CFB"/>
    <w:rsid w:val="53BF0356"/>
    <w:rsid w:val="53CA4C80"/>
    <w:rsid w:val="53D63625"/>
    <w:rsid w:val="53E915AA"/>
    <w:rsid w:val="53EF68DD"/>
    <w:rsid w:val="53F46346"/>
    <w:rsid w:val="53FC5108"/>
    <w:rsid w:val="540B4E13"/>
    <w:rsid w:val="540E7263"/>
    <w:rsid w:val="54106946"/>
    <w:rsid w:val="54181E8F"/>
    <w:rsid w:val="541A79B6"/>
    <w:rsid w:val="541C169C"/>
    <w:rsid w:val="542E520F"/>
    <w:rsid w:val="544467E1"/>
    <w:rsid w:val="544B2151"/>
    <w:rsid w:val="544B3DCF"/>
    <w:rsid w:val="544B55BC"/>
    <w:rsid w:val="545038C7"/>
    <w:rsid w:val="54556C40"/>
    <w:rsid w:val="54691347"/>
    <w:rsid w:val="546D0F76"/>
    <w:rsid w:val="547D1CF3"/>
    <w:rsid w:val="548117E3"/>
    <w:rsid w:val="549A2107"/>
    <w:rsid w:val="54A14576"/>
    <w:rsid w:val="54AF6350"/>
    <w:rsid w:val="54B0678F"/>
    <w:rsid w:val="54B26C21"/>
    <w:rsid w:val="54B75204"/>
    <w:rsid w:val="54B77BCE"/>
    <w:rsid w:val="54BA4CF5"/>
    <w:rsid w:val="54CA13DC"/>
    <w:rsid w:val="54D062C6"/>
    <w:rsid w:val="54DA7145"/>
    <w:rsid w:val="54E0475B"/>
    <w:rsid w:val="54E30A9C"/>
    <w:rsid w:val="54E3424B"/>
    <w:rsid w:val="54E34465"/>
    <w:rsid w:val="54E87AB4"/>
    <w:rsid w:val="54EB3100"/>
    <w:rsid w:val="54F77CF7"/>
    <w:rsid w:val="550953A8"/>
    <w:rsid w:val="552A1E7A"/>
    <w:rsid w:val="552D3719"/>
    <w:rsid w:val="552F56E3"/>
    <w:rsid w:val="55313209"/>
    <w:rsid w:val="55314F67"/>
    <w:rsid w:val="553920BD"/>
    <w:rsid w:val="55532E16"/>
    <w:rsid w:val="5558352D"/>
    <w:rsid w:val="557D4627"/>
    <w:rsid w:val="558E24F4"/>
    <w:rsid w:val="55AB3C2F"/>
    <w:rsid w:val="55AC288F"/>
    <w:rsid w:val="55B81234"/>
    <w:rsid w:val="55C104B2"/>
    <w:rsid w:val="55CA0F67"/>
    <w:rsid w:val="55CC4CE0"/>
    <w:rsid w:val="55CE2806"/>
    <w:rsid w:val="55DA38A0"/>
    <w:rsid w:val="55DC3184"/>
    <w:rsid w:val="55E464CD"/>
    <w:rsid w:val="55EC7130"/>
    <w:rsid w:val="55F67FAE"/>
    <w:rsid w:val="55FA7A9F"/>
    <w:rsid w:val="55FD5A0D"/>
    <w:rsid w:val="56010E2D"/>
    <w:rsid w:val="56095F34"/>
    <w:rsid w:val="560C1580"/>
    <w:rsid w:val="560E70A6"/>
    <w:rsid w:val="56106F39"/>
    <w:rsid w:val="561A5899"/>
    <w:rsid w:val="561C6519"/>
    <w:rsid w:val="56220510"/>
    <w:rsid w:val="56292132"/>
    <w:rsid w:val="56333D03"/>
    <w:rsid w:val="563F39B0"/>
    <w:rsid w:val="5641747C"/>
    <w:rsid w:val="564B02FA"/>
    <w:rsid w:val="56505911"/>
    <w:rsid w:val="565C5896"/>
    <w:rsid w:val="566F4422"/>
    <w:rsid w:val="567535C9"/>
    <w:rsid w:val="567A298E"/>
    <w:rsid w:val="56821842"/>
    <w:rsid w:val="56826436"/>
    <w:rsid w:val="568C0876"/>
    <w:rsid w:val="568E21A4"/>
    <w:rsid w:val="5693235B"/>
    <w:rsid w:val="56A33C92"/>
    <w:rsid w:val="56A355D3"/>
    <w:rsid w:val="56A65531"/>
    <w:rsid w:val="56AF6ADB"/>
    <w:rsid w:val="56B2487C"/>
    <w:rsid w:val="56B440F1"/>
    <w:rsid w:val="56B532A8"/>
    <w:rsid w:val="56B62346"/>
    <w:rsid w:val="56BA227F"/>
    <w:rsid w:val="56C63E25"/>
    <w:rsid w:val="56D55E16"/>
    <w:rsid w:val="56EF512A"/>
    <w:rsid w:val="56F61683"/>
    <w:rsid w:val="56FF57CA"/>
    <w:rsid w:val="57062473"/>
    <w:rsid w:val="571132F2"/>
    <w:rsid w:val="57133A38"/>
    <w:rsid w:val="572C012C"/>
    <w:rsid w:val="572D1EFD"/>
    <w:rsid w:val="573963A5"/>
    <w:rsid w:val="573B2EC3"/>
    <w:rsid w:val="57405985"/>
    <w:rsid w:val="574171F2"/>
    <w:rsid w:val="576D24F2"/>
    <w:rsid w:val="57763155"/>
    <w:rsid w:val="577A461F"/>
    <w:rsid w:val="578A6943"/>
    <w:rsid w:val="57947A7F"/>
    <w:rsid w:val="5798756F"/>
    <w:rsid w:val="57AD28EF"/>
    <w:rsid w:val="57B13C22"/>
    <w:rsid w:val="57B65C47"/>
    <w:rsid w:val="57B96C62"/>
    <w:rsid w:val="57BF2D4E"/>
    <w:rsid w:val="57C245EC"/>
    <w:rsid w:val="57C540DC"/>
    <w:rsid w:val="57C55E8A"/>
    <w:rsid w:val="57C71C02"/>
    <w:rsid w:val="57C929D5"/>
    <w:rsid w:val="57CA16F3"/>
    <w:rsid w:val="57CA6A87"/>
    <w:rsid w:val="57CF6F31"/>
    <w:rsid w:val="57D305A7"/>
    <w:rsid w:val="57D646C4"/>
    <w:rsid w:val="57DE0CFA"/>
    <w:rsid w:val="57E0285A"/>
    <w:rsid w:val="57E7472D"/>
    <w:rsid w:val="57EA19CC"/>
    <w:rsid w:val="57F329F7"/>
    <w:rsid w:val="57F5413A"/>
    <w:rsid w:val="57F56770"/>
    <w:rsid w:val="57F64296"/>
    <w:rsid w:val="581A4428"/>
    <w:rsid w:val="5827444F"/>
    <w:rsid w:val="582A7F29"/>
    <w:rsid w:val="58445001"/>
    <w:rsid w:val="58466E37"/>
    <w:rsid w:val="585D2567"/>
    <w:rsid w:val="58607951"/>
    <w:rsid w:val="58666E7D"/>
    <w:rsid w:val="58675193"/>
    <w:rsid w:val="586C3732"/>
    <w:rsid w:val="586E02D0"/>
    <w:rsid w:val="588875E4"/>
    <w:rsid w:val="588C69A8"/>
    <w:rsid w:val="589378FF"/>
    <w:rsid w:val="589F0489"/>
    <w:rsid w:val="58B32187"/>
    <w:rsid w:val="58BD6B62"/>
    <w:rsid w:val="58BF445B"/>
    <w:rsid w:val="58C223CA"/>
    <w:rsid w:val="58CA5558"/>
    <w:rsid w:val="58CD3249"/>
    <w:rsid w:val="58CF0BA1"/>
    <w:rsid w:val="58CF736C"/>
    <w:rsid w:val="58D02D39"/>
    <w:rsid w:val="58D201FC"/>
    <w:rsid w:val="58D2142B"/>
    <w:rsid w:val="58D8137E"/>
    <w:rsid w:val="58E44F5F"/>
    <w:rsid w:val="58E82C2D"/>
    <w:rsid w:val="58F05189"/>
    <w:rsid w:val="58F41BBE"/>
    <w:rsid w:val="590F3861"/>
    <w:rsid w:val="59111749"/>
    <w:rsid w:val="591A4BC7"/>
    <w:rsid w:val="591E7A48"/>
    <w:rsid w:val="5920697E"/>
    <w:rsid w:val="59232E69"/>
    <w:rsid w:val="59280AFA"/>
    <w:rsid w:val="593440C3"/>
    <w:rsid w:val="5935709E"/>
    <w:rsid w:val="59360568"/>
    <w:rsid w:val="59367040"/>
    <w:rsid w:val="59487733"/>
    <w:rsid w:val="594B0611"/>
    <w:rsid w:val="594B0F32"/>
    <w:rsid w:val="595079D6"/>
    <w:rsid w:val="595128D6"/>
    <w:rsid w:val="59520863"/>
    <w:rsid w:val="59611BE3"/>
    <w:rsid w:val="59651452"/>
    <w:rsid w:val="596671F9"/>
    <w:rsid w:val="596C44B7"/>
    <w:rsid w:val="596D05BE"/>
    <w:rsid w:val="597146D3"/>
    <w:rsid w:val="597F5425"/>
    <w:rsid w:val="598002BB"/>
    <w:rsid w:val="5980650D"/>
    <w:rsid w:val="59926240"/>
    <w:rsid w:val="59934492"/>
    <w:rsid w:val="599C0E6D"/>
    <w:rsid w:val="599C2C1B"/>
    <w:rsid w:val="59A30D15"/>
    <w:rsid w:val="59AD4E28"/>
    <w:rsid w:val="59BB52F3"/>
    <w:rsid w:val="59C666B8"/>
    <w:rsid w:val="59C83A10"/>
    <w:rsid w:val="59CB5FA1"/>
    <w:rsid w:val="59D570F3"/>
    <w:rsid w:val="59D95C1D"/>
    <w:rsid w:val="59DB1995"/>
    <w:rsid w:val="59F20A8D"/>
    <w:rsid w:val="59F643F1"/>
    <w:rsid w:val="59F667CF"/>
    <w:rsid w:val="5A07278A"/>
    <w:rsid w:val="5A113609"/>
    <w:rsid w:val="5A133CA3"/>
    <w:rsid w:val="5A1D0200"/>
    <w:rsid w:val="5A1D0C32"/>
    <w:rsid w:val="5A256CCD"/>
    <w:rsid w:val="5A274688"/>
    <w:rsid w:val="5A2D0DB3"/>
    <w:rsid w:val="5A2F3A8F"/>
    <w:rsid w:val="5A2F55FE"/>
    <w:rsid w:val="5A362473"/>
    <w:rsid w:val="5A364E1D"/>
    <w:rsid w:val="5A3801C1"/>
    <w:rsid w:val="5A380B96"/>
    <w:rsid w:val="5A405C9C"/>
    <w:rsid w:val="5A4E0416"/>
    <w:rsid w:val="5A5A6D5E"/>
    <w:rsid w:val="5A671D48"/>
    <w:rsid w:val="5A7871E4"/>
    <w:rsid w:val="5A8B5A6B"/>
    <w:rsid w:val="5A8C3F4F"/>
    <w:rsid w:val="5A967324"/>
    <w:rsid w:val="5A9D30EE"/>
    <w:rsid w:val="5AA12BDF"/>
    <w:rsid w:val="5AA93EA5"/>
    <w:rsid w:val="5AAA734D"/>
    <w:rsid w:val="5AB20948"/>
    <w:rsid w:val="5AB741B0"/>
    <w:rsid w:val="5ABC17C7"/>
    <w:rsid w:val="5ABD5454"/>
    <w:rsid w:val="5ABF7656"/>
    <w:rsid w:val="5AC16DDD"/>
    <w:rsid w:val="5AD07711"/>
    <w:rsid w:val="5AD5037D"/>
    <w:rsid w:val="5ADC59C5"/>
    <w:rsid w:val="5AE623A0"/>
    <w:rsid w:val="5AF30F60"/>
    <w:rsid w:val="5AF70A51"/>
    <w:rsid w:val="5AF727FF"/>
    <w:rsid w:val="5AF95C18"/>
    <w:rsid w:val="5AFA6F68"/>
    <w:rsid w:val="5AFC05AB"/>
    <w:rsid w:val="5AFD30AF"/>
    <w:rsid w:val="5B036E47"/>
    <w:rsid w:val="5B081FD1"/>
    <w:rsid w:val="5B093BC7"/>
    <w:rsid w:val="5B1A029B"/>
    <w:rsid w:val="5B1C4594"/>
    <w:rsid w:val="5B265BB3"/>
    <w:rsid w:val="5B307ABF"/>
    <w:rsid w:val="5B321A89"/>
    <w:rsid w:val="5B386973"/>
    <w:rsid w:val="5B386EE4"/>
    <w:rsid w:val="5B5D7831"/>
    <w:rsid w:val="5B5E63DA"/>
    <w:rsid w:val="5B61236E"/>
    <w:rsid w:val="5B79457C"/>
    <w:rsid w:val="5B7A6F8C"/>
    <w:rsid w:val="5B8027F4"/>
    <w:rsid w:val="5B8D13E7"/>
    <w:rsid w:val="5B982433"/>
    <w:rsid w:val="5BA30291"/>
    <w:rsid w:val="5BA44FB0"/>
    <w:rsid w:val="5BB10BFF"/>
    <w:rsid w:val="5BBE50CA"/>
    <w:rsid w:val="5BC8212A"/>
    <w:rsid w:val="5BCE04AE"/>
    <w:rsid w:val="5BD90156"/>
    <w:rsid w:val="5BF136F2"/>
    <w:rsid w:val="5BF40AEC"/>
    <w:rsid w:val="5BF47851"/>
    <w:rsid w:val="5BF60D08"/>
    <w:rsid w:val="5BFE3C1F"/>
    <w:rsid w:val="5BFE7BBD"/>
    <w:rsid w:val="5C02728F"/>
    <w:rsid w:val="5C03604A"/>
    <w:rsid w:val="5C095FF6"/>
    <w:rsid w:val="5C0F3B78"/>
    <w:rsid w:val="5C0F5EF4"/>
    <w:rsid w:val="5C164F06"/>
    <w:rsid w:val="5C36795D"/>
    <w:rsid w:val="5C381321"/>
    <w:rsid w:val="5C3A1EDF"/>
    <w:rsid w:val="5C3B2BBF"/>
    <w:rsid w:val="5C3B496D"/>
    <w:rsid w:val="5C3B671B"/>
    <w:rsid w:val="5C3E2E37"/>
    <w:rsid w:val="5C4750C0"/>
    <w:rsid w:val="5C514191"/>
    <w:rsid w:val="5C530D16"/>
    <w:rsid w:val="5C5D0D87"/>
    <w:rsid w:val="5C5F065B"/>
    <w:rsid w:val="5C624D18"/>
    <w:rsid w:val="5C6B60E0"/>
    <w:rsid w:val="5C71213D"/>
    <w:rsid w:val="5C814A76"/>
    <w:rsid w:val="5C826B51"/>
    <w:rsid w:val="5C8F2290"/>
    <w:rsid w:val="5C94204A"/>
    <w:rsid w:val="5C983B6D"/>
    <w:rsid w:val="5C9C3045"/>
    <w:rsid w:val="5CC20BEA"/>
    <w:rsid w:val="5CC46711"/>
    <w:rsid w:val="5CC7597A"/>
    <w:rsid w:val="5CD11A8C"/>
    <w:rsid w:val="5CDB2262"/>
    <w:rsid w:val="5CDD5A24"/>
    <w:rsid w:val="5CEB1EEF"/>
    <w:rsid w:val="5CFA0384"/>
    <w:rsid w:val="5CFD1C22"/>
    <w:rsid w:val="5D02548B"/>
    <w:rsid w:val="5D1953C3"/>
    <w:rsid w:val="5D2815E6"/>
    <w:rsid w:val="5D2B2C34"/>
    <w:rsid w:val="5D333896"/>
    <w:rsid w:val="5D3A2E77"/>
    <w:rsid w:val="5D443CF5"/>
    <w:rsid w:val="5D46056D"/>
    <w:rsid w:val="5D5340D1"/>
    <w:rsid w:val="5D5C002A"/>
    <w:rsid w:val="5D647EF4"/>
    <w:rsid w:val="5D7A687D"/>
    <w:rsid w:val="5D883BE2"/>
    <w:rsid w:val="5D8A5BAC"/>
    <w:rsid w:val="5DA84284"/>
    <w:rsid w:val="5DA9139E"/>
    <w:rsid w:val="5DAB78D0"/>
    <w:rsid w:val="5DAD36A2"/>
    <w:rsid w:val="5DB20C5F"/>
    <w:rsid w:val="5DB605EE"/>
    <w:rsid w:val="5DB76275"/>
    <w:rsid w:val="5DBB5D65"/>
    <w:rsid w:val="5DCB3ACF"/>
    <w:rsid w:val="5DD46E27"/>
    <w:rsid w:val="5DDC7A8A"/>
    <w:rsid w:val="5DE54B90"/>
    <w:rsid w:val="5DFD637E"/>
    <w:rsid w:val="5E0032EE"/>
    <w:rsid w:val="5E01563A"/>
    <w:rsid w:val="5E0C65C1"/>
    <w:rsid w:val="5E11654B"/>
    <w:rsid w:val="5E1B6804"/>
    <w:rsid w:val="5E257683"/>
    <w:rsid w:val="5E2F22B0"/>
    <w:rsid w:val="5E345E5F"/>
    <w:rsid w:val="5E457D25"/>
    <w:rsid w:val="5E491C61"/>
    <w:rsid w:val="5E4E693A"/>
    <w:rsid w:val="5E4F2952"/>
    <w:rsid w:val="5E543AC4"/>
    <w:rsid w:val="5E587A58"/>
    <w:rsid w:val="5E6B6468"/>
    <w:rsid w:val="5E6F08FE"/>
    <w:rsid w:val="5E6F4DA2"/>
    <w:rsid w:val="5E705A5F"/>
    <w:rsid w:val="5E7423B8"/>
    <w:rsid w:val="5E745F14"/>
    <w:rsid w:val="5E767EDE"/>
    <w:rsid w:val="5E783C56"/>
    <w:rsid w:val="5E786062"/>
    <w:rsid w:val="5E7A2202"/>
    <w:rsid w:val="5E8425FB"/>
    <w:rsid w:val="5E85203D"/>
    <w:rsid w:val="5E875719"/>
    <w:rsid w:val="5E8C325E"/>
    <w:rsid w:val="5E8D2864"/>
    <w:rsid w:val="5E8E5228"/>
    <w:rsid w:val="5E960998"/>
    <w:rsid w:val="5E9D6B02"/>
    <w:rsid w:val="5EA92FEA"/>
    <w:rsid w:val="5EAC3900"/>
    <w:rsid w:val="5EB42081"/>
    <w:rsid w:val="5EBB7FE7"/>
    <w:rsid w:val="5EC21376"/>
    <w:rsid w:val="5EC537C6"/>
    <w:rsid w:val="5ECA1FD8"/>
    <w:rsid w:val="5ED45ACE"/>
    <w:rsid w:val="5EDA221B"/>
    <w:rsid w:val="5EDA43C1"/>
    <w:rsid w:val="5EDC181C"/>
    <w:rsid w:val="5EE94850"/>
    <w:rsid w:val="5EE96902"/>
    <w:rsid w:val="5EF41D40"/>
    <w:rsid w:val="5EF64B7B"/>
    <w:rsid w:val="5EFC4888"/>
    <w:rsid w:val="5EFD5F0A"/>
    <w:rsid w:val="5F0E0117"/>
    <w:rsid w:val="5F1119B5"/>
    <w:rsid w:val="5F182425"/>
    <w:rsid w:val="5F1F2324"/>
    <w:rsid w:val="5F261904"/>
    <w:rsid w:val="5F285990"/>
    <w:rsid w:val="5F3405BD"/>
    <w:rsid w:val="5F3C5DBB"/>
    <w:rsid w:val="5F4678B1"/>
    <w:rsid w:val="5F4D54F9"/>
    <w:rsid w:val="5F6146EB"/>
    <w:rsid w:val="5F660558"/>
    <w:rsid w:val="5F661984"/>
    <w:rsid w:val="5F6F75D6"/>
    <w:rsid w:val="5F7408C2"/>
    <w:rsid w:val="5F77358C"/>
    <w:rsid w:val="5F781A34"/>
    <w:rsid w:val="5F7E529D"/>
    <w:rsid w:val="5F832A75"/>
    <w:rsid w:val="5F85487D"/>
    <w:rsid w:val="5F862D3E"/>
    <w:rsid w:val="5F8F1018"/>
    <w:rsid w:val="5F902E69"/>
    <w:rsid w:val="5FA82308"/>
    <w:rsid w:val="5FAE0A5D"/>
    <w:rsid w:val="5FC75478"/>
    <w:rsid w:val="5FD348D4"/>
    <w:rsid w:val="5FE86BBA"/>
    <w:rsid w:val="5FEC5D20"/>
    <w:rsid w:val="600C60DF"/>
    <w:rsid w:val="60133F38"/>
    <w:rsid w:val="60145C01"/>
    <w:rsid w:val="60252BF3"/>
    <w:rsid w:val="60454C3A"/>
    <w:rsid w:val="604711E4"/>
    <w:rsid w:val="604C3478"/>
    <w:rsid w:val="604D2D0D"/>
    <w:rsid w:val="604D2EC1"/>
    <w:rsid w:val="60591866"/>
    <w:rsid w:val="605F286D"/>
    <w:rsid w:val="60613142"/>
    <w:rsid w:val="60653243"/>
    <w:rsid w:val="60655BC8"/>
    <w:rsid w:val="606C5106"/>
    <w:rsid w:val="60714E01"/>
    <w:rsid w:val="607246D5"/>
    <w:rsid w:val="60765719"/>
    <w:rsid w:val="608508AD"/>
    <w:rsid w:val="608C39E9"/>
    <w:rsid w:val="608F6033"/>
    <w:rsid w:val="60950EAA"/>
    <w:rsid w:val="60A54AAB"/>
    <w:rsid w:val="60AB5994"/>
    <w:rsid w:val="60AC7BE7"/>
    <w:rsid w:val="60AF7E35"/>
    <w:rsid w:val="60B453AD"/>
    <w:rsid w:val="60BA67F9"/>
    <w:rsid w:val="60BB42CE"/>
    <w:rsid w:val="60BB7E2A"/>
    <w:rsid w:val="60BF3DBF"/>
    <w:rsid w:val="60C03693"/>
    <w:rsid w:val="60C3622F"/>
    <w:rsid w:val="60C82547"/>
    <w:rsid w:val="60CE7B5E"/>
    <w:rsid w:val="60D11F0D"/>
    <w:rsid w:val="60D1764E"/>
    <w:rsid w:val="60DD4245"/>
    <w:rsid w:val="60E66A36"/>
    <w:rsid w:val="60E92681"/>
    <w:rsid w:val="60E9572D"/>
    <w:rsid w:val="60F00C1B"/>
    <w:rsid w:val="60F03F78"/>
    <w:rsid w:val="60F668A1"/>
    <w:rsid w:val="60FC6916"/>
    <w:rsid w:val="610B7004"/>
    <w:rsid w:val="611741C8"/>
    <w:rsid w:val="611B712C"/>
    <w:rsid w:val="611C2FBF"/>
    <w:rsid w:val="612961BC"/>
    <w:rsid w:val="612B1454"/>
    <w:rsid w:val="612C2AD6"/>
    <w:rsid w:val="613F6CAD"/>
    <w:rsid w:val="614721A4"/>
    <w:rsid w:val="614F743B"/>
    <w:rsid w:val="61554EA2"/>
    <w:rsid w:val="61563F40"/>
    <w:rsid w:val="615C33BC"/>
    <w:rsid w:val="616363F5"/>
    <w:rsid w:val="616368A3"/>
    <w:rsid w:val="616439F1"/>
    <w:rsid w:val="616C7377"/>
    <w:rsid w:val="616D55C9"/>
    <w:rsid w:val="61703A9F"/>
    <w:rsid w:val="61720E31"/>
    <w:rsid w:val="61736957"/>
    <w:rsid w:val="61750921"/>
    <w:rsid w:val="617701F5"/>
    <w:rsid w:val="61840D96"/>
    <w:rsid w:val="618D5C6B"/>
    <w:rsid w:val="619A3EE4"/>
    <w:rsid w:val="619D77D3"/>
    <w:rsid w:val="61A651D4"/>
    <w:rsid w:val="61B852AB"/>
    <w:rsid w:val="61C17DBB"/>
    <w:rsid w:val="61C80A51"/>
    <w:rsid w:val="61CA564C"/>
    <w:rsid w:val="61D2367E"/>
    <w:rsid w:val="61D60947"/>
    <w:rsid w:val="61DD7B8E"/>
    <w:rsid w:val="61E37639"/>
    <w:rsid w:val="61F00305"/>
    <w:rsid w:val="61FF0DDD"/>
    <w:rsid w:val="6200468F"/>
    <w:rsid w:val="62076FEE"/>
    <w:rsid w:val="620B30A6"/>
    <w:rsid w:val="62116C72"/>
    <w:rsid w:val="6218367B"/>
    <w:rsid w:val="621A17D1"/>
    <w:rsid w:val="623936FD"/>
    <w:rsid w:val="624D6316"/>
    <w:rsid w:val="625B7B17"/>
    <w:rsid w:val="62662018"/>
    <w:rsid w:val="628726BA"/>
    <w:rsid w:val="62966D01"/>
    <w:rsid w:val="62A56FE4"/>
    <w:rsid w:val="62A80882"/>
    <w:rsid w:val="62AA45FB"/>
    <w:rsid w:val="62AF39BF"/>
    <w:rsid w:val="62B31701"/>
    <w:rsid w:val="62BE3C02"/>
    <w:rsid w:val="62BF00A6"/>
    <w:rsid w:val="62C34957"/>
    <w:rsid w:val="62E328C2"/>
    <w:rsid w:val="62E46FE1"/>
    <w:rsid w:val="62E57769"/>
    <w:rsid w:val="62ED77B7"/>
    <w:rsid w:val="62F15D85"/>
    <w:rsid w:val="62F6525B"/>
    <w:rsid w:val="62F80B65"/>
    <w:rsid w:val="62F92E8C"/>
    <w:rsid w:val="62FD096E"/>
    <w:rsid w:val="630173E5"/>
    <w:rsid w:val="630C2BBF"/>
    <w:rsid w:val="6318555C"/>
    <w:rsid w:val="631B1054"/>
    <w:rsid w:val="6320666B"/>
    <w:rsid w:val="63212B0F"/>
    <w:rsid w:val="63272EBA"/>
    <w:rsid w:val="63275C4B"/>
    <w:rsid w:val="632901EB"/>
    <w:rsid w:val="63310878"/>
    <w:rsid w:val="6343777A"/>
    <w:rsid w:val="6347009B"/>
    <w:rsid w:val="63534C92"/>
    <w:rsid w:val="63583B7E"/>
    <w:rsid w:val="636A4875"/>
    <w:rsid w:val="636B1FDC"/>
    <w:rsid w:val="636C365E"/>
    <w:rsid w:val="63714BFB"/>
    <w:rsid w:val="6377272F"/>
    <w:rsid w:val="63981613"/>
    <w:rsid w:val="639D6730"/>
    <w:rsid w:val="63A177AC"/>
    <w:rsid w:val="63A728E8"/>
    <w:rsid w:val="63A9644F"/>
    <w:rsid w:val="63AF74DC"/>
    <w:rsid w:val="63B84AF5"/>
    <w:rsid w:val="63C17E4E"/>
    <w:rsid w:val="63CB7380"/>
    <w:rsid w:val="63CE60C7"/>
    <w:rsid w:val="63E1688D"/>
    <w:rsid w:val="63E804DE"/>
    <w:rsid w:val="63E93623"/>
    <w:rsid w:val="63FE69AC"/>
    <w:rsid w:val="64085A7D"/>
    <w:rsid w:val="640931CD"/>
    <w:rsid w:val="641E0DFC"/>
    <w:rsid w:val="64220C2D"/>
    <w:rsid w:val="64280CA3"/>
    <w:rsid w:val="64354F81"/>
    <w:rsid w:val="64395C36"/>
    <w:rsid w:val="643A375C"/>
    <w:rsid w:val="644545DB"/>
    <w:rsid w:val="64485E79"/>
    <w:rsid w:val="644B5969"/>
    <w:rsid w:val="645C1924"/>
    <w:rsid w:val="645E569D"/>
    <w:rsid w:val="64601415"/>
    <w:rsid w:val="64691DCF"/>
    <w:rsid w:val="64760C38"/>
    <w:rsid w:val="647C3D75"/>
    <w:rsid w:val="64803865"/>
    <w:rsid w:val="6484176C"/>
    <w:rsid w:val="648C045C"/>
    <w:rsid w:val="648F3AA8"/>
    <w:rsid w:val="64917740"/>
    <w:rsid w:val="64970BAF"/>
    <w:rsid w:val="6497724C"/>
    <w:rsid w:val="64983373"/>
    <w:rsid w:val="64A21EA4"/>
    <w:rsid w:val="64A63EEF"/>
    <w:rsid w:val="64B02745"/>
    <w:rsid w:val="64BD21E6"/>
    <w:rsid w:val="64C64FF0"/>
    <w:rsid w:val="64F532A5"/>
    <w:rsid w:val="64FF3563"/>
    <w:rsid w:val="65181CEF"/>
    <w:rsid w:val="652D0ECB"/>
    <w:rsid w:val="653A7EB8"/>
    <w:rsid w:val="653F54CE"/>
    <w:rsid w:val="654142C6"/>
    <w:rsid w:val="65432F36"/>
    <w:rsid w:val="654C3747"/>
    <w:rsid w:val="654F3237"/>
    <w:rsid w:val="65526482"/>
    <w:rsid w:val="655B398A"/>
    <w:rsid w:val="655F0393"/>
    <w:rsid w:val="65625139"/>
    <w:rsid w:val="65682B9D"/>
    <w:rsid w:val="656E5DB3"/>
    <w:rsid w:val="65705687"/>
    <w:rsid w:val="65791A0C"/>
    <w:rsid w:val="657C227E"/>
    <w:rsid w:val="65813057"/>
    <w:rsid w:val="65883653"/>
    <w:rsid w:val="65953340"/>
    <w:rsid w:val="659E3677"/>
    <w:rsid w:val="65A6039C"/>
    <w:rsid w:val="65A7460D"/>
    <w:rsid w:val="65A74978"/>
    <w:rsid w:val="65B970BB"/>
    <w:rsid w:val="65BA4B55"/>
    <w:rsid w:val="65D1226C"/>
    <w:rsid w:val="65D57BE0"/>
    <w:rsid w:val="65EE0CA2"/>
    <w:rsid w:val="65F173BB"/>
    <w:rsid w:val="65F71905"/>
    <w:rsid w:val="65FB0A73"/>
    <w:rsid w:val="660B26D0"/>
    <w:rsid w:val="66134265"/>
    <w:rsid w:val="661A3845"/>
    <w:rsid w:val="66291CDA"/>
    <w:rsid w:val="66600BF4"/>
    <w:rsid w:val="66622660"/>
    <w:rsid w:val="666230AB"/>
    <w:rsid w:val="6679056C"/>
    <w:rsid w:val="667F18FA"/>
    <w:rsid w:val="668D2269"/>
    <w:rsid w:val="66903B07"/>
    <w:rsid w:val="669954E8"/>
    <w:rsid w:val="669E6224"/>
    <w:rsid w:val="669F2A1B"/>
    <w:rsid w:val="66A06D5C"/>
    <w:rsid w:val="66AD7606"/>
    <w:rsid w:val="66BD2E51"/>
    <w:rsid w:val="66C37382"/>
    <w:rsid w:val="66CC2D91"/>
    <w:rsid w:val="66D103A8"/>
    <w:rsid w:val="66D32372"/>
    <w:rsid w:val="66DC0F17"/>
    <w:rsid w:val="66DE4873"/>
    <w:rsid w:val="66E76BC8"/>
    <w:rsid w:val="66ED2D08"/>
    <w:rsid w:val="66F10A4A"/>
    <w:rsid w:val="66F422E8"/>
    <w:rsid w:val="66F67E0E"/>
    <w:rsid w:val="66F81B50"/>
    <w:rsid w:val="6703154D"/>
    <w:rsid w:val="67043D5E"/>
    <w:rsid w:val="67050051"/>
    <w:rsid w:val="67074E34"/>
    <w:rsid w:val="67184229"/>
    <w:rsid w:val="6721372C"/>
    <w:rsid w:val="67277FC8"/>
    <w:rsid w:val="672901E4"/>
    <w:rsid w:val="672F3320"/>
    <w:rsid w:val="67310E46"/>
    <w:rsid w:val="67313B22"/>
    <w:rsid w:val="673426E5"/>
    <w:rsid w:val="67362901"/>
    <w:rsid w:val="673B487E"/>
    <w:rsid w:val="673D77EB"/>
    <w:rsid w:val="673F17B5"/>
    <w:rsid w:val="67441A8E"/>
    <w:rsid w:val="674D0433"/>
    <w:rsid w:val="6751773B"/>
    <w:rsid w:val="67546625"/>
    <w:rsid w:val="675868FA"/>
    <w:rsid w:val="676E5BF7"/>
    <w:rsid w:val="678910A0"/>
    <w:rsid w:val="679B1D79"/>
    <w:rsid w:val="67A23AF2"/>
    <w:rsid w:val="67B10B23"/>
    <w:rsid w:val="67B751C8"/>
    <w:rsid w:val="67BF400C"/>
    <w:rsid w:val="67C223E6"/>
    <w:rsid w:val="67C63C85"/>
    <w:rsid w:val="67D14808"/>
    <w:rsid w:val="67DC5256"/>
    <w:rsid w:val="67E73DED"/>
    <w:rsid w:val="67E759A9"/>
    <w:rsid w:val="67E934CF"/>
    <w:rsid w:val="67F307F2"/>
    <w:rsid w:val="68010856"/>
    <w:rsid w:val="6808604B"/>
    <w:rsid w:val="68112A26"/>
    <w:rsid w:val="681349F0"/>
    <w:rsid w:val="68143D96"/>
    <w:rsid w:val="682C280B"/>
    <w:rsid w:val="683B72BC"/>
    <w:rsid w:val="683F57E5"/>
    <w:rsid w:val="6841155D"/>
    <w:rsid w:val="68431CBC"/>
    <w:rsid w:val="68485B84"/>
    <w:rsid w:val="68556DB7"/>
    <w:rsid w:val="68584D97"/>
    <w:rsid w:val="685A5CFC"/>
    <w:rsid w:val="686D4100"/>
    <w:rsid w:val="6870599E"/>
    <w:rsid w:val="68751207"/>
    <w:rsid w:val="687A05CB"/>
    <w:rsid w:val="687A4A6F"/>
    <w:rsid w:val="687D0E8F"/>
    <w:rsid w:val="688342B2"/>
    <w:rsid w:val="68944228"/>
    <w:rsid w:val="6897117D"/>
    <w:rsid w:val="68994EF5"/>
    <w:rsid w:val="689B6EBF"/>
    <w:rsid w:val="68A11FFC"/>
    <w:rsid w:val="68BA4257"/>
    <w:rsid w:val="68C54C81"/>
    <w:rsid w:val="68CA4E1B"/>
    <w:rsid w:val="68CF27F1"/>
    <w:rsid w:val="68E5022E"/>
    <w:rsid w:val="68E63EB3"/>
    <w:rsid w:val="68ED1D8F"/>
    <w:rsid w:val="68F002A5"/>
    <w:rsid w:val="68F25E45"/>
    <w:rsid w:val="68F86F8E"/>
    <w:rsid w:val="68F95994"/>
    <w:rsid w:val="69004F74"/>
    <w:rsid w:val="69011806"/>
    <w:rsid w:val="69120A8F"/>
    <w:rsid w:val="69182D74"/>
    <w:rsid w:val="69186FC9"/>
    <w:rsid w:val="69192B53"/>
    <w:rsid w:val="69415B3F"/>
    <w:rsid w:val="696A4AE4"/>
    <w:rsid w:val="696C7D29"/>
    <w:rsid w:val="696D3062"/>
    <w:rsid w:val="697A5D95"/>
    <w:rsid w:val="697B39B5"/>
    <w:rsid w:val="69823BDB"/>
    <w:rsid w:val="698536CB"/>
    <w:rsid w:val="69AC2A06"/>
    <w:rsid w:val="69AE2C22"/>
    <w:rsid w:val="69AE49D0"/>
    <w:rsid w:val="69C02956"/>
    <w:rsid w:val="69C72D1C"/>
    <w:rsid w:val="69D1246D"/>
    <w:rsid w:val="69D56401"/>
    <w:rsid w:val="69D65CD5"/>
    <w:rsid w:val="69D72983"/>
    <w:rsid w:val="69E12911"/>
    <w:rsid w:val="69F61ED3"/>
    <w:rsid w:val="69F66377"/>
    <w:rsid w:val="6A0E546F"/>
    <w:rsid w:val="6A162576"/>
    <w:rsid w:val="6A1E3383"/>
    <w:rsid w:val="6A1F3720"/>
    <w:rsid w:val="6A211646"/>
    <w:rsid w:val="6A2151A2"/>
    <w:rsid w:val="6A251219"/>
    <w:rsid w:val="6A2E192C"/>
    <w:rsid w:val="6A335B05"/>
    <w:rsid w:val="6A38073E"/>
    <w:rsid w:val="6A427FA9"/>
    <w:rsid w:val="6A585E8D"/>
    <w:rsid w:val="6A612C2A"/>
    <w:rsid w:val="6A6D03E7"/>
    <w:rsid w:val="6A751AE4"/>
    <w:rsid w:val="6A75786C"/>
    <w:rsid w:val="6A7A48EC"/>
    <w:rsid w:val="6A8378EE"/>
    <w:rsid w:val="6A86594D"/>
    <w:rsid w:val="6A883473"/>
    <w:rsid w:val="6A9E2C97"/>
    <w:rsid w:val="6A9E2CC6"/>
    <w:rsid w:val="6AA10091"/>
    <w:rsid w:val="6AA51BB3"/>
    <w:rsid w:val="6AB05F0D"/>
    <w:rsid w:val="6AC05EC0"/>
    <w:rsid w:val="6ACB7641"/>
    <w:rsid w:val="6AD82C42"/>
    <w:rsid w:val="6AE14931"/>
    <w:rsid w:val="6AF705F9"/>
    <w:rsid w:val="6AF8719F"/>
    <w:rsid w:val="6AFD00C2"/>
    <w:rsid w:val="6AFE1987"/>
    <w:rsid w:val="6B0416CD"/>
    <w:rsid w:val="6B0845B4"/>
    <w:rsid w:val="6B16776C"/>
    <w:rsid w:val="6B182A49"/>
    <w:rsid w:val="6B185444"/>
    <w:rsid w:val="6B1A261E"/>
    <w:rsid w:val="6B2018FE"/>
    <w:rsid w:val="6B472B1C"/>
    <w:rsid w:val="6B482C03"/>
    <w:rsid w:val="6B560E7C"/>
    <w:rsid w:val="6B594E10"/>
    <w:rsid w:val="6B5B46E4"/>
    <w:rsid w:val="6B5E2426"/>
    <w:rsid w:val="6B730FCE"/>
    <w:rsid w:val="6B7A7622"/>
    <w:rsid w:val="6B7D0AFE"/>
    <w:rsid w:val="6B824366"/>
    <w:rsid w:val="6B826114"/>
    <w:rsid w:val="6B9B0F84"/>
    <w:rsid w:val="6BAA11C7"/>
    <w:rsid w:val="6BAF2C82"/>
    <w:rsid w:val="6BB16021"/>
    <w:rsid w:val="6BB64CF3"/>
    <w:rsid w:val="6BB65DBE"/>
    <w:rsid w:val="6BC13889"/>
    <w:rsid w:val="6BC6080F"/>
    <w:rsid w:val="6BCB440D"/>
    <w:rsid w:val="6BD12BF8"/>
    <w:rsid w:val="6BD6020E"/>
    <w:rsid w:val="6BD665C7"/>
    <w:rsid w:val="6BD821D8"/>
    <w:rsid w:val="6BD85D34"/>
    <w:rsid w:val="6BE26BB3"/>
    <w:rsid w:val="6BE36A02"/>
    <w:rsid w:val="6BE4292B"/>
    <w:rsid w:val="6BFD1C3F"/>
    <w:rsid w:val="6C1B20C5"/>
    <w:rsid w:val="6C1C0317"/>
    <w:rsid w:val="6C1F5711"/>
    <w:rsid w:val="6C7A3290"/>
    <w:rsid w:val="6C8312D7"/>
    <w:rsid w:val="6C871509"/>
    <w:rsid w:val="6C90660F"/>
    <w:rsid w:val="6C961888"/>
    <w:rsid w:val="6CAB202A"/>
    <w:rsid w:val="6CAD0F6F"/>
    <w:rsid w:val="6CC23A00"/>
    <w:rsid w:val="6CCA7D73"/>
    <w:rsid w:val="6CD02BFF"/>
    <w:rsid w:val="6CDF31BB"/>
    <w:rsid w:val="6CE16891"/>
    <w:rsid w:val="6CF16CAD"/>
    <w:rsid w:val="6D013069"/>
    <w:rsid w:val="6D035687"/>
    <w:rsid w:val="6D0424EB"/>
    <w:rsid w:val="6D061FEF"/>
    <w:rsid w:val="6D0B50F2"/>
    <w:rsid w:val="6D1050AB"/>
    <w:rsid w:val="6D203E37"/>
    <w:rsid w:val="6D25144D"/>
    <w:rsid w:val="6D2A313E"/>
    <w:rsid w:val="6D396CA7"/>
    <w:rsid w:val="6D42499E"/>
    <w:rsid w:val="6D453636"/>
    <w:rsid w:val="6D4820A3"/>
    <w:rsid w:val="6D4A0EB4"/>
    <w:rsid w:val="6D54588F"/>
    <w:rsid w:val="6D5C2995"/>
    <w:rsid w:val="6D5C4743"/>
    <w:rsid w:val="6D5E04BB"/>
    <w:rsid w:val="6D5E495F"/>
    <w:rsid w:val="6D604233"/>
    <w:rsid w:val="6D714693"/>
    <w:rsid w:val="6D771A05"/>
    <w:rsid w:val="6D7813C9"/>
    <w:rsid w:val="6D7F4455"/>
    <w:rsid w:val="6D8367B0"/>
    <w:rsid w:val="6D843221"/>
    <w:rsid w:val="6D995997"/>
    <w:rsid w:val="6DA71E62"/>
    <w:rsid w:val="6DAD4F9F"/>
    <w:rsid w:val="6DB620A5"/>
    <w:rsid w:val="6DB93944"/>
    <w:rsid w:val="6DC4208B"/>
    <w:rsid w:val="6DCF13B9"/>
    <w:rsid w:val="6DD00070"/>
    <w:rsid w:val="6DD469CF"/>
    <w:rsid w:val="6DD52438"/>
    <w:rsid w:val="6DD8201C"/>
    <w:rsid w:val="6DE24C48"/>
    <w:rsid w:val="6DE2733E"/>
    <w:rsid w:val="6DF4699A"/>
    <w:rsid w:val="6DFB3020"/>
    <w:rsid w:val="6DFF3A4C"/>
    <w:rsid w:val="6E0C43BB"/>
    <w:rsid w:val="6E0C7F17"/>
    <w:rsid w:val="6E11552E"/>
    <w:rsid w:val="6E126D75"/>
    <w:rsid w:val="6E21338A"/>
    <w:rsid w:val="6E2B2FB6"/>
    <w:rsid w:val="6E2C2368"/>
    <w:rsid w:val="6E2F3C06"/>
    <w:rsid w:val="6E32249E"/>
    <w:rsid w:val="6E3378F4"/>
    <w:rsid w:val="6E35746E"/>
    <w:rsid w:val="6E3C2F36"/>
    <w:rsid w:val="6E3D4575"/>
    <w:rsid w:val="6E4476B1"/>
    <w:rsid w:val="6E510020"/>
    <w:rsid w:val="6E535B46"/>
    <w:rsid w:val="6E5C6F6C"/>
    <w:rsid w:val="6E5E184D"/>
    <w:rsid w:val="6E777A87"/>
    <w:rsid w:val="6E7A1325"/>
    <w:rsid w:val="6E7D5AF8"/>
    <w:rsid w:val="6E81260B"/>
    <w:rsid w:val="6E961867"/>
    <w:rsid w:val="6EAE5472"/>
    <w:rsid w:val="6EB653E3"/>
    <w:rsid w:val="6EB70C15"/>
    <w:rsid w:val="6EB760D5"/>
    <w:rsid w:val="6EC407F2"/>
    <w:rsid w:val="6ECC76A7"/>
    <w:rsid w:val="6ECE1671"/>
    <w:rsid w:val="6ED74BF0"/>
    <w:rsid w:val="6ED924EF"/>
    <w:rsid w:val="6EE844E0"/>
    <w:rsid w:val="6EED02B3"/>
    <w:rsid w:val="6EEF1D13"/>
    <w:rsid w:val="6EF7307A"/>
    <w:rsid w:val="6F0926A9"/>
    <w:rsid w:val="6F0C60A2"/>
    <w:rsid w:val="6F174DC6"/>
    <w:rsid w:val="6F2E5190"/>
    <w:rsid w:val="6F3275E5"/>
    <w:rsid w:val="6F347421"/>
    <w:rsid w:val="6F3516F0"/>
    <w:rsid w:val="6F3B387A"/>
    <w:rsid w:val="6F3C49CA"/>
    <w:rsid w:val="6F410095"/>
    <w:rsid w:val="6F423CF3"/>
    <w:rsid w:val="6F433E0D"/>
    <w:rsid w:val="6F481A0D"/>
    <w:rsid w:val="6F5412B6"/>
    <w:rsid w:val="6F55769C"/>
    <w:rsid w:val="6F6D49E6"/>
    <w:rsid w:val="6F771D08"/>
    <w:rsid w:val="6F7A39FD"/>
    <w:rsid w:val="6F7F7BA8"/>
    <w:rsid w:val="6F800BBD"/>
    <w:rsid w:val="6F912DCA"/>
    <w:rsid w:val="6FA53B98"/>
    <w:rsid w:val="6FAD572A"/>
    <w:rsid w:val="6FB15D6F"/>
    <w:rsid w:val="6FBB39A3"/>
    <w:rsid w:val="6FBD3DD5"/>
    <w:rsid w:val="6FC211D5"/>
    <w:rsid w:val="6FC860C0"/>
    <w:rsid w:val="6FD37C6B"/>
    <w:rsid w:val="6FD9207B"/>
    <w:rsid w:val="6FDB2297"/>
    <w:rsid w:val="6FDE3B35"/>
    <w:rsid w:val="6FEF12B9"/>
    <w:rsid w:val="6FF43359"/>
    <w:rsid w:val="6FF46EB5"/>
    <w:rsid w:val="6FF70753"/>
    <w:rsid w:val="6FFE5F86"/>
    <w:rsid w:val="6FFF6F69"/>
    <w:rsid w:val="7000707A"/>
    <w:rsid w:val="700963B5"/>
    <w:rsid w:val="700A6A54"/>
    <w:rsid w:val="70115CB9"/>
    <w:rsid w:val="70161521"/>
    <w:rsid w:val="701B6F23"/>
    <w:rsid w:val="70221C74"/>
    <w:rsid w:val="702E23C7"/>
    <w:rsid w:val="70383246"/>
    <w:rsid w:val="70390D6C"/>
    <w:rsid w:val="703E2A87"/>
    <w:rsid w:val="703F232E"/>
    <w:rsid w:val="703F45D4"/>
    <w:rsid w:val="7047792D"/>
    <w:rsid w:val="70495453"/>
    <w:rsid w:val="704F5B7B"/>
    <w:rsid w:val="70512559"/>
    <w:rsid w:val="707029DF"/>
    <w:rsid w:val="70762DC7"/>
    <w:rsid w:val="707B7784"/>
    <w:rsid w:val="707F70C6"/>
    <w:rsid w:val="708B5A6B"/>
    <w:rsid w:val="708B5D9C"/>
    <w:rsid w:val="70926DFA"/>
    <w:rsid w:val="70967F6C"/>
    <w:rsid w:val="70980188"/>
    <w:rsid w:val="709B5700"/>
    <w:rsid w:val="709F32C5"/>
    <w:rsid w:val="709F5073"/>
    <w:rsid w:val="70C32BD5"/>
    <w:rsid w:val="70C6686B"/>
    <w:rsid w:val="70C94DEE"/>
    <w:rsid w:val="70DC1E23"/>
    <w:rsid w:val="70E84C6C"/>
    <w:rsid w:val="70EE06D2"/>
    <w:rsid w:val="70FD01ED"/>
    <w:rsid w:val="70FE2135"/>
    <w:rsid w:val="7104137A"/>
    <w:rsid w:val="71092E34"/>
    <w:rsid w:val="71276F3B"/>
    <w:rsid w:val="71291AE7"/>
    <w:rsid w:val="71322FD2"/>
    <w:rsid w:val="71381023"/>
    <w:rsid w:val="71427E15"/>
    <w:rsid w:val="714479C8"/>
    <w:rsid w:val="71456CAE"/>
    <w:rsid w:val="71614A1E"/>
    <w:rsid w:val="716342F2"/>
    <w:rsid w:val="71646D15"/>
    <w:rsid w:val="7178644A"/>
    <w:rsid w:val="71791D68"/>
    <w:rsid w:val="71804EA4"/>
    <w:rsid w:val="71A843FB"/>
    <w:rsid w:val="71AA0173"/>
    <w:rsid w:val="71B27028"/>
    <w:rsid w:val="71B66B18"/>
    <w:rsid w:val="71B93A56"/>
    <w:rsid w:val="71BC3A02"/>
    <w:rsid w:val="71C561B9"/>
    <w:rsid w:val="71DA2715"/>
    <w:rsid w:val="71DB7DB3"/>
    <w:rsid w:val="71E5255C"/>
    <w:rsid w:val="71EF1778"/>
    <w:rsid w:val="720214A0"/>
    <w:rsid w:val="7207394C"/>
    <w:rsid w:val="721750DD"/>
    <w:rsid w:val="721834E3"/>
    <w:rsid w:val="721F290F"/>
    <w:rsid w:val="72231CD3"/>
    <w:rsid w:val="722577FA"/>
    <w:rsid w:val="72271559"/>
    <w:rsid w:val="72292A47"/>
    <w:rsid w:val="723637B5"/>
    <w:rsid w:val="723914F7"/>
    <w:rsid w:val="723E2357"/>
    <w:rsid w:val="723E4F1D"/>
    <w:rsid w:val="72474A23"/>
    <w:rsid w:val="726F6CC7"/>
    <w:rsid w:val="72750781"/>
    <w:rsid w:val="72784BE7"/>
    <w:rsid w:val="727B566C"/>
    <w:rsid w:val="728C1627"/>
    <w:rsid w:val="72946515"/>
    <w:rsid w:val="72952BD1"/>
    <w:rsid w:val="72965B0C"/>
    <w:rsid w:val="72A11576"/>
    <w:rsid w:val="72A40910"/>
    <w:rsid w:val="72A91575"/>
    <w:rsid w:val="72AC1CC9"/>
    <w:rsid w:val="72AC2BAE"/>
    <w:rsid w:val="72D056FF"/>
    <w:rsid w:val="72D416B0"/>
    <w:rsid w:val="72E74AAF"/>
    <w:rsid w:val="72EC6569"/>
    <w:rsid w:val="72ED1655"/>
    <w:rsid w:val="72FF004B"/>
    <w:rsid w:val="73005B71"/>
    <w:rsid w:val="730317E6"/>
    <w:rsid w:val="730730C5"/>
    <w:rsid w:val="730F7703"/>
    <w:rsid w:val="73131D48"/>
    <w:rsid w:val="73263C86"/>
    <w:rsid w:val="732B7092"/>
    <w:rsid w:val="732E26DE"/>
    <w:rsid w:val="733817AF"/>
    <w:rsid w:val="733A1083"/>
    <w:rsid w:val="733C304D"/>
    <w:rsid w:val="733F48EB"/>
    <w:rsid w:val="73501B71"/>
    <w:rsid w:val="73527B18"/>
    <w:rsid w:val="7355568B"/>
    <w:rsid w:val="735A1E31"/>
    <w:rsid w:val="735B7F50"/>
    <w:rsid w:val="735C36EF"/>
    <w:rsid w:val="735F0AE9"/>
    <w:rsid w:val="73683E42"/>
    <w:rsid w:val="736F2051"/>
    <w:rsid w:val="7375030D"/>
    <w:rsid w:val="738111FC"/>
    <w:rsid w:val="73880795"/>
    <w:rsid w:val="73910787"/>
    <w:rsid w:val="73917BDE"/>
    <w:rsid w:val="739369E5"/>
    <w:rsid w:val="73962B79"/>
    <w:rsid w:val="7399526E"/>
    <w:rsid w:val="739D4185"/>
    <w:rsid w:val="73A626CD"/>
    <w:rsid w:val="73AB3D2F"/>
    <w:rsid w:val="73B452D9"/>
    <w:rsid w:val="73B51EF9"/>
    <w:rsid w:val="73B54BAD"/>
    <w:rsid w:val="73B70925"/>
    <w:rsid w:val="73B7347A"/>
    <w:rsid w:val="73BD392D"/>
    <w:rsid w:val="73BE6613"/>
    <w:rsid w:val="73C80D84"/>
    <w:rsid w:val="73CC2DDA"/>
    <w:rsid w:val="73CE6058"/>
    <w:rsid w:val="73D72A64"/>
    <w:rsid w:val="73D95370"/>
    <w:rsid w:val="73DB7FDB"/>
    <w:rsid w:val="73E3189F"/>
    <w:rsid w:val="73E545A2"/>
    <w:rsid w:val="73EB2787"/>
    <w:rsid w:val="73FA3C41"/>
    <w:rsid w:val="74037FCA"/>
    <w:rsid w:val="74062D5B"/>
    <w:rsid w:val="74130252"/>
    <w:rsid w:val="742116AE"/>
    <w:rsid w:val="74251D33"/>
    <w:rsid w:val="742A40E7"/>
    <w:rsid w:val="742F670E"/>
    <w:rsid w:val="743A6162"/>
    <w:rsid w:val="743D52CE"/>
    <w:rsid w:val="74455F31"/>
    <w:rsid w:val="744C5512"/>
    <w:rsid w:val="744D3038"/>
    <w:rsid w:val="745035A2"/>
    <w:rsid w:val="745727B9"/>
    <w:rsid w:val="7457323E"/>
    <w:rsid w:val="74583B56"/>
    <w:rsid w:val="74617DB0"/>
    <w:rsid w:val="7466072E"/>
    <w:rsid w:val="746A715B"/>
    <w:rsid w:val="746C1710"/>
    <w:rsid w:val="74716D26"/>
    <w:rsid w:val="74793E2D"/>
    <w:rsid w:val="74844CAB"/>
    <w:rsid w:val="748659EF"/>
    <w:rsid w:val="74890514"/>
    <w:rsid w:val="74982505"/>
    <w:rsid w:val="7499671F"/>
    <w:rsid w:val="749E5641"/>
    <w:rsid w:val="74A1558A"/>
    <w:rsid w:val="74A40EAA"/>
    <w:rsid w:val="74AF784E"/>
    <w:rsid w:val="74B64665"/>
    <w:rsid w:val="74B65081"/>
    <w:rsid w:val="74BC6974"/>
    <w:rsid w:val="74BD01BD"/>
    <w:rsid w:val="74C4154C"/>
    <w:rsid w:val="74C90910"/>
    <w:rsid w:val="74CC6652"/>
    <w:rsid w:val="74D4698E"/>
    <w:rsid w:val="74D80B53"/>
    <w:rsid w:val="74D82A70"/>
    <w:rsid w:val="74E4399C"/>
    <w:rsid w:val="74E97204"/>
    <w:rsid w:val="74F55BA9"/>
    <w:rsid w:val="74F82FA3"/>
    <w:rsid w:val="74FD680C"/>
    <w:rsid w:val="750202C6"/>
    <w:rsid w:val="75062C3A"/>
    <w:rsid w:val="750D2EF3"/>
    <w:rsid w:val="751206F8"/>
    <w:rsid w:val="7518492F"/>
    <w:rsid w:val="75197A63"/>
    <w:rsid w:val="751F49D4"/>
    <w:rsid w:val="75295853"/>
    <w:rsid w:val="753A180E"/>
    <w:rsid w:val="753A35BC"/>
    <w:rsid w:val="75414C6A"/>
    <w:rsid w:val="754601B3"/>
    <w:rsid w:val="75466405"/>
    <w:rsid w:val="7559057C"/>
    <w:rsid w:val="75673EEC"/>
    <w:rsid w:val="756819C9"/>
    <w:rsid w:val="756B20C3"/>
    <w:rsid w:val="756E14B8"/>
    <w:rsid w:val="7572676A"/>
    <w:rsid w:val="75736ACE"/>
    <w:rsid w:val="757417C6"/>
    <w:rsid w:val="757430C6"/>
    <w:rsid w:val="75751D02"/>
    <w:rsid w:val="757765BE"/>
    <w:rsid w:val="75834F63"/>
    <w:rsid w:val="758414E5"/>
    <w:rsid w:val="75867EB7"/>
    <w:rsid w:val="7598575D"/>
    <w:rsid w:val="75AA2DD0"/>
    <w:rsid w:val="75B82733"/>
    <w:rsid w:val="75BA294F"/>
    <w:rsid w:val="75D91027"/>
    <w:rsid w:val="75EF084A"/>
    <w:rsid w:val="75FB71EF"/>
    <w:rsid w:val="75FC6AC3"/>
    <w:rsid w:val="75FE283B"/>
    <w:rsid w:val="760342F6"/>
    <w:rsid w:val="760D23F9"/>
    <w:rsid w:val="761508BA"/>
    <w:rsid w:val="7615375C"/>
    <w:rsid w:val="761B163F"/>
    <w:rsid w:val="761B5537"/>
    <w:rsid w:val="7623117E"/>
    <w:rsid w:val="76250F09"/>
    <w:rsid w:val="76360227"/>
    <w:rsid w:val="763B490D"/>
    <w:rsid w:val="763B583E"/>
    <w:rsid w:val="76404C02"/>
    <w:rsid w:val="76452218"/>
    <w:rsid w:val="764D4EA7"/>
    <w:rsid w:val="76544B51"/>
    <w:rsid w:val="76547D74"/>
    <w:rsid w:val="76571F4C"/>
    <w:rsid w:val="765F75BE"/>
    <w:rsid w:val="7662101C"/>
    <w:rsid w:val="7662726E"/>
    <w:rsid w:val="766403CF"/>
    <w:rsid w:val="766A6123"/>
    <w:rsid w:val="76790114"/>
    <w:rsid w:val="76835CCD"/>
    <w:rsid w:val="7685658D"/>
    <w:rsid w:val="768F567D"/>
    <w:rsid w:val="76967E32"/>
    <w:rsid w:val="769D2054"/>
    <w:rsid w:val="76B30D7F"/>
    <w:rsid w:val="76B97F66"/>
    <w:rsid w:val="76C01643"/>
    <w:rsid w:val="76C606AF"/>
    <w:rsid w:val="76C92E49"/>
    <w:rsid w:val="76C9501B"/>
    <w:rsid w:val="76CE66B2"/>
    <w:rsid w:val="76D17F50"/>
    <w:rsid w:val="76D8308D"/>
    <w:rsid w:val="76DE441B"/>
    <w:rsid w:val="76E879B7"/>
    <w:rsid w:val="76EB7C9B"/>
    <w:rsid w:val="76F123A0"/>
    <w:rsid w:val="76F603C6"/>
    <w:rsid w:val="76FA2174"/>
    <w:rsid w:val="7703586D"/>
    <w:rsid w:val="77064A88"/>
    <w:rsid w:val="770A1D01"/>
    <w:rsid w:val="770F0709"/>
    <w:rsid w:val="77106CCA"/>
    <w:rsid w:val="77120FED"/>
    <w:rsid w:val="77132317"/>
    <w:rsid w:val="771A18F7"/>
    <w:rsid w:val="77284B23"/>
    <w:rsid w:val="772B48FA"/>
    <w:rsid w:val="772B7660"/>
    <w:rsid w:val="7730111A"/>
    <w:rsid w:val="77391B44"/>
    <w:rsid w:val="773A73E7"/>
    <w:rsid w:val="77495D38"/>
    <w:rsid w:val="774A385E"/>
    <w:rsid w:val="77512E3F"/>
    <w:rsid w:val="776764D9"/>
    <w:rsid w:val="77691823"/>
    <w:rsid w:val="77747C82"/>
    <w:rsid w:val="77754D7F"/>
    <w:rsid w:val="778429B8"/>
    <w:rsid w:val="77903967"/>
    <w:rsid w:val="77972F48"/>
    <w:rsid w:val="779D6084"/>
    <w:rsid w:val="779D7E32"/>
    <w:rsid w:val="77A318EC"/>
    <w:rsid w:val="77AD62C7"/>
    <w:rsid w:val="77B04009"/>
    <w:rsid w:val="77E141C3"/>
    <w:rsid w:val="77EB7DB5"/>
    <w:rsid w:val="77F2017E"/>
    <w:rsid w:val="77FB0107"/>
    <w:rsid w:val="77FC6623"/>
    <w:rsid w:val="78003B75"/>
    <w:rsid w:val="78034139"/>
    <w:rsid w:val="78047EB1"/>
    <w:rsid w:val="7808042C"/>
    <w:rsid w:val="780D08AC"/>
    <w:rsid w:val="780D09BC"/>
    <w:rsid w:val="782303E7"/>
    <w:rsid w:val="782E2461"/>
    <w:rsid w:val="78393FFF"/>
    <w:rsid w:val="783D5FD6"/>
    <w:rsid w:val="783F628E"/>
    <w:rsid w:val="7840538D"/>
    <w:rsid w:val="78436C2C"/>
    <w:rsid w:val="78452C7E"/>
    <w:rsid w:val="784A4C48"/>
    <w:rsid w:val="784A620C"/>
    <w:rsid w:val="785726D7"/>
    <w:rsid w:val="78581291"/>
    <w:rsid w:val="785C1A9B"/>
    <w:rsid w:val="785E10C8"/>
    <w:rsid w:val="785E5813"/>
    <w:rsid w:val="786227C2"/>
    <w:rsid w:val="787A3C64"/>
    <w:rsid w:val="787D038F"/>
    <w:rsid w:val="787D3381"/>
    <w:rsid w:val="787E1A12"/>
    <w:rsid w:val="788F4999"/>
    <w:rsid w:val="78911338"/>
    <w:rsid w:val="78931961"/>
    <w:rsid w:val="78977D87"/>
    <w:rsid w:val="789816F7"/>
    <w:rsid w:val="78982825"/>
    <w:rsid w:val="78A43CB2"/>
    <w:rsid w:val="78AA158A"/>
    <w:rsid w:val="78AF2513"/>
    <w:rsid w:val="78B72487"/>
    <w:rsid w:val="78B84849"/>
    <w:rsid w:val="78C935D5"/>
    <w:rsid w:val="78CF4397"/>
    <w:rsid w:val="78CF6711"/>
    <w:rsid w:val="78E95D73"/>
    <w:rsid w:val="78EB035E"/>
    <w:rsid w:val="78EB4C09"/>
    <w:rsid w:val="78F30652"/>
    <w:rsid w:val="78F41CD4"/>
    <w:rsid w:val="78F42009"/>
    <w:rsid w:val="78F87A16"/>
    <w:rsid w:val="78FE4234"/>
    <w:rsid w:val="790F6B0E"/>
    <w:rsid w:val="79150986"/>
    <w:rsid w:val="79216FB6"/>
    <w:rsid w:val="79217D50"/>
    <w:rsid w:val="792720A9"/>
    <w:rsid w:val="792A272E"/>
    <w:rsid w:val="792E51E6"/>
    <w:rsid w:val="79353AF9"/>
    <w:rsid w:val="793C0847"/>
    <w:rsid w:val="793D7B1F"/>
    <w:rsid w:val="79450781"/>
    <w:rsid w:val="794A5D98"/>
    <w:rsid w:val="79584959"/>
    <w:rsid w:val="795F5CE7"/>
    <w:rsid w:val="79651FF0"/>
    <w:rsid w:val="796B468C"/>
    <w:rsid w:val="796E2BBA"/>
    <w:rsid w:val="797C15E5"/>
    <w:rsid w:val="797D43BF"/>
    <w:rsid w:val="797F1EE5"/>
    <w:rsid w:val="79852165"/>
    <w:rsid w:val="79872B48"/>
    <w:rsid w:val="799077BC"/>
    <w:rsid w:val="799D4E51"/>
    <w:rsid w:val="799E01BC"/>
    <w:rsid w:val="79AC25AE"/>
    <w:rsid w:val="79AC65A0"/>
    <w:rsid w:val="79AE6327"/>
    <w:rsid w:val="79B871A5"/>
    <w:rsid w:val="79B90F06"/>
    <w:rsid w:val="79C97604"/>
    <w:rsid w:val="79DE10AB"/>
    <w:rsid w:val="79E70B47"/>
    <w:rsid w:val="79F00D50"/>
    <w:rsid w:val="79FC7754"/>
    <w:rsid w:val="79FF3026"/>
    <w:rsid w:val="7A121913"/>
    <w:rsid w:val="7A133EC0"/>
    <w:rsid w:val="7A1940E8"/>
    <w:rsid w:val="7A1C7BE9"/>
    <w:rsid w:val="7A1E34AC"/>
    <w:rsid w:val="7A202934"/>
    <w:rsid w:val="7A28432B"/>
    <w:rsid w:val="7A290AAC"/>
    <w:rsid w:val="7A2937CC"/>
    <w:rsid w:val="7A293BFF"/>
    <w:rsid w:val="7A316DFD"/>
    <w:rsid w:val="7A320D06"/>
    <w:rsid w:val="7A3251AA"/>
    <w:rsid w:val="7A48677B"/>
    <w:rsid w:val="7A551BD0"/>
    <w:rsid w:val="7A5968A9"/>
    <w:rsid w:val="7A5E2F06"/>
    <w:rsid w:val="7A783659"/>
    <w:rsid w:val="7A7A423F"/>
    <w:rsid w:val="7A7A7221"/>
    <w:rsid w:val="7A7D1BEA"/>
    <w:rsid w:val="7A842B8A"/>
    <w:rsid w:val="7A8C48BA"/>
    <w:rsid w:val="7A965738"/>
    <w:rsid w:val="7A995C87"/>
    <w:rsid w:val="7AA20090"/>
    <w:rsid w:val="7AA634A2"/>
    <w:rsid w:val="7AA65250"/>
    <w:rsid w:val="7AA8721A"/>
    <w:rsid w:val="7AC44622"/>
    <w:rsid w:val="7AD40D4E"/>
    <w:rsid w:val="7AE244DA"/>
    <w:rsid w:val="7B016AEC"/>
    <w:rsid w:val="7B05641A"/>
    <w:rsid w:val="7B073F40"/>
    <w:rsid w:val="7B1B5C3E"/>
    <w:rsid w:val="7B29035B"/>
    <w:rsid w:val="7B312670"/>
    <w:rsid w:val="7B452CBB"/>
    <w:rsid w:val="7B464D66"/>
    <w:rsid w:val="7B553884"/>
    <w:rsid w:val="7B5B428C"/>
    <w:rsid w:val="7B7A0BB6"/>
    <w:rsid w:val="7B7A2964"/>
    <w:rsid w:val="7B7D3E7D"/>
    <w:rsid w:val="7B841A35"/>
    <w:rsid w:val="7B880E1A"/>
    <w:rsid w:val="7B9B283B"/>
    <w:rsid w:val="7BAD3D31"/>
    <w:rsid w:val="7BB340C8"/>
    <w:rsid w:val="7BC6581E"/>
    <w:rsid w:val="7BD44C21"/>
    <w:rsid w:val="7BD93A8B"/>
    <w:rsid w:val="7BDD2EF3"/>
    <w:rsid w:val="7C0B5CB2"/>
    <w:rsid w:val="7C134B67"/>
    <w:rsid w:val="7C136915"/>
    <w:rsid w:val="7C156B31"/>
    <w:rsid w:val="7C1873ED"/>
    <w:rsid w:val="7C1979A8"/>
    <w:rsid w:val="7C285818"/>
    <w:rsid w:val="7C2B0102"/>
    <w:rsid w:val="7C3A34D8"/>
    <w:rsid w:val="7C43544C"/>
    <w:rsid w:val="7C4B484E"/>
    <w:rsid w:val="7C5E4034"/>
    <w:rsid w:val="7C634B8F"/>
    <w:rsid w:val="7C6E01E7"/>
    <w:rsid w:val="7C833A9B"/>
    <w:rsid w:val="7C912350"/>
    <w:rsid w:val="7C964C41"/>
    <w:rsid w:val="7CA67789"/>
    <w:rsid w:val="7CB124D1"/>
    <w:rsid w:val="7CB571B7"/>
    <w:rsid w:val="7CBB3234"/>
    <w:rsid w:val="7CBD275B"/>
    <w:rsid w:val="7CC00DA2"/>
    <w:rsid w:val="7CC60BD2"/>
    <w:rsid w:val="7CD267D0"/>
    <w:rsid w:val="7CD808E6"/>
    <w:rsid w:val="7CE704CD"/>
    <w:rsid w:val="7CF22837"/>
    <w:rsid w:val="7CF46746"/>
    <w:rsid w:val="7CFF3AAE"/>
    <w:rsid w:val="7D110288"/>
    <w:rsid w:val="7D1E3EA3"/>
    <w:rsid w:val="7D250FF6"/>
    <w:rsid w:val="7D267421"/>
    <w:rsid w:val="7D2B0700"/>
    <w:rsid w:val="7D2F0FCC"/>
    <w:rsid w:val="7D31427A"/>
    <w:rsid w:val="7D3E5C13"/>
    <w:rsid w:val="7D407BDD"/>
    <w:rsid w:val="7D5E0064"/>
    <w:rsid w:val="7D755AD9"/>
    <w:rsid w:val="7D7629BD"/>
    <w:rsid w:val="7D7A4E9D"/>
    <w:rsid w:val="7D893333"/>
    <w:rsid w:val="7D8E26F7"/>
    <w:rsid w:val="7D9121E7"/>
    <w:rsid w:val="7D966739"/>
    <w:rsid w:val="7D9B3066"/>
    <w:rsid w:val="7D9F66B2"/>
    <w:rsid w:val="7DA43CC8"/>
    <w:rsid w:val="7DB3215D"/>
    <w:rsid w:val="7DC04A49"/>
    <w:rsid w:val="7DD6268B"/>
    <w:rsid w:val="7DDB16B4"/>
    <w:rsid w:val="7DE54554"/>
    <w:rsid w:val="7DEE3196"/>
    <w:rsid w:val="7DF26C24"/>
    <w:rsid w:val="7DF52776"/>
    <w:rsid w:val="7E064983"/>
    <w:rsid w:val="7E255A02"/>
    <w:rsid w:val="7E2766A8"/>
    <w:rsid w:val="7E2E1C7D"/>
    <w:rsid w:val="7E354BA9"/>
    <w:rsid w:val="7E377517"/>
    <w:rsid w:val="7E3E1D90"/>
    <w:rsid w:val="7E3F39F1"/>
    <w:rsid w:val="7E4E3D8C"/>
    <w:rsid w:val="7E551467"/>
    <w:rsid w:val="7E575CCE"/>
    <w:rsid w:val="7E5B593B"/>
    <w:rsid w:val="7E614A2E"/>
    <w:rsid w:val="7E61605D"/>
    <w:rsid w:val="7E7F4735"/>
    <w:rsid w:val="7E8829FB"/>
    <w:rsid w:val="7E8F662A"/>
    <w:rsid w:val="7E9A3CF9"/>
    <w:rsid w:val="7EA64C16"/>
    <w:rsid w:val="7EAB72D9"/>
    <w:rsid w:val="7EB048EF"/>
    <w:rsid w:val="7EC806B7"/>
    <w:rsid w:val="7EC860DC"/>
    <w:rsid w:val="7EC93B31"/>
    <w:rsid w:val="7ECA3B7D"/>
    <w:rsid w:val="7ED700CE"/>
    <w:rsid w:val="7EE50A3C"/>
    <w:rsid w:val="7EE54599"/>
    <w:rsid w:val="7EE5709A"/>
    <w:rsid w:val="7EF14FDD"/>
    <w:rsid w:val="7EF7251E"/>
    <w:rsid w:val="7EFE38AC"/>
    <w:rsid w:val="7EFE565A"/>
    <w:rsid w:val="7F037115"/>
    <w:rsid w:val="7F0B4A50"/>
    <w:rsid w:val="7F1F00BB"/>
    <w:rsid w:val="7F2A28F3"/>
    <w:rsid w:val="7F2C666B"/>
    <w:rsid w:val="7F2E442E"/>
    <w:rsid w:val="7F3161E6"/>
    <w:rsid w:val="7F3379FA"/>
    <w:rsid w:val="7F364DF4"/>
    <w:rsid w:val="7F402117"/>
    <w:rsid w:val="7F486550"/>
    <w:rsid w:val="7F4B5EAA"/>
    <w:rsid w:val="7F5E24FF"/>
    <w:rsid w:val="7F6A0F42"/>
    <w:rsid w:val="7F6C6A68"/>
    <w:rsid w:val="7F736048"/>
    <w:rsid w:val="7F743B6E"/>
    <w:rsid w:val="7F791185"/>
    <w:rsid w:val="7F8B4CEB"/>
    <w:rsid w:val="7F924928"/>
    <w:rsid w:val="7F945FBF"/>
    <w:rsid w:val="7F983D01"/>
    <w:rsid w:val="7F98785D"/>
    <w:rsid w:val="7F9D0021"/>
    <w:rsid w:val="7FA2692E"/>
    <w:rsid w:val="7FA6169F"/>
    <w:rsid w:val="7FA73F44"/>
    <w:rsid w:val="7FAD3176"/>
    <w:rsid w:val="7FAE0E2E"/>
    <w:rsid w:val="7FB0104A"/>
    <w:rsid w:val="7FB16E67"/>
    <w:rsid w:val="7FB17836"/>
    <w:rsid w:val="7FB87EFF"/>
    <w:rsid w:val="7FC00B62"/>
    <w:rsid w:val="7FC56178"/>
    <w:rsid w:val="7FC9210C"/>
    <w:rsid w:val="7FD06D8E"/>
    <w:rsid w:val="7FD239F8"/>
    <w:rsid w:val="7FD60385"/>
    <w:rsid w:val="7FD778F9"/>
    <w:rsid w:val="7FD8234F"/>
    <w:rsid w:val="7FE47617"/>
    <w:rsid w:val="7FE8609E"/>
    <w:rsid w:val="7FEB563D"/>
    <w:rsid w:val="7FF60BF9"/>
    <w:rsid w:val="7FF647AC"/>
    <w:rsid w:val="7FF802FC"/>
    <w:rsid w:val="7FF8654D"/>
    <w:rsid w:val="7FFD1DB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qFormat="1" w:unhideWhenUsed="0" w:uiPriority="99" w:semiHidden="0" w:name="envelope return"/>
    <w:lsdException w:uiPriority="99" w:name="footnote reference"/>
    <w:lsdException w:uiPriority="99" w:name="annotation reference"/>
    <w:lsdException w:uiPriority="99" w:name="line number"/>
    <w:lsdException w:qFormat="1"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99"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qFormat="1" w:uiPriority="99" w:semiHidden="0" w:name="Salutation"/>
    <w:lsdException w:uiPriority="99" w:name="Date"/>
    <w:lsdException w:qFormat="1" w:unhideWhenUsed="0" w:uiPriority="99"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qFormat="1" w:unhideWhenUsed="0" w:uiPriority="99" w:semiHidden="0" w:name="Body Text Indent 2"/>
    <w:lsdException w:qFormat="1" w:uiPriority="99" w:semiHidden="0"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42"/>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43"/>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44"/>
    <w:autoRedefine/>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46"/>
    <w:autoRedefine/>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31">
    <w:name w:val="Default Paragraph Font"/>
    <w:autoRedefine/>
    <w:unhideWhenUsed/>
    <w:qFormat/>
    <w:uiPriority w:val="1"/>
  </w:style>
  <w:style w:type="table" w:default="1" w:styleId="29">
    <w:name w:val="Normal Table"/>
    <w:autoRedefine/>
    <w:unhideWhenUsed/>
    <w:qFormat/>
    <w:uiPriority w:val="99"/>
    <w:tblPr>
      <w:tblCellMar>
        <w:top w:w="0" w:type="dxa"/>
        <w:left w:w="108" w:type="dxa"/>
        <w:bottom w:w="0" w:type="dxa"/>
        <w:right w:w="108" w:type="dxa"/>
      </w:tblCellMar>
    </w:tblPr>
  </w:style>
  <w:style w:type="paragraph" w:styleId="6">
    <w:name w:val="Normal Indent"/>
    <w:basedOn w:val="1"/>
    <w:next w:val="5"/>
    <w:link w:val="45"/>
    <w:autoRedefine/>
    <w:qFormat/>
    <w:uiPriority w:val="0"/>
    <w:pPr>
      <w:ind w:firstLine="420"/>
    </w:pPr>
    <w:rPr>
      <w:rFonts w:ascii="Times New Roman" w:hAnsi="Times New Roman" w:eastAsia="宋体" w:cs="Times New Roman"/>
      <w:sz w:val="24"/>
      <w:szCs w:val="20"/>
    </w:rPr>
  </w:style>
  <w:style w:type="paragraph" w:styleId="7">
    <w:name w:val="annotation text"/>
    <w:basedOn w:val="1"/>
    <w:autoRedefine/>
    <w:semiHidden/>
    <w:unhideWhenUsed/>
    <w:qFormat/>
    <w:uiPriority w:val="99"/>
    <w:pPr>
      <w:jc w:val="left"/>
    </w:pPr>
  </w:style>
  <w:style w:type="paragraph" w:styleId="8">
    <w:name w:val="Salutation"/>
    <w:basedOn w:val="1"/>
    <w:next w:val="1"/>
    <w:autoRedefine/>
    <w:unhideWhenUsed/>
    <w:qFormat/>
    <w:uiPriority w:val="99"/>
  </w:style>
  <w:style w:type="paragraph" w:styleId="9">
    <w:name w:val="Body Text"/>
    <w:basedOn w:val="1"/>
    <w:next w:val="10"/>
    <w:autoRedefine/>
    <w:qFormat/>
    <w:uiPriority w:val="99"/>
    <w:pPr>
      <w:spacing w:after="120" w:afterLines="0"/>
    </w:pPr>
    <w:rPr>
      <w:rFonts w:ascii="宋体" w:hAnsi="宋体"/>
      <w:snapToGrid w:val="0"/>
      <w:kern w:val="0"/>
      <w:sz w:val="24"/>
    </w:rPr>
  </w:style>
  <w:style w:type="paragraph" w:customStyle="1" w:styleId="10">
    <w:name w:val="xl27"/>
    <w:basedOn w:val="1"/>
    <w:next w:val="1"/>
    <w:qFormat/>
    <w:uiPriority w:val="0"/>
    <w:pPr>
      <w:widowControl/>
      <w:spacing w:before="100" w:beforeAutospacing="1" w:after="100" w:afterAutospacing="1"/>
      <w:jc w:val="left"/>
    </w:pPr>
    <w:rPr>
      <w:color w:val="FF0000"/>
      <w:kern w:val="0"/>
      <w:sz w:val="24"/>
    </w:rPr>
  </w:style>
  <w:style w:type="paragraph" w:styleId="11">
    <w:name w:val="Body Text Indent"/>
    <w:basedOn w:val="1"/>
    <w:next w:val="12"/>
    <w:autoRedefine/>
    <w:unhideWhenUsed/>
    <w:qFormat/>
    <w:uiPriority w:val="99"/>
    <w:pPr>
      <w:spacing w:after="120"/>
      <w:ind w:left="420" w:leftChars="200"/>
    </w:pPr>
    <w:rPr>
      <w:szCs w:val="24"/>
    </w:rPr>
  </w:style>
  <w:style w:type="paragraph" w:styleId="12">
    <w:name w:val="Body Text Indent 2"/>
    <w:basedOn w:val="1"/>
    <w:next w:val="13"/>
    <w:autoRedefine/>
    <w:qFormat/>
    <w:uiPriority w:val="99"/>
    <w:pPr>
      <w:spacing w:after="120" w:line="480" w:lineRule="auto"/>
      <w:ind w:left="420" w:leftChars="200"/>
    </w:pPr>
    <w:rPr>
      <w:kern w:val="0"/>
      <w:sz w:val="24"/>
    </w:rPr>
  </w:style>
  <w:style w:type="paragraph" w:styleId="13">
    <w:name w:val="Body Text First Indent 2"/>
    <w:basedOn w:val="11"/>
    <w:next w:val="1"/>
    <w:autoRedefine/>
    <w:qFormat/>
    <w:uiPriority w:val="0"/>
    <w:pPr>
      <w:ind w:left="420" w:firstLine="420"/>
    </w:pPr>
    <w:rPr>
      <w:rFonts w:ascii="Garamond" w:hAnsi="Garamond"/>
    </w:rPr>
  </w:style>
  <w:style w:type="paragraph" w:styleId="14">
    <w:name w:val="toc 3"/>
    <w:basedOn w:val="1"/>
    <w:next w:val="1"/>
    <w:autoRedefine/>
    <w:unhideWhenUsed/>
    <w:qFormat/>
    <w:uiPriority w:val="39"/>
    <w:pPr>
      <w:ind w:left="840" w:leftChars="400"/>
    </w:pPr>
  </w:style>
  <w:style w:type="paragraph" w:styleId="15">
    <w:name w:val="Plain Text"/>
    <w:basedOn w:val="1"/>
    <w:next w:val="8"/>
    <w:autoRedefine/>
    <w:unhideWhenUsed/>
    <w:qFormat/>
    <w:uiPriority w:val="0"/>
    <w:rPr>
      <w:rFonts w:ascii="宋体" w:hAnsi="Courier New"/>
    </w:rPr>
  </w:style>
  <w:style w:type="paragraph" w:styleId="16">
    <w:name w:val="footer"/>
    <w:basedOn w:val="1"/>
    <w:link w:val="41"/>
    <w:autoRedefine/>
    <w:unhideWhenUsed/>
    <w:qFormat/>
    <w:uiPriority w:val="99"/>
    <w:pPr>
      <w:tabs>
        <w:tab w:val="center" w:pos="4153"/>
        <w:tab w:val="right" w:pos="8306"/>
      </w:tabs>
      <w:snapToGrid w:val="0"/>
      <w:jc w:val="left"/>
    </w:pPr>
    <w:rPr>
      <w:sz w:val="18"/>
      <w:szCs w:val="18"/>
    </w:rPr>
  </w:style>
  <w:style w:type="paragraph" w:styleId="17">
    <w:name w:val="envelope return"/>
    <w:basedOn w:val="1"/>
    <w:autoRedefine/>
    <w:qFormat/>
    <w:uiPriority w:val="99"/>
    <w:pPr>
      <w:snapToGrid w:val="0"/>
    </w:pPr>
    <w:rPr>
      <w:rFonts w:ascii="Arial" w:hAnsi="Arial"/>
    </w:rPr>
  </w:style>
  <w:style w:type="paragraph" w:styleId="18">
    <w:name w:val="header"/>
    <w:basedOn w:val="1"/>
    <w:next w:val="19"/>
    <w:link w:val="40"/>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customStyle="1" w:styleId="19">
    <w:name w:val="样式5"/>
    <w:basedOn w:val="20"/>
    <w:autoRedefine/>
    <w:qFormat/>
    <w:uiPriority w:val="0"/>
    <w:pPr>
      <w:spacing w:line="360" w:lineRule="auto"/>
      <w:ind w:firstLine="1040" w:firstLineChars="200"/>
      <w:jc w:val="both"/>
    </w:pPr>
    <w:rPr>
      <w:rFonts w:ascii="宋体" w:hAnsi="宋体"/>
    </w:rPr>
  </w:style>
  <w:style w:type="paragraph" w:customStyle="1" w:styleId="20">
    <w:name w:val="Default"/>
    <w:basedOn w:val="21"/>
    <w:next w:val="22"/>
    <w:autoRedefine/>
    <w:qFormat/>
    <w:uiPriority w:val="0"/>
    <w:pPr>
      <w:widowControl w:val="0"/>
      <w:autoSpaceDE w:val="0"/>
      <w:autoSpaceDN w:val="0"/>
      <w:adjustRightInd w:val="0"/>
    </w:pPr>
    <w:rPr>
      <w:rFonts w:ascii="宋体" w:hAnsi="Times New Roman" w:eastAsia="宋体" w:cs="Times New Roman"/>
      <w:color w:val="000000"/>
      <w:kern w:val="0"/>
      <w:sz w:val="24"/>
      <w:szCs w:val="20"/>
      <w:lang w:val="en-US" w:eastAsia="zh-CN" w:bidi="ar-SA"/>
    </w:rPr>
  </w:style>
  <w:style w:type="paragraph" w:customStyle="1" w:styleId="21">
    <w:name w:val="标题2"/>
    <w:basedOn w:val="1"/>
    <w:autoRedefine/>
    <w:qFormat/>
    <w:uiPriority w:val="99"/>
    <w:pPr>
      <w:spacing w:line="360" w:lineRule="auto"/>
      <w:ind w:firstLine="0" w:firstLineChars="0"/>
      <w:jc w:val="left"/>
    </w:pPr>
    <w:rPr>
      <w:rFonts w:ascii="Times New Roman" w:hAnsi="Times New Roman" w:eastAsia="宋体"/>
      <w:b/>
      <w:sz w:val="28"/>
    </w:rPr>
  </w:style>
  <w:style w:type="paragraph" w:customStyle="1" w:styleId="22">
    <w:name w:val="样式35"/>
    <w:basedOn w:val="23"/>
    <w:autoRedefine/>
    <w:qFormat/>
    <w:uiPriority w:val="0"/>
    <w:pPr>
      <w:adjustRightInd w:val="0"/>
      <w:spacing w:line="312" w:lineRule="auto"/>
      <w:ind w:firstLine="567"/>
    </w:pPr>
    <w:rPr>
      <w:rFonts w:ascii="宋体"/>
      <w:kern w:val="0"/>
      <w:sz w:val="28"/>
      <w:szCs w:val="20"/>
    </w:rPr>
  </w:style>
  <w:style w:type="paragraph" w:customStyle="1" w:styleId="23">
    <w:name w:val="表 内容"/>
    <w:basedOn w:val="1"/>
    <w:autoRedefine/>
    <w:qFormat/>
    <w:uiPriority w:val="0"/>
    <w:pPr>
      <w:spacing w:line="276" w:lineRule="auto"/>
      <w:jc w:val="center"/>
    </w:pPr>
    <w:rPr>
      <w:rFonts w:ascii="仿宋" w:hAnsi="仿宋" w:eastAsia="仿宋"/>
      <w:szCs w:val="24"/>
    </w:rPr>
  </w:style>
  <w:style w:type="paragraph" w:styleId="24">
    <w:name w:val="toc 1"/>
    <w:basedOn w:val="1"/>
    <w:next w:val="1"/>
    <w:autoRedefine/>
    <w:unhideWhenUsed/>
    <w:qFormat/>
    <w:uiPriority w:val="39"/>
  </w:style>
  <w:style w:type="paragraph" w:styleId="25">
    <w:name w:val="Body Text Indent 3"/>
    <w:basedOn w:val="1"/>
    <w:link w:val="61"/>
    <w:autoRedefine/>
    <w:unhideWhenUsed/>
    <w:qFormat/>
    <w:uiPriority w:val="99"/>
    <w:pPr>
      <w:spacing w:after="120"/>
      <w:ind w:left="420" w:leftChars="200" w:firstLine="200" w:firstLineChars="200"/>
    </w:pPr>
    <w:rPr>
      <w:rFonts w:ascii="Times New Roman" w:hAnsi="Times New Roman"/>
      <w:sz w:val="16"/>
      <w:szCs w:val="16"/>
    </w:rPr>
  </w:style>
  <w:style w:type="paragraph" w:styleId="26">
    <w:name w:val="toc 2"/>
    <w:basedOn w:val="1"/>
    <w:next w:val="1"/>
    <w:autoRedefine/>
    <w:unhideWhenUsed/>
    <w:qFormat/>
    <w:uiPriority w:val="39"/>
    <w:pPr>
      <w:ind w:left="420" w:leftChars="200"/>
    </w:pPr>
  </w:style>
  <w:style w:type="paragraph" w:styleId="27">
    <w:name w:val="Normal (Web)"/>
    <w:basedOn w:val="1"/>
    <w:autoRedefine/>
    <w:qFormat/>
    <w:uiPriority w:val="0"/>
    <w:pPr>
      <w:widowControl/>
      <w:spacing w:before="100" w:beforeAutospacing="1" w:after="100" w:afterAutospacing="1"/>
      <w:jc w:val="left"/>
    </w:pPr>
    <w:rPr>
      <w:rFonts w:ascii="宋体" w:hAnsi="宋体"/>
      <w:kern w:val="0"/>
      <w:sz w:val="24"/>
    </w:rPr>
  </w:style>
  <w:style w:type="paragraph" w:styleId="28">
    <w:name w:val="Body Text First Indent"/>
    <w:basedOn w:val="1"/>
    <w:autoRedefine/>
    <w:qFormat/>
    <w:uiPriority w:val="99"/>
    <w:pPr>
      <w:adjustRightInd w:val="0"/>
      <w:spacing w:line="360" w:lineRule="auto"/>
      <w:ind w:firstLine="200" w:firstLineChars="200"/>
      <w:textAlignment w:val="baseline"/>
    </w:pPr>
    <w:rPr>
      <w:kern w:val="0"/>
      <w:sz w:val="24"/>
    </w:rPr>
  </w:style>
  <w:style w:type="table" w:styleId="30">
    <w:name w:val="Table Grid"/>
    <w:basedOn w:val="29"/>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page number"/>
    <w:basedOn w:val="31"/>
    <w:autoRedefine/>
    <w:unhideWhenUsed/>
    <w:qFormat/>
    <w:uiPriority w:val="99"/>
  </w:style>
  <w:style w:type="character" w:styleId="33">
    <w:name w:val="Hyperlink"/>
    <w:basedOn w:val="31"/>
    <w:autoRedefine/>
    <w:unhideWhenUsed/>
    <w:qFormat/>
    <w:uiPriority w:val="99"/>
    <w:rPr>
      <w:color w:val="0000FF" w:themeColor="hyperlink"/>
      <w:u w:val="single"/>
      <w14:textFill>
        <w14:solidFill>
          <w14:schemeClr w14:val="hlink"/>
        </w14:solidFill>
      </w14:textFill>
    </w:rPr>
  </w:style>
  <w:style w:type="paragraph" w:customStyle="1" w:styleId="34">
    <w:name w:val="正文_15"/>
    <w:autoRedefine/>
    <w:qFormat/>
    <w:uiPriority w:val="0"/>
    <w:pPr>
      <w:widowControl w:val="0"/>
      <w:jc w:val="both"/>
    </w:pPr>
    <w:rPr>
      <w:rFonts w:ascii="Calibri" w:hAnsi="Calibri" w:eastAsia="宋体" w:cs="Times New Roman"/>
      <w:kern w:val="2"/>
      <w:sz w:val="21"/>
      <w:lang w:val="en-US" w:eastAsia="zh-CN" w:bidi="ar-SA"/>
    </w:rPr>
  </w:style>
  <w:style w:type="paragraph" w:customStyle="1" w:styleId="35">
    <w:name w:val="font6"/>
    <w:basedOn w:val="1"/>
    <w:next w:val="26"/>
    <w:autoRedefine/>
    <w:qFormat/>
    <w:uiPriority w:val="0"/>
    <w:pPr>
      <w:widowControl/>
      <w:spacing w:before="100" w:beforeAutospacing="1" w:after="100" w:afterAutospacing="1"/>
      <w:jc w:val="left"/>
    </w:pPr>
    <w:rPr>
      <w:kern w:val="0"/>
      <w:szCs w:val="21"/>
    </w:rPr>
  </w:style>
  <w:style w:type="paragraph" w:customStyle="1" w:styleId="36">
    <w:name w:val="11正文"/>
    <w:autoRedefine/>
    <w:qFormat/>
    <w:uiPriority w:val="0"/>
    <w:pPr>
      <w:spacing w:line="360" w:lineRule="auto"/>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37">
    <w:name w:val="表格"/>
    <w:basedOn w:val="6"/>
    <w:next w:val="1"/>
    <w:autoRedefine/>
    <w:qFormat/>
    <w:uiPriority w:val="0"/>
    <w:pPr>
      <w:adjustRightInd w:val="0"/>
      <w:snapToGrid w:val="0"/>
      <w:spacing w:beforeLines="10" w:afterLines="10" w:line="259" w:lineRule="auto"/>
      <w:jc w:val="center"/>
    </w:pPr>
    <w:rPr>
      <w:rFonts w:ascii="宋体"/>
      <w:kern w:val="0"/>
      <w:sz w:val="20"/>
      <w:szCs w:val="21"/>
    </w:rPr>
  </w:style>
  <w:style w:type="paragraph" w:customStyle="1" w:styleId="38">
    <w:name w:val="标号正文"/>
    <w:basedOn w:val="1"/>
    <w:next w:val="1"/>
    <w:autoRedefine/>
    <w:qFormat/>
    <w:uiPriority w:val="99"/>
    <w:pPr>
      <w:tabs>
        <w:tab w:val="left" w:pos="1540"/>
      </w:tabs>
      <w:overflowPunct w:val="0"/>
      <w:snapToGrid w:val="0"/>
      <w:spacing w:line="360" w:lineRule="auto"/>
      <w:ind w:firstLine="1040"/>
      <w:jc w:val="left"/>
    </w:pPr>
    <w:rPr>
      <w:rFonts w:ascii="Arial" w:hAnsi="Arial"/>
      <w:sz w:val="24"/>
      <w:szCs w:val="20"/>
    </w:rPr>
  </w:style>
  <w:style w:type="paragraph" w:customStyle="1" w:styleId="39">
    <w:name w:val="文本"/>
    <w:basedOn w:val="1"/>
    <w:next w:val="1"/>
    <w:autoRedefine/>
    <w:qFormat/>
    <w:uiPriority w:val="0"/>
    <w:pPr>
      <w:autoSpaceDE w:val="0"/>
      <w:autoSpaceDN w:val="0"/>
      <w:ind w:firstLine="480"/>
    </w:pPr>
    <w:rPr>
      <w:rFonts w:cs="Times New Roman"/>
      <w:szCs w:val="24"/>
      <w:lang w:val="zh-CN"/>
    </w:rPr>
  </w:style>
  <w:style w:type="character" w:customStyle="1" w:styleId="40">
    <w:name w:val="页眉 字符"/>
    <w:basedOn w:val="31"/>
    <w:link w:val="18"/>
    <w:autoRedefine/>
    <w:qFormat/>
    <w:uiPriority w:val="99"/>
    <w:rPr>
      <w:sz w:val="18"/>
      <w:szCs w:val="18"/>
    </w:rPr>
  </w:style>
  <w:style w:type="character" w:customStyle="1" w:styleId="41">
    <w:name w:val="页脚 字符"/>
    <w:basedOn w:val="31"/>
    <w:link w:val="16"/>
    <w:autoRedefine/>
    <w:qFormat/>
    <w:uiPriority w:val="99"/>
    <w:rPr>
      <w:sz w:val="18"/>
      <w:szCs w:val="18"/>
    </w:rPr>
  </w:style>
  <w:style w:type="character" w:customStyle="1" w:styleId="42">
    <w:name w:val="标题 1 字符"/>
    <w:basedOn w:val="31"/>
    <w:link w:val="2"/>
    <w:autoRedefine/>
    <w:qFormat/>
    <w:uiPriority w:val="9"/>
    <w:rPr>
      <w:b/>
      <w:bCs/>
      <w:kern w:val="44"/>
      <w:sz w:val="44"/>
      <w:szCs w:val="44"/>
    </w:rPr>
  </w:style>
  <w:style w:type="character" w:customStyle="1" w:styleId="43">
    <w:name w:val="标题 2 字符"/>
    <w:basedOn w:val="31"/>
    <w:link w:val="3"/>
    <w:autoRedefine/>
    <w:qFormat/>
    <w:uiPriority w:val="9"/>
    <w:rPr>
      <w:rFonts w:asciiTheme="majorHAnsi" w:hAnsiTheme="majorHAnsi" w:eastAsiaTheme="majorEastAsia" w:cstheme="majorBidi"/>
      <w:b/>
      <w:bCs/>
      <w:sz w:val="32"/>
      <w:szCs w:val="32"/>
    </w:rPr>
  </w:style>
  <w:style w:type="character" w:customStyle="1" w:styleId="44">
    <w:name w:val="标题 3 字符"/>
    <w:basedOn w:val="31"/>
    <w:link w:val="4"/>
    <w:autoRedefine/>
    <w:qFormat/>
    <w:uiPriority w:val="9"/>
    <w:rPr>
      <w:b/>
      <w:bCs/>
      <w:sz w:val="32"/>
      <w:szCs w:val="32"/>
    </w:rPr>
  </w:style>
  <w:style w:type="character" w:customStyle="1" w:styleId="45">
    <w:name w:val="正文缩进 字符"/>
    <w:link w:val="6"/>
    <w:autoRedefine/>
    <w:qFormat/>
    <w:uiPriority w:val="0"/>
    <w:rPr>
      <w:rFonts w:ascii="Times New Roman" w:hAnsi="Times New Roman" w:eastAsia="宋体" w:cs="Times New Roman"/>
      <w:sz w:val="24"/>
      <w:szCs w:val="20"/>
    </w:rPr>
  </w:style>
  <w:style w:type="character" w:customStyle="1" w:styleId="46">
    <w:name w:val="标题 4 字符"/>
    <w:basedOn w:val="31"/>
    <w:link w:val="5"/>
    <w:autoRedefine/>
    <w:qFormat/>
    <w:uiPriority w:val="9"/>
    <w:rPr>
      <w:rFonts w:asciiTheme="majorHAnsi" w:hAnsiTheme="majorHAnsi" w:eastAsiaTheme="majorEastAsia" w:cstheme="majorBidi"/>
      <w:b/>
      <w:bCs/>
      <w:sz w:val="28"/>
      <w:szCs w:val="28"/>
    </w:rPr>
  </w:style>
  <w:style w:type="paragraph" w:customStyle="1" w:styleId="47">
    <w:name w:val="0-六安-1级标题"/>
    <w:basedOn w:val="48"/>
    <w:autoRedefine/>
    <w:qFormat/>
    <w:uiPriority w:val="0"/>
    <w:pPr>
      <w:pageBreakBefore/>
      <w:numPr>
        <w:ilvl w:val="0"/>
        <w:numId w:val="1"/>
      </w:numPr>
      <w:tabs>
        <w:tab w:val="left" w:pos="360"/>
      </w:tabs>
      <w:autoSpaceDE w:val="0"/>
      <w:autoSpaceDN w:val="0"/>
      <w:adjustRightInd w:val="0"/>
      <w:snapToGrid w:val="0"/>
      <w:spacing w:before="312" w:beforeLines="100" w:after="312" w:afterLines="100" w:line="360" w:lineRule="auto"/>
      <w:ind w:left="0" w:firstLine="0" w:firstLineChars="0"/>
      <w:jc w:val="center"/>
      <w:outlineLvl w:val="0"/>
    </w:pPr>
    <w:rPr>
      <w:rFonts w:ascii="Times New Roman" w:hAnsi="Times New Roman" w:eastAsia="宋体" w:cs="Times New Roman"/>
      <w:b/>
      <w:kern w:val="0"/>
      <w:sz w:val="32"/>
      <w:szCs w:val="30"/>
    </w:rPr>
  </w:style>
  <w:style w:type="paragraph" w:customStyle="1" w:styleId="48">
    <w:name w:val="List Paragraph"/>
    <w:basedOn w:val="1"/>
    <w:autoRedefine/>
    <w:qFormat/>
    <w:uiPriority w:val="34"/>
    <w:pPr>
      <w:ind w:firstLine="420" w:firstLineChars="200"/>
    </w:pPr>
  </w:style>
  <w:style w:type="paragraph" w:customStyle="1" w:styleId="49">
    <w:name w:val="0-六安-2级标题"/>
    <w:basedOn w:val="50"/>
    <w:link w:val="62"/>
    <w:autoRedefine/>
    <w:qFormat/>
    <w:uiPriority w:val="0"/>
    <w:pPr>
      <w:numPr>
        <w:ilvl w:val="1"/>
        <w:numId w:val="1"/>
      </w:numPr>
      <w:autoSpaceDE w:val="0"/>
      <w:autoSpaceDN w:val="0"/>
      <w:adjustRightInd w:val="0"/>
      <w:snapToGrid w:val="0"/>
      <w:spacing w:before="100" w:beforeLines="100" w:after="100" w:afterLines="100" w:line="360" w:lineRule="auto"/>
      <w:ind w:firstLineChars="0"/>
      <w:jc w:val="left"/>
      <w:outlineLvl w:val="1"/>
    </w:pPr>
    <w:rPr>
      <w:rFonts w:ascii="Times New Roman" w:hAnsi="Times New Roman" w:eastAsia="宋体" w:cs="Times New Roman"/>
      <w:b/>
      <w:kern w:val="0"/>
      <w:sz w:val="28"/>
      <w:szCs w:val="28"/>
    </w:rPr>
  </w:style>
  <w:style w:type="paragraph" w:customStyle="1" w:styleId="50">
    <w:name w:val="_Style 3"/>
    <w:basedOn w:val="1"/>
    <w:autoRedefine/>
    <w:qFormat/>
    <w:uiPriority w:val="34"/>
    <w:pPr>
      <w:ind w:firstLine="420" w:firstLineChars="200"/>
    </w:pPr>
  </w:style>
  <w:style w:type="paragraph" w:customStyle="1" w:styleId="51">
    <w:name w:val="0-六安-3级标题"/>
    <w:basedOn w:val="49"/>
    <w:link w:val="53"/>
    <w:autoRedefine/>
    <w:qFormat/>
    <w:uiPriority w:val="0"/>
    <w:pPr>
      <w:numPr>
        <w:ilvl w:val="2"/>
      </w:numPr>
      <w:spacing w:before="156" w:beforeLines="50" w:after="0" w:afterLines="0"/>
      <w:outlineLvl w:val="2"/>
    </w:pPr>
    <w:rPr>
      <w:b w:val="0"/>
    </w:rPr>
  </w:style>
  <w:style w:type="paragraph" w:customStyle="1" w:styleId="52">
    <w:name w:val="0-六安-4级标题"/>
    <w:basedOn w:val="48"/>
    <w:link w:val="60"/>
    <w:autoRedefine/>
    <w:qFormat/>
    <w:uiPriority w:val="0"/>
    <w:pPr>
      <w:numPr>
        <w:ilvl w:val="3"/>
        <w:numId w:val="1"/>
      </w:numPr>
      <w:tabs>
        <w:tab w:val="left" w:pos="360"/>
      </w:tabs>
      <w:autoSpaceDE w:val="0"/>
      <w:autoSpaceDN w:val="0"/>
      <w:adjustRightInd w:val="0"/>
      <w:snapToGrid w:val="0"/>
      <w:spacing w:before="50" w:beforeLines="50" w:after="50" w:afterLines="50" w:line="360" w:lineRule="auto"/>
      <w:ind w:left="0" w:firstLine="0" w:firstLineChars="0"/>
      <w:jc w:val="left"/>
      <w:outlineLvl w:val="3"/>
    </w:pPr>
    <w:rPr>
      <w:rFonts w:ascii="Times New Roman" w:hAnsi="Times New Roman" w:eastAsia="宋体" w:cs="Times New Roman"/>
      <w:kern w:val="0"/>
      <w:sz w:val="28"/>
      <w:szCs w:val="28"/>
    </w:rPr>
  </w:style>
  <w:style w:type="character" w:customStyle="1" w:styleId="53">
    <w:name w:val="0-六安-3级标题 Char"/>
    <w:link w:val="51"/>
    <w:autoRedefine/>
    <w:qFormat/>
    <w:uiPriority w:val="0"/>
    <w:rPr>
      <w:rFonts w:ascii="Times New Roman" w:hAnsi="Times New Roman" w:eastAsia="宋体" w:cs="Times New Roman"/>
      <w:kern w:val="0"/>
      <w:sz w:val="28"/>
      <w:szCs w:val="28"/>
    </w:rPr>
  </w:style>
  <w:style w:type="paragraph" w:customStyle="1" w:styleId="54">
    <w:name w:val="0-六安-正文"/>
    <w:basedOn w:val="1"/>
    <w:link w:val="55"/>
    <w:autoRedefine/>
    <w:qFormat/>
    <w:uiPriority w:val="0"/>
    <w:pPr>
      <w:adjustRightInd w:val="0"/>
      <w:snapToGrid w:val="0"/>
      <w:spacing w:line="360" w:lineRule="auto"/>
      <w:ind w:firstLine="560" w:firstLineChars="200"/>
    </w:pPr>
    <w:rPr>
      <w:rFonts w:ascii="Times New Roman" w:hAnsi="Times New Roman" w:eastAsia="宋体" w:cs="Times New Roman"/>
      <w:sz w:val="28"/>
    </w:rPr>
  </w:style>
  <w:style w:type="character" w:customStyle="1" w:styleId="55">
    <w:name w:val="0-六安-正文 Char"/>
    <w:link w:val="54"/>
    <w:autoRedefine/>
    <w:qFormat/>
    <w:uiPriority w:val="0"/>
    <w:rPr>
      <w:rFonts w:ascii="Times New Roman" w:hAnsi="Times New Roman" w:eastAsia="宋体" w:cs="Times New Roman"/>
      <w:sz w:val="28"/>
    </w:rPr>
  </w:style>
  <w:style w:type="paragraph" w:customStyle="1" w:styleId="56">
    <w:name w:val="0-六安-表格式"/>
    <w:basedOn w:val="1"/>
    <w:link w:val="57"/>
    <w:autoRedefine/>
    <w:qFormat/>
    <w:uiPriority w:val="0"/>
    <w:pPr>
      <w:adjustRightInd w:val="0"/>
      <w:snapToGrid w:val="0"/>
      <w:spacing w:before="156" w:beforeLines="50" w:after="156" w:afterLines="50"/>
      <w:jc w:val="center"/>
    </w:pPr>
    <w:rPr>
      <w:rFonts w:ascii="Times New Roman" w:hAnsi="Times New Roman" w:eastAsia="黑体" w:cs="Times New Roman"/>
      <w:kern w:val="0"/>
      <w:sz w:val="24"/>
      <w:szCs w:val="24"/>
    </w:rPr>
  </w:style>
  <w:style w:type="character" w:customStyle="1" w:styleId="57">
    <w:name w:val="0-六安-表格式 Char"/>
    <w:link w:val="56"/>
    <w:autoRedefine/>
    <w:qFormat/>
    <w:uiPriority w:val="0"/>
    <w:rPr>
      <w:rFonts w:ascii="Times New Roman" w:hAnsi="Times New Roman" w:eastAsia="黑体" w:cs="Times New Roman"/>
      <w:kern w:val="0"/>
      <w:sz w:val="24"/>
      <w:szCs w:val="24"/>
    </w:rPr>
  </w:style>
  <w:style w:type="paragraph" w:customStyle="1" w:styleId="58">
    <w:name w:val="0-六安-图格式"/>
    <w:basedOn w:val="1"/>
    <w:link w:val="59"/>
    <w:autoRedefine/>
    <w:qFormat/>
    <w:uiPriority w:val="0"/>
    <w:pPr>
      <w:adjustRightInd w:val="0"/>
      <w:snapToGrid w:val="0"/>
      <w:spacing w:line="360" w:lineRule="auto"/>
      <w:ind w:firstLine="480" w:firstLineChars="200"/>
      <w:jc w:val="center"/>
    </w:pPr>
    <w:rPr>
      <w:rFonts w:ascii="Times New Roman" w:hAnsi="Times New Roman" w:eastAsia="黑体" w:cs="Times New Roman"/>
      <w:sz w:val="24"/>
      <w:szCs w:val="28"/>
    </w:rPr>
  </w:style>
  <w:style w:type="character" w:customStyle="1" w:styleId="59">
    <w:name w:val="0-六安-图格式 Char"/>
    <w:basedOn w:val="31"/>
    <w:link w:val="58"/>
    <w:autoRedefine/>
    <w:qFormat/>
    <w:uiPriority w:val="0"/>
    <w:rPr>
      <w:rFonts w:ascii="Times New Roman" w:hAnsi="Times New Roman" w:eastAsia="黑体" w:cs="Times New Roman"/>
      <w:sz w:val="24"/>
      <w:szCs w:val="28"/>
    </w:rPr>
  </w:style>
  <w:style w:type="character" w:customStyle="1" w:styleId="60">
    <w:name w:val="0-六安-4级标题 Char"/>
    <w:basedOn w:val="31"/>
    <w:link w:val="52"/>
    <w:autoRedefine/>
    <w:qFormat/>
    <w:uiPriority w:val="0"/>
    <w:rPr>
      <w:rFonts w:ascii="Times New Roman" w:hAnsi="Times New Roman" w:eastAsia="宋体" w:cs="Times New Roman"/>
      <w:kern w:val="0"/>
      <w:sz w:val="28"/>
      <w:szCs w:val="28"/>
    </w:rPr>
  </w:style>
  <w:style w:type="character" w:customStyle="1" w:styleId="61">
    <w:name w:val="正文文本缩进 3 字符"/>
    <w:basedOn w:val="31"/>
    <w:link w:val="25"/>
    <w:autoRedefine/>
    <w:qFormat/>
    <w:uiPriority w:val="99"/>
    <w:rPr>
      <w:rFonts w:ascii="Times New Roman" w:hAnsi="Times New Roman"/>
      <w:sz w:val="16"/>
      <w:szCs w:val="16"/>
    </w:rPr>
  </w:style>
  <w:style w:type="character" w:customStyle="1" w:styleId="62">
    <w:name w:val="0-六安-2级标题 Char"/>
    <w:basedOn w:val="31"/>
    <w:link w:val="49"/>
    <w:autoRedefine/>
    <w:qFormat/>
    <w:uiPriority w:val="0"/>
    <w:rPr>
      <w:rFonts w:ascii="Times New Roman" w:hAnsi="Times New Roman" w:eastAsia="宋体" w:cs="Times New Roman"/>
      <w:b/>
      <w:kern w:val="0"/>
      <w:sz w:val="28"/>
      <w:szCs w:val="28"/>
    </w:rPr>
  </w:style>
  <w:style w:type="paragraph" w:customStyle="1" w:styleId="63">
    <w:name w:val="TOC Heading"/>
    <w:basedOn w:val="2"/>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376092" w:themeColor="accent1" w:themeShade="BF"/>
      <w:kern w:val="0"/>
      <w:sz w:val="32"/>
      <w:szCs w:val="32"/>
    </w:rPr>
  </w:style>
  <w:style w:type="character" w:customStyle="1" w:styleId="64">
    <w:name w:val="Placeholder Text"/>
    <w:basedOn w:val="31"/>
    <w:autoRedefine/>
    <w:semiHidden/>
    <w:qFormat/>
    <w:uiPriority w:val="99"/>
    <w:rPr>
      <w:color w:val="808080"/>
    </w:rPr>
  </w:style>
  <w:style w:type="paragraph" w:customStyle="1" w:styleId="65">
    <w:name w:val="4二级标题"/>
    <w:basedOn w:val="66"/>
    <w:autoRedefine/>
    <w:qFormat/>
    <w:uiPriority w:val="0"/>
    <w:pPr>
      <w:jc w:val="left"/>
      <w:outlineLvl w:val="1"/>
    </w:pPr>
    <w:rPr>
      <w:sz w:val="28"/>
    </w:rPr>
  </w:style>
  <w:style w:type="paragraph" w:customStyle="1" w:styleId="66">
    <w:name w:val="4 一级标题"/>
    <w:basedOn w:val="1"/>
    <w:autoRedefine/>
    <w:qFormat/>
    <w:uiPriority w:val="0"/>
    <w:pPr>
      <w:spacing w:line="360" w:lineRule="auto"/>
      <w:jc w:val="center"/>
      <w:outlineLvl w:val="0"/>
    </w:pPr>
    <w:rPr>
      <w:rFonts w:eastAsia="黑体" w:cs="Calibri"/>
      <w:kern w:val="0"/>
      <w:sz w:val="36"/>
      <w:szCs w:val="21"/>
    </w:rPr>
  </w:style>
  <w:style w:type="paragraph" w:customStyle="1" w:styleId="67">
    <w:name w:val="4表头、图头格式"/>
    <w:basedOn w:val="68"/>
    <w:autoRedefine/>
    <w:qFormat/>
    <w:uiPriority w:val="0"/>
    <w:rPr>
      <w:b/>
    </w:rPr>
  </w:style>
  <w:style w:type="paragraph" w:customStyle="1" w:styleId="68">
    <w:name w:val="4表格内正文"/>
    <w:basedOn w:val="69"/>
    <w:autoRedefine/>
    <w:qFormat/>
    <w:uiPriority w:val="0"/>
    <w:pPr>
      <w:spacing w:line="240" w:lineRule="auto"/>
      <w:ind w:firstLine="0" w:firstLineChars="0"/>
      <w:jc w:val="center"/>
    </w:pPr>
    <w:rPr>
      <w:sz w:val="21"/>
    </w:rPr>
  </w:style>
  <w:style w:type="paragraph" w:customStyle="1" w:styleId="69">
    <w:name w:val="4正文格式"/>
    <w:basedOn w:val="1"/>
    <w:autoRedefine/>
    <w:qFormat/>
    <w:uiPriority w:val="0"/>
    <w:pPr>
      <w:spacing w:line="360" w:lineRule="auto"/>
      <w:ind w:firstLine="200" w:firstLineChars="200"/>
      <w:jc w:val="left"/>
    </w:pPr>
    <w:rPr>
      <w:rFonts w:cs="Calibri"/>
      <w:kern w:val="0"/>
      <w:sz w:val="24"/>
      <w:szCs w:val="21"/>
    </w:rPr>
  </w:style>
  <w:style w:type="paragraph" w:customStyle="1" w:styleId="70">
    <w:name w:val="表格内正文"/>
    <w:basedOn w:val="68"/>
    <w:autoRedefine/>
    <w:qFormat/>
    <w:uiPriority w:val="0"/>
    <w:pPr>
      <w:spacing w:line="360" w:lineRule="auto"/>
      <w:ind w:firstLine="200" w:firstLineChars="200"/>
      <w:jc w:val="left"/>
    </w:pPr>
  </w:style>
  <w:style w:type="paragraph" w:customStyle="1" w:styleId="71">
    <w:name w:val="4正文"/>
    <w:basedOn w:val="1"/>
    <w:autoRedefine/>
    <w:qFormat/>
    <w:uiPriority w:val="0"/>
    <w:pPr>
      <w:wordWrap w:val="0"/>
      <w:spacing w:line="360" w:lineRule="auto"/>
      <w:ind w:firstLine="200" w:firstLineChars="200"/>
      <w:jc w:val="left"/>
    </w:pPr>
    <w:rPr>
      <w:sz w:val="24"/>
    </w:rPr>
  </w:style>
  <w:style w:type="character" w:customStyle="1" w:styleId="72">
    <w:name w:val="font01"/>
    <w:basedOn w:val="31"/>
    <w:autoRedefine/>
    <w:qFormat/>
    <w:uiPriority w:val="0"/>
    <w:rPr>
      <w:rFonts w:hint="eastAsia" w:ascii="宋体" w:hAnsi="宋体" w:eastAsia="宋体" w:cs="宋体"/>
      <w:color w:val="000000"/>
      <w:sz w:val="22"/>
      <w:szCs w:val="22"/>
      <w:u w:val="none"/>
    </w:rPr>
  </w:style>
  <w:style w:type="paragraph" w:customStyle="1" w:styleId="73">
    <w:name w:val="表格文字"/>
    <w:basedOn w:val="9"/>
    <w:next w:val="1"/>
    <w:autoRedefine/>
    <w:qFormat/>
    <w:uiPriority w:val="0"/>
    <w:pPr>
      <w:widowControl w:val="0"/>
      <w:autoSpaceDE w:val="0"/>
      <w:autoSpaceDN w:val="0"/>
      <w:adjustRightInd w:val="0"/>
      <w:snapToGrid/>
      <w:spacing w:before="0" w:after="200" w:line="276" w:lineRule="auto"/>
      <w:ind w:right="0" w:firstLine="723" w:firstLineChars="200"/>
    </w:pPr>
    <w:rPr>
      <w:rFonts w:ascii="宋体" w:hAnsi="Calibri"/>
      <w:color w:val="000000"/>
      <w:sz w:val="24"/>
      <w:szCs w:val="22"/>
    </w:rPr>
  </w:style>
  <w:style w:type="paragraph" w:customStyle="1" w:styleId="74">
    <w:name w:val="正文字体"/>
    <w:basedOn w:val="1"/>
    <w:autoRedefine/>
    <w:qFormat/>
    <w:uiPriority w:val="0"/>
    <w:pPr>
      <w:spacing w:line="360" w:lineRule="auto"/>
      <w:ind w:firstLine="480" w:firstLineChars="200"/>
    </w:pPr>
    <w:rPr>
      <w:rFonts w:cs="宋体"/>
      <w:sz w:val="24"/>
      <w:szCs w:val="20"/>
    </w:rPr>
  </w:style>
  <w:style w:type="table" w:customStyle="1" w:styleId="75">
    <w:name w:val="Table Normal"/>
    <w:autoRedefine/>
    <w:unhideWhenUsed/>
    <w:qFormat/>
    <w:uiPriority w:val="0"/>
    <w:tblPr>
      <w:tblCellMar>
        <w:top w:w="0" w:type="dxa"/>
        <w:left w:w="0" w:type="dxa"/>
        <w:bottom w:w="0" w:type="dxa"/>
        <w:right w:w="0" w:type="dxa"/>
      </w:tblCellMar>
    </w:tblPr>
  </w:style>
  <w:style w:type="character" w:customStyle="1" w:styleId="76">
    <w:name w:val="aa院正文 Char"/>
    <w:link w:val="77"/>
    <w:autoRedefine/>
    <w:qFormat/>
    <w:uiPriority w:val="0"/>
    <w:rPr>
      <w:rFonts w:hAnsi="宋体"/>
      <w:sz w:val="28"/>
      <w:szCs w:val="28"/>
    </w:rPr>
  </w:style>
  <w:style w:type="paragraph" w:customStyle="1" w:styleId="77">
    <w:name w:val="aa院正文"/>
    <w:basedOn w:val="1"/>
    <w:link w:val="76"/>
    <w:autoRedefine/>
    <w:qFormat/>
    <w:uiPriority w:val="0"/>
    <w:pPr>
      <w:widowControl/>
      <w:spacing w:line="500" w:lineRule="exact"/>
      <w:ind w:firstLine="200" w:firstLineChars="200"/>
    </w:pPr>
    <w:rPr>
      <w:rFonts w:hAnsi="宋体"/>
      <w:sz w:val="28"/>
      <w:szCs w:val="28"/>
    </w:rPr>
  </w:style>
  <w:style w:type="paragraph" w:customStyle="1" w:styleId="78">
    <w:name w:val="列出段落1"/>
    <w:basedOn w:val="1"/>
    <w:autoRedefine/>
    <w:qFormat/>
    <w:uiPriority w:val="0"/>
    <w:pPr>
      <w:adjustRightInd w:val="0"/>
      <w:spacing w:line="360" w:lineRule="atLeast"/>
      <w:ind w:firstLine="420" w:firstLineChars="200"/>
      <w:jc w:val="left"/>
      <w:textAlignment w:val="baseline"/>
    </w:pPr>
    <w:rPr>
      <w:kern w:val="0"/>
      <w:sz w:val="24"/>
      <w:szCs w:val="20"/>
    </w:rPr>
  </w:style>
  <w:style w:type="paragraph" w:customStyle="1" w:styleId="79">
    <w:name w:val="报告正文"/>
    <w:basedOn w:val="1"/>
    <w:autoRedefine/>
    <w:qFormat/>
    <w:uiPriority w:val="0"/>
    <w:pPr>
      <w:spacing w:before="50" w:beforeLines="0" w:line="360" w:lineRule="auto"/>
      <w:ind w:firstLine="540"/>
    </w:pPr>
    <w:rPr>
      <w:kern w:val="2"/>
      <w:sz w:val="24"/>
      <w:szCs w:val="24"/>
    </w:rPr>
  </w:style>
  <w:style w:type="paragraph" w:customStyle="1" w:styleId="80">
    <w:name w:val="11正文-书"/>
    <w:autoRedefine/>
    <w:qFormat/>
    <w:uiPriority w:val="0"/>
    <w:pPr>
      <w:spacing w:line="360" w:lineRule="auto"/>
      <w:ind w:firstLine="200" w:firstLineChars="200"/>
      <w:jc w:val="both"/>
    </w:pPr>
    <w:rPr>
      <w:rFonts w:ascii="Calibri" w:hAnsi="Calibri" w:eastAsia="宋体" w:cs="Times New Roman"/>
      <w:sz w:val="24"/>
      <w:szCs w:val="24"/>
      <w:lang w:val="en-US" w:eastAsia="zh-CN" w:bidi="ar-SA"/>
    </w:rPr>
  </w:style>
  <w:style w:type="character" w:customStyle="1" w:styleId="81">
    <w:name w:val="ask-title"/>
    <w:basedOn w:val="31"/>
    <w:autoRedefine/>
    <w:qFormat/>
    <w:uiPriority w:val="0"/>
    <w:rPr>
      <w:rFonts w:ascii="Times New Roman" w:hAnsi="Times New Roman" w:eastAsia="宋体"/>
      <w:sz w:val="21"/>
    </w:rPr>
  </w:style>
  <w:style w:type="paragraph" w:customStyle="1" w:styleId="82">
    <w:name w:val="表格标题（新）"/>
    <w:basedOn w:val="1"/>
    <w:autoRedefine/>
    <w:qFormat/>
    <w:uiPriority w:val="0"/>
    <w:pPr>
      <w:widowControl/>
      <w:spacing w:line="360" w:lineRule="auto"/>
      <w:jc w:val="center"/>
    </w:pPr>
    <w:rPr>
      <w:b/>
      <w:bCs/>
      <w:szCs w:val="21"/>
    </w:rPr>
  </w:style>
  <w:style w:type="paragraph" w:customStyle="1" w:styleId="83">
    <w:name w:val="！正文"/>
    <w:basedOn w:val="1"/>
    <w:autoRedefine/>
    <w:qFormat/>
    <w:uiPriority w:val="99"/>
    <w:pPr>
      <w:spacing w:line="360" w:lineRule="auto"/>
      <w:ind w:firstLine="480" w:firstLineChars="200"/>
    </w:pPr>
    <w:rPr>
      <w:rFonts w:cs="宋体"/>
      <w:sz w:val="24"/>
      <w:szCs w:val="20"/>
    </w:rPr>
  </w:style>
  <w:style w:type="paragraph" w:customStyle="1" w:styleId="84">
    <w:name w:val="样式 正文首行缩进 + 首行缩进:  1 字符"/>
    <w:basedOn w:val="28"/>
    <w:autoRedefine/>
    <w:qFormat/>
    <w:uiPriority w:val="99"/>
    <w:pPr>
      <w:ind w:firstLine="100"/>
    </w:pPr>
    <w:rPr>
      <w:rFonts w:cs="宋体"/>
      <w:szCs w:val="20"/>
    </w:rPr>
  </w:style>
  <w:style w:type="paragraph" w:customStyle="1" w:styleId="85">
    <w:name w:val="+列表1"/>
    <w:basedOn w:val="1"/>
    <w:autoRedefine/>
    <w:qFormat/>
    <w:uiPriority w:val="0"/>
    <w:pPr>
      <w:jc w:val="center"/>
    </w:pPr>
    <w:rPr>
      <w:sz w:val="24"/>
    </w:rPr>
  </w:style>
  <w:style w:type="paragraph" w:customStyle="1" w:styleId="86">
    <w:name w:val="样式 样式 左侧:  2 字符 + 左侧:  0.85 厘米 首行缩进:  2 字符1"/>
    <w:basedOn w:val="1"/>
    <w:autoRedefine/>
    <w:qFormat/>
    <w:uiPriority w:val="0"/>
    <w:pPr>
      <w:spacing w:line="360" w:lineRule="auto"/>
      <w:ind w:left="482" w:firstLine="200" w:firstLineChars="200"/>
    </w:pPr>
    <w:rPr>
      <w:rFonts w:ascii="Times New Roman" w:hAnsi="Times New Roman" w:eastAsia="宋体" w:cs="Times New Roman"/>
      <w:sz w:val="24"/>
      <w:szCs w:val="20"/>
    </w:rPr>
  </w:style>
  <w:style w:type="paragraph" w:customStyle="1" w:styleId="87">
    <w:name w:val="表格标题-书"/>
    <w:next w:val="88"/>
    <w:autoRedefine/>
    <w:qFormat/>
    <w:uiPriority w:val="0"/>
    <w:pPr>
      <w:jc w:val="center"/>
    </w:pPr>
    <w:rPr>
      <w:rFonts w:ascii="Times New Roman" w:hAnsi="Times New Roman" w:eastAsia="宋体" w:cs="Times New Roman"/>
      <w:b/>
      <w:kern w:val="0"/>
      <w:sz w:val="24"/>
      <w:szCs w:val="22"/>
      <w:lang w:val="en-US" w:eastAsia="zh-CN" w:bidi="ar-SA"/>
    </w:rPr>
  </w:style>
  <w:style w:type="paragraph" w:customStyle="1" w:styleId="88">
    <w:name w:val="表格文字-书"/>
    <w:autoRedefine/>
    <w:qFormat/>
    <w:uiPriority w:val="0"/>
    <w:pPr>
      <w:jc w:val="center"/>
    </w:pPr>
    <w:rPr>
      <w:rFonts w:ascii="Times New Roman" w:hAnsi="Times New Roman" w:eastAsia="宋体" w:cs="Times New Roman"/>
      <w:kern w:val="0"/>
      <w:sz w:val="21"/>
      <w:szCs w:val="22"/>
      <w:lang w:val="en-US" w:eastAsia="zh-CN" w:bidi="ar-SA"/>
    </w:rPr>
  </w:style>
  <w:style w:type="character" w:customStyle="1" w:styleId="89">
    <w:name w:val="font41"/>
    <w:basedOn w:val="31"/>
    <w:autoRedefine/>
    <w:qFormat/>
    <w:uiPriority w:val="0"/>
    <w:rPr>
      <w:rFonts w:hint="default" w:ascii="Times New Roman" w:hAnsi="Times New Roman" w:cs="Times New Roman"/>
      <w:b/>
      <w:bCs/>
      <w:color w:val="000000"/>
      <w:sz w:val="21"/>
      <w:szCs w:val="21"/>
      <w:u w:val="none"/>
    </w:rPr>
  </w:style>
  <w:style w:type="paragraph" w:customStyle="1" w:styleId="90">
    <w:name w:val="p15"/>
    <w:basedOn w:val="1"/>
    <w:autoRedefine/>
    <w:qFormat/>
    <w:uiPriority w:val="0"/>
    <w:pPr>
      <w:widowControl/>
      <w:spacing w:before="100" w:after="100"/>
      <w:jc w:val="left"/>
    </w:pPr>
    <w:rPr>
      <w:rFonts w:ascii="宋体" w:hAnsi="宋体" w:cs="宋体"/>
      <w:kern w:val="0"/>
      <w:sz w:val="24"/>
    </w:rPr>
  </w:style>
  <w:style w:type="paragraph" w:customStyle="1" w:styleId="91">
    <w:name w:val="p0"/>
    <w:basedOn w:val="1"/>
    <w:autoRedefine/>
    <w:qFormat/>
    <w:uiPriority w:val="0"/>
    <w:pPr>
      <w:widowControl/>
    </w:pPr>
    <w:rPr>
      <w:rFonts w:ascii="Times New Roman" w:hAnsi="Times New Roman"/>
      <w:kern w:val="0"/>
      <w:szCs w:val="21"/>
    </w:rPr>
  </w:style>
  <w:style w:type="character" w:customStyle="1" w:styleId="92">
    <w:name w:val="font11"/>
    <w:basedOn w:val="31"/>
    <w:qFormat/>
    <w:uiPriority w:val="0"/>
    <w:rPr>
      <w:rFonts w:hint="default" w:ascii="仿宋_GB2312" w:eastAsia="仿宋_GB2312" w:cs="仿宋_GB2312"/>
      <w:color w:val="000000"/>
      <w:sz w:val="24"/>
      <w:szCs w:val="24"/>
      <w:u w:val="none"/>
    </w:rPr>
  </w:style>
  <w:style w:type="paragraph" w:customStyle="1" w:styleId="93">
    <w:name w:val="Table Paragraph"/>
    <w:basedOn w:val="1"/>
    <w:qFormat/>
    <w:uiPriority w:val="1"/>
    <w:rPr>
      <w:rFonts w:ascii="宋体" w:hAnsi="宋体" w:eastAsia="宋体" w:cs="宋体"/>
      <w:lang w:val="zh-CN" w:eastAsia="zh-CN" w:bidi="zh-CN"/>
    </w:rPr>
  </w:style>
  <w:style w:type="character" w:customStyle="1" w:styleId="94">
    <w:name w:val="font31"/>
    <w:basedOn w:val="31"/>
    <w:qFormat/>
    <w:uiPriority w:val="0"/>
    <w:rPr>
      <w:rFonts w:hint="default" w:ascii="Times New Roman" w:hAnsi="Times New Roman" w:cs="Times New Roman"/>
      <w:i/>
      <w:iCs/>
      <w:color w:val="000000"/>
      <w:sz w:val="21"/>
      <w:szCs w:val="21"/>
      <w:u w:val="none"/>
    </w:rPr>
  </w:style>
  <w:style w:type="paragraph" w:customStyle="1" w:styleId="95">
    <w:name w:val="表文"/>
    <w:basedOn w:val="96"/>
    <w:autoRedefine/>
    <w:qFormat/>
    <w:uiPriority w:val="0"/>
    <w:pPr>
      <w:spacing w:line="240" w:lineRule="auto"/>
      <w:ind w:firstLine="0" w:firstLineChars="0"/>
      <w:jc w:val="center"/>
    </w:pPr>
    <w:rPr>
      <w:rFonts w:ascii="Times New Roman" w:hAnsi="Times New Roman" w:eastAsia="宋体"/>
      <w:b w:val="0"/>
      <w:kern w:val="0"/>
      <w:szCs w:val="21"/>
    </w:rPr>
  </w:style>
  <w:style w:type="paragraph" w:customStyle="1" w:styleId="96">
    <w:name w:val="表图题"/>
    <w:basedOn w:val="1"/>
    <w:autoRedefine/>
    <w:qFormat/>
    <w:uiPriority w:val="0"/>
    <w:pPr>
      <w:snapToGrid w:val="0"/>
      <w:spacing w:line="240" w:lineRule="auto"/>
      <w:ind w:firstLine="0" w:firstLineChars="0"/>
      <w:jc w:val="center"/>
    </w:pPr>
    <w:rPr>
      <w:rFonts w:ascii="Times New Roman" w:hAnsi="Times New Roman" w:eastAsia="宋体"/>
      <w:b/>
      <w:sz w:val="21"/>
    </w:rPr>
  </w:style>
  <w:style w:type="paragraph" w:customStyle="1" w:styleId="97">
    <w:name w:val="4级标题-书"/>
    <w:next w:val="80"/>
    <w:qFormat/>
    <w:uiPriority w:val="0"/>
    <w:pPr>
      <w:spacing w:line="360" w:lineRule="auto"/>
      <w:ind w:firstLine="200" w:firstLineChars="200"/>
      <w:outlineLvl w:val="3"/>
    </w:pPr>
    <w:rPr>
      <w:rFonts w:ascii="Times New Roman" w:hAnsi="Times New Roman" w:eastAsia="宋体" w:cs="Times New Roman"/>
      <w:b/>
      <w:sz w:val="24"/>
      <w:szCs w:val="22"/>
      <w:lang w:val="en-US" w:eastAsia="zh-CN" w:bidi="ar-SA"/>
    </w:rPr>
  </w:style>
</w:styles>
</file>

<file path=word/_rels/document.xml.rels><?xml version="1.0" encoding="UTF-8" standalone="yes"?>
<Relationships xmlns="http://schemas.openxmlformats.org/package/2006/relationships"><Relationship Id="rId90" Type="http://schemas.openxmlformats.org/officeDocument/2006/relationships/fontTable" Target="fontTable.xml"/><Relationship Id="rId9" Type="http://schemas.openxmlformats.org/officeDocument/2006/relationships/footer" Target="footer5.xml"/><Relationship Id="rId89" Type="http://schemas.openxmlformats.org/officeDocument/2006/relationships/customXml" Target="../customXml/item2.xml"/><Relationship Id="rId88" Type="http://schemas.openxmlformats.org/officeDocument/2006/relationships/numbering" Target="numbering.xml"/><Relationship Id="rId87" Type="http://schemas.openxmlformats.org/officeDocument/2006/relationships/customXml" Target="../customXml/item1.xml"/><Relationship Id="rId86" Type="http://schemas.openxmlformats.org/officeDocument/2006/relationships/image" Target="media/image67.png"/><Relationship Id="rId85" Type="http://schemas.openxmlformats.org/officeDocument/2006/relationships/image" Target="media/image66.jpeg"/><Relationship Id="rId84" Type="http://schemas.openxmlformats.org/officeDocument/2006/relationships/image" Target="media/image65.jpeg"/><Relationship Id="rId83" Type="http://schemas.openxmlformats.org/officeDocument/2006/relationships/image" Target="media/image64.jpeg"/><Relationship Id="rId82" Type="http://schemas.openxmlformats.org/officeDocument/2006/relationships/image" Target="media/image63.png"/><Relationship Id="rId81" Type="http://schemas.openxmlformats.org/officeDocument/2006/relationships/image" Target="media/image62.png"/><Relationship Id="rId80" Type="http://schemas.openxmlformats.org/officeDocument/2006/relationships/image" Target="media/image61.jpeg"/><Relationship Id="rId8" Type="http://schemas.openxmlformats.org/officeDocument/2006/relationships/footer" Target="footer4.xml"/><Relationship Id="rId79" Type="http://schemas.openxmlformats.org/officeDocument/2006/relationships/image" Target="media/image60.jpeg"/><Relationship Id="rId78" Type="http://schemas.openxmlformats.org/officeDocument/2006/relationships/image" Target="media/image59.jpeg"/><Relationship Id="rId77" Type="http://schemas.openxmlformats.org/officeDocument/2006/relationships/image" Target="media/image58.jpeg"/><Relationship Id="rId76" Type="http://schemas.openxmlformats.org/officeDocument/2006/relationships/image" Target="media/image57.jpeg"/><Relationship Id="rId75" Type="http://schemas.openxmlformats.org/officeDocument/2006/relationships/image" Target="media/image56.jpeg"/><Relationship Id="rId74" Type="http://schemas.openxmlformats.org/officeDocument/2006/relationships/image" Target="media/image55.png"/><Relationship Id="rId73" Type="http://schemas.openxmlformats.org/officeDocument/2006/relationships/image" Target="media/image54.jpeg"/><Relationship Id="rId72" Type="http://schemas.openxmlformats.org/officeDocument/2006/relationships/image" Target="media/image53.jpeg"/><Relationship Id="rId71" Type="http://schemas.openxmlformats.org/officeDocument/2006/relationships/image" Target="media/image52.jpeg"/><Relationship Id="rId70" Type="http://schemas.openxmlformats.org/officeDocument/2006/relationships/image" Target="media/image51.jpeg"/><Relationship Id="rId7" Type="http://schemas.openxmlformats.org/officeDocument/2006/relationships/header" Target="header2.xml"/><Relationship Id="rId69" Type="http://schemas.openxmlformats.org/officeDocument/2006/relationships/image" Target="media/image50.jpeg"/><Relationship Id="rId68" Type="http://schemas.openxmlformats.org/officeDocument/2006/relationships/image" Target="media/image49.jpeg"/><Relationship Id="rId67" Type="http://schemas.openxmlformats.org/officeDocument/2006/relationships/image" Target="media/image48.png"/><Relationship Id="rId66" Type="http://schemas.openxmlformats.org/officeDocument/2006/relationships/image" Target="media/image47.png"/><Relationship Id="rId65" Type="http://schemas.openxmlformats.org/officeDocument/2006/relationships/image" Target="media/image46.jpeg"/><Relationship Id="rId64" Type="http://schemas.openxmlformats.org/officeDocument/2006/relationships/image" Target="media/image45.jpeg"/><Relationship Id="rId63" Type="http://schemas.openxmlformats.org/officeDocument/2006/relationships/image" Target="media/image44.jpeg"/><Relationship Id="rId62" Type="http://schemas.openxmlformats.org/officeDocument/2006/relationships/image" Target="media/image43.jpeg"/><Relationship Id="rId61" Type="http://schemas.openxmlformats.org/officeDocument/2006/relationships/image" Target="media/image42.jpeg"/><Relationship Id="rId60" Type="http://schemas.openxmlformats.org/officeDocument/2006/relationships/image" Target="media/image41.jpeg"/><Relationship Id="rId6" Type="http://schemas.openxmlformats.org/officeDocument/2006/relationships/footer" Target="footer3.xml"/><Relationship Id="rId59" Type="http://schemas.openxmlformats.org/officeDocument/2006/relationships/image" Target="media/image40.jpeg"/><Relationship Id="rId58" Type="http://schemas.openxmlformats.org/officeDocument/2006/relationships/image" Target="media/image39.png"/><Relationship Id="rId57" Type="http://schemas.openxmlformats.org/officeDocument/2006/relationships/image" Target="media/image38.png"/><Relationship Id="rId56" Type="http://schemas.openxmlformats.org/officeDocument/2006/relationships/image" Target="media/image37.png"/><Relationship Id="rId55" Type="http://schemas.openxmlformats.org/officeDocument/2006/relationships/image" Target="media/image36.png"/><Relationship Id="rId54" Type="http://schemas.openxmlformats.org/officeDocument/2006/relationships/image" Target="media/image35.png"/><Relationship Id="rId53" Type="http://schemas.openxmlformats.org/officeDocument/2006/relationships/image" Target="media/image34.png"/><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header" Target="header1.xml"/><Relationship Id="rId49" Type="http://schemas.openxmlformats.org/officeDocument/2006/relationships/image" Target="media/image30.png"/><Relationship Id="rId48" Type="http://schemas.openxmlformats.org/officeDocument/2006/relationships/image" Target="media/image29.png"/><Relationship Id="rId47" Type="http://schemas.openxmlformats.org/officeDocument/2006/relationships/image" Target="media/image28.png"/><Relationship Id="rId46" Type="http://schemas.openxmlformats.org/officeDocument/2006/relationships/image" Target="media/image27.png"/><Relationship Id="rId45" Type="http://schemas.openxmlformats.org/officeDocument/2006/relationships/image" Target="media/image26.png"/><Relationship Id="rId44" Type="http://schemas.openxmlformats.org/officeDocument/2006/relationships/image" Target="media/image25.wmf"/><Relationship Id="rId43" Type="http://schemas.openxmlformats.org/officeDocument/2006/relationships/oleObject" Target="embeddings/oleObject3.bin"/><Relationship Id="rId42" Type="http://schemas.openxmlformats.org/officeDocument/2006/relationships/image" Target="media/image24.png"/><Relationship Id="rId41" Type="http://schemas.openxmlformats.org/officeDocument/2006/relationships/image" Target="media/image23.wmf"/><Relationship Id="rId40" Type="http://schemas.openxmlformats.org/officeDocument/2006/relationships/oleObject" Target="embeddings/oleObject2.bin"/><Relationship Id="rId4" Type="http://schemas.openxmlformats.org/officeDocument/2006/relationships/footer" Target="footer2.xml"/><Relationship Id="rId39" Type="http://schemas.openxmlformats.org/officeDocument/2006/relationships/image" Target="media/image22.wmf"/><Relationship Id="rId38" Type="http://schemas.openxmlformats.org/officeDocument/2006/relationships/oleObject" Target="embeddings/oleObject1.bin"/><Relationship Id="rId37" Type="http://schemas.openxmlformats.org/officeDocument/2006/relationships/image" Target="media/image21.png"/><Relationship Id="rId36" Type="http://schemas.openxmlformats.org/officeDocument/2006/relationships/image" Target="media/image20.jpeg"/><Relationship Id="rId35" Type="http://schemas.openxmlformats.org/officeDocument/2006/relationships/image" Target="media/image19.jpeg"/><Relationship Id="rId34" Type="http://schemas.openxmlformats.org/officeDocument/2006/relationships/image" Target="media/image18.jpeg"/><Relationship Id="rId33" Type="http://schemas.openxmlformats.org/officeDocument/2006/relationships/image" Target="media/image17.jpeg"/><Relationship Id="rId32" Type="http://schemas.openxmlformats.org/officeDocument/2006/relationships/image" Target="media/image16.jpeg"/><Relationship Id="rId31" Type="http://schemas.openxmlformats.org/officeDocument/2006/relationships/image" Target="media/image15.jpeg"/><Relationship Id="rId30" Type="http://schemas.openxmlformats.org/officeDocument/2006/relationships/image" Target="media/image14.jpeg"/><Relationship Id="rId3" Type="http://schemas.openxmlformats.org/officeDocument/2006/relationships/footer" Target="footer1.xml"/><Relationship Id="rId29" Type="http://schemas.openxmlformats.org/officeDocument/2006/relationships/image" Target="media/image13.png"/><Relationship Id="rId28" Type="http://schemas.openxmlformats.org/officeDocument/2006/relationships/image" Target="media/image12.jpe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png"/><Relationship Id="rId24" Type="http://schemas.openxmlformats.org/officeDocument/2006/relationships/image" Target="media/image8.png"/><Relationship Id="rId23"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image" Target="media/image5.pn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8.xml"/><Relationship Id="rId14" Type="http://schemas.openxmlformats.org/officeDocument/2006/relationships/header" Target="header5.xml"/><Relationship Id="rId13" Type="http://schemas.openxmlformats.org/officeDocument/2006/relationships/header" Target="header4.xml"/><Relationship Id="rId12" Type="http://schemas.openxmlformats.org/officeDocument/2006/relationships/footer" Target="footer7.xml"/><Relationship Id="rId11" Type="http://schemas.openxmlformats.org/officeDocument/2006/relationships/header" Target="header3.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C79A2D0-E801-42B6-ABF9-9DA629E5C4EB}">
  <ds:schemaRefs/>
</ds:datastoreItem>
</file>

<file path=docProps/app.xml><?xml version="1.0" encoding="utf-8"?>
<Properties xmlns="http://schemas.openxmlformats.org/officeDocument/2006/extended-properties" xmlns:vt="http://schemas.openxmlformats.org/officeDocument/2006/docPropsVTypes">
  <Template>Normal.dotm</Template>
  <Pages>136</Pages>
  <Words>12781</Words>
  <Characters>13741</Characters>
  <Lines>86</Lines>
  <Paragraphs>24</Paragraphs>
  <TotalTime>3906</TotalTime>
  <ScaleCrop>false</ScaleCrop>
  <LinksUpToDate>false</LinksUpToDate>
  <CharactersWithSpaces>13865</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2021-04-05T08:38:00Z</dcterms:created>
  <dc:creator>朱 珊珊</dc:creator>
  <cp:lastModifiedBy>三生万物</cp:lastModifiedBy>
  <cp:lastPrinted>2022-10-31T09:50:00Z</cp:lastPrinted>
  <dcterms:modified xsi:type="dcterms:W3CDTF">2025-10-20T01:46:20Z</dcterms:modified>
  <cp:revision>57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8C502586588F4FA1AF63E01C861636A3_13</vt:lpwstr>
  </property>
  <property fmtid="{D5CDD505-2E9C-101B-9397-08002B2CF9AE}" pid="4" name="KSOTemplateDocerSaveRecord">
    <vt:lpwstr>eyJoZGlkIjoiODlhZmY0MDU3YmNhYjcwYTRhNjYyYjQyNmNiOWI0NjUiLCJ1c2VySWQiOiI4Njg3MzU3MzIifQ==</vt:lpwstr>
  </property>
</Properties>
</file>